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ind w:left="0" w:firstLine="0"/>
        <w:rPr>
          <w:color w:val="auto"/>
        </w:rPr>
      </w:pPr>
    </w:p>
    <w:p>
      <w:pPr>
        <w:rPr>
          <w:rFonts w:eastAsia="仿宋_GB2312"/>
          <w:color w:val="auto"/>
          <w:sz w:val="36"/>
          <w:szCs w:val="36"/>
        </w:rPr>
      </w:pPr>
    </w:p>
    <w:p>
      <w:pPr>
        <w:rPr>
          <w:rFonts w:eastAsia="仿宋_GB2312"/>
          <w:color w:val="auto"/>
          <w:sz w:val="36"/>
          <w:szCs w:val="36"/>
        </w:rPr>
      </w:pPr>
    </w:p>
    <w:p>
      <w:pPr>
        <w:rPr>
          <w:rFonts w:eastAsia="仿宋_GB2312"/>
          <w:color w:val="auto"/>
          <w:sz w:val="36"/>
          <w:szCs w:val="36"/>
        </w:rPr>
      </w:pPr>
    </w:p>
    <w:p>
      <w:pPr>
        <w:rPr>
          <w:rFonts w:eastAsia="仿宋_GB2312"/>
          <w:color w:val="auto"/>
          <w:sz w:val="36"/>
          <w:szCs w:val="36"/>
        </w:rPr>
      </w:pPr>
    </w:p>
    <w:p>
      <w:pPr>
        <w:adjustRightInd w:val="0"/>
        <w:snapToGrid w:val="0"/>
        <w:jc w:val="center"/>
        <w:outlineLvl w:val="0"/>
        <w:rPr>
          <w:rFonts w:eastAsia="方正小标宋_GBK"/>
          <w:bCs/>
          <w:color w:val="auto"/>
          <w:sz w:val="72"/>
          <w:szCs w:val="72"/>
        </w:rPr>
      </w:pPr>
      <w:bookmarkStart w:id="0" w:name="_Toc3272"/>
      <w:r>
        <w:rPr>
          <w:rFonts w:eastAsia="方正小标宋_GBK"/>
          <w:bCs/>
          <w:color w:val="auto"/>
          <w:sz w:val="72"/>
          <w:szCs w:val="72"/>
        </w:rPr>
        <w:t>建设项</w:t>
      </w:r>
      <w:r>
        <w:rPr>
          <w:rFonts w:hint="eastAsia" w:eastAsia="方正小标宋_GBK"/>
          <w:bCs/>
          <w:color w:val="auto"/>
          <w:sz w:val="72"/>
          <w:szCs w:val="72"/>
        </w:rPr>
        <w:t>目环</w:t>
      </w:r>
      <w:r>
        <w:rPr>
          <w:rFonts w:eastAsia="方正小标宋_GBK"/>
          <w:bCs/>
          <w:color w:val="auto"/>
          <w:sz w:val="72"/>
          <w:szCs w:val="72"/>
        </w:rPr>
        <w:t>境影响报告表</w:t>
      </w:r>
      <w:bookmarkEnd w:id="0"/>
    </w:p>
    <w:p>
      <w:pPr>
        <w:jc w:val="center"/>
        <w:rPr>
          <w:rFonts w:eastAsia="仿宋"/>
          <w:color w:val="auto"/>
          <w:sz w:val="52"/>
          <w:szCs w:val="52"/>
        </w:rPr>
      </w:pPr>
      <w:r>
        <w:rPr>
          <w:rFonts w:hint="eastAsia" w:eastAsia="仿宋"/>
          <w:color w:val="auto"/>
          <w:sz w:val="52"/>
          <w:szCs w:val="52"/>
        </w:rPr>
        <w:t>（污染影响型）</w:t>
      </w:r>
    </w:p>
    <w:p>
      <w:pPr>
        <w:rPr>
          <w:rFonts w:eastAsia="仿宋"/>
          <w:color w:val="auto"/>
          <w:sz w:val="44"/>
          <w:szCs w:val="44"/>
        </w:rPr>
      </w:pPr>
    </w:p>
    <w:p>
      <w:pPr>
        <w:ind w:firstLine="1040"/>
        <w:rPr>
          <w:rFonts w:eastAsia="仿宋"/>
          <w:color w:val="auto"/>
          <w:sz w:val="44"/>
          <w:szCs w:val="44"/>
        </w:rPr>
      </w:pPr>
    </w:p>
    <w:p>
      <w:pPr>
        <w:pStyle w:val="16"/>
        <w:rPr>
          <w:rFonts w:eastAsia="仿宋"/>
          <w:color w:val="auto"/>
          <w:sz w:val="44"/>
          <w:szCs w:val="44"/>
        </w:rPr>
      </w:pPr>
    </w:p>
    <w:p>
      <w:pPr>
        <w:rPr>
          <w:color w:val="auto"/>
        </w:rPr>
      </w:pPr>
      <w:r>
        <w:rPr>
          <w:rFonts w:hint="eastAsia"/>
          <w:color w:val="auto"/>
        </w:rPr>
        <w:t xml:space="preserve"> </w:t>
      </w:r>
    </w:p>
    <w:p>
      <w:pPr>
        <w:ind w:firstLine="1040"/>
        <w:rPr>
          <w:rFonts w:eastAsia="仿宋"/>
          <w:color w:val="auto"/>
          <w:sz w:val="44"/>
          <w:szCs w:val="44"/>
        </w:rPr>
      </w:pPr>
    </w:p>
    <w:p>
      <w:pPr>
        <w:pStyle w:val="9"/>
        <w:rPr>
          <w:rFonts w:eastAsia="仿宋"/>
          <w:color w:val="auto"/>
          <w:sz w:val="44"/>
          <w:szCs w:val="44"/>
        </w:rPr>
      </w:pPr>
    </w:p>
    <w:p>
      <w:pPr>
        <w:rPr>
          <w:color w:val="auto"/>
        </w:rPr>
      </w:pPr>
    </w:p>
    <w:p>
      <w:pPr>
        <w:adjustRightInd w:val="0"/>
        <w:snapToGrid w:val="0"/>
        <w:spacing w:line="288" w:lineRule="auto"/>
        <w:rPr>
          <w:rFonts w:eastAsia="仿宋_GB2312"/>
          <w:color w:val="auto"/>
          <w:sz w:val="36"/>
          <w:szCs w:val="36"/>
        </w:rPr>
      </w:pPr>
    </w:p>
    <w:p>
      <w:pPr>
        <w:pStyle w:val="9"/>
        <w:rPr>
          <w:color w:val="auto"/>
        </w:rPr>
      </w:pPr>
    </w:p>
    <w:p>
      <w:pPr>
        <w:adjustRightInd w:val="0"/>
        <w:snapToGrid w:val="0"/>
        <w:spacing w:line="288" w:lineRule="auto"/>
        <w:jc w:val="center"/>
        <w:outlineLvl w:val="0"/>
        <w:rPr>
          <w:rFonts w:eastAsia="仿宋_GB2312"/>
          <w:color w:val="auto"/>
          <w:sz w:val="36"/>
          <w:szCs w:val="36"/>
          <w:u w:val="single"/>
        </w:rPr>
      </w:pPr>
      <w:bookmarkStart w:id="1" w:name="_Toc6212"/>
      <w:r>
        <w:rPr>
          <w:rFonts w:eastAsia="仿宋_GB2312"/>
          <w:color w:val="auto"/>
          <w:sz w:val="36"/>
          <w:szCs w:val="36"/>
        </w:rPr>
        <w:t>项目名称：</w:t>
      </w:r>
      <w:bookmarkEnd w:id="1"/>
      <w:r>
        <w:rPr>
          <w:rFonts w:hint="eastAsia" w:eastAsia="仿宋_GB2312"/>
          <w:color w:val="auto"/>
          <w:sz w:val="36"/>
          <w:szCs w:val="36"/>
          <w:u w:val="single"/>
        </w:rPr>
        <w:t>遵化市益诚机械配件有限公司年产高端精密铸件5500吨数控机床配件项目</w:t>
      </w:r>
    </w:p>
    <w:p>
      <w:pPr>
        <w:adjustRightInd w:val="0"/>
        <w:snapToGrid w:val="0"/>
        <w:spacing w:line="288" w:lineRule="auto"/>
        <w:jc w:val="center"/>
        <w:rPr>
          <w:rFonts w:eastAsia="仿宋_GB2312"/>
          <w:color w:val="auto"/>
          <w:sz w:val="36"/>
          <w:szCs w:val="36"/>
          <w:u w:val="single"/>
        </w:rPr>
      </w:pPr>
      <w:r>
        <w:rPr>
          <w:rFonts w:eastAsia="仿宋_GB2312"/>
          <w:color w:val="auto"/>
          <w:sz w:val="36"/>
          <w:szCs w:val="36"/>
        </w:rPr>
        <w:t>建设单位（盖章）：</w:t>
      </w:r>
      <w:r>
        <w:rPr>
          <w:rFonts w:hint="eastAsia" w:eastAsia="仿宋_GB2312"/>
          <w:color w:val="auto"/>
          <w:sz w:val="36"/>
          <w:szCs w:val="36"/>
          <w:u w:val="single"/>
        </w:rPr>
        <w:t>遵化市益诚机械配件有限公司</w:t>
      </w:r>
    </w:p>
    <w:p>
      <w:pPr>
        <w:adjustRightInd w:val="0"/>
        <w:snapToGrid w:val="0"/>
        <w:spacing w:line="288" w:lineRule="auto"/>
        <w:jc w:val="center"/>
        <w:rPr>
          <w:rFonts w:eastAsia="仿宋_GB2312"/>
          <w:color w:val="auto"/>
          <w:sz w:val="36"/>
          <w:szCs w:val="36"/>
          <w:u w:val="single"/>
        </w:rPr>
      </w:pPr>
      <w:r>
        <w:rPr>
          <w:rFonts w:eastAsia="仿宋_GB2312"/>
          <w:color w:val="auto"/>
          <w:sz w:val="36"/>
          <w:szCs w:val="36"/>
        </w:rPr>
        <w:t>编制日期：</w:t>
      </w:r>
      <w:r>
        <w:rPr>
          <w:rFonts w:eastAsia="仿宋_GB2312"/>
          <w:color w:val="auto"/>
          <w:sz w:val="36"/>
          <w:szCs w:val="36"/>
          <w:u w:val="single"/>
        </w:rPr>
        <w:t>20</w:t>
      </w:r>
      <w:r>
        <w:rPr>
          <w:rFonts w:hint="eastAsia" w:eastAsia="仿宋_GB2312"/>
          <w:color w:val="auto"/>
          <w:sz w:val="36"/>
          <w:szCs w:val="36"/>
          <w:u w:val="single"/>
        </w:rPr>
        <w:t>24</w:t>
      </w:r>
      <w:r>
        <w:rPr>
          <w:rFonts w:eastAsia="仿宋_GB2312"/>
          <w:color w:val="auto"/>
          <w:sz w:val="36"/>
          <w:szCs w:val="36"/>
          <w:u w:val="single"/>
        </w:rPr>
        <w:t>年</w:t>
      </w:r>
      <w:r>
        <w:rPr>
          <w:rFonts w:hint="eastAsia" w:eastAsia="仿宋_GB2312"/>
          <w:color w:val="auto"/>
          <w:sz w:val="36"/>
          <w:szCs w:val="36"/>
          <w:u w:val="single"/>
          <w:lang w:val="en-US" w:eastAsia="zh-CN"/>
        </w:rPr>
        <w:t>4</w:t>
      </w:r>
      <w:r>
        <w:rPr>
          <w:rFonts w:eastAsia="仿宋_GB2312"/>
          <w:color w:val="auto"/>
          <w:sz w:val="36"/>
          <w:szCs w:val="36"/>
          <w:u w:val="single"/>
        </w:rPr>
        <w:t>月</w:t>
      </w:r>
    </w:p>
    <w:p>
      <w:pPr>
        <w:adjustRightInd w:val="0"/>
        <w:snapToGrid w:val="0"/>
        <w:spacing w:line="288" w:lineRule="auto"/>
        <w:ind w:firstLine="1040"/>
        <w:rPr>
          <w:rFonts w:eastAsia="仿宋_GB2312"/>
          <w:color w:val="auto"/>
          <w:sz w:val="36"/>
          <w:szCs w:val="36"/>
          <w:u w:val="single"/>
        </w:rPr>
      </w:pPr>
      <w:bookmarkStart w:id="2" w:name="_Hlk57884087"/>
    </w:p>
    <w:p>
      <w:pPr>
        <w:adjustRightInd w:val="0"/>
        <w:snapToGrid w:val="0"/>
        <w:spacing w:line="288" w:lineRule="auto"/>
        <w:ind w:firstLine="1040"/>
        <w:rPr>
          <w:rFonts w:eastAsia="仿宋_GB2312"/>
          <w:color w:val="auto"/>
          <w:sz w:val="36"/>
          <w:szCs w:val="36"/>
        </w:rPr>
      </w:pPr>
    </w:p>
    <w:p>
      <w:pPr>
        <w:adjustRightInd w:val="0"/>
        <w:snapToGrid w:val="0"/>
        <w:spacing w:line="288" w:lineRule="auto"/>
        <w:ind w:firstLine="1040"/>
        <w:rPr>
          <w:rFonts w:eastAsia="仿宋_GB2312"/>
          <w:color w:val="auto"/>
          <w:sz w:val="36"/>
          <w:szCs w:val="36"/>
        </w:rPr>
      </w:pPr>
    </w:p>
    <w:p>
      <w:pPr>
        <w:adjustRightInd w:val="0"/>
        <w:snapToGrid w:val="0"/>
        <w:spacing w:line="288" w:lineRule="auto"/>
        <w:ind w:firstLine="1040"/>
        <w:rPr>
          <w:rFonts w:eastAsia="仿宋_GB2312"/>
          <w:color w:val="auto"/>
          <w:sz w:val="36"/>
          <w:szCs w:val="36"/>
        </w:rPr>
      </w:pPr>
    </w:p>
    <w:p>
      <w:pPr>
        <w:adjustRightInd w:val="0"/>
        <w:snapToGrid w:val="0"/>
        <w:spacing w:line="288" w:lineRule="auto"/>
        <w:ind w:firstLine="1040"/>
        <w:rPr>
          <w:rFonts w:eastAsia="仿宋_GB2312"/>
          <w:color w:val="auto"/>
          <w:sz w:val="36"/>
          <w:szCs w:val="36"/>
        </w:rPr>
      </w:pPr>
    </w:p>
    <w:bookmarkEnd w:id="2"/>
    <w:p>
      <w:pPr>
        <w:adjustRightInd w:val="0"/>
        <w:snapToGrid w:val="0"/>
        <w:spacing w:line="288" w:lineRule="auto"/>
        <w:jc w:val="center"/>
        <w:outlineLvl w:val="0"/>
        <w:rPr>
          <w:rFonts w:eastAsia="楷体_GB2312"/>
          <w:color w:val="auto"/>
          <w:sz w:val="36"/>
          <w:szCs w:val="36"/>
        </w:rPr>
      </w:pPr>
      <w:bookmarkStart w:id="3" w:name="_Toc30634"/>
      <w:bookmarkStart w:id="4" w:name="_Toc18711"/>
      <w:r>
        <w:rPr>
          <w:rFonts w:eastAsia="楷体_GB2312"/>
          <w:color w:val="auto"/>
          <w:sz w:val="36"/>
          <w:szCs w:val="36"/>
        </w:rPr>
        <w:t>中华人民共和国生态环境部制</w:t>
      </w:r>
      <w:bookmarkEnd w:id="3"/>
      <w:bookmarkStart w:id="32" w:name="_GoBack"/>
      <w:bookmarkEnd w:id="32"/>
    </w:p>
    <w:p>
      <w:pPr>
        <w:adjustRightInd w:val="0"/>
        <w:snapToGrid w:val="0"/>
        <w:spacing w:line="288" w:lineRule="auto"/>
        <w:ind w:firstLine="1040"/>
        <w:rPr>
          <w:rFonts w:eastAsia="仿宋_GB2312"/>
          <w:color w:val="auto"/>
          <w:sz w:val="36"/>
          <w:szCs w:val="36"/>
        </w:rPr>
      </w:pPr>
    </w:p>
    <w:sdt>
      <w:sdtPr>
        <w:rPr>
          <w:rFonts w:ascii="宋体" w:hAnsi="宋体"/>
          <w:color w:val="auto"/>
        </w:rPr>
        <w:id w:val="147482074"/>
        <w15:color w:val="DBDBDB"/>
        <w:docPartObj>
          <w:docPartGallery w:val="Table of Contents"/>
          <w:docPartUnique/>
        </w:docPartObj>
      </w:sdtPr>
      <w:sdtEndPr>
        <w:rPr>
          <w:rFonts w:ascii="Times New Roman" w:hAnsi="Times New Roman" w:eastAsia="仿宋_GB2312"/>
          <w:color w:val="auto"/>
          <w:szCs w:val="36"/>
        </w:rPr>
      </w:sdtEndPr>
      <w:sdtContent>
        <w:p>
          <w:pPr>
            <w:jc w:val="center"/>
            <w:rPr>
              <w:color w:val="auto"/>
              <w:sz w:val="32"/>
              <w:szCs w:val="32"/>
            </w:rPr>
          </w:pPr>
          <w:r>
            <w:rPr>
              <w:rFonts w:ascii="宋体" w:hAnsi="宋体"/>
              <w:color w:val="auto"/>
              <w:sz w:val="32"/>
              <w:szCs w:val="32"/>
            </w:rPr>
            <w:t>目录</w:t>
          </w:r>
        </w:p>
        <w:p>
          <w:pPr>
            <w:pStyle w:val="96"/>
            <w:tabs>
              <w:tab w:val="right" w:leader="dot" w:pos="8844"/>
            </w:tabs>
            <w:rPr>
              <w:color w:val="auto"/>
            </w:rPr>
          </w:pPr>
          <w:r>
            <w:rPr>
              <w:rFonts w:eastAsia="仿宋_GB2312"/>
              <w:color w:val="auto"/>
              <w:sz w:val="36"/>
              <w:szCs w:val="36"/>
            </w:rPr>
            <w:fldChar w:fldCharType="begin"/>
          </w:r>
          <w:r>
            <w:rPr>
              <w:rFonts w:eastAsia="仿宋_GB2312"/>
              <w:color w:val="auto"/>
              <w:sz w:val="36"/>
              <w:szCs w:val="36"/>
            </w:rPr>
            <w:instrText xml:space="preserve">TOC \o "1-1" \h \u </w:instrText>
          </w:r>
          <w:r>
            <w:rPr>
              <w:rFonts w:eastAsia="仿宋_GB2312"/>
              <w:color w:val="auto"/>
              <w:sz w:val="36"/>
              <w:szCs w:val="36"/>
            </w:rPr>
            <w:fldChar w:fldCharType="separate"/>
          </w:r>
        </w:p>
        <w:p>
          <w:pPr>
            <w:pStyle w:val="96"/>
            <w:tabs>
              <w:tab w:val="right" w:leader="dot" w:pos="8844"/>
            </w:tabs>
            <w:rPr>
              <w:color w:val="auto"/>
              <w:sz w:val="24"/>
              <w:szCs w:val="24"/>
            </w:rPr>
          </w:pPr>
          <w:r>
            <w:rPr>
              <w:color w:val="auto"/>
            </w:rPr>
            <w:fldChar w:fldCharType="begin"/>
          </w:r>
          <w:r>
            <w:rPr>
              <w:color w:val="auto"/>
            </w:rPr>
            <w:instrText xml:space="preserve"> HYPERLINK \l "_Toc18711" </w:instrText>
          </w:r>
          <w:r>
            <w:rPr>
              <w:color w:val="auto"/>
            </w:rPr>
            <w:fldChar w:fldCharType="separate"/>
          </w:r>
          <w:r>
            <w:rPr>
              <w:rFonts w:eastAsia="黑体"/>
              <w:snapToGrid w:val="0"/>
              <w:color w:val="auto"/>
              <w:sz w:val="24"/>
              <w:szCs w:val="24"/>
            </w:rPr>
            <w:t>一、建设项目基本情况</w:t>
          </w:r>
          <w:r>
            <w:rPr>
              <w:color w:val="auto"/>
              <w:sz w:val="24"/>
              <w:szCs w:val="24"/>
            </w:rPr>
            <w:tab/>
          </w:r>
          <w:r>
            <w:rPr>
              <w:color w:val="auto"/>
              <w:sz w:val="24"/>
              <w:szCs w:val="24"/>
            </w:rPr>
            <w:fldChar w:fldCharType="begin"/>
          </w:r>
          <w:r>
            <w:rPr>
              <w:color w:val="auto"/>
              <w:sz w:val="24"/>
              <w:szCs w:val="24"/>
            </w:rPr>
            <w:instrText xml:space="preserve"> PAGEREF _Toc18711 \h </w:instrText>
          </w:r>
          <w:r>
            <w:rPr>
              <w:color w:val="auto"/>
              <w:sz w:val="24"/>
              <w:szCs w:val="24"/>
            </w:rPr>
            <w:fldChar w:fldCharType="separate"/>
          </w:r>
          <w:r>
            <w:rPr>
              <w:color w:val="auto"/>
              <w:sz w:val="24"/>
              <w:szCs w:val="24"/>
            </w:rPr>
            <w:t>1</w:t>
          </w:r>
          <w:r>
            <w:rPr>
              <w:color w:val="auto"/>
              <w:sz w:val="24"/>
              <w:szCs w:val="24"/>
            </w:rPr>
            <w:fldChar w:fldCharType="end"/>
          </w:r>
          <w:r>
            <w:rPr>
              <w:color w:val="auto"/>
              <w:sz w:val="24"/>
              <w:szCs w:val="24"/>
            </w:rPr>
            <w:fldChar w:fldCharType="end"/>
          </w:r>
        </w:p>
        <w:p>
          <w:pPr>
            <w:pStyle w:val="96"/>
            <w:tabs>
              <w:tab w:val="right" w:leader="dot" w:pos="8844"/>
            </w:tabs>
            <w:rPr>
              <w:color w:val="auto"/>
              <w:sz w:val="24"/>
              <w:szCs w:val="24"/>
            </w:rPr>
          </w:pPr>
          <w:r>
            <w:rPr>
              <w:color w:val="auto"/>
            </w:rPr>
            <w:fldChar w:fldCharType="begin"/>
          </w:r>
          <w:r>
            <w:rPr>
              <w:color w:val="auto"/>
            </w:rPr>
            <w:instrText xml:space="preserve"> HYPERLINK \l "_Toc26214" </w:instrText>
          </w:r>
          <w:r>
            <w:rPr>
              <w:color w:val="auto"/>
            </w:rPr>
            <w:fldChar w:fldCharType="separate"/>
          </w:r>
          <w:r>
            <w:rPr>
              <w:rFonts w:eastAsia="黑体"/>
              <w:snapToGrid w:val="0"/>
              <w:color w:val="auto"/>
              <w:sz w:val="24"/>
              <w:szCs w:val="24"/>
            </w:rPr>
            <w:t>二、建设项目工程分析</w:t>
          </w:r>
          <w:r>
            <w:rPr>
              <w:color w:val="auto"/>
              <w:sz w:val="24"/>
              <w:szCs w:val="24"/>
            </w:rPr>
            <w:tab/>
          </w:r>
          <w:r>
            <w:rPr>
              <w:color w:val="auto"/>
              <w:sz w:val="24"/>
              <w:szCs w:val="24"/>
            </w:rPr>
            <w:fldChar w:fldCharType="begin"/>
          </w:r>
          <w:r>
            <w:rPr>
              <w:color w:val="auto"/>
              <w:sz w:val="24"/>
              <w:szCs w:val="24"/>
            </w:rPr>
            <w:instrText xml:space="preserve"> PAGEREF _Toc26214 \h </w:instrText>
          </w:r>
          <w:r>
            <w:rPr>
              <w:color w:val="auto"/>
              <w:sz w:val="24"/>
              <w:szCs w:val="24"/>
            </w:rPr>
            <w:fldChar w:fldCharType="separate"/>
          </w:r>
          <w:r>
            <w:rPr>
              <w:color w:val="auto"/>
              <w:sz w:val="24"/>
              <w:szCs w:val="24"/>
            </w:rPr>
            <w:t>17</w:t>
          </w:r>
          <w:r>
            <w:rPr>
              <w:color w:val="auto"/>
              <w:sz w:val="24"/>
              <w:szCs w:val="24"/>
            </w:rPr>
            <w:fldChar w:fldCharType="end"/>
          </w:r>
          <w:r>
            <w:rPr>
              <w:color w:val="auto"/>
              <w:sz w:val="24"/>
              <w:szCs w:val="24"/>
            </w:rPr>
            <w:fldChar w:fldCharType="end"/>
          </w:r>
        </w:p>
        <w:p>
          <w:pPr>
            <w:pStyle w:val="96"/>
            <w:tabs>
              <w:tab w:val="right" w:leader="dot" w:pos="8844"/>
            </w:tabs>
            <w:rPr>
              <w:color w:val="auto"/>
              <w:sz w:val="24"/>
              <w:szCs w:val="24"/>
            </w:rPr>
          </w:pPr>
          <w:r>
            <w:rPr>
              <w:color w:val="auto"/>
            </w:rPr>
            <w:fldChar w:fldCharType="begin"/>
          </w:r>
          <w:r>
            <w:rPr>
              <w:color w:val="auto"/>
            </w:rPr>
            <w:instrText xml:space="preserve"> HYPERLINK \l "_Toc30819" </w:instrText>
          </w:r>
          <w:r>
            <w:rPr>
              <w:color w:val="auto"/>
            </w:rPr>
            <w:fldChar w:fldCharType="separate"/>
          </w:r>
          <w:r>
            <w:rPr>
              <w:rFonts w:eastAsia="黑体"/>
              <w:snapToGrid w:val="0"/>
              <w:color w:val="auto"/>
              <w:sz w:val="24"/>
              <w:szCs w:val="24"/>
            </w:rPr>
            <w:t>三、区域环境质量现状、环境保护目标及评价标准</w:t>
          </w:r>
          <w:r>
            <w:rPr>
              <w:color w:val="auto"/>
              <w:sz w:val="24"/>
              <w:szCs w:val="24"/>
            </w:rPr>
            <w:tab/>
          </w:r>
          <w:r>
            <w:rPr>
              <w:color w:val="auto"/>
              <w:sz w:val="24"/>
              <w:szCs w:val="24"/>
            </w:rPr>
            <w:fldChar w:fldCharType="begin"/>
          </w:r>
          <w:r>
            <w:rPr>
              <w:color w:val="auto"/>
              <w:sz w:val="24"/>
              <w:szCs w:val="24"/>
            </w:rPr>
            <w:instrText xml:space="preserve"> PAGEREF _Toc30819 \h </w:instrText>
          </w:r>
          <w:r>
            <w:rPr>
              <w:color w:val="auto"/>
              <w:sz w:val="24"/>
              <w:szCs w:val="24"/>
            </w:rPr>
            <w:fldChar w:fldCharType="separate"/>
          </w:r>
          <w:r>
            <w:rPr>
              <w:color w:val="auto"/>
              <w:sz w:val="24"/>
              <w:szCs w:val="24"/>
            </w:rPr>
            <w:t>26</w:t>
          </w:r>
          <w:r>
            <w:rPr>
              <w:color w:val="auto"/>
              <w:sz w:val="24"/>
              <w:szCs w:val="24"/>
            </w:rPr>
            <w:fldChar w:fldCharType="end"/>
          </w:r>
          <w:r>
            <w:rPr>
              <w:color w:val="auto"/>
              <w:sz w:val="24"/>
              <w:szCs w:val="24"/>
            </w:rPr>
            <w:fldChar w:fldCharType="end"/>
          </w:r>
        </w:p>
        <w:p>
          <w:pPr>
            <w:pStyle w:val="96"/>
            <w:tabs>
              <w:tab w:val="right" w:leader="dot" w:pos="8844"/>
            </w:tabs>
            <w:rPr>
              <w:color w:val="auto"/>
              <w:sz w:val="24"/>
              <w:szCs w:val="24"/>
            </w:rPr>
          </w:pPr>
          <w:r>
            <w:rPr>
              <w:color w:val="auto"/>
            </w:rPr>
            <w:fldChar w:fldCharType="begin"/>
          </w:r>
          <w:r>
            <w:rPr>
              <w:color w:val="auto"/>
            </w:rPr>
            <w:instrText xml:space="preserve"> HYPERLINK \l "_Toc26788" </w:instrText>
          </w:r>
          <w:r>
            <w:rPr>
              <w:color w:val="auto"/>
            </w:rPr>
            <w:fldChar w:fldCharType="separate"/>
          </w:r>
          <w:r>
            <w:rPr>
              <w:rFonts w:hint="eastAsia" w:eastAsia="黑体"/>
              <w:snapToGrid w:val="0"/>
              <w:color w:val="auto"/>
              <w:sz w:val="24"/>
              <w:szCs w:val="24"/>
            </w:rPr>
            <w:t xml:space="preserve">四、 </w:t>
          </w:r>
          <w:r>
            <w:rPr>
              <w:rFonts w:eastAsia="黑体"/>
              <w:snapToGrid w:val="0"/>
              <w:color w:val="auto"/>
              <w:sz w:val="24"/>
              <w:szCs w:val="24"/>
            </w:rPr>
            <w:t>主要环境影响和保护措施</w:t>
          </w:r>
          <w:r>
            <w:rPr>
              <w:color w:val="auto"/>
              <w:sz w:val="24"/>
              <w:szCs w:val="24"/>
            </w:rPr>
            <w:tab/>
          </w:r>
          <w:r>
            <w:rPr>
              <w:color w:val="auto"/>
              <w:sz w:val="24"/>
              <w:szCs w:val="24"/>
            </w:rPr>
            <w:fldChar w:fldCharType="begin"/>
          </w:r>
          <w:r>
            <w:rPr>
              <w:color w:val="auto"/>
              <w:sz w:val="24"/>
              <w:szCs w:val="24"/>
            </w:rPr>
            <w:instrText xml:space="preserve"> PAGEREF _Toc26788 \h </w:instrText>
          </w:r>
          <w:r>
            <w:rPr>
              <w:color w:val="auto"/>
              <w:sz w:val="24"/>
              <w:szCs w:val="24"/>
            </w:rPr>
            <w:fldChar w:fldCharType="separate"/>
          </w:r>
          <w:r>
            <w:rPr>
              <w:color w:val="auto"/>
              <w:sz w:val="24"/>
              <w:szCs w:val="24"/>
            </w:rPr>
            <w:t>26</w:t>
          </w:r>
          <w:r>
            <w:rPr>
              <w:color w:val="auto"/>
              <w:sz w:val="24"/>
              <w:szCs w:val="24"/>
            </w:rPr>
            <w:fldChar w:fldCharType="end"/>
          </w:r>
          <w:r>
            <w:rPr>
              <w:color w:val="auto"/>
              <w:sz w:val="24"/>
              <w:szCs w:val="24"/>
            </w:rPr>
            <w:fldChar w:fldCharType="end"/>
          </w:r>
        </w:p>
        <w:p>
          <w:pPr>
            <w:pStyle w:val="96"/>
            <w:tabs>
              <w:tab w:val="right" w:leader="dot" w:pos="8844"/>
            </w:tabs>
            <w:rPr>
              <w:color w:val="auto"/>
              <w:sz w:val="24"/>
              <w:szCs w:val="24"/>
            </w:rPr>
          </w:pPr>
          <w:r>
            <w:rPr>
              <w:color w:val="auto"/>
            </w:rPr>
            <w:fldChar w:fldCharType="begin"/>
          </w:r>
          <w:r>
            <w:rPr>
              <w:color w:val="auto"/>
            </w:rPr>
            <w:instrText xml:space="preserve"> HYPERLINK \l "_Toc14698" </w:instrText>
          </w:r>
          <w:r>
            <w:rPr>
              <w:color w:val="auto"/>
            </w:rPr>
            <w:fldChar w:fldCharType="separate"/>
          </w:r>
          <w:r>
            <w:rPr>
              <w:rFonts w:eastAsia="黑体"/>
              <w:snapToGrid w:val="0"/>
              <w:color w:val="auto"/>
              <w:sz w:val="24"/>
              <w:szCs w:val="24"/>
            </w:rPr>
            <w:t>五、环境保护措施监督检查清单</w:t>
          </w:r>
          <w:r>
            <w:rPr>
              <w:color w:val="auto"/>
              <w:sz w:val="24"/>
              <w:szCs w:val="24"/>
            </w:rPr>
            <w:tab/>
          </w:r>
          <w:r>
            <w:rPr>
              <w:color w:val="auto"/>
              <w:sz w:val="24"/>
              <w:szCs w:val="24"/>
            </w:rPr>
            <w:fldChar w:fldCharType="begin"/>
          </w:r>
          <w:r>
            <w:rPr>
              <w:color w:val="auto"/>
              <w:sz w:val="24"/>
              <w:szCs w:val="24"/>
            </w:rPr>
            <w:instrText xml:space="preserve"> PAGEREF _Toc14698 \h </w:instrText>
          </w:r>
          <w:r>
            <w:rPr>
              <w:color w:val="auto"/>
              <w:sz w:val="24"/>
              <w:szCs w:val="24"/>
            </w:rPr>
            <w:fldChar w:fldCharType="separate"/>
          </w:r>
          <w:r>
            <w:rPr>
              <w:color w:val="auto"/>
              <w:sz w:val="24"/>
              <w:szCs w:val="24"/>
            </w:rPr>
            <w:t>42</w:t>
          </w:r>
          <w:r>
            <w:rPr>
              <w:color w:val="auto"/>
              <w:sz w:val="24"/>
              <w:szCs w:val="24"/>
            </w:rPr>
            <w:fldChar w:fldCharType="end"/>
          </w:r>
          <w:r>
            <w:rPr>
              <w:color w:val="auto"/>
              <w:sz w:val="24"/>
              <w:szCs w:val="24"/>
            </w:rPr>
            <w:fldChar w:fldCharType="end"/>
          </w:r>
        </w:p>
        <w:p>
          <w:pPr>
            <w:pStyle w:val="96"/>
            <w:tabs>
              <w:tab w:val="right" w:leader="dot" w:pos="8844"/>
            </w:tabs>
            <w:rPr>
              <w:color w:val="auto"/>
              <w:sz w:val="24"/>
              <w:szCs w:val="24"/>
            </w:rPr>
          </w:pPr>
          <w:r>
            <w:rPr>
              <w:color w:val="auto"/>
            </w:rPr>
            <w:fldChar w:fldCharType="begin"/>
          </w:r>
          <w:r>
            <w:rPr>
              <w:color w:val="auto"/>
            </w:rPr>
            <w:instrText xml:space="preserve"> HYPERLINK \l "_Toc26089" </w:instrText>
          </w:r>
          <w:r>
            <w:rPr>
              <w:color w:val="auto"/>
            </w:rPr>
            <w:fldChar w:fldCharType="separate"/>
          </w:r>
          <w:r>
            <w:rPr>
              <w:rFonts w:eastAsia="黑体"/>
              <w:snapToGrid w:val="0"/>
              <w:color w:val="auto"/>
              <w:sz w:val="24"/>
              <w:szCs w:val="24"/>
            </w:rPr>
            <w:t>六、结论</w:t>
          </w:r>
          <w:r>
            <w:rPr>
              <w:color w:val="auto"/>
              <w:sz w:val="24"/>
              <w:szCs w:val="24"/>
            </w:rPr>
            <w:tab/>
          </w:r>
          <w:r>
            <w:rPr>
              <w:color w:val="auto"/>
              <w:sz w:val="24"/>
              <w:szCs w:val="24"/>
            </w:rPr>
            <w:fldChar w:fldCharType="begin"/>
          </w:r>
          <w:r>
            <w:rPr>
              <w:color w:val="auto"/>
              <w:sz w:val="24"/>
              <w:szCs w:val="24"/>
            </w:rPr>
            <w:instrText xml:space="preserve"> PAGEREF _Toc26089 \h </w:instrText>
          </w:r>
          <w:r>
            <w:rPr>
              <w:color w:val="auto"/>
              <w:sz w:val="24"/>
              <w:szCs w:val="24"/>
            </w:rPr>
            <w:fldChar w:fldCharType="separate"/>
          </w:r>
          <w:r>
            <w:rPr>
              <w:color w:val="auto"/>
              <w:sz w:val="24"/>
              <w:szCs w:val="24"/>
            </w:rPr>
            <w:t>64</w:t>
          </w:r>
          <w:r>
            <w:rPr>
              <w:color w:val="auto"/>
              <w:sz w:val="24"/>
              <w:szCs w:val="24"/>
            </w:rPr>
            <w:fldChar w:fldCharType="end"/>
          </w:r>
          <w:r>
            <w:rPr>
              <w:color w:val="auto"/>
              <w:sz w:val="24"/>
              <w:szCs w:val="24"/>
            </w:rPr>
            <w:fldChar w:fldCharType="end"/>
          </w:r>
        </w:p>
        <w:p>
          <w:pPr>
            <w:pStyle w:val="96"/>
            <w:tabs>
              <w:tab w:val="right" w:leader="dot" w:pos="8844"/>
            </w:tabs>
            <w:rPr>
              <w:color w:val="auto"/>
            </w:rPr>
          </w:pPr>
          <w:r>
            <w:rPr>
              <w:color w:val="auto"/>
            </w:rPr>
            <w:fldChar w:fldCharType="begin"/>
          </w:r>
          <w:r>
            <w:rPr>
              <w:color w:val="auto"/>
            </w:rPr>
            <w:instrText xml:space="preserve"> HYPERLINK \l "_Toc14760" </w:instrText>
          </w:r>
          <w:r>
            <w:rPr>
              <w:color w:val="auto"/>
            </w:rPr>
            <w:fldChar w:fldCharType="separate"/>
          </w:r>
          <w:r>
            <w:rPr>
              <w:rFonts w:eastAsia="黑体"/>
              <w:snapToGrid w:val="0"/>
              <w:color w:val="auto"/>
              <w:sz w:val="24"/>
              <w:szCs w:val="24"/>
            </w:rPr>
            <w:t>附表</w:t>
          </w:r>
          <w:r>
            <w:rPr>
              <w:color w:val="auto"/>
              <w:sz w:val="24"/>
              <w:szCs w:val="24"/>
            </w:rPr>
            <w:tab/>
          </w:r>
          <w:r>
            <w:rPr>
              <w:color w:val="auto"/>
              <w:sz w:val="24"/>
              <w:szCs w:val="24"/>
            </w:rPr>
            <w:fldChar w:fldCharType="begin"/>
          </w:r>
          <w:r>
            <w:rPr>
              <w:color w:val="auto"/>
              <w:sz w:val="24"/>
              <w:szCs w:val="24"/>
            </w:rPr>
            <w:instrText xml:space="preserve"> PAGEREF _Toc14760 \h </w:instrText>
          </w:r>
          <w:r>
            <w:rPr>
              <w:color w:val="auto"/>
              <w:sz w:val="24"/>
              <w:szCs w:val="24"/>
            </w:rPr>
            <w:fldChar w:fldCharType="separate"/>
          </w:r>
          <w:r>
            <w:rPr>
              <w:color w:val="auto"/>
              <w:sz w:val="24"/>
              <w:szCs w:val="24"/>
            </w:rPr>
            <w:t>65</w:t>
          </w:r>
          <w:r>
            <w:rPr>
              <w:color w:val="auto"/>
              <w:sz w:val="24"/>
              <w:szCs w:val="24"/>
            </w:rPr>
            <w:fldChar w:fldCharType="end"/>
          </w:r>
          <w:r>
            <w:rPr>
              <w:color w:val="auto"/>
              <w:sz w:val="24"/>
              <w:szCs w:val="24"/>
            </w:rPr>
            <w:fldChar w:fldCharType="end"/>
          </w:r>
        </w:p>
        <w:p>
          <w:pPr>
            <w:adjustRightInd w:val="0"/>
            <w:snapToGrid w:val="0"/>
            <w:spacing w:line="288" w:lineRule="auto"/>
            <w:ind w:firstLine="1040"/>
            <w:rPr>
              <w:rFonts w:eastAsia="仿宋_GB2312"/>
              <w:color w:val="auto"/>
              <w:sz w:val="36"/>
              <w:szCs w:val="36"/>
            </w:rPr>
          </w:pPr>
          <w:r>
            <w:rPr>
              <w:rFonts w:eastAsia="仿宋_GB2312"/>
              <w:color w:val="auto"/>
              <w:szCs w:val="36"/>
            </w:rPr>
            <w:fldChar w:fldCharType="end"/>
          </w:r>
        </w:p>
      </w:sdtContent>
    </w:sdt>
    <w:p>
      <w:pPr>
        <w:pStyle w:val="16"/>
        <w:rPr>
          <w:rFonts w:eastAsia="仿宋_GB2312"/>
          <w:color w:val="auto"/>
          <w:sz w:val="36"/>
          <w:szCs w:val="36"/>
        </w:rPr>
      </w:pPr>
    </w:p>
    <w:p>
      <w:pPr>
        <w:pStyle w:val="16"/>
        <w:rPr>
          <w:color w:val="auto"/>
        </w:rPr>
      </w:pPr>
    </w:p>
    <w:p>
      <w:pPr>
        <w:adjustRightInd w:val="0"/>
        <w:snapToGrid w:val="0"/>
        <w:spacing w:line="288" w:lineRule="auto"/>
        <w:ind w:firstLine="1040"/>
        <w:rPr>
          <w:rFonts w:eastAsia="仿宋_GB2312"/>
          <w:color w:val="auto"/>
          <w:sz w:val="36"/>
          <w:szCs w:val="36"/>
        </w:rPr>
      </w:pPr>
    </w:p>
    <w:p>
      <w:pPr>
        <w:adjustRightInd w:val="0"/>
        <w:snapToGrid w:val="0"/>
        <w:spacing w:line="288" w:lineRule="auto"/>
        <w:ind w:firstLine="1040"/>
        <w:rPr>
          <w:rFonts w:eastAsia="仿宋_GB2312"/>
          <w:color w:val="auto"/>
          <w:sz w:val="36"/>
          <w:szCs w:val="36"/>
        </w:rPr>
        <w:sectPr>
          <w:footerReference r:id="rId3" w:type="default"/>
          <w:pgSz w:w="11906" w:h="16838"/>
          <w:pgMar w:top="1440" w:right="1800" w:bottom="1440" w:left="1800" w:header="851" w:footer="1077" w:gutter="0"/>
          <w:pgNumType w:start="1"/>
          <w:cols w:space="720" w:num="1"/>
          <w:docGrid w:linePitch="312" w:charSpace="0"/>
        </w:sectPr>
      </w:pPr>
    </w:p>
    <w:p>
      <w:pPr>
        <w:pStyle w:val="29"/>
        <w:jc w:val="center"/>
        <w:outlineLvl w:val="0"/>
        <w:rPr>
          <w:rFonts w:hint="default" w:ascii="Times New Roman" w:hAnsi="Times New Roman" w:eastAsia="黑体"/>
          <w:snapToGrid w:val="0"/>
          <w:color w:val="auto"/>
          <w:sz w:val="30"/>
          <w:szCs w:val="30"/>
          <w:lang w:val="en-US" w:eastAsia="zh-CN"/>
        </w:rPr>
      </w:pPr>
      <w:r>
        <w:rPr>
          <w:rFonts w:ascii="Times New Roman" w:hAnsi="Times New Roman" w:eastAsia="黑体"/>
          <w:snapToGrid w:val="0"/>
          <w:color w:val="auto"/>
          <w:sz w:val="30"/>
          <w:szCs w:val="30"/>
        </w:rPr>
        <w:t>一、建设项目基本情况</w:t>
      </w:r>
      <w:bookmarkEnd w:id="4"/>
      <w:r>
        <w:rPr>
          <w:rFonts w:hint="eastAsia" w:ascii="Times New Roman" w:hAnsi="Times New Roman" w:eastAsia="黑体"/>
          <w:snapToGrid w:val="0"/>
          <w:color w:val="auto"/>
          <w:sz w:val="30"/>
          <w:szCs w:val="30"/>
          <w:lang w:val="en-US" w:eastAsia="zh-CN"/>
        </w:rPr>
        <w:t xml:space="preserve">                                                                                                                        </w:t>
      </w:r>
    </w:p>
    <w:tbl>
      <w:tblPr>
        <w:tblStyle w:val="3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054"/>
        <w:gridCol w:w="1124"/>
        <w:gridCol w:w="346"/>
        <w:gridCol w:w="1847"/>
        <w:gridCol w:w="1849"/>
        <w:gridCol w:w="29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9" w:hRule="atLeast"/>
          <w:jc w:val="center"/>
        </w:trPr>
        <w:tc>
          <w:tcPr>
            <w:tcW w:w="2178" w:type="dxa"/>
            <w:gridSpan w:val="2"/>
            <w:tcMar>
              <w:top w:w="16" w:type="dxa"/>
              <w:left w:w="16" w:type="dxa"/>
              <w:right w:w="16" w:type="dxa"/>
            </w:tcMar>
            <w:vAlign w:val="center"/>
          </w:tcPr>
          <w:p>
            <w:pPr>
              <w:adjustRightInd w:val="0"/>
              <w:snapToGrid w:val="0"/>
              <w:spacing w:line="500" w:lineRule="exact"/>
              <w:jc w:val="center"/>
              <w:rPr>
                <w:color w:val="auto"/>
                <w:sz w:val="24"/>
              </w:rPr>
            </w:pPr>
            <w:r>
              <w:rPr>
                <w:color w:val="auto"/>
                <w:sz w:val="24"/>
              </w:rPr>
              <w:t>建设项目名称</w:t>
            </w:r>
          </w:p>
        </w:tc>
        <w:tc>
          <w:tcPr>
            <w:tcW w:w="7031" w:type="dxa"/>
            <w:gridSpan w:val="4"/>
            <w:vAlign w:val="center"/>
          </w:tcPr>
          <w:p>
            <w:pPr>
              <w:spacing w:line="500" w:lineRule="exact"/>
              <w:jc w:val="center"/>
              <w:rPr>
                <w:color w:val="auto"/>
                <w:sz w:val="24"/>
              </w:rPr>
            </w:pPr>
            <w:r>
              <w:rPr>
                <w:rFonts w:hint="eastAsia"/>
                <w:color w:val="auto"/>
                <w:sz w:val="24"/>
              </w:rPr>
              <w:t>遵化市益诚机械配件有限公司年产高端精密铸件5500吨数控机床配件项目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178" w:type="dxa"/>
            <w:gridSpan w:val="2"/>
            <w:tcMar>
              <w:top w:w="16" w:type="dxa"/>
              <w:left w:w="16" w:type="dxa"/>
              <w:right w:w="16" w:type="dxa"/>
            </w:tcMar>
            <w:vAlign w:val="center"/>
          </w:tcPr>
          <w:p>
            <w:pPr>
              <w:adjustRightInd w:val="0"/>
              <w:snapToGrid w:val="0"/>
              <w:spacing w:line="500" w:lineRule="exact"/>
              <w:jc w:val="center"/>
              <w:rPr>
                <w:color w:val="auto"/>
                <w:sz w:val="24"/>
              </w:rPr>
            </w:pPr>
            <w:r>
              <w:rPr>
                <w:color w:val="auto"/>
                <w:sz w:val="24"/>
              </w:rPr>
              <w:t>项目代码</w:t>
            </w:r>
          </w:p>
        </w:tc>
        <w:tc>
          <w:tcPr>
            <w:tcW w:w="7031" w:type="dxa"/>
            <w:gridSpan w:val="4"/>
            <w:vAlign w:val="center"/>
          </w:tcPr>
          <w:p>
            <w:pPr>
              <w:spacing w:line="500" w:lineRule="exact"/>
              <w:jc w:val="center"/>
              <w:rPr>
                <w:color w:val="auto"/>
                <w:sz w:val="24"/>
              </w:rPr>
            </w:pPr>
            <w:r>
              <w:rPr>
                <w:rFonts w:hint="eastAsia"/>
                <w:color w:val="auto"/>
                <w:sz w:val="24"/>
              </w:rPr>
              <w:t>2402-130281-89-01-464033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178" w:type="dxa"/>
            <w:gridSpan w:val="2"/>
            <w:tcMar>
              <w:top w:w="16" w:type="dxa"/>
              <w:left w:w="16" w:type="dxa"/>
              <w:right w:w="16" w:type="dxa"/>
            </w:tcMar>
            <w:vAlign w:val="center"/>
          </w:tcPr>
          <w:p>
            <w:pPr>
              <w:adjustRightInd w:val="0"/>
              <w:snapToGrid w:val="0"/>
              <w:spacing w:line="500" w:lineRule="exact"/>
              <w:jc w:val="center"/>
              <w:rPr>
                <w:color w:val="auto"/>
                <w:sz w:val="24"/>
              </w:rPr>
            </w:pPr>
            <w:r>
              <w:rPr>
                <w:color w:val="auto"/>
                <w:sz w:val="24"/>
              </w:rPr>
              <w:t>建设单位联系人</w:t>
            </w:r>
          </w:p>
        </w:tc>
        <w:tc>
          <w:tcPr>
            <w:tcW w:w="2193" w:type="dxa"/>
            <w:gridSpan w:val="2"/>
            <w:vAlign w:val="center"/>
          </w:tcPr>
          <w:p>
            <w:pPr>
              <w:adjustRightInd w:val="0"/>
              <w:snapToGrid w:val="0"/>
              <w:spacing w:line="500" w:lineRule="exact"/>
              <w:jc w:val="center"/>
              <w:rPr>
                <w:rFonts w:hint="default" w:eastAsia="宋体"/>
                <w:color w:val="auto"/>
                <w:sz w:val="24"/>
                <w:lang w:val="en-US" w:eastAsia="zh-CN"/>
              </w:rPr>
            </w:pPr>
            <w:r>
              <w:rPr>
                <w:rFonts w:hint="eastAsia"/>
                <w:color w:val="auto"/>
                <w:sz w:val="24"/>
                <w:lang w:val="en-US" w:eastAsia="zh-CN"/>
              </w:rPr>
              <w:t>张三</w:t>
            </w:r>
          </w:p>
        </w:tc>
        <w:tc>
          <w:tcPr>
            <w:tcW w:w="1849" w:type="dxa"/>
            <w:vAlign w:val="center"/>
          </w:tcPr>
          <w:p>
            <w:pPr>
              <w:adjustRightInd w:val="0"/>
              <w:snapToGrid w:val="0"/>
              <w:spacing w:line="500" w:lineRule="exact"/>
              <w:jc w:val="center"/>
              <w:rPr>
                <w:color w:val="auto"/>
                <w:sz w:val="24"/>
              </w:rPr>
            </w:pPr>
            <w:r>
              <w:rPr>
                <w:color w:val="auto"/>
                <w:sz w:val="24"/>
              </w:rPr>
              <w:t>联系方式</w:t>
            </w:r>
          </w:p>
        </w:tc>
        <w:tc>
          <w:tcPr>
            <w:tcW w:w="2989" w:type="dxa"/>
            <w:vAlign w:val="center"/>
          </w:tcPr>
          <w:p>
            <w:pPr>
              <w:adjustRightInd w:val="0"/>
              <w:snapToGrid w:val="0"/>
              <w:spacing w:line="500" w:lineRule="exact"/>
              <w:jc w:val="center"/>
              <w:rPr>
                <w:rFonts w:hint="default" w:eastAsia="宋体"/>
                <w:color w:val="auto"/>
                <w:sz w:val="24"/>
                <w:lang w:val="en-US" w:eastAsia="zh-CN"/>
              </w:rPr>
            </w:pPr>
            <w:r>
              <w:rPr>
                <w:rFonts w:hint="eastAsia"/>
                <w:color w:val="auto"/>
                <w:sz w:val="24"/>
                <w:highlight w:val="none"/>
                <w:lang w:val="en-US" w:eastAsia="zh-CN"/>
              </w:rPr>
              <w:t>13653150888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178" w:type="dxa"/>
            <w:gridSpan w:val="2"/>
            <w:tcMar>
              <w:top w:w="16" w:type="dxa"/>
              <w:left w:w="16" w:type="dxa"/>
              <w:right w:w="16" w:type="dxa"/>
            </w:tcMar>
            <w:vAlign w:val="center"/>
          </w:tcPr>
          <w:p>
            <w:pPr>
              <w:adjustRightInd w:val="0"/>
              <w:snapToGrid w:val="0"/>
              <w:spacing w:line="500" w:lineRule="exact"/>
              <w:jc w:val="center"/>
              <w:rPr>
                <w:color w:val="auto"/>
                <w:sz w:val="24"/>
              </w:rPr>
            </w:pPr>
            <w:r>
              <w:rPr>
                <w:color w:val="auto"/>
                <w:sz w:val="24"/>
              </w:rPr>
              <w:t>建设地点</w:t>
            </w:r>
          </w:p>
        </w:tc>
        <w:tc>
          <w:tcPr>
            <w:tcW w:w="7031" w:type="dxa"/>
            <w:gridSpan w:val="4"/>
            <w:vAlign w:val="center"/>
          </w:tcPr>
          <w:p>
            <w:pPr>
              <w:adjustRightInd w:val="0"/>
              <w:snapToGrid w:val="0"/>
              <w:spacing w:line="500" w:lineRule="exact"/>
              <w:jc w:val="center"/>
              <w:rPr>
                <w:color w:val="auto"/>
                <w:sz w:val="24"/>
              </w:rPr>
            </w:pPr>
            <w:r>
              <w:rPr>
                <w:rFonts w:hint="eastAsia"/>
                <w:snapToGrid w:val="0"/>
                <w:color w:val="auto"/>
                <w:kern w:val="0"/>
                <w:sz w:val="24"/>
                <w:szCs w:val="22"/>
              </w:rPr>
              <w:t>河北省唐山市遵化市遵化镇团练屯村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178" w:type="dxa"/>
            <w:gridSpan w:val="2"/>
            <w:tcMar>
              <w:top w:w="16" w:type="dxa"/>
              <w:left w:w="16" w:type="dxa"/>
              <w:right w:w="16" w:type="dxa"/>
            </w:tcMar>
            <w:vAlign w:val="center"/>
          </w:tcPr>
          <w:p>
            <w:pPr>
              <w:adjustRightInd w:val="0"/>
              <w:snapToGrid w:val="0"/>
              <w:spacing w:line="500" w:lineRule="exact"/>
              <w:jc w:val="center"/>
              <w:rPr>
                <w:color w:val="auto"/>
                <w:sz w:val="24"/>
              </w:rPr>
            </w:pPr>
            <w:r>
              <w:rPr>
                <w:color w:val="auto"/>
                <w:sz w:val="24"/>
              </w:rPr>
              <w:t>地理坐标</w:t>
            </w:r>
          </w:p>
        </w:tc>
        <w:tc>
          <w:tcPr>
            <w:tcW w:w="7031" w:type="dxa"/>
            <w:gridSpan w:val="4"/>
            <w:vAlign w:val="center"/>
          </w:tcPr>
          <w:p>
            <w:pPr>
              <w:spacing w:line="500" w:lineRule="exact"/>
              <w:jc w:val="center"/>
              <w:rPr>
                <w:color w:val="auto"/>
                <w:sz w:val="24"/>
              </w:rPr>
            </w:pPr>
            <w:r>
              <w:rPr>
                <w:color w:val="auto"/>
                <w:sz w:val="24"/>
              </w:rPr>
              <w:t>（</w:t>
            </w:r>
            <w:r>
              <w:rPr>
                <w:rFonts w:hint="eastAsia"/>
                <w:color w:val="auto"/>
                <w:sz w:val="24"/>
                <w:u w:val="single"/>
              </w:rPr>
              <w:t>北纬40度10分4.525秒，东经117度59分24.139秒</w:t>
            </w:r>
            <w:r>
              <w:rPr>
                <w:color w:val="auto"/>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178" w:type="dxa"/>
            <w:gridSpan w:val="2"/>
            <w:tcMar>
              <w:top w:w="16" w:type="dxa"/>
              <w:left w:w="16" w:type="dxa"/>
              <w:right w:w="16" w:type="dxa"/>
            </w:tcMar>
            <w:vAlign w:val="center"/>
          </w:tcPr>
          <w:p>
            <w:pPr>
              <w:adjustRightInd w:val="0"/>
              <w:snapToGrid w:val="0"/>
              <w:spacing w:line="500" w:lineRule="exact"/>
              <w:jc w:val="center"/>
              <w:rPr>
                <w:snapToGrid w:val="0"/>
                <w:color w:val="auto"/>
                <w:kern w:val="0"/>
                <w:sz w:val="24"/>
                <w:szCs w:val="22"/>
              </w:rPr>
            </w:pPr>
            <w:r>
              <w:rPr>
                <w:snapToGrid w:val="0"/>
                <w:color w:val="auto"/>
                <w:kern w:val="0"/>
                <w:sz w:val="24"/>
                <w:szCs w:val="22"/>
              </w:rPr>
              <w:t>国民经济</w:t>
            </w:r>
          </w:p>
          <w:p>
            <w:pPr>
              <w:adjustRightInd w:val="0"/>
              <w:snapToGrid w:val="0"/>
              <w:spacing w:line="500" w:lineRule="exact"/>
              <w:jc w:val="center"/>
              <w:rPr>
                <w:snapToGrid w:val="0"/>
                <w:color w:val="auto"/>
                <w:kern w:val="0"/>
                <w:sz w:val="24"/>
                <w:szCs w:val="22"/>
              </w:rPr>
            </w:pPr>
            <w:r>
              <w:rPr>
                <w:snapToGrid w:val="0"/>
                <w:color w:val="auto"/>
                <w:kern w:val="0"/>
                <w:sz w:val="24"/>
                <w:szCs w:val="22"/>
              </w:rPr>
              <w:t>行业类别</w:t>
            </w:r>
          </w:p>
        </w:tc>
        <w:tc>
          <w:tcPr>
            <w:tcW w:w="2193" w:type="dxa"/>
            <w:gridSpan w:val="2"/>
            <w:vAlign w:val="center"/>
          </w:tcPr>
          <w:p>
            <w:pPr>
              <w:adjustRightInd w:val="0"/>
              <w:snapToGrid w:val="0"/>
              <w:spacing w:line="500" w:lineRule="exact"/>
              <w:jc w:val="center"/>
              <w:rPr>
                <w:snapToGrid w:val="0"/>
                <w:color w:val="auto"/>
                <w:kern w:val="0"/>
                <w:sz w:val="24"/>
                <w:szCs w:val="22"/>
              </w:rPr>
            </w:pPr>
            <w:r>
              <w:rPr>
                <w:color w:val="auto"/>
                <w:sz w:val="24"/>
              </w:rPr>
              <w:t>C3</w:t>
            </w:r>
            <w:r>
              <w:rPr>
                <w:rFonts w:hint="eastAsia"/>
                <w:color w:val="auto"/>
                <w:sz w:val="24"/>
              </w:rPr>
              <w:t>391黑色金属铸造</w:t>
            </w:r>
          </w:p>
        </w:tc>
        <w:tc>
          <w:tcPr>
            <w:tcW w:w="1849" w:type="dxa"/>
            <w:vAlign w:val="center"/>
          </w:tcPr>
          <w:p>
            <w:pPr>
              <w:adjustRightInd w:val="0"/>
              <w:snapToGrid w:val="0"/>
              <w:spacing w:line="500" w:lineRule="exact"/>
              <w:jc w:val="center"/>
              <w:rPr>
                <w:snapToGrid w:val="0"/>
                <w:color w:val="auto"/>
                <w:kern w:val="0"/>
                <w:sz w:val="24"/>
                <w:szCs w:val="22"/>
              </w:rPr>
            </w:pPr>
            <w:bookmarkStart w:id="5" w:name="_Hlk49843745"/>
            <w:r>
              <w:rPr>
                <w:snapToGrid w:val="0"/>
                <w:color w:val="auto"/>
                <w:kern w:val="0"/>
                <w:sz w:val="24"/>
                <w:szCs w:val="22"/>
              </w:rPr>
              <w:t>建设项目</w:t>
            </w:r>
          </w:p>
          <w:p>
            <w:pPr>
              <w:adjustRightInd w:val="0"/>
              <w:snapToGrid w:val="0"/>
              <w:spacing w:line="500" w:lineRule="exact"/>
              <w:jc w:val="center"/>
              <w:rPr>
                <w:snapToGrid w:val="0"/>
                <w:color w:val="auto"/>
                <w:kern w:val="0"/>
                <w:sz w:val="24"/>
                <w:szCs w:val="22"/>
              </w:rPr>
            </w:pPr>
            <w:r>
              <w:rPr>
                <w:snapToGrid w:val="0"/>
                <w:color w:val="auto"/>
                <w:kern w:val="0"/>
                <w:sz w:val="24"/>
                <w:szCs w:val="22"/>
              </w:rPr>
              <w:t>行业类别</w:t>
            </w:r>
            <w:bookmarkEnd w:id="5"/>
          </w:p>
        </w:tc>
        <w:tc>
          <w:tcPr>
            <w:tcW w:w="2989" w:type="dxa"/>
            <w:vAlign w:val="center"/>
          </w:tcPr>
          <w:p>
            <w:pPr>
              <w:adjustRightInd w:val="0"/>
              <w:snapToGrid w:val="0"/>
              <w:spacing w:line="500" w:lineRule="exact"/>
              <w:jc w:val="center"/>
              <w:rPr>
                <w:snapToGrid w:val="0"/>
                <w:color w:val="auto"/>
                <w:kern w:val="0"/>
                <w:sz w:val="24"/>
                <w:szCs w:val="22"/>
              </w:rPr>
            </w:pPr>
            <w:r>
              <w:rPr>
                <w:rFonts w:hint="eastAsia"/>
                <w:color w:val="auto"/>
                <w:sz w:val="24"/>
              </w:rPr>
              <w:t>三十</w:t>
            </w:r>
            <w:r>
              <w:rPr>
                <w:color w:val="auto"/>
                <w:sz w:val="24"/>
              </w:rPr>
              <w:t>、金属制品业</w:t>
            </w:r>
            <w:r>
              <w:rPr>
                <w:rFonts w:hint="eastAsia"/>
                <w:color w:val="auto"/>
                <w:sz w:val="24"/>
              </w:rPr>
              <w:t>33，68.铸造及其他金属制品制造339-其他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2178" w:type="dxa"/>
            <w:gridSpan w:val="2"/>
            <w:tcMar>
              <w:top w:w="16" w:type="dxa"/>
              <w:left w:w="16" w:type="dxa"/>
              <w:right w:w="16" w:type="dxa"/>
            </w:tcMar>
            <w:vAlign w:val="center"/>
          </w:tcPr>
          <w:p>
            <w:pPr>
              <w:adjustRightInd w:val="0"/>
              <w:snapToGrid w:val="0"/>
              <w:spacing w:line="500" w:lineRule="exact"/>
              <w:jc w:val="center"/>
              <w:rPr>
                <w:color w:val="auto"/>
                <w:sz w:val="24"/>
              </w:rPr>
            </w:pPr>
            <w:r>
              <w:rPr>
                <w:color w:val="auto"/>
                <w:sz w:val="24"/>
              </w:rPr>
              <w:t>建设性质</w:t>
            </w:r>
          </w:p>
        </w:tc>
        <w:tc>
          <w:tcPr>
            <w:tcW w:w="2193" w:type="dxa"/>
            <w:gridSpan w:val="2"/>
            <w:vAlign w:val="center"/>
          </w:tcPr>
          <w:p>
            <w:pPr>
              <w:spacing w:line="500" w:lineRule="exact"/>
              <w:jc w:val="left"/>
              <w:rPr>
                <w:color w:val="auto"/>
                <w:sz w:val="24"/>
              </w:rPr>
            </w:pPr>
            <w:r>
              <w:rPr>
                <w:color w:val="auto"/>
                <w:sz w:val="24"/>
              </w:rPr>
              <w:sym w:font="Wingdings 2" w:char="0052"/>
            </w:r>
            <w:r>
              <w:rPr>
                <w:color w:val="auto"/>
                <w:sz w:val="24"/>
              </w:rPr>
              <w:t>新建（迁建）</w:t>
            </w:r>
          </w:p>
          <w:p>
            <w:pPr>
              <w:spacing w:line="500" w:lineRule="exact"/>
              <w:jc w:val="left"/>
              <w:rPr>
                <w:color w:val="auto"/>
                <w:sz w:val="24"/>
              </w:rPr>
            </w:pPr>
            <w:r>
              <w:rPr>
                <w:color w:val="auto"/>
                <w:sz w:val="24"/>
              </w:rPr>
              <w:sym w:font="Wingdings 2" w:char="00A3"/>
            </w:r>
            <w:r>
              <w:rPr>
                <w:color w:val="auto"/>
                <w:sz w:val="24"/>
              </w:rPr>
              <w:t>改建</w:t>
            </w:r>
          </w:p>
          <w:p>
            <w:pPr>
              <w:spacing w:line="500" w:lineRule="exact"/>
              <w:jc w:val="left"/>
              <w:rPr>
                <w:color w:val="auto"/>
                <w:sz w:val="24"/>
              </w:rPr>
            </w:pPr>
            <w:r>
              <w:rPr>
                <w:color w:val="auto"/>
                <w:sz w:val="24"/>
              </w:rPr>
              <w:sym w:font="Wingdings 2" w:char="00A3"/>
            </w:r>
            <w:r>
              <w:rPr>
                <w:color w:val="auto"/>
                <w:sz w:val="24"/>
              </w:rPr>
              <w:t>扩建</w:t>
            </w:r>
          </w:p>
          <w:p>
            <w:pPr>
              <w:spacing w:line="500" w:lineRule="exact"/>
              <w:jc w:val="left"/>
              <w:rPr>
                <w:color w:val="auto"/>
                <w:sz w:val="24"/>
              </w:rPr>
            </w:pPr>
            <w:r>
              <w:rPr>
                <w:color w:val="auto"/>
                <w:sz w:val="24"/>
              </w:rPr>
              <w:sym w:font="Wingdings 2" w:char="00A3"/>
            </w:r>
            <w:r>
              <w:rPr>
                <w:color w:val="auto"/>
                <w:sz w:val="24"/>
              </w:rPr>
              <w:t>技术改造</w:t>
            </w:r>
          </w:p>
        </w:tc>
        <w:tc>
          <w:tcPr>
            <w:tcW w:w="1849" w:type="dxa"/>
            <w:vAlign w:val="center"/>
          </w:tcPr>
          <w:p>
            <w:pPr>
              <w:adjustRightInd w:val="0"/>
              <w:snapToGrid w:val="0"/>
              <w:spacing w:line="500" w:lineRule="exact"/>
              <w:jc w:val="center"/>
              <w:rPr>
                <w:color w:val="auto"/>
                <w:sz w:val="24"/>
              </w:rPr>
            </w:pPr>
            <w:r>
              <w:rPr>
                <w:color w:val="auto"/>
                <w:sz w:val="24"/>
              </w:rPr>
              <w:t>建设项目</w:t>
            </w:r>
          </w:p>
          <w:p>
            <w:pPr>
              <w:adjustRightInd w:val="0"/>
              <w:snapToGrid w:val="0"/>
              <w:spacing w:line="500" w:lineRule="exact"/>
              <w:jc w:val="center"/>
              <w:rPr>
                <w:color w:val="auto"/>
                <w:sz w:val="24"/>
              </w:rPr>
            </w:pPr>
            <w:r>
              <w:rPr>
                <w:color w:val="auto"/>
                <w:sz w:val="24"/>
              </w:rPr>
              <w:t>申报情形</w:t>
            </w:r>
          </w:p>
        </w:tc>
        <w:tc>
          <w:tcPr>
            <w:tcW w:w="2989" w:type="dxa"/>
            <w:vAlign w:val="center"/>
          </w:tcPr>
          <w:p>
            <w:pPr>
              <w:spacing w:line="500" w:lineRule="exact"/>
              <w:jc w:val="left"/>
              <w:rPr>
                <w:color w:val="auto"/>
                <w:sz w:val="24"/>
              </w:rPr>
            </w:pPr>
            <w:r>
              <w:rPr>
                <w:color w:val="auto"/>
                <w:sz w:val="24"/>
              </w:rPr>
              <w:sym w:font="Wingdings 2" w:char="0052"/>
            </w:r>
            <w:r>
              <w:rPr>
                <w:color w:val="auto"/>
                <w:sz w:val="24"/>
              </w:rPr>
              <w:t>首次申报项目</w:t>
            </w:r>
          </w:p>
          <w:p>
            <w:pPr>
              <w:spacing w:line="500" w:lineRule="exact"/>
              <w:jc w:val="left"/>
              <w:rPr>
                <w:color w:val="auto"/>
                <w:sz w:val="24"/>
              </w:rPr>
            </w:pPr>
            <w:r>
              <w:rPr>
                <w:color w:val="auto"/>
                <w:sz w:val="24"/>
              </w:rPr>
              <w:sym w:font="Wingdings 2" w:char="00A3"/>
            </w:r>
            <w:r>
              <w:rPr>
                <w:color w:val="auto"/>
                <w:sz w:val="24"/>
              </w:rPr>
              <w:t>不予批准后再次申报项目</w:t>
            </w:r>
          </w:p>
          <w:p>
            <w:pPr>
              <w:spacing w:line="500" w:lineRule="exact"/>
              <w:jc w:val="left"/>
              <w:rPr>
                <w:color w:val="auto"/>
                <w:sz w:val="24"/>
              </w:rPr>
            </w:pPr>
            <w:r>
              <w:rPr>
                <w:color w:val="auto"/>
                <w:sz w:val="24"/>
              </w:rPr>
              <w:sym w:font="Wingdings 2" w:char="00A3"/>
            </w:r>
            <w:r>
              <w:rPr>
                <w:color w:val="auto"/>
                <w:sz w:val="24"/>
              </w:rPr>
              <w:t>超五年重新审核项目</w:t>
            </w:r>
          </w:p>
          <w:p>
            <w:pPr>
              <w:spacing w:line="500" w:lineRule="exact"/>
              <w:jc w:val="left"/>
              <w:rPr>
                <w:color w:val="auto"/>
                <w:sz w:val="24"/>
              </w:rPr>
            </w:pPr>
            <w:r>
              <w:rPr>
                <w:color w:val="auto"/>
                <w:sz w:val="24"/>
              </w:rPr>
              <w:sym w:font="Wingdings 2" w:char="00A3"/>
            </w:r>
            <w:r>
              <w:rPr>
                <w:color w:val="auto"/>
                <w:sz w:val="24"/>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2178" w:type="dxa"/>
            <w:gridSpan w:val="2"/>
            <w:tcMar>
              <w:top w:w="16" w:type="dxa"/>
              <w:left w:w="16" w:type="dxa"/>
              <w:right w:w="16" w:type="dxa"/>
            </w:tcMar>
            <w:vAlign w:val="center"/>
          </w:tcPr>
          <w:p>
            <w:pPr>
              <w:adjustRightInd w:val="0"/>
              <w:snapToGrid w:val="0"/>
              <w:spacing w:line="500" w:lineRule="exact"/>
              <w:jc w:val="center"/>
              <w:rPr>
                <w:color w:val="auto"/>
                <w:sz w:val="24"/>
              </w:rPr>
            </w:pPr>
            <w:r>
              <w:rPr>
                <w:color w:val="auto"/>
                <w:sz w:val="24"/>
              </w:rPr>
              <w:t>项目审批（核准/</w:t>
            </w:r>
          </w:p>
          <w:p>
            <w:pPr>
              <w:adjustRightInd w:val="0"/>
              <w:snapToGrid w:val="0"/>
              <w:spacing w:line="500" w:lineRule="exact"/>
              <w:jc w:val="center"/>
              <w:rPr>
                <w:color w:val="auto"/>
                <w:sz w:val="24"/>
              </w:rPr>
            </w:pPr>
            <w:r>
              <w:rPr>
                <w:color w:val="auto"/>
                <w:sz w:val="24"/>
              </w:rPr>
              <w:t>备案）部门（选填）</w:t>
            </w:r>
          </w:p>
        </w:tc>
        <w:tc>
          <w:tcPr>
            <w:tcW w:w="2193" w:type="dxa"/>
            <w:gridSpan w:val="2"/>
            <w:vAlign w:val="center"/>
          </w:tcPr>
          <w:p>
            <w:pPr>
              <w:adjustRightInd w:val="0"/>
              <w:snapToGrid w:val="0"/>
              <w:spacing w:line="500" w:lineRule="exact"/>
              <w:jc w:val="center"/>
              <w:rPr>
                <w:color w:val="auto"/>
                <w:sz w:val="24"/>
              </w:rPr>
            </w:pPr>
            <w:r>
              <w:rPr>
                <w:rFonts w:hint="eastAsia"/>
                <w:color w:val="auto"/>
                <w:sz w:val="24"/>
              </w:rPr>
              <w:t>遵化市行政审批局</w:t>
            </w:r>
          </w:p>
        </w:tc>
        <w:tc>
          <w:tcPr>
            <w:tcW w:w="1849" w:type="dxa"/>
            <w:vAlign w:val="center"/>
          </w:tcPr>
          <w:p>
            <w:pPr>
              <w:adjustRightInd w:val="0"/>
              <w:snapToGrid w:val="0"/>
              <w:spacing w:line="500" w:lineRule="exact"/>
              <w:jc w:val="center"/>
              <w:rPr>
                <w:color w:val="auto"/>
                <w:sz w:val="24"/>
              </w:rPr>
            </w:pPr>
            <w:r>
              <w:rPr>
                <w:color w:val="auto"/>
                <w:sz w:val="24"/>
              </w:rPr>
              <w:t>项目审批</w:t>
            </w:r>
            <w:r>
              <w:rPr>
                <w:rFonts w:hint="eastAsia"/>
                <w:color w:val="auto"/>
                <w:sz w:val="24"/>
              </w:rPr>
              <w:t>(</w:t>
            </w:r>
            <w:r>
              <w:rPr>
                <w:color w:val="auto"/>
                <w:sz w:val="24"/>
              </w:rPr>
              <w:t>核准/</w:t>
            </w:r>
          </w:p>
          <w:p>
            <w:pPr>
              <w:adjustRightInd w:val="0"/>
              <w:snapToGrid w:val="0"/>
              <w:spacing w:line="500" w:lineRule="exact"/>
              <w:jc w:val="center"/>
              <w:rPr>
                <w:color w:val="auto"/>
                <w:sz w:val="24"/>
              </w:rPr>
            </w:pPr>
            <w:r>
              <w:rPr>
                <w:color w:val="auto"/>
                <w:sz w:val="24"/>
              </w:rPr>
              <w:t>备案</w:t>
            </w:r>
            <w:r>
              <w:rPr>
                <w:rFonts w:hint="eastAsia"/>
                <w:color w:val="auto"/>
                <w:sz w:val="24"/>
              </w:rPr>
              <w:t>)</w:t>
            </w:r>
            <w:r>
              <w:rPr>
                <w:color w:val="auto"/>
                <w:sz w:val="24"/>
              </w:rPr>
              <w:t>文号</w:t>
            </w:r>
            <w:r>
              <w:rPr>
                <w:rFonts w:hint="eastAsia"/>
                <w:color w:val="auto"/>
                <w:sz w:val="24"/>
              </w:rPr>
              <w:t>(</w:t>
            </w:r>
            <w:r>
              <w:rPr>
                <w:color w:val="auto"/>
                <w:sz w:val="24"/>
              </w:rPr>
              <w:t>选填</w:t>
            </w:r>
            <w:r>
              <w:rPr>
                <w:rFonts w:hint="eastAsia"/>
                <w:color w:val="auto"/>
                <w:sz w:val="24"/>
              </w:rPr>
              <w:t>)</w:t>
            </w:r>
          </w:p>
        </w:tc>
        <w:tc>
          <w:tcPr>
            <w:tcW w:w="2989" w:type="dxa"/>
            <w:vAlign w:val="center"/>
          </w:tcPr>
          <w:p>
            <w:pPr>
              <w:adjustRightInd w:val="0"/>
              <w:snapToGrid w:val="0"/>
              <w:spacing w:line="500" w:lineRule="exact"/>
              <w:jc w:val="center"/>
              <w:rPr>
                <w:color w:val="auto"/>
                <w:sz w:val="24"/>
              </w:rPr>
            </w:pPr>
            <w:r>
              <w:rPr>
                <w:rFonts w:hint="eastAsia"/>
                <w:color w:val="auto"/>
                <w:sz w:val="24"/>
              </w:rPr>
              <w:t>遵审投资备字[2024]30号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178" w:type="dxa"/>
            <w:gridSpan w:val="2"/>
            <w:tcMar>
              <w:top w:w="16" w:type="dxa"/>
              <w:left w:w="16" w:type="dxa"/>
              <w:right w:w="16" w:type="dxa"/>
            </w:tcMar>
            <w:vAlign w:val="center"/>
          </w:tcPr>
          <w:p>
            <w:pPr>
              <w:adjustRightInd w:val="0"/>
              <w:snapToGrid w:val="0"/>
              <w:spacing w:line="500" w:lineRule="exact"/>
              <w:jc w:val="center"/>
              <w:rPr>
                <w:color w:val="auto"/>
                <w:sz w:val="24"/>
              </w:rPr>
            </w:pPr>
            <w:r>
              <w:rPr>
                <w:color w:val="auto"/>
                <w:sz w:val="24"/>
              </w:rPr>
              <w:t>总投资（万元）</w:t>
            </w:r>
          </w:p>
        </w:tc>
        <w:tc>
          <w:tcPr>
            <w:tcW w:w="2193" w:type="dxa"/>
            <w:gridSpan w:val="2"/>
            <w:vAlign w:val="center"/>
          </w:tcPr>
          <w:p>
            <w:pPr>
              <w:adjustRightInd w:val="0"/>
              <w:snapToGrid w:val="0"/>
              <w:spacing w:line="500" w:lineRule="exact"/>
              <w:jc w:val="center"/>
              <w:rPr>
                <w:color w:val="auto"/>
                <w:sz w:val="24"/>
              </w:rPr>
            </w:pPr>
            <w:r>
              <w:rPr>
                <w:rFonts w:hint="eastAsia"/>
                <w:color w:val="auto"/>
                <w:sz w:val="24"/>
              </w:rPr>
              <w:t>4000</w:t>
            </w:r>
          </w:p>
        </w:tc>
        <w:tc>
          <w:tcPr>
            <w:tcW w:w="1849" w:type="dxa"/>
            <w:tcMar>
              <w:top w:w="16" w:type="dxa"/>
              <w:left w:w="16" w:type="dxa"/>
              <w:right w:w="16" w:type="dxa"/>
            </w:tcMar>
            <w:vAlign w:val="center"/>
          </w:tcPr>
          <w:p>
            <w:pPr>
              <w:adjustRightInd w:val="0"/>
              <w:snapToGrid w:val="0"/>
              <w:spacing w:line="500" w:lineRule="exact"/>
              <w:jc w:val="center"/>
              <w:rPr>
                <w:color w:val="auto"/>
                <w:sz w:val="24"/>
              </w:rPr>
            </w:pPr>
            <w:r>
              <w:rPr>
                <w:color w:val="auto"/>
                <w:sz w:val="24"/>
              </w:rPr>
              <w:t>环保投资</w:t>
            </w:r>
            <w:r>
              <w:rPr>
                <w:rFonts w:hint="eastAsia"/>
                <w:color w:val="auto"/>
                <w:sz w:val="24"/>
              </w:rPr>
              <w:t>(</w:t>
            </w:r>
            <w:r>
              <w:rPr>
                <w:color w:val="auto"/>
                <w:sz w:val="24"/>
              </w:rPr>
              <w:t>万元</w:t>
            </w:r>
            <w:r>
              <w:rPr>
                <w:rFonts w:hint="eastAsia"/>
                <w:color w:val="auto"/>
                <w:sz w:val="24"/>
              </w:rPr>
              <w:t>)</w:t>
            </w:r>
          </w:p>
        </w:tc>
        <w:tc>
          <w:tcPr>
            <w:tcW w:w="2989" w:type="dxa"/>
            <w:vAlign w:val="center"/>
          </w:tcPr>
          <w:p>
            <w:pPr>
              <w:adjustRightInd w:val="0"/>
              <w:snapToGrid w:val="0"/>
              <w:spacing w:line="500" w:lineRule="exact"/>
              <w:jc w:val="center"/>
              <w:rPr>
                <w:color w:val="auto"/>
                <w:sz w:val="24"/>
              </w:rPr>
            </w:pPr>
            <w:r>
              <w:rPr>
                <w:rFonts w:hint="eastAsia"/>
                <w:color w:val="auto"/>
                <w:sz w:val="24"/>
              </w:rPr>
              <w:t>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6" w:hRule="atLeast"/>
          <w:jc w:val="center"/>
        </w:trPr>
        <w:tc>
          <w:tcPr>
            <w:tcW w:w="2524" w:type="dxa"/>
            <w:gridSpan w:val="3"/>
            <w:tcMar>
              <w:top w:w="16" w:type="dxa"/>
              <w:left w:w="16" w:type="dxa"/>
              <w:right w:w="16" w:type="dxa"/>
            </w:tcMar>
            <w:vAlign w:val="center"/>
          </w:tcPr>
          <w:p>
            <w:pPr>
              <w:adjustRightInd w:val="0"/>
              <w:snapToGrid w:val="0"/>
              <w:spacing w:line="500" w:lineRule="exact"/>
              <w:jc w:val="center"/>
              <w:rPr>
                <w:color w:val="auto"/>
                <w:sz w:val="24"/>
              </w:rPr>
            </w:pPr>
            <w:r>
              <w:rPr>
                <w:color w:val="auto"/>
                <w:sz w:val="24"/>
              </w:rPr>
              <w:t>环保投资占比（%）</w:t>
            </w:r>
          </w:p>
        </w:tc>
        <w:tc>
          <w:tcPr>
            <w:tcW w:w="1847" w:type="dxa"/>
            <w:vAlign w:val="center"/>
          </w:tcPr>
          <w:p>
            <w:pPr>
              <w:adjustRightInd w:val="0"/>
              <w:snapToGrid w:val="0"/>
              <w:spacing w:line="500" w:lineRule="exact"/>
              <w:jc w:val="center"/>
              <w:rPr>
                <w:color w:val="auto"/>
                <w:sz w:val="24"/>
              </w:rPr>
            </w:pPr>
            <w:r>
              <w:rPr>
                <w:rFonts w:hint="eastAsia"/>
                <w:color w:val="auto"/>
                <w:sz w:val="24"/>
              </w:rPr>
              <w:t>1.25</w:t>
            </w:r>
          </w:p>
        </w:tc>
        <w:tc>
          <w:tcPr>
            <w:tcW w:w="1849" w:type="dxa"/>
            <w:tcMar>
              <w:top w:w="16" w:type="dxa"/>
              <w:left w:w="16" w:type="dxa"/>
              <w:right w:w="16" w:type="dxa"/>
            </w:tcMar>
            <w:vAlign w:val="center"/>
          </w:tcPr>
          <w:p>
            <w:pPr>
              <w:adjustRightInd w:val="0"/>
              <w:snapToGrid w:val="0"/>
              <w:spacing w:line="500" w:lineRule="exact"/>
              <w:jc w:val="center"/>
              <w:rPr>
                <w:color w:val="auto"/>
                <w:sz w:val="24"/>
              </w:rPr>
            </w:pPr>
            <w:r>
              <w:rPr>
                <w:color w:val="auto"/>
                <w:sz w:val="24"/>
              </w:rPr>
              <w:t>施工工期</w:t>
            </w:r>
          </w:p>
        </w:tc>
        <w:tc>
          <w:tcPr>
            <w:tcW w:w="2989" w:type="dxa"/>
            <w:vAlign w:val="center"/>
          </w:tcPr>
          <w:p>
            <w:pPr>
              <w:adjustRightInd w:val="0"/>
              <w:snapToGrid w:val="0"/>
              <w:spacing w:line="500" w:lineRule="exact"/>
              <w:jc w:val="center"/>
              <w:rPr>
                <w:color w:val="auto"/>
                <w:sz w:val="24"/>
              </w:rPr>
            </w:pPr>
            <w:r>
              <w:rPr>
                <w:rFonts w:hint="eastAsia"/>
                <w:color w:val="auto"/>
                <w:sz w:val="24"/>
              </w:rPr>
              <w:t>4</w:t>
            </w:r>
            <w:r>
              <w:rPr>
                <w:color w:val="auto"/>
                <w:sz w:val="24"/>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178" w:type="dxa"/>
            <w:gridSpan w:val="2"/>
            <w:tcMar>
              <w:top w:w="16" w:type="dxa"/>
              <w:left w:w="16" w:type="dxa"/>
              <w:right w:w="16" w:type="dxa"/>
            </w:tcMar>
            <w:vAlign w:val="center"/>
          </w:tcPr>
          <w:p>
            <w:pPr>
              <w:adjustRightInd w:val="0"/>
              <w:snapToGrid w:val="0"/>
              <w:spacing w:line="500" w:lineRule="exact"/>
              <w:jc w:val="center"/>
              <w:rPr>
                <w:color w:val="auto"/>
                <w:sz w:val="24"/>
              </w:rPr>
            </w:pPr>
            <w:r>
              <w:rPr>
                <w:color w:val="auto"/>
                <w:sz w:val="24"/>
              </w:rPr>
              <w:t>是否开工建设</w:t>
            </w:r>
          </w:p>
        </w:tc>
        <w:tc>
          <w:tcPr>
            <w:tcW w:w="2193" w:type="dxa"/>
            <w:gridSpan w:val="2"/>
            <w:vAlign w:val="center"/>
          </w:tcPr>
          <w:p>
            <w:pPr>
              <w:adjustRightInd w:val="0"/>
              <w:snapToGrid w:val="0"/>
              <w:spacing w:line="500" w:lineRule="exact"/>
              <w:rPr>
                <w:color w:val="auto"/>
                <w:sz w:val="24"/>
              </w:rPr>
            </w:pPr>
            <w:r>
              <w:rPr>
                <w:color w:val="auto"/>
                <w:sz w:val="24"/>
              </w:rPr>
              <w:sym w:font="Wingdings 2" w:char="0052"/>
            </w:r>
            <w:r>
              <w:rPr>
                <w:color w:val="auto"/>
                <w:sz w:val="24"/>
              </w:rPr>
              <w:t>否</w:t>
            </w:r>
          </w:p>
          <w:p>
            <w:pPr>
              <w:adjustRightInd w:val="0"/>
              <w:snapToGrid w:val="0"/>
              <w:spacing w:line="500" w:lineRule="exact"/>
              <w:rPr>
                <w:color w:val="auto"/>
                <w:sz w:val="24"/>
              </w:rPr>
            </w:pPr>
            <w:r>
              <w:rPr>
                <w:color w:val="auto"/>
                <w:sz w:val="24"/>
              </w:rPr>
              <w:sym w:font="Wingdings 2" w:char="00A3"/>
            </w:r>
            <w:r>
              <w:rPr>
                <w:color w:val="auto"/>
                <w:sz w:val="24"/>
              </w:rPr>
              <w:t>是：</w:t>
            </w:r>
            <w:r>
              <w:rPr>
                <w:color w:val="auto"/>
                <w:sz w:val="24"/>
                <w:u w:val="single"/>
              </w:rPr>
              <w:t xml:space="preserve">   </w:t>
            </w:r>
          </w:p>
        </w:tc>
        <w:tc>
          <w:tcPr>
            <w:tcW w:w="1849" w:type="dxa"/>
            <w:tcMar>
              <w:top w:w="16" w:type="dxa"/>
              <w:left w:w="16" w:type="dxa"/>
              <w:right w:w="16" w:type="dxa"/>
            </w:tcMar>
            <w:vAlign w:val="center"/>
          </w:tcPr>
          <w:p>
            <w:pPr>
              <w:adjustRightInd w:val="0"/>
              <w:snapToGrid w:val="0"/>
              <w:spacing w:line="500" w:lineRule="exact"/>
              <w:jc w:val="center"/>
              <w:rPr>
                <w:color w:val="auto"/>
                <w:spacing w:val="-6"/>
                <w:sz w:val="24"/>
              </w:rPr>
            </w:pPr>
            <w:r>
              <w:rPr>
                <w:color w:val="auto"/>
                <w:spacing w:val="-6"/>
                <w:sz w:val="24"/>
              </w:rPr>
              <w:t>用地（用海）</w:t>
            </w:r>
          </w:p>
          <w:p>
            <w:pPr>
              <w:adjustRightInd w:val="0"/>
              <w:snapToGrid w:val="0"/>
              <w:spacing w:line="500" w:lineRule="exact"/>
              <w:jc w:val="center"/>
              <w:rPr>
                <w:color w:val="auto"/>
                <w:sz w:val="24"/>
              </w:rPr>
            </w:pPr>
            <w:r>
              <w:rPr>
                <w:color w:val="auto"/>
                <w:spacing w:val="-6"/>
                <w:sz w:val="24"/>
              </w:rPr>
              <w:t>面积（m</w:t>
            </w:r>
            <w:r>
              <w:rPr>
                <w:color w:val="auto"/>
                <w:spacing w:val="-6"/>
                <w:sz w:val="24"/>
                <w:vertAlign w:val="superscript"/>
              </w:rPr>
              <w:t>2</w:t>
            </w:r>
            <w:r>
              <w:rPr>
                <w:color w:val="auto"/>
                <w:spacing w:val="-6"/>
                <w:sz w:val="24"/>
              </w:rPr>
              <w:t>）</w:t>
            </w:r>
          </w:p>
        </w:tc>
        <w:tc>
          <w:tcPr>
            <w:tcW w:w="2989" w:type="dxa"/>
            <w:vAlign w:val="center"/>
          </w:tcPr>
          <w:p>
            <w:pPr>
              <w:adjustRightInd w:val="0"/>
              <w:snapToGrid w:val="0"/>
              <w:spacing w:line="500" w:lineRule="exact"/>
              <w:jc w:val="center"/>
              <w:rPr>
                <w:color w:val="auto"/>
                <w:sz w:val="24"/>
              </w:rPr>
            </w:pPr>
            <w:r>
              <w:rPr>
                <w:rFonts w:hint="eastAsia"/>
                <w:color w:val="auto"/>
                <w:sz w:val="24"/>
              </w:rPr>
              <w:t>2000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54" w:type="dxa"/>
            <w:vAlign w:val="center"/>
          </w:tcPr>
          <w:p>
            <w:pPr>
              <w:adjustRightInd w:val="0"/>
              <w:snapToGrid w:val="0"/>
              <w:spacing w:line="500" w:lineRule="exact"/>
              <w:jc w:val="center"/>
              <w:rPr>
                <w:color w:val="auto"/>
                <w:kern w:val="0"/>
                <w:sz w:val="24"/>
              </w:rPr>
            </w:pPr>
            <w:r>
              <w:rPr>
                <w:color w:val="auto"/>
                <w:kern w:val="0"/>
                <w:sz w:val="24"/>
              </w:rPr>
              <w:t>专项评价设置情况</w:t>
            </w:r>
          </w:p>
        </w:tc>
        <w:tc>
          <w:tcPr>
            <w:tcW w:w="8155" w:type="dxa"/>
            <w:gridSpan w:val="5"/>
            <w:vAlign w:val="center"/>
          </w:tcPr>
          <w:p>
            <w:pPr>
              <w:adjustRightInd w:val="0"/>
              <w:snapToGrid w:val="0"/>
              <w:spacing w:line="500" w:lineRule="exact"/>
              <w:ind w:firstLine="480" w:firstLineChars="200"/>
              <w:rPr>
                <w:color w:val="auto"/>
                <w:sz w:val="24"/>
              </w:rPr>
            </w:pPr>
            <w:r>
              <w:rPr>
                <w:rFonts w:hint="eastAsia"/>
                <w:color w:val="auto"/>
                <w:sz w:val="24"/>
              </w:rPr>
              <w:t>根据《建设项目环境影响报告表编制技术指南（污染影响类）（试行）》，结合本项目周边环境特征和污染物排放情况可知，本项目排放废气中不含有镉、铅、砷、汞等重金属，不含有二噁英等有毒有害污染物，故项目不需设置大气专项评价；</w:t>
            </w:r>
          </w:p>
          <w:p>
            <w:pPr>
              <w:adjustRightInd w:val="0"/>
              <w:snapToGrid w:val="0"/>
              <w:spacing w:line="500" w:lineRule="exact"/>
              <w:ind w:firstLine="480" w:firstLineChars="200"/>
              <w:rPr>
                <w:color w:val="auto"/>
                <w:sz w:val="24"/>
              </w:rPr>
            </w:pPr>
            <w:r>
              <w:rPr>
                <w:rFonts w:hint="eastAsia"/>
                <w:color w:val="auto"/>
                <w:sz w:val="24"/>
              </w:rPr>
              <w:t>本项目冷却水经冷却后循环利用不外排，</w:t>
            </w:r>
            <w:r>
              <w:rPr>
                <w:color w:val="auto"/>
                <w:sz w:val="24"/>
              </w:rPr>
              <w:t>职工</w:t>
            </w:r>
            <w:r>
              <w:rPr>
                <w:rFonts w:hint="eastAsia"/>
                <w:color w:val="auto"/>
                <w:sz w:val="24"/>
              </w:rPr>
              <w:t>盥洗废水就地泼洒抑尘不外排，项目无废水直接排放至外环境，不属于新增工业废水直排建设项目，也不属于新增废水直排的污水集中处理厂项目，因此，无需设地表水专项评价；</w:t>
            </w:r>
          </w:p>
          <w:p>
            <w:pPr>
              <w:adjustRightInd w:val="0"/>
              <w:snapToGrid w:val="0"/>
              <w:spacing w:line="500" w:lineRule="exact"/>
              <w:ind w:firstLine="480" w:firstLineChars="200"/>
              <w:rPr>
                <w:color w:val="auto"/>
                <w:sz w:val="24"/>
              </w:rPr>
            </w:pPr>
            <w:r>
              <w:rPr>
                <w:color w:val="auto"/>
                <w:sz w:val="24"/>
              </w:rPr>
              <w:t>本项目</w:t>
            </w:r>
            <w:r>
              <w:rPr>
                <w:rFonts w:hint="eastAsia"/>
                <w:color w:val="auto"/>
                <w:sz w:val="24"/>
              </w:rPr>
              <w:t>主要风险物质为润滑油、废润滑油，项目润滑油储存量为0.3t、废润滑油储存量为0.1t、废油桶储存量为0.06t；润滑油临界量为2500t，废润滑油、废油桶临界量为100t，经计算，项目风险Q值为0.003064，因此，无需设环境风险专项评价；</w:t>
            </w:r>
          </w:p>
          <w:p>
            <w:pPr>
              <w:adjustRightInd w:val="0"/>
              <w:snapToGrid w:val="0"/>
              <w:spacing w:line="500" w:lineRule="exact"/>
              <w:ind w:firstLine="480" w:firstLineChars="200"/>
              <w:rPr>
                <w:color w:val="auto"/>
                <w:sz w:val="24"/>
              </w:rPr>
            </w:pPr>
            <w:r>
              <w:rPr>
                <w:rFonts w:hint="eastAsia"/>
                <w:color w:val="auto"/>
                <w:sz w:val="24"/>
              </w:rPr>
              <w:t>本项目不属于“取水口下游</w:t>
            </w:r>
            <w:r>
              <w:rPr>
                <w:color w:val="auto"/>
                <w:sz w:val="24"/>
              </w:rPr>
              <w:t>500</w:t>
            </w:r>
            <w:r>
              <w:rPr>
                <w:rFonts w:hint="eastAsia"/>
                <w:color w:val="auto"/>
                <w:sz w:val="24"/>
              </w:rPr>
              <w:t>米范围内有重要水生生物的自然产卵场、索饵场、越冬场和洄游通道的新增河道取水的污染类建设项目”，因此，无需设生态专项评价；</w:t>
            </w:r>
          </w:p>
          <w:p>
            <w:pPr>
              <w:adjustRightInd w:val="0"/>
              <w:snapToGrid w:val="0"/>
              <w:spacing w:line="500" w:lineRule="exact"/>
              <w:ind w:firstLine="480" w:firstLineChars="200"/>
              <w:rPr>
                <w:color w:val="auto"/>
                <w:sz w:val="24"/>
              </w:rPr>
            </w:pPr>
            <w:r>
              <w:rPr>
                <w:rFonts w:hint="eastAsia"/>
                <w:color w:val="auto"/>
                <w:sz w:val="24"/>
              </w:rPr>
              <w:t>项目不属于“直接向海排放污染物的海洋工程建设项目”，因此，无需设海洋专项评价；</w:t>
            </w:r>
          </w:p>
          <w:p>
            <w:pPr>
              <w:adjustRightInd w:val="0"/>
              <w:snapToGrid w:val="0"/>
              <w:spacing w:line="500" w:lineRule="exact"/>
              <w:ind w:firstLine="480" w:firstLineChars="200"/>
              <w:rPr>
                <w:color w:val="auto"/>
                <w:kern w:val="0"/>
                <w:sz w:val="24"/>
              </w:rPr>
            </w:pPr>
            <w:r>
              <w:rPr>
                <w:rFonts w:hint="eastAsia"/>
                <w:color w:val="auto"/>
                <w:sz w:val="24"/>
              </w:rPr>
              <w:t>项目周边不涉及集中式饮用水水源和热水、矿泉水、温泉等特殊地下水资源保护区，无需设置地下水专项评价。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54" w:type="dxa"/>
            <w:vAlign w:val="center"/>
          </w:tcPr>
          <w:p>
            <w:pPr>
              <w:autoSpaceDE w:val="0"/>
              <w:autoSpaceDN w:val="0"/>
              <w:adjustRightInd w:val="0"/>
              <w:snapToGrid w:val="0"/>
              <w:spacing w:line="480" w:lineRule="exact"/>
              <w:jc w:val="center"/>
              <w:rPr>
                <w:color w:val="auto"/>
                <w:kern w:val="0"/>
                <w:sz w:val="24"/>
              </w:rPr>
            </w:pPr>
            <w:r>
              <w:rPr>
                <w:color w:val="auto"/>
                <w:kern w:val="0"/>
                <w:sz w:val="24"/>
              </w:rPr>
              <w:t>规划情况</w:t>
            </w:r>
          </w:p>
        </w:tc>
        <w:tc>
          <w:tcPr>
            <w:tcW w:w="8155" w:type="dxa"/>
            <w:gridSpan w:val="5"/>
            <w:vAlign w:val="center"/>
          </w:tcPr>
          <w:p>
            <w:pPr>
              <w:autoSpaceDE w:val="0"/>
              <w:autoSpaceDN w:val="0"/>
              <w:spacing w:line="480" w:lineRule="exact"/>
              <w:ind w:firstLine="480" w:firstLineChars="200"/>
              <w:rPr>
                <w:color w:val="auto"/>
                <w:kern w:val="0"/>
                <w:sz w:val="24"/>
              </w:rPr>
            </w:pPr>
            <w:r>
              <w:rPr>
                <w:rFonts w:hint="eastAsia"/>
                <w:color w:val="auto"/>
                <w:kern w:val="0"/>
                <w:sz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4" w:type="dxa"/>
            <w:vAlign w:val="center"/>
          </w:tcPr>
          <w:p>
            <w:pPr>
              <w:autoSpaceDE w:val="0"/>
              <w:autoSpaceDN w:val="0"/>
              <w:adjustRightInd w:val="0"/>
              <w:snapToGrid w:val="0"/>
              <w:spacing w:line="480" w:lineRule="exact"/>
              <w:jc w:val="center"/>
              <w:rPr>
                <w:color w:val="auto"/>
                <w:sz w:val="24"/>
              </w:rPr>
            </w:pPr>
            <w:r>
              <w:rPr>
                <w:color w:val="auto"/>
                <w:sz w:val="24"/>
              </w:rPr>
              <w:t>规划环境影响</w:t>
            </w:r>
          </w:p>
          <w:p>
            <w:pPr>
              <w:autoSpaceDE w:val="0"/>
              <w:autoSpaceDN w:val="0"/>
              <w:adjustRightInd w:val="0"/>
              <w:snapToGrid w:val="0"/>
              <w:spacing w:line="480" w:lineRule="exact"/>
              <w:jc w:val="center"/>
              <w:rPr>
                <w:color w:val="auto"/>
                <w:sz w:val="24"/>
              </w:rPr>
            </w:pPr>
            <w:r>
              <w:rPr>
                <w:color w:val="auto"/>
                <w:sz w:val="24"/>
              </w:rPr>
              <w:t>评价情况</w:t>
            </w:r>
          </w:p>
        </w:tc>
        <w:tc>
          <w:tcPr>
            <w:tcW w:w="8155" w:type="dxa"/>
            <w:gridSpan w:val="5"/>
            <w:vAlign w:val="center"/>
          </w:tcPr>
          <w:p>
            <w:pPr>
              <w:autoSpaceDE w:val="0"/>
              <w:autoSpaceDN w:val="0"/>
              <w:spacing w:line="480" w:lineRule="exact"/>
              <w:ind w:firstLine="480" w:firstLineChars="200"/>
              <w:rPr>
                <w:color w:val="auto"/>
                <w:kern w:val="0"/>
                <w:sz w:val="24"/>
              </w:rPr>
            </w:pPr>
            <w:r>
              <w:rPr>
                <w:rFonts w:hint="eastAsia"/>
                <w:color w:val="auto"/>
                <w:kern w:val="0"/>
                <w:sz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54" w:type="dxa"/>
            <w:vAlign w:val="center"/>
          </w:tcPr>
          <w:p>
            <w:pPr>
              <w:autoSpaceDE w:val="0"/>
              <w:autoSpaceDN w:val="0"/>
              <w:adjustRightInd w:val="0"/>
              <w:snapToGrid w:val="0"/>
              <w:spacing w:line="480" w:lineRule="exact"/>
              <w:jc w:val="center"/>
              <w:rPr>
                <w:color w:val="auto"/>
                <w:sz w:val="24"/>
              </w:rPr>
            </w:pPr>
            <w:r>
              <w:rPr>
                <w:color w:val="auto"/>
                <w:sz w:val="24"/>
              </w:rPr>
              <w:t>规划及规划环境影响评价符合性分析</w:t>
            </w:r>
          </w:p>
        </w:tc>
        <w:tc>
          <w:tcPr>
            <w:tcW w:w="8155" w:type="dxa"/>
            <w:gridSpan w:val="5"/>
            <w:vAlign w:val="center"/>
          </w:tcPr>
          <w:p>
            <w:pPr>
              <w:widowControl/>
              <w:spacing w:line="480" w:lineRule="exact"/>
              <w:ind w:firstLine="480" w:firstLineChars="200"/>
              <w:jc w:val="left"/>
              <w:rPr>
                <w:color w:val="auto"/>
                <w:sz w:val="24"/>
              </w:rPr>
            </w:pPr>
            <w:r>
              <w:rPr>
                <w:rFonts w:hint="eastAsia"/>
                <w:color w:val="auto"/>
                <w:sz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62" w:hRule="atLeast"/>
          <w:jc w:val="center"/>
        </w:trPr>
        <w:tc>
          <w:tcPr>
            <w:tcW w:w="1054" w:type="dxa"/>
            <w:vAlign w:val="center"/>
          </w:tcPr>
          <w:p>
            <w:pPr>
              <w:autoSpaceDE w:val="0"/>
              <w:autoSpaceDN w:val="0"/>
              <w:adjustRightInd w:val="0"/>
              <w:snapToGrid w:val="0"/>
              <w:jc w:val="center"/>
              <w:rPr>
                <w:color w:val="auto"/>
                <w:sz w:val="24"/>
              </w:rPr>
            </w:pPr>
            <w:r>
              <w:rPr>
                <w:color w:val="auto"/>
                <w:kern w:val="0"/>
                <w:sz w:val="24"/>
              </w:rPr>
              <w:t>其他符合性分析</w:t>
            </w:r>
          </w:p>
        </w:tc>
        <w:tc>
          <w:tcPr>
            <w:tcW w:w="8155" w:type="dxa"/>
            <w:gridSpan w:val="5"/>
            <w:vAlign w:val="center"/>
          </w:tcPr>
          <w:p>
            <w:pPr>
              <w:autoSpaceDE w:val="0"/>
              <w:autoSpaceDN w:val="0"/>
              <w:adjustRightInd w:val="0"/>
              <w:snapToGrid w:val="0"/>
              <w:spacing w:line="500" w:lineRule="exact"/>
              <w:ind w:firstLine="482" w:firstLineChars="200"/>
              <w:jc w:val="left"/>
              <w:rPr>
                <w:b/>
                <w:bCs/>
                <w:color w:val="auto"/>
                <w:kern w:val="0"/>
                <w:sz w:val="24"/>
              </w:rPr>
            </w:pPr>
            <w:r>
              <w:rPr>
                <w:rFonts w:hint="eastAsia"/>
                <w:b/>
                <w:bCs/>
                <w:color w:val="auto"/>
                <w:kern w:val="0"/>
                <w:sz w:val="24"/>
              </w:rPr>
              <w:t>1</w:t>
            </w:r>
            <w:r>
              <w:rPr>
                <w:b/>
                <w:bCs/>
                <w:color w:val="auto"/>
                <w:kern w:val="0"/>
                <w:sz w:val="24"/>
              </w:rPr>
              <w:t>、“三线一单”符合性分析</w:t>
            </w:r>
          </w:p>
          <w:p>
            <w:pPr>
              <w:spacing w:line="480" w:lineRule="exact"/>
              <w:ind w:firstLine="480" w:firstLineChars="200"/>
              <w:rPr>
                <w:color w:val="auto"/>
                <w:sz w:val="24"/>
              </w:rPr>
            </w:pPr>
            <w:r>
              <w:rPr>
                <w:color w:val="auto"/>
                <w:sz w:val="24"/>
              </w:rPr>
              <w:t>根据《关于以改善环境质量为核心加强环境影响评价管理的通知》（环环评【2016】150号），要求以生态保护红线、环境质量底线、资源利用上线和环境准入负面清单（以下简称“三线一单”）为手段，强化空间、总量和准入环境管理。</w:t>
            </w:r>
          </w:p>
          <w:p>
            <w:pPr>
              <w:spacing w:line="480" w:lineRule="exact"/>
              <w:ind w:firstLine="480" w:firstLineChars="200"/>
              <w:rPr>
                <w:color w:val="auto"/>
                <w:sz w:val="24"/>
              </w:rPr>
            </w:pPr>
            <w:r>
              <w:rPr>
                <w:color w:val="auto"/>
                <w:sz w:val="24"/>
              </w:rPr>
              <w:t>为适应以改善环境质量为核心的环境管理要求，切实加强环境影响评价（以下简称环评）管理，落实“三线一单”约束，建立项目环评审批与规划环评、现有项目环境管理、区域环境质量联动机制（以下简称“三挂钩”机制），更好地发挥环评制度从源头防范环境污染和生态破坏的作用，加快推进改善环境质量，现就有关事项通知如下：</w:t>
            </w:r>
          </w:p>
          <w:p>
            <w:pPr>
              <w:spacing w:line="480" w:lineRule="exact"/>
              <w:ind w:firstLine="482" w:firstLineChars="200"/>
              <w:rPr>
                <w:b/>
                <w:bCs/>
                <w:color w:val="auto"/>
                <w:sz w:val="24"/>
              </w:rPr>
            </w:pPr>
            <w:r>
              <w:rPr>
                <w:b/>
                <w:bCs/>
                <w:color w:val="auto"/>
                <w:sz w:val="24"/>
              </w:rPr>
              <w:t>⑴生态保护红线</w:t>
            </w:r>
          </w:p>
          <w:p>
            <w:pPr>
              <w:pStyle w:val="74"/>
              <w:tabs>
                <w:tab w:val="left" w:pos="1315"/>
              </w:tabs>
              <w:adjustRightInd w:val="0"/>
              <w:snapToGrid w:val="0"/>
              <w:spacing w:line="480" w:lineRule="exact"/>
              <w:ind w:firstLine="480"/>
              <w:rPr>
                <w:color w:val="auto"/>
                <w:sz w:val="24"/>
              </w:rPr>
            </w:pPr>
            <w:r>
              <w:rPr>
                <w:color w:val="auto"/>
                <w:sz w:val="24"/>
              </w:rPr>
              <w:t>根据《遵化市生态保护红线》遵化市生态保护红线面积341.38km</w:t>
            </w:r>
            <w:r>
              <w:rPr>
                <w:color w:val="auto"/>
                <w:sz w:val="24"/>
                <w:vertAlign w:val="superscript"/>
              </w:rPr>
              <w:t>2</w:t>
            </w:r>
            <w:r>
              <w:rPr>
                <w:color w:val="auto"/>
                <w:sz w:val="24"/>
              </w:rPr>
              <w:t>，占遵化市国土面积的22.55%，包括4个红线区：遵化市清东陵水源涵养土壤保持功能红线区、遵化市卧龙山水源涵养土壤保持功能红线区、遵化市鹫峰山水源涵养土壤保持功能红线区以及黎河河道生态保护红线。本项目位于</w:t>
            </w:r>
            <w:r>
              <w:rPr>
                <w:rFonts w:hint="eastAsia"/>
                <w:snapToGrid w:val="0"/>
                <w:color w:val="auto"/>
                <w:kern w:val="0"/>
                <w:sz w:val="24"/>
                <w:szCs w:val="22"/>
              </w:rPr>
              <w:t>河北省唐山市遵化市遵化镇团练屯村</w:t>
            </w:r>
            <w:r>
              <w:rPr>
                <w:color w:val="auto"/>
                <w:sz w:val="24"/>
              </w:rPr>
              <w:t>，不在上述管控区范围内，即位于《遵化市生态保护红线》确定的生态红线范围之外，距最近的生态保护红线距离为</w:t>
            </w:r>
            <w:r>
              <w:rPr>
                <w:rFonts w:hint="eastAsia"/>
                <w:color w:val="auto"/>
                <w:sz w:val="24"/>
              </w:rPr>
              <w:t>600</w:t>
            </w:r>
            <w:r>
              <w:rPr>
                <w:color w:val="auto"/>
                <w:sz w:val="24"/>
              </w:rPr>
              <w:t>m，因此项目建设符合生态红线要求。</w:t>
            </w:r>
          </w:p>
          <w:p>
            <w:pPr>
              <w:spacing w:line="480" w:lineRule="exact"/>
              <w:ind w:firstLine="482" w:firstLineChars="200"/>
              <w:rPr>
                <w:b/>
                <w:bCs/>
                <w:color w:val="auto"/>
                <w:sz w:val="24"/>
              </w:rPr>
            </w:pPr>
            <w:r>
              <w:rPr>
                <w:b/>
                <w:bCs/>
                <w:color w:val="auto"/>
                <w:sz w:val="24"/>
              </w:rPr>
              <w:t>⑵环境质量底线</w:t>
            </w:r>
          </w:p>
          <w:p>
            <w:pPr>
              <w:spacing w:line="480" w:lineRule="exact"/>
              <w:ind w:firstLine="480" w:firstLineChars="200"/>
              <w:rPr>
                <w:color w:val="auto"/>
                <w:sz w:val="24"/>
              </w:rPr>
            </w:pPr>
            <w:r>
              <w:rPr>
                <w:color w:val="auto"/>
                <w:sz w:val="24"/>
              </w:rPr>
              <w:t>区域地下水环境质量目标为《地下水质量标准》（GB/T14848-2017）中Ⅲ类标准；区域大气环境质量目标为《环境空气质量标准》（GB3095-2012）中的二级标准；区域声环境质量目标为《声环境质量标准》（GB3096-2008）</w:t>
            </w:r>
            <w:r>
              <w:rPr>
                <w:rFonts w:hint="eastAsia"/>
                <w:color w:val="auto"/>
                <w:sz w:val="24"/>
              </w:rPr>
              <w:t>2</w:t>
            </w:r>
            <w:r>
              <w:rPr>
                <w:color w:val="auto"/>
                <w:sz w:val="24"/>
              </w:rPr>
              <w:t>类区标准。</w:t>
            </w:r>
          </w:p>
          <w:p>
            <w:pPr>
              <w:pStyle w:val="76"/>
              <w:spacing w:line="480" w:lineRule="exact"/>
              <w:ind w:firstLine="504" w:firstLineChars="200"/>
              <w:rPr>
                <w:color w:val="auto"/>
                <w:sz w:val="24"/>
              </w:rPr>
            </w:pPr>
            <w:r>
              <w:rPr>
                <w:color w:val="auto"/>
                <w:spacing w:val="6"/>
                <w:sz w:val="24"/>
              </w:rPr>
              <w:t>根据唐山市生态环境局网站公布的《</w:t>
            </w:r>
            <w:r>
              <w:rPr>
                <w:color w:val="auto"/>
                <w:kern w:val="21"/>
                <w:sz w:val="24"/>
              </w:rPr>
              <w:t>202</w:t>
            </w:r>
            <w:r>
              <w:rPr>
                <w:rFonts w:hint="eastAsia"/>
                <w:color w:val="auto"/>
                <w:kern w:val="21"/>
                <w:sz w:val="24"/>
              </w:rPr>
              <w:t>2</w:t>
            </w:r>
            <w:r>
              <w:rPr>
                <w:color w:val="auto"/>
                <w:kern w:val="21"/>
                <w:sz w:val="24"/>
              </w:rPr>
              <w:t>年唐山市生态环境状况公报</w:t>
            </w:r>
            <w:r>
              <w:rPr>
                <w:color w:val="auto"/>
                <w:spacing w:val="6"/>
                <w:sz w:val="24"/>
              </w:rPr>
              <w:t>》</w:t>
            </w:r>
            <w:r>
              <w:rPr>
                <w:rFonts w:hint="eastAsia"/>
                <w:color w:val="auto"/>
                <w:spacing w:val="6"/>
                <w:sz w:val="24"/>
              </w:rPr>
              <w:t>可知，</w:t>
            </w:r>
            <w:r>
              <w:rPr>
                <w:color w:val="auto"/>
                <w:sz w:val="24"/>
              </w:rPr>
              <w:t>本项目所在区域为非达标区，超标因子为O</w:t>
            </w:r>
            <w:r>
              <w:rPr>
                <w:color w:val="auto"/>
                <w:sz w:val="24"/>
                <w:vertAlign w:val="subscript"/>
              </w:rPr>
              <w:t>3</w:t>
            </w:r>
            <w:r>
              <w:rPr>
                <w:color w:val="auto"/>
                <w:sz w:val="24"/>
              </w:rPr>
              <w:t>、PM</w:t>
            </w:r>
            <w:r>
              <w:rPr>
                <w:color w:val="auto"/>
                <w:sz w:val="24"/>
                <w:vertAlign w:val="subscript"/>
              </w:rPr>
              <w:t>2.5</w:t>
            </w:r>
            <w:r>
              <w:rPr>
                <w:color w:val="auto"/>
                <w:sz w:val="24"/>
              </w:rPr>
              <w:t>，本项目建设完成后，通过</w:t>
            </w:r>
            <w:r>
              <w:rPr>
                <w:rFonts w:hint="eastAsia"/>
                <w:color w:val="auto"/>
                <w:sz w:val="24"/>
              </w:rPr>
              <w:t>以新带老削减等措施</w:t>
            </w:r>
            <w:r>
              <w:rPr>
                <w:color w:val="auto"/>
                <w:sz w:val="24"/>
              </w:rPr>
              <w:t>，</w:t>
            </w:r>
            <w:r>
              <w:rPr>
                <w:rFonts w:hint="eastAsia"/>
                <w:color w:val="auto"/>
                <w:sz w:val="24"/>
              </w:rPr>
              <w:t>废气污染物排放量降低，对周围大气环境影响较小；本项目冷却水经冷却后循环利用不外排，</w:t>
            </w:r>
            <w:r>
              <w:rPr>
                <w:color w:val="auto"/>
                <w:sz w:val="24"/>
              </w:rPr>
              <w:t>职工</w:t>
            </w:r>
            <w:r>
              <w:rPr>
                <w:rFonts w:hint="eastAsia"/>
                <w:color w:val="auto"/>
                <w:sz w:val="24"/>
              </w:rPr>
              <w:t>盥洗废水就地泼洒抑尘不外排，不会对地表水环境产生影响，厂区采取合理的防渗措施，不会对地下水环境造成影响；噪声达标排放，项目建设完成后，不会改变区域声环境质量；项目固体废物均妥善处置；</w:t>
            </w:r>
            <w:r>
              <w:rPr>
                <w:color w:val="auto"/>
                <w:sz w:val="24"/>
              </w:rPr>
              <w:t>项目实施后区域环境质量得到整体改善，可改善项目所在地大气环境质量现状。项目对产生的主要废水、废气、噪声、固废等污染物均采取了严格的治理和处置措施，污染物均能达标排放。</w:t>
            </w:r>
          </w:p>
          <w:p>
            <w:pPr>
              <w:spacing w:line="480" w:lineRule="exact"/>
              <w:ind w:firstLine="480" w:firstLineChars="200"/>
              <w:rPr>
                <w:color w:val="auto"/>
                <w:sz w:val="24"/>
              </w:rPr>
            </w:pPr>
            <w:r>
              <w:rPr>
                <w:color w:val="auto"/>
                <w:sz w:val="24"/>
              </w:rPr>
              <w:t>综上所述，本项目的建设符合环境质量底线要求。</w:t>
            </w:r>
          </w:p>
          <w:p>
            <w:pPr>
              <w:spacing w:line="480" w:lineRule="exact"/>
              <w:ind w:firstLine="482" w:firstLineChars="200"/>
              <w:rPr>
                <w:b/>
                <w:bCs/>
                <w:color w:val="auto"/>
                <w:sz w:val="24"/>
              </w:rPr>
            </w:pPr>
            <w:r>
              <w:rPr>
                <w:b/>
                <w:bCs/>
                <w:color w:val="auto"/>
                <w:sz w:val="24"/>
              </w:rPr>
              <w:t>⑶资源</w:t>
            </w:r>
            <w:r>
              <w:rPr>
                <w:rFonts w:hint="eastAsia"/>
                <w:b/>
                <w:bCs/>
                <w:color w:val="auto"/>
                <w:sz w:val="24"/>
              </w:rPr>
              <w:t>利用上线</w:t>
            </w:r>
          </w:p>
          <w:p>
            <w:pPr>
              <w:pStyle w:val="74"/>
              <w:tabs>
                <w:tab w:val="left" w:pos="1315"/>
              </w:tabs>
              <w:adjustRightInd w:val="0"/>
              <w:snapToGrid w:val="0"/>
              <w:spacing w:line="480" w:lineRule="exact"/>
              <w:ind w:firstLine="480"/>
              <w:rPr>
                <w:color w:val="auto"/>
                <w:sz w:val="24"/>
              </w:rPr>
            </w:pPr>
            <w:r>
              <w:rPr>
                <w:color w:val="auto"/>
                <w:sz w:val="24"/>
              </w:rPr>
              <w:t>本项目</w:t>
            </w:r>
            <w:r>
              <w:rPr>
                <w:rFonts w:hint="eastAsia"/>
                <w:color w:val="auto"/>
                <w:sz w:val="24"/>
              </w:rPr>
              <w:t>厂区</w:t>
            </w:r>
            <w:r>
              <w:rPr>
                <w:color w:val="auto"/>
                <w:sz w:val="24"/>
              </w:rPr>
              <w:t>用水</w:t>
            </w:r>
            <w:r>
              <w:rPr>
                <w:rFonts w:hint="eastAsia"/>
                <w:color w:val="auto"/>
                <w:sz w:val="24"/>
              </w:rPr>
              <w:t>由团练屯村供水管网供给</w:t>
            </w:r>
            <w:r>
              <w:rPr>
                <w:color w:val="auto"/>
                <w:sz w:val="24"/>
              </w:rPr>
              <w:t>，用电</w:t>
            </w:r>
            <w:r>
              <w:rPr>
                <w:rFonts w:hint="eastAsia"/>
                <w:color w:val="auto"/>
                <w:sz w:val="24"/>
              </w:rPr>
              <w:t>由当地电网引入，生产车间不采暖，办公用房采暖、制冷均采用空调。项目租用现有建设用地进行建设，</w:t>
            </w:r>
            <w:r>
              <w:rPr>
                <w:color w:val="auto"/>
                <w:sz w:val="24"/>
              </w:rPr>
              <w:t>故本项目的建设符合资源利用上线。</w:t>
            </w:r>
          </w:p>
          <w:p>
            <w:pPr>
              <w:autoSpaceDE w:val="0"/>
              <w:autoSpaceDN w:val="0"/>
              <w:adjustRightInd w:val="0"/>
              <w:snapToGrid w:val="0"/>
              <w:spacing w:line="480" w:lineRule="exact"/>
              <w:ind w:firstLine="482" w:firstLineChars="200"/>
              <w:jc w:val="left"/>
              <w:rPr>
                <w:rFonts w:cs="宋体"/>
                <w:color w:val="auto"/>
                <w:kern w:val="0"/>
                <w:sz w:val="24"/>
              </w:rPr>
            </w:pPr>
            <w:r>
              <w:rPr>
                <w:b/>
                <w:bCs/>
                <w:color w:val="auto"/>
                <w:sz w:val="24"/>
              </w:rPr>
              <w:t>⑷环境准入负面清单</w:t>
            </w:r>
          </w:p>
          <w:p>
            <w:pPr>
              <w:spacing w:line="480" w:lineRule="exact"/>
              <w:ind w:firstLine="480" w:firstLineChars="200"/>
              <w:rPr>
                <w:color w:val="auto"/>
                <w:sz w:val="24"/>
              </w:rPr>
            </w:pPr>
            <w:r>
              <w:rPr>
                <w:rFonts w:hint="eastAsia"/>
                <w:color w:val="auto"/>
                <w:sz w:val="24"/>
              </w:rPr>
              <w:t>项目所在区域无相关环境准入负面清单。</w:t>
            </w:r>
          </w:p>
          <w:p>
            <w:pPr>
              <w:spacing w:line="480" w:lineRule="exact"/>
              <w:ind w:firstLine="482" w:firstLineChars="200"/>
              <w:rPr>
                <w:b/>
                <w:bCs/>
                <w:color w:val="auto"/>
                <w:sz w:val="24"/>
              </w:rPr>
            </w:pPr>
            <w:r>
              <w:rPr>
                <w:rFonts w:hint="eastAsia"/>
                <w:b/>
                <w:bCs/>
                <w:color w:val="auto"/>
                <w:sz w:val="24"/>
              </w:rPr>
              <w:t>（5）</w:t>
            </w:r>
            <w:r>
              <w:rPr>
                <w:b/>
                <w:bCs/>
                <w:color w:val="auto"/>
                <w:sz w:val="24"/>
              </w:rPr>
              <w:t>与《唐山市人民政府关于实施“三线一单”生态环境分区管控的意见》符合性</w:t>
            </w:r>
            <w:r>
              <w:rPr>
                <w:rFonts w:hint="eastAsia"/>
                <w:b/>
                <w:bCs/>
                <w:color w:val="auto"/>
                <w:sz w:val="24"/>
              </w:rPr>
              <w:t>分析</w:t>
            </w:r>
          </w:p>
          <w:p>
            <w:pPr>
              <w:spacing w:line="480" w:lineRule="exact"/>
              <w:ind w:firstLine="480" w:firstLineChars="200"/>
              <w:rPr>
                <w:color w:val="auto"/>
                <w:sz w:val="24"/>
              </w:rPr>
            </w:pPr>
            <w:r>
              <w:rPr>
                <w:rFonts w:hint="eastAsia"/>
                <w:color w:val="auto"/>
                <w:sz w:val="24"/>
              </w:rPr>
              <w:t>根据</w:t>
            </w:r>
            <w:bookmarkStart w:id="6" w:name="bookmark5"/>
            <w:r>
              <w:rPr>
                <w:color w:val="auto"/>
                <w:sz w:val="24"/>
              </w:rPr>
              <w:t>唐山市人民政府</w:t>
            </w:r>
            <w:bookmarkEnd w:id="6"/>
            <w:r>
              <w:rPr>
                <w:rFonts w:hint="eastAsia"/>
                <w:color w:val="auto"/>
                <w:sz w:val="24"/>
              </w:rPr>
              <w:t>发布的</w:t>
            </w:r>
            <w:r>
              <w:rPr>
                <w:color w:val="auto"/>
                <w:sz w:val="24"/>
              </w:rPr>
              <w:t>《</w:t>
            </w:r>
            <w:bookmarkStart w:id="7" w:name="bookmark6"/>
            <w:bookmarkStart w:id="8" w:name="bookmark4"/>
            <w:bookmarkStart w:id="9" w:name="bookmark3"/>
            <w:r>
              <w:rPr>
                <w:color w:val="auto"/>
                <w:sz w:val="24"/>
              </w:rPr>
              <w:t>关于实施</w:t>
            </w:r>
            <w:r>
              <w:rPr>
                <w:color w:val="auto"/>
                <w:sz w:val="24"/>
                <w:lang w:val="zh-CN"/>
              </w:rPr>
              <w:t>“三</w:t>
            </w:r>
            <w:r>
              <w:rPr>
                <w:color w:val="auto"/>
                <w:sz w:val="24"/>
              </w:rPr>
              <w:t>线一单"生态环境分区管控的意见</w:t>
            </w:r>
            <w:bookmarkEnd w:id="7"/>
            <w:bookmarkEnd w:id="8"/>
            <w:bookmarkEnd w:id="9"/>
            <w:r>
              <w:rPr>
                <w:color w:val="auto"/>
                <w:sz w:val="24"/>
              </w:rPr>
              <w:t>》</w:t>
            </w:r>
            <w:r>
              <w:rPr>
                <w:rFonts w:hint="eastAsia"/>
                <w:color w:val="auto"/>
                <w:sz w:val="24"/>
              </w:rPr>
              <w:t>（</w:t>
            </w:r>
            <w:r>
              <w:rPr>
                <w:color w:val="auto"/>
                <w:sz w:val="24"/>
              </w:rPr>
              <w:t>唐政字〔2021〕48号</w:t>
            </w:r>
            <w:r>
              <w:rPr>
                <w:rFonts w:hint="eastAsia"/>
                <w:color w:val="auto"/>
                <w:sz w:val="24"/>
              </w:rPr>
              <w:t>）</w:t>
            </w:r>
            <w:r>
              <w:rPr>
                <w:color w:val="auto"/>
                <w:sz w:val="24"/>
              </w:rPr>
              <w:t>中</w:t>
            </w:r>
            <w:bookmarkStart w:id="10" w:name="bookmark24"/>
            <w:bookmarkStart w:id="11" w:name="bookmark23"/>
            <w:bookmarkStart w:id="12" w:name="bookmark25"/>
            <w:r>
              <w:rPr>
                <w:color w:val="auto"/>
                <w:sz w:val="24"/>
              </w:rPr>
              <w:t>唐山市生态环境准入清单</w:t>
            </w:r>
            <w:bookmarkEnd w:id="10"/>
            <w:bookmarkEnd w:id="11"/>
            <w:bookmarkEnd w:id="12"/>
            <w:r>
              <w:rPr>
                <w:color w:val="auto"/>
                <w:sz w:val="24"/>
              </w:rPr>
              <w:t>要求，对照唐山市环境管控单元分布图</w:t>
            </w:r>
            <w:r>
              <w:rPr>
                <w:rFonts w:hint="eastAsia"/>
                <w:color w:val="auto"/>
                <w:sz w:val="24"/>
              </w:rPr>
              <w:t>，本项目位于遵化市重点管控单元（见附图），</w:t>
            </w:r>
            <w:r>
              <w:rPr>
                <w:color w:val="auto"/>
                <w:sz w:val="24"/>
              </w:rPr>
              <w:t>本项目不属于清单中的</w:t>
            </w:r>
            <w:r>
              <w:rPr>
                <w:rFonts w:hint="eastAsia"/>
                <w:color w:val="auto"/>
                <w:sz w:val="24"/>
              </w:rPr>
              <w:t>管控类项目</w:t>
            </w:r>
            <w:r>
              <w:rPr>
                <w:color w:val="auto"/>
                <w:sz w:val="24"/>
              </w:rPr>
              <w:t>，故</w:t>
            </w:r>
            <w:r>
              <w:rPr>
                <w:rFonts w:hint="eastAsia"/>
                <w:color w:val="auto"/>
                <w:sz w:val="24"/>
              </w:rPr>
              <w:t>项目符合</w:t>
            </w:r>
            <w:r>
              <w:rPr>
                <w:color w:val="auto"/>
                <w:sz w:val="24"/>
              </w:rPr>
              <w:t>遵化市生态环境准入负面清单</w:t>
            </w:r>
            <w:r>
              <w:rPr>
                <w:rFonts w:hint="eastAsia"/>
                <w:color w:val="auto"/>
                <w:sz w:val="24"/>
              </w:rPr>
              <w:t>要求</w:t>
            </w:r>
            <w:r>
              <w:rPr>
                <w:color w:val="auto"/>
                <w:sz w:val="24"/>
              </w:rPr>
              <w:t>。</w:t>
            </w:r>
          </w:p>
          <w:p>
            <w:pPr>
              <w:spacing w:line="480" w:lineRule="exact"/>
              <w:ind w:firstLine="482" w:firstLineChars="200"/>
              <w:rPr>
                <w:b/>
                <w:bCs/>
                <w:color w:val="auto"/>
                <w:sz w:val="24"/>
              </w:rPr>
            </w:pPr>
            <w:r>
              <w:rPr>
                <w:b/>
                <w:bCs/>
                <w:color w:val="auto"/>
                <w:sz w:val="24"/>
              </w:rPr>
              <w:t>（</w:t>
            </w:r>
            <w:r>
              <w:rPr>
                <w:rFonts w:hint="eastAsia"/>
                <w:b/>
                <w:bCs/>
                <w:color w:val="auto"/>
                <w:sz w:val="24"/>
              </w:rPr>
              <w:t>6</w:t>
            </w:r>
            <w:r>
              <w:rPr>
                <w:b/>
                <w:bCs/>
                <w:color w:val="auto"/>
                <w:sz w:val="24"/>
              </w:rPr>
              <w:t>）与</w:t>
            </w:r>
            <w:r>
              <w:rPr>
                <w:rFonts w:hint="eastAsia"/>
                <w:b/>
                <w:bCs/>
                <w:color w:val="auto"/>
                <w:sz w:val="24"/>
              </w:rPr>
              <w:t>《</w:t>
            </w:r>
            <w:r>
              <w:rPr>
                <w:b/>
                <w:bCs/>
                <w:color w:val="auto"/>
                <w:sz w:val="24"/>
              </w:rPr>
              <w:t>唐山市生态环境准入清单动态更新成果</w:t>
            </w:r>
            <w:r>
              <w:rPr>
                <w:rFonts w:hint="eastAsia"/>
                <w:b/>
                <w:bCs/>
                <w:color w:val="auto"/>
                <w:sz w:val="24"/>
              </w:rPr>
              <w:t>》</w:t>
            </w:r>
            <w:r>
              <w:rPr>
                <w:b/>
                <w:bCs/>
                <w:color w:val="auto"/>
                <w:sz w:val="24"/>
              </w:rPr>
              <w:t>符合性分析</w:t>
            </w:r>
          </w:p>
          <w:p>
            <w:pPr>
              <w:spacing w:line="500" w:lineRule="exact"/>
              <w:ind w:firstLine="480" w:firstLineChars="200"/>
              <w:rPr>
                <w:b/>
                <w:bCs/>
                <w:color w:val="auto"/>
                <w:sz w:val="24"/>
              </w:rPr>
            </w:pPr>
            <w:r>
              <w:rPr>
                <w:color w:val="auto"/>
                <w:sz w:val="24"/>
              </w:rPr>
              <w:t>根据《唐山市人民政府关于实施“三线一单”生态环境分区管控的意见》（唐政字〔2021〕48号），加快实施“三线一单”，构建生态环境分区管控体系，推动经济高质量发展和生态环境高水平保护协同并进。全市共划定环境管控单元228个，分为优先管控单元、重点管控单元和一般管控单元，由唐山市环境管控单元分布图知，本项目属于重点管控单元</w:t>
            </w:r>
            <w:r>
              <w:rPr>
                <w:rFonts w:hint="eastAsia"/>
                <w:color w:val="auto"/>
                <w:sz w:val="24"/>
              </w:rPr>
              <w:t>，本项目符合《</w:t>
            </w:r>
            <w:r>
              <w:rPr>
                <w:color w:val="auto"/>
                <w:sz w:val="24"/>
              </w:rPr>
              <w:t>唐山市生态环境准入清单动态更新成果</w:t>
            </w:r>
            <w:r>
              <w:rPr>
                <w:rFonts w:hint="eastAsia"/>
                <w:color w:val="auto"/>
                <w:sz w:val="24"/>
              </w:rPr>
              <w:t>》要求</w:t>
            </w:r>
            <w:r>
              <w:rPr>
                <w:color w:val="auto"/>
                <w:sz w:val="24"/>
              </w:rPr>
              <w:t>。</w:t>
            </w:r>
          </w:p>
          <w:p>
            <w:pPr>
              <w:widowControl/>
              <w:spacing w:line="500" w:lineRule="exact"/>
              <w:ind w:firstLine="480" w:firstLineChars="200"/>
              <w:jc w:val="left"/>
              <w:rPr>
                <w:color w:val="auto"/>
                <w:sz w:val="24"/>
              </w:rPr>
            </w:pPr>
          </w:p>
        </w:tc>
      </w:tr>
    </w:tbl>
    <w:p>
      <w:pPr>
        <w:spacing w:line="360" w:lineRule="auto"/>
        <w:jc w:val="center"/>
        <w:rPr>
          <w:rFonts w:eastAsia="黑体"/>
          <w:color w:val="auto"/>
          <w:sz w:val="30"/>
        </w:rPr>
        <w:sectPr>
          <w:footerReference r:id="rId4" w:type="default"/>
          <w:pgSz w:w="11906" w:h="16838"/>
          <w:pgMar w:top="1440" w:right="1800" w:bottom="1440" w:left="1800" w:header="851" w:footer="1077" w:gutter="0"/>
          <w:pgNumType w:start="1"/>
          <w:cols w:space="720" w:num="1"/>
          <w:docGrid w:linePitch="312" w:charSpace="0"/>
        </w:sectPr>
      </w:pPr>
    </w:p>
    <w:p>
      <w:pPr>
        <w:spacing w:line="480" w:lineRule="exact"/>
        <w:jc w:val="center"/>
        <w:rPr>
          <w:color w:val="auto"/>
          <w:kern w:val="0"/>
          <w:sz w:val="24"/>
        </w:rPr>
        <w:sectPr>
          <w:type w:val="continuous"/>
          <w:pgSz w:w="11906" w:h="16838"/>
          <w:pgMar w:top="1701" w:right="1531" w:bottom="1701" w:left="1531" w:header="851" w:footer="1077" w:gutter="0"/>
          <w:cols w:space="720" w:num="1"/>
          <w:docGrid w:linePitch="312" w:charSpace="0"/>
        </w:sect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3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7" w:hRule="atLeast"/>
        </w:trPr>
        <w:tc>
          <w:tcPr>
            <w:tcW w:w="530" w:type="dxa"/>
            <w:vAlign w:val="center"/>
          </w:tcPr>
          <w:p>
            <w:pPr>
              <w:pStyle w:val="2"/>
              <w:spacing w:line="480" w:lineRule="exact"/>
              <w:ind w:firstLine="0"/>
              <w:jc w:val="center"/>
              <w:rPr>
                <w:color w:val="auto"/>
                <w:sz w:val="24"/>
                <w:szCs w:val="24"/>
              </w:rPr>
            </w:pPr>
            <w:r>
              <w:rPr>
                <w:color w:val="auto"/>
                <w:sz w:val="24"/>
                <w:szCs w:val="24"/>
              </w:rPr>
              <w:t>其</w:t>
            </w:r>
          </w:p>
          <w:p>
            <w:pPr>
              <w:pStyle w:val="2"/>
              <w:spacing w:line="480" w:lineRule="exact"/>
              <w:ind w:firstLine="0"/>
              <w:jc w:val="center"/>
              <w:rPr>
                <w:color w:val="auto"/>
                <w:sz w:val="24"/>
                <w:szCs w:val="24"/>
              </w:rPr>
            </w:pPr>
            <w:r>
              <w:rPr>
                <w:color w:val="auto"/>
                <w:sz w:val="24"/>
                <w:szCs w:val="24"/>
              </w:rPr>
              <w:t>他</w:t>
            </w:r>
          </w:p>
          <w:p>
            <w:pPr>
              <w:pStyle w:val="2"/>
              <w:spacing w:line="480" w:lineRule="exact"/>
              <w:ind w:firstLine="0"/>
              <w:jc w:val="center"/>
              <w:rPr>
                <w:color w:val="auto"/>
                <w:sz w:val="24"/>
                <w:szCs w:val="24"/>
              </w:rPr>
            </w:pPr>
            <w:r>
              <w:rPr>
                <w:color w:val="auto"/>
                <w:sz w:val="24"/>
                <w:szCs w:val="24"/>
              </w:rPr>
              <w:t>符</w:t>
            </w:r>
          </w:p>
          <w:p>
            <w:pPr>
              <w:pStyle w:val="2"/>
              <w:spacing w:line="480" w:lineRule="exact"/>
              <w:ind w:firstLine="0"/>
              <w:jc w:val="center"/>
              <w:rPr>
                <w:color w:val="auto"/>
                <w:sz w:val="24"/>
                <w:szCs w:val="24"/>
              </w:rPr>
            </w:pPr>
            <w:r>
              <w:rPr>
                <w:color w:val="auto"/>
                <w:sz w:val="24"/>
                <w:szCs w:val="24"/>
              </w:rPr>
              <w:t>合</w:t>
            </w:r>
          </w:p>
          <w:p>
            <w:pPr>
              <w:pStyle w:val="2"/>
              <w:spacing w:line="480" w:lineRule="exact"/>
              <w:ind w:firstLine="0"/>
              <w:jc w:val="center"/>
              <w:rPr>
                <w:color w:val="auto"/>
                <w:sz w:val="24"/>
                <w:szCs w:val="24"/>
              </w:rPr>
            </w:pPr>
            <w:r>
              <w:rPr>
                <w:color w:val="auto"/>
                <w:sz w:val="24"/>
                <w:szCs w:val="24"/>
              </w:rPr>
              <w:t>性</w:t>
            </w:r>
          </w:p>
          <w:p>
            <w:pPr>
              <w:pStyle w:val="2"/>
              <w:spacing w:line="480" w:lineRule="exact"/>
              <w:ind w:firstLine="0"/>
              <w:jc w:val="center"/>
              <w:rPr>
                <w:color w:val="auto"/>
                <w:sz w:val="24"/>
                <w:szCs w:val="24"/>
              </w:rPr>
            </w:pPr>
            <w:r>
              <w:rPr>
                <w:color w:val="auto"/>
                <w:sz w:val="24"/>
                <w:szCs w:val="24"/>
              </w:rPr>
              <w:t>分</w:t>
            </w:r>
          </w:p>
          <w:p>
            <w:pPr>
              <w:pStyle w:val="2"/>
              <w:spacing w:line="480" w:lineRule="exact"/>
              <w:ind w:firstLine="0"/>
              <w:jc w:val="center"/>
              <w:rPr>
                <w:color w:val="auto"/>
              </w:rPr>
            </w:pPr>
            <w:r>
              <w:rPr>
                <w:color w:val="auto"/>
                <w:sz w:val="24"/>
                <w:szCs w:val="24"/>
              </w:rPr>
              <w:t>析</w:t>
            </w:r>
          </w:p>
        </w:tc>
        <w:tc>
          <w:tcPr>
            <w:tcW w:w="13122" w:type="dxa"/>
          </w:tcPr>
          <w:p>
            <w:pPr>
              <w:spacing w:line="480" w:lineRule="exact"/>
              <w:jc w:val="center"/>
              <w:rPr>
                <w:b/>
                <w:bCs/>
                <w:color w:val="auto"/>
                <w:sz w:val="24"/>
                <w:lang w:val="zh-CN"/>
              </w:rPr>
            </w:pPr>
            <w:r>
              <w:rPr>
                <w:b/>
                <w:bCs/>
                <w:color w:val="auto"/>
                <w:sz w:val="24"/>
                <w:lang w:val="zh-CN"/>
              </w:rPr>
              <w:t>表</w:t>
            </w:r>
            <w:r>
              <w:rPr>
                <w:rFonts w:hint="eastAsia"/>
                <w:b/>
                <w:bCs/>
                <w:color w:val="auto"/>
                <w:sz w:val="24"/>
              </w:rPr>
              <w:t xml:space="preserve">1  </w:t>
            </w:r>
            <w:r>
              <w:rPr>
                <w:rFonts w:hint="eastAsia"/>
                <w:b/>
                <w:bCs/>
                <w:color w:val="auto"/>
                <w:sz w:val="24"/>
                <w:lang w:val="zh-CN"/>
              </w:rPr>
              <w:t xml:space="preserve"> </w:t>
            </w:r>
            <w:r>
              <w:rPr>
                <w:b/>
                <w:color w:val="auto"/>
                <w:sz w:val="24"/>
              </w:rPr>
              <w:t>与 《唐山市人民政府关于实施“三线一单”生态环境分区管控的意见》（唐政字〔2021〕48号）及其动态更新成果</w:t>
            </w:r>
            <w:r>
              <w:rPr>
                <w:rFonts w:hint="eastAsia"/>
                <w:b/>
                <w:bCs/>
                <w:color w:val="auto"/>
                <w:sz w:val="24"/>
                <w:lang w:val="zh-CN"/>
              </w:rPr>
              <w:t>符合性分析</w:t>
            </w:r>
          </w:p>
          <w:tbl>
            <w:tblPr>
              <w:tblStyle w:val="33"/>
              <w:tblW w:w="12918"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716"/>
              <w:gridCol w:w="715"/>
              <w:gridCol w:w="7140"/>
              <w:gridCol w:w="3678"/>
              <w:gridCol w:w="669"/>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90" w:hRule="atLeast"/>
                <w:jc w:val="center"/>
              </w:trPr>
              <w:tc>
                <w:tcPr>
                  <w:tcW w:w="716" w:type="dxa"/>
                  <w:tcBorders>
                    <w:tl2br w:val="nil"/>
                    <w:tr2bl w:val="nil"/>
                  </w:tcBorders>
                  <w:vAlign w:val="center"/>
                </w:tcPr>
                <w:p>
                  <w:pPr>
                    <w:jc w:val="center"/>
                    <w:rPr>
                      <w:color w:val="auto"/>
                      <w:szCs w:val="21"/>
                    </w:rPr>
                  </w:pPr>
                  <w:r>
                    <w:rPr>
                      <w:color w:val="auto"/>
                      <w:szCs w:val="21"/>
                    </w:rPr>
                    <w:t>要素属性</w:t>
                  </w:r>
                </w:p>
              </w:tc>
              <w:tc>
                <w:tcPr>
                  <w:tcW w:w="715" w:type="dxa"/>
                  <w:tcBorders>
                    <w:tl2br w:val="nil"/>
                    <w:tr2bl w:val="nil"/>
                  </w:tcBorders>
                  <w:vAlign w:val="center"/>
                </w:tcPr>
                <w:p>
                  <w:pPr>
                    <w:jc w:val="center"/>
                    <w:rPr>
                      <w:color w:val="auto"/>
                      <w:szCs w:val="21"/>
                    </w:rPr>
                  </w:pPr>
                  <w:r>
                    <w:rPr>
                      <w:color w:val="auto"/>
                      <w:szCs w:val="21"/>
                    </w:rPr>
                    <w:t>管控类别</w:t>
                  </w:r>
                </w:p>
              </w:tc>
              <w:tc>
                <w:tcPr>
                  <w:tcW w:w="7140" w:type="dxa"/>
                  <w:tcBorders>
                    <w:tl2br w:val="nil"/>
                    <w:tr2bl w:val="nil"/>
                  </w:tcBorders>
                  <w:vAlign w:val="center"/>
                </w:tcPr>
                <w:p>
                  <w:pPr>
                    <w:jc w:val="center"/>
                    <w:rPr>
                      <w:color w:val="auto"/>
                      <w:szCs w:val="21"/>
                    </w:rPr>
                  </w:pPr>
                  <w:r>
                    <w:rPr>
                      <w:color w:val="auto"/>
                      <w:szCs w:val="21"/>
                    </w:rPr>
                    <w:t>管控要求</w:t>
                  </w:r>
                </w:p>
              </w:tc>
              <w:tc>
                <w:tcPr>
                  <w:tcW w:w="3678" w:type="dxa"/>
                  <w:tcBorders>
                    <w:tl2br w:val="nil"/>
                    <w:tr2bl w:val="nil"/>
                  </w:tcBorders>
                  <w:vAlign w:val="center"/>
                </w:tcPr>
                <w:p>
                  <w:pPr>
                    <w:jc w:val="center"/>
                    <w:rPr>
                      <w:color w:val="auto"/>
                      <w:szCs w:val="21"/>
                    </w:rPr>
                  </w:pPr>
                  <w:r>
                    <w:rPr>
                      <w:color w:val="auto"/>
                      <w:szCs w:val="21"/>
                    </w:rPr>
                    <w:t>本项目实际</w:t>
                  </w:r>
                </w:p>
              </w:tc>
              <w:tc>
                <w:tcPr>
                  <w:tcW w:w="669" w:type="dxa"/>
                  <w:tcBorders>
                    <w:tl2br w:val="nil"/>
                    <w:tr2bl w:val="nil"/>
                  </w:tcBorders>
                  <w:vAlign w:val="center"/>
                </w:tcPr>
                <w:p>
                  <w:pPr>
                    <w:jc w:val="center"/>
                    <w:rPr>
                      <w:color w:val="auto"/>
                      <w:szCs w:val="21"/>
                    </w:rPr>
                  </w:pPr>
                  <w:r>
                    <w:rPr>
                      <w:color w:val="auto"/>
                      <w:szCs w:val="21"/>
                    </w:rPr>
                    <w:t>结论</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6" w:type="dxa"/>
                  <w:vMerge w:val="restart"/>
                  <w:tcBorders>
                    <w:tl2br w:val="nil"/>
                    <w:tr2bl w:val="nil"/>
                  </w:tcBorders>
                  <w:vAlign w:val="center"/>
                </w:tcPr>
                <w:p>
                  <w:pPr>
                    <w:pStyle w:val="83"/>
                    <w:tabs>
                      <w:tab w:val="left" w:pos="226"/>
                    </w:tabs>
                    <w:spacing w:line="240" w:lineRule="auto"/>
                    <w:ind w:firstLine="0"/>
                    <w:jc w:val="center"/>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大气环境</w:t>
                  </w:r>
                </w:p>
              </w:tc>
              <w:tc>
                <w:tcPr>
                  <w:tcW w:w="715" w:type="dxa"/>
                  <w:vMerge w:val="restart"/>
                  <w:tcBorders>
                    <w:tl2br w:val="nil"/>
                    <w:tr2bl w:val="nil"/>
                  </w:tcBorders>
                  <w:vAlign w:val="center"/>
                </w:tcPr>
                <w:p>
                  <w:pPr>
                    <w:pStyle w:val="83"/>
                    <w:spacing w:line="240" w:lineRule="auto"/>
                    <w:ind w:firstLine="0"/>
                    <w:jc w:val="center"/>
                    <w:rPr>
                      <w:rFonts w:ascii="Times New Roman" w:hAnsi="Times New Roman" w:cs="Times New Roman"/>
                      <w:color w:val="auto"/>
                      <w:sz w:val="21"/>
                      <w:szCs w:val="21"/>
                    </w:rPr>
                  </w:pPr>
                  <w:r>
                    <w:rPr>
                      <w:rFonts w:ascii="Times New Roman" w:hAnsi="Times New Roman" w:cs="Times New Roman"/>
                      <w:color w:val="auto"/>
                      <w:sz w:val="21"/>
                      <w:szCs w:val="21"/>
                    </w:rPr>
                    <w:t>空间布局约束</w:t>
                  </w:r>
                </w:p>
              </w:tc>
              <w:tc>
                <w:tcPr>
                  <w:tcW w:w="7140" w:type="dxa"/>
                  <w:tcBorders>
                    <w:tl2br w:val="nil"/>
                    <w:tr2bl w:val="nil"/>
                  </w:tcBorders>
                  <w:vAlign w:val="center"/>
                </w:tcPr>
                <w:p>
                  <w:pPr>
                    <w:pStyle w:val="83"/>
                    <w:tabs>
                      <w:tab w:val="left" w:pos="326"/>
                    </w:tabs>
                    <w:spacing w:line="240" w:lineRule="auto"/>
                    <w:ind w:firstLine="0"/>
                    <w:jc w:val="center"/>
                    <w:rPr>
                      <w:rFonts w:ascii="Times New Roman" w:hAnsi="Times New Roman" w:cs="Times New Roman"/>
                      <w:color w:val="auto"/>
                      <w:sz w:val="21"/>
                      <w:szCs w:val="21"/>
                    </w:rPr>
                  </w:pPr>
                  <w:r>
                    <w:rPr>
                      <w:rFonts w:ascii="Times New Roman" w:hAnsi="Times New Roman" w:cs="Times New Roman"/>
                      <w:color w:val="auto"/>
                      <w:sz w:val="21"/>
                      <w:szCs w:val="21"/>
                    </w:rPr>
                    <w:t>1、</w:t>
                  </w:r>
                  <w:r>
                    <w:rPr>
                      <w:rFonts w:ascii="Times New Roman" w:hAnsi="Times New Roman" w:cs="Times New Roman"/>
                      <w:color w:val="auto"/>
                      <w:sz w:val="21"/>
                      <w:szCs w:val="21"/>
                    </w:rPr>
                    <w:tab/>
                  </w:r>
                  <w:r>
                    <w:rPr>
                      <w:rFonts w:ascii="Times New Roman" w:hAnsi="Times New Roman" w:cs="Times New Roman"/>
                      <w:color w:val="auto"/>
                      <w:sz w:val="21"/>
                      <w:szCs w:val="21"/>
                    </w:rPr>
                    <w:t>全面推进沿海、迁安、滦州、迁西（遵化）4大片区规划建设，加快推进钢铁企业整合搬迁项目建设，推进</w:t>
                  </w:r>
                  <w:r>
                    <w:rPr>
                      <w:rFonts w:ascii="Times New Roman" w:hAnsi="Times New Roman" w:cs="Times New Roman"/>
                      <w:color w:val="auto"/>
                      <w:sz w:val="21"/>
                      <w:szCs w:val="21"/>
                      <w:lang w:val="zh-CN" w:eastAsia="zh-CN" w:bidi="zh-CN"/>
                    </w:rPr>
                    <w:t>“公转</w:t>
                  </w:r>
                  <w:r>
                    <w:rPr>
                      <w:rFonts w:ascii="Times New Roman" w:hAnsi="Times New Roman" w:cs="Times New Roman"/>
                      <w:color w:val="auto"/>
                      <w:sz w:val="21"/>
                      <w:szCs w:val="21"/>
                    </w:rPr>
                    <w:t>铁”、</w:t>
                  </w:r>
                  <w:r>
                    <w:rPr>
                      <w:rFonts w:ascii="Times New Roman" w:hAnsi="Times New Roman" w:cs="Times New Roman"/>
                      <w:color w:val="auto"/>
                      <w:sz w:val="21"/>
                      <w:szCs w:val="21"/>
                      <w:lang w:val="zh-CN" w:eastAsia="zh-CN" w:bidi="zh-CN"/>
                    </w:rPr>
                    <w:t>“公</w:t>
                  </w:r>
                  <w:r>
                    <w:rPr>
                      <w:rFonts w:ascii="Times New Roman" w:hAnsi="Times New Roman" w:cs="Times New Roman"/>
                      <w:color w:val="auto"/>
                      <w:sz w:val="21"/>
                      <w:szCs w:val="21"/>
                    </w:rPr>
                    <w:t>转水</w:t>
                  </w:r>
                  <w:r>
                    <w:rPr>
                      <w:rFonts w:ascii="Times New Roman" w:hAnsi="Times New Roman" w:cs="Times New Roman"/>
                      <w:color w:val="auto"/>
                      <w:sz w:val="21"/>
                      <w:szCs w:val="21"/>
                      <w:lang w:val="zh-CN" w:eastAsia="zh-CN" w:bidi="zh-CN"/>
                    </w:rPr>
                    <w:t>”和物</w:t>
                  </w:r>
                  <w:r>
                    <w:rPr>
                      <w:rFonts w:ascii="Times New Roman" w:hAnsi="Times New Roman" w:cs="Times New Roman"/>
                      <w:color w:val="auto"/>
                      <w:sz w:val="21"/>
                      <w:szCs w:val="21"/>
                    </w:rPr>
                    <w:t>料集中输送管廊项目建设，形成</w:t>
                  </w:r>
                  <w:r>
                    <w:rPr>
                      <w:rFonts w:ascii="Times New Roman" w:hAnsi="Times New Roman" w:cs="Times New Roman"/>
                      <w:color w:val="auto"/>
                      <w:sz w:val="21"/>
                      <w:szCs w:val="21"/>
                      <w:lang w:val="zh-CN" w:eastAsia="zh-CN" w:bidi="zh-CN"/>
                    </w:rPr>
                    <w:t>“沿海</w:t>
                  </w:r>
                  <w:r>
                    <w:rPr>
                      <w:rFonts w:ascii="Times New Roman" w:hAnsi="Times New Roman" w:cs="Times New Roman"/>
                      <w:color w:val="auto"/>
                      <w:sz w:val="21"/>
                      <w:szCs w:val="21"/>
                    </w:rPr>
                    <w:t>临港、铁路沿线”产业新布局。</w:t>
                  </w:r>
                </w:p>
              </w:tc>
              <w:tc>
                <w:tcPr>
                  <w:tcW w:w="3678" w:type="dxa"/>
                  <w:tcBorders>
                    <w:tl2br w:val="nil"/>
                    <w:tr2bl w:val="nil"/>
                  </w:tcBorders>
                  <w:vAlign w:val="center"/>
                </w:tcPr>
                <w:p>
                  <w:pPr>
                    <w:jc w:val="center"/>
                    <w:rPr>
                      <w:color w:val="auto"/>
                      <w:szCs w:val="21"/>
                      <w:highlight w:val="yellow"/>
                    </w:rPr>
                  </w:pPr>
                  <w:r>
                    <w:rPr>
                      <w:color w:val="auto"/>
                      <w:szCs w:val="21"/>
                    </w:rPr>
                    <w:t>本项目</w:t>
                  </w:r>
                  <w:r>
                    <w:rPr>
                      <w:rFonts w:hint="eastAsia"/>
                      <w:color w:val="auto"/>
                      <w:szCs w:val="21"/>
                    </w:rPr>
                    <w:t>原辅材料及成品主要为公路运输，项目原料、成品运输均采用</w:t>
                  </w:r>
                  <w:r>
                    <w:rPr>
                      <w:color w:val="auto"/>
                      <w:szCs w:val="21"/>
                    </w:rPr>
                    <w:t>新能源汽车或达到国六排放标准的汽车，禁止使用柴油车及国五标准以下汽车</w:t>
                  </w:r>
                </w:p>
              </w:tc>
              <w:tc>
                <w:tcPr>
                  <w:tcW w:w="669" w:type="dxa"/>
                  <w:tcBorders>
                    <w:tl2br w:val="nil"/>
                    <w:tr2bl w:val="nil"/>
                  </w:tcBorders>
                  <w:vAlign w:val="center"/>
                </w:tcPr>
                <w:p>
                  <w:pPr>
                    <w:jc w:val="center"/>
                    <w:rPr>
                      <w:color w:val="auto"/>
                      <w:szCs w:val="21"/>
                    </w:rPr>
                  </w:pPr>
                  <w:r>
                    <w:rPr>
                      <w:color w:val="auto"/>
                      <w:szCs w:val="21"/>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6" w:type="dxa"/>
                  <w:vMerge w:val="continue"/>
                  <w:tcBorders>
                    <w:tl2br w:val="nil"/>
                    <w:tr2bl w:val="nil"/>
                  </w:tcBorders>
                  <w:vAlign w:val="center"/>
                </w:tcPr>
                <w:p>
                  <w:pPr>
                    <w:pStyle w:val="83"/>
                    <w:tabs>
                      <w:tab w:val="left" w:pos="317"/>
                    </w:tabs>
                    <w:spacing w:line="240" w:lineRule="auto"/>
                    <w:ind w:firstLine="0"/>
                    <w:jc w:val="center"/>
                    <w:rPr>
                      <w:color w:val="auto"/>
                      <w:sz w:val="21"/>
                      <w:szCs w:val="21"/>
                    </w:rPr>
                  </w:pPr>
                </w:p>
              </w:tc>
              <w:tc>
                <w:tcPr>
                  <w:tcW w:w="715" w:type="dxa"/>
                  <w:vMerge w:val="continue"/>
                  <w:tcBorders>
                    <w:tl2br w:val="nil"/>
                    <w:tr2bl w:val="nil"/>
                  </w:tcBorders>
                  <w:vAlign w:val="center"/>
                </w:tcPr>
                <w:p>
                  <w:pPr>
                    <w:pStyle w:val="83"/>
                    <w:tabs>
                      <w:tab w:val="left" w:pos="317"/>
                    </w:tabs>
                    <w:spacing w:line="240" w:lineRule="auto"/>
                    <w:ind w:firstLine="0"/>
                    <w:jc w:val="center"/>
                    <w:rPr>
                      <w:color w:val="auto"/>
                      <w:sz w:val="21"/>
                      <w:szCs w:val="21"/>
                    </w:rPr>
                  </w:pPr>
                </w:p>
              </w:tc>
              <w:tc>
                <w:tcPr>
                  <w:tcW w:w="7140" w:type="dxa"/>
                  <w:tcBorders>
                    <w:tl2br w:val="nil"/>
                    <w:tr2bl w:val="nil"/>
                  </w:tcBorders>
                  <w:vAlign w:val="center"/>
                </w:tcPr>
                <w:p>
                  <w:pPr>
                    <w:pStyle w:val="83"/>
                    <w:tabs>
                      <w:tab w:val="left" w:pos="322"/>
                    </w:tabs>
                    <w:spacing w:line="240" w:lineRule="auto"/>
                    <w:ind w:firstLine="0"/>
                    <w:jc w:val="center"/>
                    <w:rPr>
                      <w:rFonts w:ascii="Times New Roman" w:hAnsi="Times New Roman" w:cs="Times New Roman"/>
                      <w:color w:val="auto"/>
                      <w:sz w:val="21"/>
                      <w:szCs w:val="21"/>
                    </w:rPr>
                  </w:pPr>
                  <w:r>
                    <w:rPr>
                      <w:rFonts w:ascii="Times New Roman" w:hAnsi="Times New Roman" w:cs="Times New Roman"/>
                      <w:color w:val="auto"/>
                      <w:sz w:val="21"/>
                      <w:szCs w:val="21"/>
                    </w:rPr>
                    <w:t>2、</w:t>
                  </w:r>
                  <w:r>
                    <w:rPr>
                      <w:rFonts w:ascii="Times New Roman" w:hAnsi="Times New Roman" w:cs="Times New Roman"/>
                      <w:color w:val="auto"/>
                      <w:sz w:val="21"/>
                      <w:szCs w:val="21"/>
                    </w:rPr>
                    <w:tab/>
                  </w:r>
                  <w:r>
                    <w:rPr>
                      <w:rFonts w:ascii="Times New Roman" w:hAnsi="Times New Roman" w:cs="Times New Roman"/>
                      <w:color w:val="auto"/>
                      <w:sz w:val="21"/>
                      <w:szCs w:val="21"/>
                    </w:rPr>
                    <w:t>严禁钢铁、水泥和平板玻璃行业违规新增产能。</w:t>
                  </w:r>
                </w:p>
              </w:tc>
              <w:tc>
                <w:tcPr>
                  <w:tcW w:w="3678" w:type="dxa"/>
                  <w:tcBorders>
                    <w:tl2br w:val="nil"/>
                    <w:tr2bl w:val="nil"/>
                  </w:tcBorders>
                  <w:vAlign w:val="center"/>
                </w:tcPr>
                <w:p>
                  <w:pPr>
                    <w:pStyle w:val="83"/>
                    <w:tabs>
                      <w:tab w:val="left" w:pos="317"/>
                    </w:tabs>
                    <w:spacing w:line="240" w:lineRule="auto"/>
                    <w:ind w:firstLine="0"/>
                    <w:jc w:val="center"/>
                    <w:rPr>
                      <w:rFonts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本项目不涉及钢铁、水泥、平板玻璃等产能</w:t>
                  </w:r>
                </w:p>
              </w:tc>
              <w:tc>
                <w:tcPr>
                  <w:tcW w:w="669" w:type="dxa"/>
                  <w:tcBorders>
                    <w:tl2br w:val="nil"/>
                    <w:tr2bl w:val="nil"/>
                  </w:tcBorders>
                  <w:vAlign w:val="center"/>
                </w:tcPr>
                <w:p>
                  <w:pPr>
                    <w:pStyle w:val="83"/>
                    <w:tabs>
                      <w:tab w:val="left" w:pos="317"/>
                    </w:tabs>
                    <w:spacing w:line="240" w:lineRule="auto"/>
                    <w:ind w:firstLine="0"/>
                    <w:jc w:val="center"/>
                    <w:rPr>
                      <w:rFonts w:ascii="Times New Roman" w:hAnsi="Times New Roman" w:cs="Times New Roman"/>
                      <w:color w:val="auto"/>
                      <w:sz w:val="21"/>
                      <w:szCs w:val="21"/>
                    </w:rPr>
                  </w:pPr>
                  <w:r>
                    <w:rPr>
                      <w:rFonts w:ascii="Times New Roman" w:hAnsi="Times New Roman" w:cs="Times New Roman"/>
                      <w:color w:val="auto"/>
                      <w:sz w:val="21"/>
                      <w:szCs w:val="21"/>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6" w:type="dxa"/>
                  <w:vMerge w:val="continue"/>
                  <w:tcBorders>
                    <w:tl2br w:val="nil"/>
                    <w:tr2bl w:val="nil"/>
                  </w:tcBorders>
                  <w:vAlign w:val="center"/>
                </w:tcPr>
                <w:p>
                  <w:pPr>
                    <w:pStyle w:val="83"/>
                    <w:tabs>
                      <w:tab w:val="left" w:pos="317"/>
                    </w:tabs>
                    <w:spacing w:line="240" w:lineRule="auto"/>
                    <w:ind w:firstLine="0"/>
                    <w:jc w:val="center"/>
                    <w:rPr>
                      <w:rFonts w:ascii="Times New Roman" w:hAnsi="Times New Roman" w:cs="Times New Roman"/>
                      <w:color w:val="auto"/>
                      <w:sz w:val="21"/>
                      <w:szCs w:val="21"/>
                    </w:rPr>
                  </w:pPr>
                </w:p>
              </w:tc>
              <w:tc>
                <w:tcPr>
                  <w:tcW w:w="715" w:type="dxa"/>
                  <w:vMerge w:val="continue"/>
                  <w:tcBorders>
                    <w:tl2br w:val="nil"/>
                    <w:tr2bl w:val="nil"/>
                  </w:tcBorders>
                  <w:vAlign w:val="center"/>
                </w:tcPr>
                <w:p>
                  <w:pPr>
                    <w:pStyle w:val="83"/>
                    <w:tabs>
                      <w:tab w:val="left" w:pos="317"/>
                    </w:tabs>
                    <w:spacing w:line="240" w:lineRule="auto"/>
                    <w:ind w:firstLine="0"/>
                    <w:jc w:val="center"/>
                    <w:rPr>
                      <w:rFonts w:ascii="Times New Roman" w:hAnsi="Times New Roman" w:cs="Times New Roman"/>
                      <w:color w:val="auto"/>
                      <w:sz w:val="21"/>
                      <w:szCs w:val="21"/>
                    </w:rPr>
                  </w:pPr>
                </w:p>
              </w:tc>
              <w:tc>
                <w:tcPr>
                  <w:tcW w:w="7140" w:type="dxa"/>
                  <w:tcBorders>
                    <w:tl2br w:val="nil"/>
                    <w:tr2bl w:val="nil"/>
                  </w:tcBorders>
                  <w:vAlign w:val="center"/>
                </w:tcPr>
                <w:p>
                  <w:pPr>
                    <w:pStyle w:val="83"/>
                    <w:tabs>
                      <w:tab w:val="left" w:pos="322"/>
                    </w:tabs>
                    <w:spacing w:line="240" w:lineRule="auto"/>
                    <w:ind w:firstLine="0"/>
                    <w:jc w:val="center"/>
                    <w:rPr>
                      <w:rFonts w:ascii="Times New Roman" w:hAnsi="Times New Roman" w:cs="Times New Roman"/>
                      <w:color w:val="auto"/>
                      <w:sz w:val="21"/>
                      <w:szCs w:val="21"/>
                    </w:rPr>
                  </w:pPr>
                  <w:r>
                    <w:rPr>
                      <w:rFonts w:ascii="Times New Roman" w:hAnsi="Times New Roman" w:cs="Times New Roman"/>
                      <w:color w:val="auto"/>
                      <w:sz w:val="21"/>
                      <w:szCs w:val="21"/>
                    </w:rPr>
                    <w:t>3、</w:t>
                  </w:r>
                  <w:r>
                    <w:rPr>
                      <w:rFonts w:ascii="Times New Roman" w:hAnsi="Times New Roman" w:cs="Times New Roman"/>
                      <w:color w:val="auto"/>
                      <w:sz w:val="21"/>
                      <w:szCs w:val="21"/>
                    </w:rPr>
                    <w:tab/>
                  </w:r>
                  <w:r>
                    <w:rPr>
                      <w:rFonts w:ascii="Times New Roman" w:hAnsi="Times New Roman" w:cs="Times New Roman"/>
                      <w:color w:val="auto"/>
                      <w:sz w:val="21"/>
                      <w:szCs w:val="21"/>
                    </w:rPr>
                    <w:t>新（改、扩）建项目严格执行产能置换、煤炭替代和污染物倍量削减替代制度，当地有相关园区规划的，原则上要进入园区并配套建设高效环保治理设施，符合园区规划环评、建设项目环评要求。</w:t>
                  </w:r>
                </w:p>
              </w:tc>
              <w:tc>
                <w:tcPr>
                  <w:tcW w:w="3678" w:type="dxa"/>
                  <w:tcBorders>
                    <w:tl2br w:val="nil"/>
                    <w:tr2bl w:val="nil"/>
                  </w:tcBorders>
                  <w:vAlign w:val="center"/>
                </w:tcPr>
                <w:p>
                  <w:pPr>
                    <w:jc w:val="center"/>
                    <w:rPr>
                      <w:color w:val="auto"/>
                      <w:szCs w:val="21"/>
                    </w:rPr>
                  </w:pPr>
                  <w:r>
                    <w:rPr>
                      <w:rFonts w:hint="eastAsia"/>
                      <w:color w:val="auto"/>
                      <w:szCs w:val="21"/>
                    </w:rPr>
                    <w:t>本项目严格执行“倍量削减”方案</w:t>
                  </w:r>
                </w:p>
              </w:tc>
              <w:tc>
                <w:tcPr>
                  <w:tcW w:w="669" w:type="dxa"/>
                  <w:tcBorders>
                    <w:tl2br w:val="nil"/>
                    <w:tr2bl w:val="nil"/>
                  </w:tcBorders>
                  <w:vAlign w:val="center"/>
                </w:tcPr>
                <w:p>
                  <w:pPr>
                    <w:pStyle w:val="83"/>
                    <w:tabs>
                      <w:tab w:val="left" w:pos="317"/>
                    </w:tabs>
                    <w:spacing w:line="240" w:lineRule="auto"/>
                    <w:ind w:firstLine="0"/>
                    <w:jc w:val="center"/>
                    <w:rPr>
                      <w:rFonts w:ascii="Times New Roman" w:hAnsi="Times New Roman" w:cs="Times New Roman"/>
                      <w:color w:val="auto"/>
                      <w:sz w:val="21"/>
                      <w:szCs w:val="21"/>
                    </w:rPr>
                  </w:pPr>
                  <w:r>
                    <w:rPr>
                      <w:rFonts w:ascii="Times New Roman" w:hAnsi="Times New Roman" w:cs="Times New Roman"/>
                      <w:color w:val="auto"/>
                      <w:sz w:val="21"/>
                      <w:szCs w:val="21"/>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6" w:type="dxa"/>
                  <w:vMerge w:val="continue"/>
                  <w:tcBorders>
                    <w:tl2br w:val="nil"/>
                    <w:tr2bl w:val="nil"/>
                  </w:tcBorders>
                  <w:vAlign w:val="center"/>
                </w:tcPr>
                <w:p>
                  <w:pPr>
                    <w:pStyle w:val="83"/>
                    <w:tabs>
                      <w:tab w:val="left" w:pos="317"/>
                    </w:tabs>
                    <w:spacing w:line="240" w:lineRule="auto"/>
                    <w:ind w:firstLine="0"/>
                    <w:jc w:val="center"/>
                    <w:rPr>
                      <w:rFonts w:ascii="Times New Roman" w:hAnsi="Times New Roman" w:cs="Times New Roman"/>
                      <w:color w:val="auto"/>
                      <w:sz w:val="21"/>
                      <w:szCs w:val="21"/>
                    </w:rPr>
                  </w:pPr>
                </w:p>
              </w:tc>
              <w:tc>
                <w:tcPr>
                  <w:tcW w:w="715" w:type="dxa"/>
                  <w:vMerge w:val="continue"/>
                  <w:tcBorders>
                    <w:tl2br w:val="nil"/>
                    <w:tr2bl w:val="nil"/>
                  </w:tcBorders>
                  <w:vAlign w:val="center"/>
                </w:tcPr>
                <w:p>
                  <w:pPr>
                    <w:pStyle w:val="83"/>
                    <w:tabs>
                      <w:tab w:val="left" w:pos="317"/>
                    </w:tabs>
                    <w:spacing w:line="240" w:lineRule="auto"/>
                    <w:ind w:firstLine="0"/>
                    <w:jc w:val="center"/>
                    <w:rPr>
                      <w:rFonts w:ascii="Times New Roman" w:hAnsi="Times New Roman" w:cs="Times New Roman"/>
                      <w:color w:val="auto"/>
                      <w:sz w:val="21"/>
                      <w:szCs w:val="21"/>
                    </w:rPr>
                  </w:pPr>
                </w:p>
              </w:tc>
              <w:tc>
                <w:tcPr>
                  <w:tcW w:w="7140" w:type="dxa"/>
                  <w:tcBorders>
                    <w:tl2br w:val="nil"/>
                    <w:tr2bl w:val="nil"/>
                  </w:tcBorders>
                  <w:vAlign w:val="center"/>
                </w:tcPr>
                <w:p>
                  <w:pPr>
                    <w:pStyle w:val="83"/>
                    <w:tabs>
                      <w:tab w:val="left" w:pos="326"/>
                    </w:tabs>
                    <w:spacing w:line="240" w:lineRule="auto"/>
                    <w:ind w:firstLine="0"/>
                    <w:jc w:val="center"/>
                    <w:rPr>
                      <w:rFonts w:ascii="Times New Roman" w:hAnsi="Times New Roman" w:cs="Times New Roman"/>
                      <w:color w:val="auto"/>
                      <w:sz w:val="21"/>
                      <w:szCs w:val="21"/>
                    </w:rPr>
                  </w:pPr>
                  <w:r>
                    <w:rPr>
                      <w:rFonts w:ascii="Times New Roman" w:hAnsi="Times New Roman" w:cs="Times New Roman"/>
                      <w:color w:val="auto"/>
                      <w:sz w:val="21"/>
                      <w:szCs w:val="21"/>
                    </w:rPr>
                    <w:t>4、</w:t>
                  </w:r>
                  <w:r>
                    <w:rPr>
                      <w:rFonts w:ascii="Times New Roman" w:hAnsi="Times New Roman" w:cs="Times New Roman"/>
                      <w:color w:val="auto"/>
                      <w:sz w:val="21"/>
                      <w:szCs w:val="21"/>
                    </w:rPr>
                    <w:tab/>
                  </w:r>
                  <w:r>
                    <w:rPr>
                      <w:rFonts w:ascii="Times New Roman" w:hAnsi="Times New Roman" w:cs="Times New Roman"/>
                      <w:color w:val="auto"/>
                      <w:sz w:val="21"/>
                      <w:szCs w:val="21"/>
                    </w:rPr>
                    <w:t>加大工业炉窑淘汰力度。取缔燃煤热风炉，基本淘汰热电联产供热管网覆盖范围内的燃煤加热、烘干炉（窑）。</w:t>
                  </w:r>
                </w:p>
              </w:tc>
              <w:tc>
                <w:tcPr>
                  <w:tcW w:w="3678" w:type="dxa"/>
                  <w:tcBorders>
                    <w:tl2br w:val="nil"/>
                    <w:tr2bl w:val="nil"/>
                  </w:tcBorders>
                  <w:vAlign w:val="center"/>
                </w:tcPr>
                <w:p>
                  <w:pPr>
                    <w:pStyle w:val="83"/>
                    <w:tabs>
                      <w:tab w:val="left" w:pos="317"/>
                    </w:tabs>
                    <w:spacing w:line="240" w:lineRule="auto"/>
                    <w:ind w:firstLine="0"/>
                    <w:jc w:val="center"/>
                    <w:rPr>
                      <w:rFonts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本项目不涉及燃料燃烧</w:t>
                  </w:r>
                </w:p>
              </w:tc>
              <w:tc>
                <w:tcPr>
                  <w:tcW w:w="669" w:type="dxa"/>
                  <w:tcBorders>
                    <w:tl2br w:val="nil"/>
                    <w:tr2bl w:val="nil"/>
                  </w:tcBorders>
                  <w:vAlign w:val="center"/>
                </w:tcPr>
                <w:p>
                  <w:pPr>
                    <w:pStyle w:val="83"/>
                    <w:tabs>
                      <w:tab w:val="left" w:pos="317"/>
                    </w:tabs>
                    <w:spacing w:line="240" w:lineRule="auto"/>
                    <w:ind w:firstLine="0"/>
                    <w:jc w:val="center"/>
                    <w:rPr>
                      <w:rFonts w:ascii="Times New Roman" w:hAnsi="Times New Roman" w:cs="Times New Roman"/>
                      <w:color w:val="auto"/>
                      <w:sz w:val="21"/>
                      <w:szCs w:val="21"/>
                    </w:rPr>
                  </w:pPr>
                  <w:r>
                    <w:rPr>
                      <w:rFonts w:ascii="Times New Roman" w:hAnsi="Times New Roman" w:cs="Times New Roman"/>
                      <w:color w:val="auto"/>
                      <w:sz w:val="21"/>
                      <w:szCs w:val="21"/>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6" w:type="dxa"/>
                  <w:vMerge w:val="continue"/>
                  <w:tcBorders>
                    <w:tl2br w:val="nil"/>
                    <w:tr2bl w:val="nil"/>
                  </w:tcBorders>
                  <w:vAlign w:val="center"/>
                </w:tcPr>
                <w:p>
                  <w:pPr>
                    <w:pStyle w:val="83"/>
                    <w:tabs>
                      <w:tab w:val="left" w:pos="317"/>
                    </w:tabs>
                    <w:spacing w:line="240" w:lineRule="auto"/>
                    <w:ind w:firstLine="0"/>
                    <w:jc w:val="center"/>
                    <w:rPr>
                      <w:rFonts w:ascii="Times New Roman" w:hAnsi="Times New Roman" w:cs="Times New Roman"/>
                      <w:color w:val="auto"/>
                      <w:sz w:val="21"/>
                      <w:szCs w:val="21"/>
                    </w:rPr>
                  </w:pPr>
                </w:p>
              </w:tc>
              <w:tc>
                <w:tcPr>
                  <w:tcW w:w="715" w:type="dxa"/>
                  <w:vMerge w:val="continue"/>
                  <w:tcBorders>
                    <w:tl2br w:val="nil"/>
                    <w:tr2bl w:val="nil"/>
                  </w:tcBorders>
                  <w:vAlign w:val="center"/>
                </w:tcPr>
                <w:p>
                  <w:pPr>
                    <w:pStyle w:val="83"/>
                    <w:tabs>
                      <w:tab w:val="left" w:pos="317"/>
                    </w:tabs>
                    <w:spacing w:line="240" w:lineRule="auto"/>
                    <w:ind w:firstLine="0"/>
                    <w:jc w:val="center"/>
                    <w:rPr>
                      <w:rFonts w:ascii="Times New Roman" w:hAnsi="Times New Roman" w:cs="Times New Roman"/>
                      <w:color w:val="auto"/>
                      <w:sz w:val="21"/>
                      <w:szCs w:val="21"/>
                    </w:rPr>
                  </w:pPr>
                </w:p>
              </w:tc>
              <w:tc>
                <w:tcPr>
                  <w:tcW w:w="7140" w:type="dxa"/>
                  <w:tcBorders>
                    <w:tl2br w:val="nil"/>
                    <w:tr2bl w:val="nil"/>
                  </w:tcBorders>
                  <w:vAlign w:val="center"/>
                </w:tcPr>
                <w:p>
                  <w:pPr>
                    <w:pStyle w:val="83"/>
                    <w:tabs>
                      <w:tab w:val="left" w:pos="317"/>
                    </w:tabs>
                    <w:spacing w:line="240" w:lineRule="auto"/>
                    <w:ind w:firstLine="0"/>
                    <w:jc w:val="center"/>
                    <w:rPr>
                      <w:rFonts w:ascii="Times New Roman" w:hAnsi="Times New Roman" w:cs="Times New Roman"/>
                      <w:color w:val="auto"/>
                      <w:sz w:val="21"/>
                      <w:szCs w:val="21"/>
                    </w:rPr>
                  </w:pPr>
                  <w:r>
                    <w:rPr>
                      <w:rFonts w:ascii="Times New Roman" w:hAnsi="Times New Roman" w:cs="Times New Roman"/>
                      <w:color w:val="auto"/>
                      <w:sz w:val="21"/>
                      <w:szCs w:val="21"/>
                    </w:rPr>
                    <w:t>5、</w:t>
                  </w:r>
                  <w:r>
                    <w:rPr>
                      <w:rFonts w:ascii="Times New Roman" w:hAnsi="Times New Roman" w:cs="Times New Roman"/>
                      <w:color w:val="auto"/>
                      <w:sz w:val="21"/>
                      <w:szCs w:val="21"/>
                    </w:rPr>
                    <w:tab/>
                  </w:r>
                  <w:r>
                    <w:rPr>
                      <w:rFonts w:ascii="Times New Roman" w:hAnsi="Times New Roman" w:cs="Times New Roman"/>
                      <w:color w:val="auto"/>
                      <w:sz w:val="21"/>
                      <w:szCs w:val="21"/>
                    </w:rPr>
                    <w:t>对热效率低下、敞开未封闭，装备简易落后、自动化程度低，布局分散、规模小、无组织排放突出，以及无治理设施或治理设施工艺落后的工业炉窑，依法责令停业关闭。</w:t>
                  </w:r>
                </w:p>
              </w:tc>
              <w:tc>
                <w:tcPr>
                  <w:tcW w:w="3678" w:type="dxa"/>
                  <w:tcBorders>
                    <w:tl2br w:val="nil"/>
                    <w:tr2bl w:val="nil"/>
                  </w:tcBorders>
                  <w:vAlign w:val="center"/>
                </w:tcPr>
                <w:p>
                  <w:pPr>
                    <w:pStyle w:val="83"/>
                    <w:tabs>
                      <w:tab w:val="left" w:pos="317"/>
                    </w:tabs>
                    <w:spacing w:line="240" w:lineRule="auto"/>
                    <w:ind w:firstLine="0"/>
                    <w:jc w:val="center"/>
                    <w:rPr>
                      <w:rFonts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本项目不涉及工业炉窑</w:t>
                  </w:r>
                </w:p>
              </w:tc>
              <w:tc>
                <w:tcPr>
                  <w:tcW w:w="669" w:type="dxa"/>
                  <w:tcBorders>
                    <w:tl2br w:val="nil"/>
                    <w:tr2bl w:val="nil"/>
                  </w:tcBorders>
                  <w:vAlign w:val="center"/>
                </w:tcPr>
                <w:p>
                  <w:pPr>
                    <w:pStyle w:val="83"/>
                    <w:tabs>
                      <w:tab w:val="left" w:pos="317"/>
                    </w:tabs>
                    <w:spacing w:line="240" w:lineRule="auto"/>
                    <w:ind w:firstLine="0"/>
                    <w:jc w:val="center"/>
                    <w:rPr>
                      <w:rFonts w:ascii="Times New Roman" w:hAnsi="Times New Roman" w:cs="Times New Roman"/>
                      <w:color w:val="auto"/>
                      <w:sz w:val="21"/>
                      <w:szCs w:val="21"/>
                    </w:rPr>
                  </w:pPr>
                  <w:r>
                    <w:rPr>
                      <w:rFonts w:ascii="Times New Roman" w:hAnsi="Times New Roman" w:cs="Times New Roman"/>
                      <w:color w:val="auto"/>
                      <w:sz w:val="21"/>
                      <w:szCs w:val="21"/>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6" w:type="dxa"/>
                  <w:vMerge w:val="continue"/>
                  <w:tcBorders>
                    <w:tl2br w:val="nil"/>
                    <w:tr2bl w:val="nil"/>
                  </w:tcBorders>
                  <w:vAlign w:val="center"/>
                </w:tcPr>
                <w:p>
                  <w:pPr>
                    <w:pStyle w:val="83"/>
                    <w:spacing w:line="240" w:lineRule="auto"/>
                    <w:ind w:firstLine="0"/>
                    <w:jc w:val="center"/>
                    <w:rPr>
                      <w:rFonts w:ascii="Times New Roman" w:hAnsi="Times New Roman" w:cs="Times New Roman"/>
                      <w:color w:val="auto"/>
                      <w:sz w:val="21"/>
                      <w:szCs w:val="21"/>
                    </w:rPr>
                  </w:pPr>
                </w:p>
              </w:tc>
              <w:tc>
                <w:tcPr>
                  <w:tcW w:w="715" w:type="dxa"/>
                  <w:vMerge w:val="restart"/>
                  <w:tcBorders>
                    <w:tl2br w:val="nil"/>
                    <w:tr2bl w:val="nil"/>
                  </w:tcBorders>
                  <w:vAlign w:val="center"/>
                </w:tcPr>
                <w:p>
                  <w:pPr>
                    <w:pStyle w:val="83"/>
                    <w:spacing w:line="240" w:lineRule="auto"/>
                    <w:ind w:firstLine="0"/>
                    <w:jc w:val="center"/>
                    <w:rPr>
                      <w:rFonts w:ascii="Times New Roman" w:hAnsi="Times New Roman" w:cs="Times New Roman"/>
                      <w:color w:val="auto"/>
                      <w:sz w:val="21"/>
                      <w:szCs w:val="21"/>
                    </w:rPr>
                  </w:pPr>
                  <w:r>
                    <w:rPr>
                      <w:rFonts w:ascii="Times New Roman" w:hAnsi="Times New Roman" w:cs="Times New Roman"/>
                      <w:color w:val="auto"/>
                      <w:sz w:val="21"/>
                      <w:szCs w:val="21"/>
                    </w:rPr>
                    <w:t>污染物排放管控</w:t>
                  </w:r>
                </w:p>
              </w:tc>
              <w:tc>
                <w:tcPr>
                  <w:tcW w:w="7140" w:type="dxa"/>
                  <w:tcBorders>
                    <w:tl2br w:val="nil"/>
                    <w:tr2bl w:val="nil"/>
                  </w:tcBorders>
                  <w:vAlign w:val="center"/>
                </w:tcPr>
                <w:p>
                  <w:pPr>
                    <w:pStyle w:val="83"/>
                    <w:tabs>
                      <w:tab w:val="left" w:pos="302"/>
                    </w:tabs>
                    <w:spacing w:line="240" w:lineRule="auto"/>
                    <w:ind w:firstLine="0"/>
                    <w:jc w:val="center"/>
                    <w:rPr>
                      <w:rFonts w:ascii="Times New Roman" w:hAnsi="Times New Roman" w:cs="Times New Roman"/>
                      <w:color w:val="auto"/>
                      <w:sz w:val="21"/>
                      <w:szCs w:val="21"/>
                      <w:lang w:eastAsia="zh-CN"/>
                    </w:rPr>
                  </w:pPr>
                  <w:r>
                    <w:rPr>
                      <w:rFonts w:ascii="Times New Roman" w:hAnsi="Times New Roman" w:cs="Times New Roman"/>
                      <w:color w:val="auto"/>
                      <w:sz w:val="21"/>
                      <w:szCs w:val="21"/>
                    </w:rPr>
                    <w:t>1、细颗粒物</w:t>
                  </w:r>
                  <w:r>
                    <w:rPr>
                      <w:rFonts w:ascii="Times New Roman" w:hAnsi="Times New Roman" w:cs="Times New Roman"/>
                      <w:color w:val="auto"/>
                      <w:sz w:val="21"/>
                      <w:szCs w:val="21"/>
                      <w:lang w:val="en-US" w:eastAsia="zh-CN" w:bidi="en-US"/>
                    </w:rPr>
                    <w:t>（PM</w:t>
                  </w:r>
                  <w:r>
                    <w:rPr>
                      <w:rFonts w:hint="eastAsia" w:ascii="Times New Roman" w:hAnsi="Times New Roman" w:cs="Times New Roman"/>
                      <w:color w:val="auto"/>
                      <w:sz w:val="21"/>
                      <w:szCs w:val="21"/>
                      <w:vertAlign w:val="subscript"/>
                      <w:lang w:val="en-US" w:eastAsia="zh-CN" w:bidi="en-US"/>
                    </w:rPr>
                    <w:t>2.5</w:t>
                  </w:r>
                  <w:r>
                    <w:rPr>
                      <w:rFonts w:ascii="Times New Roman" w:hAnsi="Times New Roman" w:cs="Times New Roman"/>
                      <w:color w:val="auto"/>
                      <w:sz w:val="21"/>
                      <w:szCs w:val="21"/>
                      <w:lang w:val="en-US" w:eastAsia="zh-CN" w:bidi="en-US"/>
                    </w:rPr>
                    <w:t>）</w:t>
                  </w:r>
                  <w:r>
                    <w:rPr>
                      <w:rFonts w:ascii="Times New Roman" w:hAnsi="Times New Roman" w:cs="Times New Roman"/>
                      <w:color w:val="auto"/>
                      <w:sz w:val="21"/>
                      <w:szCs w:val="21"/>
                    </w:rPr>
                    <w:t>年平均浓度不达标的城市，二氧化硫、氮氧化物、烟粉尘、挥发性有机物四项污染物均需进行2倍削减</w:t>
                  </w:r>
                  <w:r>
                    <w:rPr>
                      <w:rFonts w:hint="eastAsia" w:ascii="Times New Roman" w:hAnsi="Times New Roman" w:cs="Times New Roman"/>
                      <w:color w:val="auto"/>
                      <w:sz w:val="21"/>
                      <w:szCs w:val="21"/>
                      <w:lang w:eastAsia="zh-CN"/>
                    </w:rPr>
                    <w:t>替代</w:t>
                  </w:r>
                  <w:r>
                    <w:rPr>
                      <w:rFonts w:ascii="Times New Roman" w:hAnsi="Times New Roman" w:cs="Times New Roman"/>
                      <w:color w:val="auto"/>
                      <w:sz w:val="21"/>
                      <w:szCs w:val="21"/>
                    </w:rPr>
                    <w:t>（燃煤发电机组大气污染物排放浓度基本达到燃气轮机组排放限值的除外）。</w:t>
                  </w:r>
                </w:p>
              </w:tc>
              <w:tc>
                <w:tcPr>
                  <w:tcW w:w="3678" w:type="dxa"/>
                  <w:tcBorders>
                    <w:tl2br w:val="nil"/>
                    <w:tr2bl w:val="nil"/>
                  </w:tcBorders>
                  <w:vAlign w:val="center"/>
                </w:tcPr>
                <w:p>
                  <w:pPr>
                    <w:jc w:val="center"/>
                    <w:rPr>
                      <w:color w:val="auto"/>
                      <w:szCs w:val="21"/>
                      <w:highlight w:val="yellow"/>
                    </w:rPr>
                  </w:pPr>
                  <w:r>
                    <w:rPr>
                      <w:rFonts w:hint="eastAsia"/>
                      <w:color w:val="auto"/>
                      <w:szCs w:val="21"/>
                    </w:rPr>
                    <w:t>本项目严格执行“倍量削减”方案</w:t>
                  </w:r>
                </w:p>
              </w:tc>
              <w:tc>
                <w:tcPr>
                  <w:tcW w:w="669" w:type="dxa"/>
                  <w:tcBorders>
                    <w:tl2br w:val="nil"/>
                    <w:tr2bl w:val="nil"/>
                  </w:tcBorders>
                  <w:vAlign w:val="center"/>
                </w:tcPr>
                <w:p>
                  <w:pPr>
                    <w:jc w:val="center"/>
                    <w:rPr>
                      <w:color w:val="auto"/>
                      <w:szCs w:val="21"/>
                    </w:rPr>
                  </w:pPr>
                  <w:r>
                    <w:rPr>
                      <w:color w:val="auto"/>
                      <w:szCs w:val="21"/>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6" w:type="dxa"/>
                  <w:vMerge w:val="continue"/>
                  <w:tcBorders>
                    <w:tl2br w:val="nil"/>
                    <w:tr2bl w:val="nil"/>
                  </w:tcBorders>
                  <w:vAlign w:val="center"/>
                </w:tcPr>
                <w:p>
                  <w:pPr>
                    <w:pStyle w:val="83"/>
                    <w:tabs>
                      <w:tab w:val="left" w:pos="317"/>
                    </w:tabs>
                    <w:spacing w:line="240" w:lineRule="auto"/>
                    <w:ind w:firstLine="0"/>
                    <w:jc w:val="center"/>
                    <w:rPr>
                      <w:color w:val="auto"/>
                      <w:sz w:val="21"/>
                      <w:szCs w:val="21"/>
                    </w:rPr>
                  </w:pPr>
                </w:p>
              </w:tc>
              <w:tc>
                <w:tcPr>
                  <w:tcW w:w="715" w:type="dxa"/>
                  <w:vMerge w:val="continue"/>
                  <w:tcBorders>
                    <w:tl2br w:val="nil"/>
                    <w:tr2bl w:val="nil"/>
                  </w:tcBorders>
                  <w:vAlign w:val="center"/>
                </w:tcPr>
                <w:p>
                  <w:pPr>
                    <w:pStyle w:val="83"/>
                    <w:tabs>
                      <w:tab w:val="left" w:pos="317"/>
                    </w:tabs>
                    <w:spacing w:line="240" w:lineRule="auto"/>
                    <w:ind w:firstLine="0"/>
                    <w:jc w:val="center"/>
                    <w:rPr>
                      <w:color w:val="auto"/>
                      <w:sz w:val="21"/>
                      <w:szCs w:val="21"/>
                    </w:rPr>
                  </w:pPr>
                </w:p>
              </w:tc>
              <w:tc>
                <w:tcPr>
                  <w:tcW w:w="7140" w:type="dxa"/>
                  <w:tcBorders>
                    <w:tl2br w:val="nil"/>
                    <w:tr2bl w:val="nil"/>
                  </w:tcBorders>
                  <w:vAlign w:val="center"/>
                </w:tcPr>
                <w:p>
                  <w:pPr>
                    <w:pStyle w:val="83"/>
                    <w:tabs>
                      <w:tab w:val="left" w:pos="336"/>
                    </w:tabs>
                    <w:spacing w:line="240" w:lineRule="auto"/>
                    <w:ind w:firstLine="0"/>
                    <w:jc w:val="center"/>
                    <w:rPr>
                      <w:rFonts w:ascii="Times New Roman" w:hAnsi="Times New Roman" w:cs="Times New Roman"/>
                      <w:color w:val="auto"/>
                      <w:sz w:val="21"/>
                      <w:szCs w:val="21"/>
                    </w:rPr>
                  </w:pPr>
                  <w:r>
                    <w:rPr>
                      <w:rFonts w:ascii="Times New Roman" w:hAnsi="Times New Roman" w:cs="Times New Roman"/>
                      <w:color w:val="auto"/>
                      <w:sz w:val="21"/>
                      <w:szCs w:val="21"/>
                    </w:rPr>
                    <w:t>2、</w:t>
                  </w:r>
                  <w:r>
                    <w:rPr>
                      <w:rFonts w:ascii="Times New Roman" w:hAnsi="Times New Roman" w:cs="Times New Roman"/>
                      <w:color w:val="auto"/>
                      <w:sz w:val="21"/>
                      <w:szCs w:val="21"/>
                    </w:rPr>
                    <w:tab/>
                  </w:r>
                  <w:r>
                    <w:rPr>
                      <w:rFonts w:ascii="Times New Roman" w:hAnsi="Times New Roman" w:cs="Times New Roman"/>
                      <w:color w:val="auto"/>
                      <w:sz w:val="21"/>
                      <w:szCs w:val="21"/>
                    </w:rPr>
                    <w:t>全市范围内禁止新建35蒸吨/小时及以下燃煤锅炉，城市建成区、县城等人口密集区不再建设燃油、燃生物质锅炉。新建锅炉环评文件审批执行新排放标准。新建锅炉应符合质量、安全、节能、环保等各项指标要求。</w:t>
                  </w:r>
                </w:p>
              </w:tc>
              <w:tc>
                <w:tcPr>
                  <w:tcW w:w="3678" w:type="dxa"/>
                  <w:tcBorders>
                    <w:tl2br w:val="nil"/>
                    <w:tr2bl w:val="nil"/>
                  </w:tcBorders>
                  <w:vAlign w:val="center"/>
                </w:tcPr>
                <w:p>
                  <w:pPr>
                    <w:pStyle w:val="83"/>
                    <w:tabs>
                      <w:tab w:val="left" w:pos="317"/>
                    </w:tabs>
                    <w:spacing w:line="240" w:lineRule="auto"/>
                    <w:ind w:firstLine="0"/>
                    <w:jc w:val="center"/>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本项目不涉及锅炉，不进行燃煤</w:t>
                  </w:r>
                </w:p>
              </w:tc>
              <w:tc>
                <w:tcPr>
                  <w:tcW w:w="669" w:type="dxa"/>
                  <w:tcBorders>
                    <w:tl2br w:val="nil"/>
                    <w:tr2bl w:val="nil"/>
                  </w:tcBorders>
                  <w:vAlign w:val="center"/>
                </w:tcPr>
                <w:p>
                  <w:pPr>
                    <w:pStyle w:val="83"/>
                    <w:tabs>
                      <w:tab w:val="left" w:pos="317"/>
                    </w:tabs>
                    <w:spacing w:line="240" w:lineRule="auto"/>
                    <w:ind w:firstLine="0"/>
                    <w:jc w:val="center"/>
                    <w:rPr>
                      <w:rFonts w:ascii="Times New Roman" w:hAnsi="Times New Roman" w:cs="Times New Roman"/>
                      <w:color w:val="auto"/>
                      <w:sz w:val="21"/>
                      <w:szCs w:val="21"/>
                    </w:rPr>
                  </w:pPr>
                  <w:r>
                    <w:rPr>
                      <w:rFonts w:ascii="Times New Roman" w:hAnsi="Times New Roman" w:cs="Times New Roman"/>
                      <w:color w:val="auto"/>
                      <w:sz w:val="21"/>
                      <w:szCs w:val="21"/>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6" w:type="dxa"/>
                  <w:vMerge w:val="continue"/>
                  <w:tcBorders>
                    <w:tl2br w:val="nil"/>
                    <w:tr2bl w:val="nil"/>
                  </w:tcBorders>
                  <w:vAlign w:val="center"/>
                </w:tcPr>
                <w:p>
                  <w:pPr>
                    <w:pStyle w:val="83"/>
                    <w:tabs>
                      <w:tab w:val="left" w:pos="317"/>
                    </w:tabs>
                    <w:spacing w:line="240" w:lineRule="auto"/>
                    <w:ind w:firstLine="0"/>
                    <w:jc w:val="center"/>
                    <w:rPr>
                      <w:rFonts w:ascii="Times New Roman" w:hAnsi="Times New Roman" w:cs="Times New Roman"/>
                      <w:color w:val="auto"/>
                      <w:sz w:val="21"/>
                      <w:szCs w:val="21"/>
                    </w:rPr>
                  </w:pPr>
                </w:p>
              </w:tc>
              <w:tc>
                <w:tcPr>
                  <w:tcW w:w="715" w:type="dxa"/>
                  <w:vMerge w:val="continue"/>
                  <w:tcBorders>
                    <w:tl2br w:val="nil"/>
                    <w:tr2bl w:val="nil"/>
                  </w:tcBorders>
                  <w:vAlign w:val="center"/>
                </w:tcPr>
                <w:p>
                  <w:pPr>
                    <w:pStyle w:val="83"/>
                    <w:tabs>
                      <w:tab w:val="left" w:pos="317"/>
                    </w:tabs>
                    <w:spacing w:line="240" w:lineRule="auto"/>
                    <w:ind w:firstLine="0"/>
                    <w:jc w:val="center"/>
                    <w:rPr>
                      <w:rFonts w:ascii="Times New Roman" w:hAnsi="Times New Roman" w:cs="Times New Roman"/>
                      <w:color w:val="auto"/>
                      <w:sz w:val="21"/>
                      <w:szCs w:val="21"/>
                    </w:rPr>
                  </w:pPr>
                </w:p>
              </w:tc>
              <w:tc>
                <w:tcPr>
                  <w:tcW w:w="7140" w:type="dxa"/>
                  <w:tcBorders>
                    <w:tl2br w:val="nil"/>
                    <w:tr2bl w:val="nil"/>
                  </w:tcBorders>
                  <w:vAlign w:val="center"/>
                </w:tcPr>
                <w:p>
                  <w:pPr>
                    <w:pStyle w:val="83"/>
                    <w:tabs>
                      <w:tab w:val="left" w:pos="302"/>
                    </w:tabs>
                    <w:spacing w:line="240" w:lineRule="auto"/>
                    <w:ind w:firstLine="0"/>
                    <w:jc w:val="center"/>
                    <w:rPr>
                      <w:rFonts w:ascii="Times New Roman" w:hAnsi="Times New Roman" w:cs="Times New Roman"/>
                      <w:color w:val="auto"/>
                      <w:sz w:val="21"/>
                      <w:szCs w:val="21"/>
                    </w:rPr>
                  </w:pPr>
                  <w:r>
                    <w:rPr>
                      <w:rFonts w:ascii="Times New Roman" w:hAnsi="Times New Roman" w:cs="Times New Roman"/>
                      <w:color w:val="auto"/>
                      <w:sz w:val="21"/>
                      <w:szCs w:val="21"/>
                    </w:rPr>
                    <w:t>3、</w:t>
                  </w:r>
                  <w:r>
                    <w:rPr>
                      <w:rFonts w:ascii="Times New Roman" w:hAnsi="Times New Roman" w:cs="Times New Roman"/>
                      <w:color w:val="auto"/>
                      <w:sz w:val="21"/>
                      <w:szCs w:val="21"/>
                    </w:rPr>
                    <w:tab/>
                  </w:r>
                  <w:r>
                    <w:rPr>
                      <w:rFonts w:ascii="Times New Roman" w:hAnsi="Times New Roman" w:cs="Times New Roman"/>
                      <w:color w:val="auto"/>
                      <w:sz w:val="21"/>
                      <w:szCs w:val="21"/>
                    </w:rPr>
                    <w:t>巩固</w:t>
                  </w:r>
                  <w:r>
                    <w:rPr>
                      <w:rFonts w:ascii="Times New Roman" w:hAnsi="Times New Roman" w:cs="Times New Roman"/>
                      <w:color w:val="auto"/>
                      <w:sz w:val="21"/>
                      <w:szCs w:val="21"/>
                      <w:lang w:val="zh-CN" w:eastAsia="zh-CN" w:bidi="zh-CN"/>
                    </w:rPr>
                    <w:t>“双代</w:t>
                  </w:r>
                  <w:r>
                    <w:rPr>
                      <w:rFonts w:ascii="Times New Roman" w:hAnsi="Times New Roman" w:cs="Times New Roman"/>
                      <w:color w:val="auto"/>
                      <w:sz w:val="21"/>
                      <w:szCs w:val="21"/>
                    </w:rPr>
                    <w:t>一清”成果，对</w:t>
                  </w:r>
                  <w:r>
                    <w:rPr>
                      <w:rFonts w:ascii="Times New Roman" w:hAnsi="Times New Roman" w:cs="Times New Roman"/>
                      <w:color w:val="auto"/>
                      <w:sz w:val="21"/>
                      <w:szCs w:val="21"/>
                      <w:lang w:val="zh-CN" w:eastAsia="zh-CN" w:bidi="zh-CN"/>
                    </w:rPr>
                    <w:t>“双代</w:t>
                  </w:r>
                  <w:r>
                    <w:rPr>
                      <w:rFonts w:ascii="Times New Roman" w:hAnsi="Times New Roman" w:cs="Times New Roman"/>
                      <w:color w:val="auto"/>
                      <w:sz w:val="21"/>
                      <w:szCs w:val="21"/>
                      <w:lang w:val="en-US" w:eastAsia="zh-CN" w:bidi="zh-CN"/>
                    </w:rPr>
                    <w:t>”</w:t>
                  </w:r>
                  <w:r>
                    <w:rPr>
                      <w:rFonts w:ascii="Times New Roman" w:hAnsi="Times New Roman" w:cs="Times New Roman"/>
                      <w:color w:val="auto"/>
                      <w:sz w:val="21"/>
                      <w:szCs w:val="21"/>
                    </w:rPr>
                    <w:t>改造外的农户，做好洁净型煤、兰炭、优质无烟煤保供和推广工作，确保洁净煤兜底全覆盖，实现温暖过冬、安全过冬、清洁过冬。</w:t>
                  </w:r>
                </w:p>
              </w:tc>
              <w:tc>
                <w:tcPr>
                  <w:tcW w:w="3678" w:type="dxa"/>
                  <w:tcBorders>
                    <w:tl2br w:val="nil"/>
                    <w:tr2bl w:val="nil"/>
                  </w:tcBorders>
                  <w:vAlign w:val="center"/>
                </w:tcPr>
                <w:p>
                  <w:pPr>
                    <w:pStyle w:val="83"/>
                    <w:tabs>
                      <w:tab w:val="left" w:pos="317"/>
                    </w:tabs>
                    <w:spacing w:line="240" w:lineRule="auto"/>
                    <w:ind w:firstLine="0"/>
                    <w:jc w:val="center"/>
                    <w:rPr>
                      <w:rFonts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本项目不涉及燃料燃烧</w:t>
                  </w:r>
                </w:p>
              </w:tc>
              <w:tc>
                <w:tcPr>
                  <w:tcW w:w="669" w:type="dxa"/>
                  <w:tcBorders>
                    <w:tl2br w:val="nil"/>
                    <w:tr2bl w:val="nil"/>
                  </w:tcBorders>
                  <w:vAlign w:val="center"/>
                </w:tcPr>
                <w:p>
                  <w:pPr>
                    <w:pStyle w:val="83"/>
                    <w:tabs>
                      <w:tab w:val="left" w:pos="317"/>
                    </w:tabs>
                    <w:spacing w:line="240" w:lineRule="auto"/>
                    <w:ind w:firstLine="0"/>
                    <w:jc w:val="center"/>
                    <w:rPr>
                      <w:rFonts w:ascii="Times New Roman" w:hAnsi="Times New Roman" w:cs="Times New Roman"/>
                      <w:color w:val="auto"/>
                      <w:sz w:val="21"/>
                      <w:szCs w:val="21"/>
                    </w:rPr>
                  </w:pPr>
                  <w:r>
                    <w:rPr>
                      <w:rFonts w:ascii="Times New Roman" w:hAnsi="Times New Roman" w:cs="Times New Roman"/>
                      <w:color w:val="auto"/>
                      <w:sz w:val="21"/>
                      <w:szCs w:val="21"/>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6" w:type="dxa"/>
                  <w:vMerge w:val="continue"/>
                  <w:tcBorders>
                    <w:tl2br w:val="nil"/>
                    <w:tr2bl w:val="nil"/>
                  </w:tcBorders>
                  <w:vAlign w:val="center"/>
                </w:tcPr>
                <w:p>
                  <w:pPr>
                    <w:pStyle w:val="83"/>
                    <w:tabs>
                      <w:tab w:val="left" w:pos="317"/>
                    </w:tabs>
                    <w:spacing w:line="240" w:lineRule="auto"/>
                    <w:ind w:firstLine="0"/>
                    <w:jc w:val="center"/>
                    <w:rPr>
                      <w:rFonts w:ascii="Times New Roman" w:hAnsi="Times New Roman" w:cs="Times New Roman"/>
                      <w:color w:val="auto"/>
                      <w:sz w:val="21"/>
                      <w:szCs w:val="21"/>
                    </w:rPr>
                  </w:pPr>
                </w:p>
              </w:tc>
              <w:tc>
                <w:tcPr>
                  <w:tcW w:w="715" w:type="dxa"/>
                  <w:vMerge w:val="continue"/>
                  <w:tcBorders>
                    <w:tl2br w:val="nil"/>
                    <w:tr2bl w:val="nil"/>
                  </w:tcBorders>
                  <w:vAlign w:val="center"/>
                </w:tcPr>
                <w:p>
                  <w:pPr>
                    <w:pStyle w:val="83"/>
                    <w:tabs>
                      <w:tab w:val="left" w:pos="317"/>
                    </w:tabs>
                    <w:spacing w:line="240" w:lineRule="auto"/>
                    <w:ind w:firstLine="0"/>
                    <w:jc w:val="center"/>
                    <w:rPr>
                      <w:rFonts w:ascii="Times New Roman" w:hAnsi="Times New Roman" w:cs="Times New Roman"/>
                      <w:color w:val="auto"/>
                      <w:sz w:val="21"/>
                      <w:szCs w:val="21"/>
                    </w:rPr>
                  </w:pPr>
                </w:p>
              </w:tc>
              <w:tc>
                <w:tcPr>
                  <w:tcW w:w="7140" w:type="dxa"/>
                  <w:tcBorders>
                    <w:tl2br w:val="nil"/>
                    <w:tr2bl w:val="nil"/>
                  </w:tcBorders>
                  <w:vAlign w:val="center"/>
                </w:tcPr>
                <w:p>
                  <w:pPr>
                    <w:pStyle w:val="83"/>
                    <w:tabs>
                      <w:tab w:val="left" w:pos="302"/>
                    </w:tabs>
                    <w:spacing w:line="240" w:lineRule="auto"/>
                    <w:ind w:firstLine="0"/>
                    <w:jc w:val="center"/>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4、</w:t>
                  </w:r>
                  <w:r>
                    <w:rPr>
                      <w:rFonts w:ascii="Times New Roman" w:hAnsi="Times New Roman" w:cs="Times New Roman"/>
                      <w:color w:val="auto"/>
                      <w:sz w:val="21"/>
                      <w:szCs w:val="21"/>
                    </w:rPr>
                    <w:t>加强重污染天气应急联动。加强污染气象条件和空气污染监测、预报预警和评估能力建设，建成全市区域传输监控预警系统，提高重污染天气预报预警的准确度。加大秋冬季工业企业生产调控力度，按照基本抵消新增污染物排放量的原则，对钢铁、建材、焦化、铸造、化工等高排放行业实行强化管控。</w:t>
                  </w:r>
                </w:p>
              </w:tc>
              <w:tc>
                <w:tcPr>
                  <w:tcW w:w="3678" w:type="dxa"/>
                  <w:tcBorders>
                    <w:tl2br w:val="nil"/>
                    <w:tr2bl w:val="nil"/>
                  </w:tcBorders>
                  <w:vAlign w:val="center"/>
                </w:tcPr>
                <w:p>
                  <w:pPr>
                    <w:pStyle w:val="83"/>
                    <w:tabs>
                      <w:tab w:val="left" w:pos="317"/>
                    </w:tabs>
                    <w:spacing w:line="240" w:lineRule="auto"/>
                    <w:ind w:firstLine="0"/>
                    <w:jc w:val="center"/>
                    <w:rPr>
                      <w:rFonts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本项目按照重污染天气响应规定进行停限产</w:t>
                  </w:r>
                </w:p>
              </w:tc>
              <w:tc>
                <w:tcPr>
                  <w:tcW w:w="669" w:type="dxa"/>
                  <w:tcBorders>
                    <w:tl2br w:val="nil"/>
                    <w:tr2bl w:val="nil"/>
                  </w:tcBorders>
                  <w:vAlign w:val="center"/>
                </w:tcPr>
                <w:p>
                  <w:pPr>
                    <w:pStyle w:val="83"/>
                    <w:tabs>
                      <w:tab w:val="left" w:pos="317"/>
                    </w:tabs>
                    <w:spacing w:line="240" w:lineRule="auto"/>
                    <w:ind w:firstLine="0"/>
                    <w:jc w:val="center"/>
                    <w:rPr>
                      <w:rFonts w:ascii="Times New Roman" w:hAnsi="Times New Roman" w:cs="Times New Roman"/>
                      <w:color w:val="auto"/>
                      <w:sz w:val="21"/>
                      <w:szCs w:val="21"/>
                    </w:rPr>
                  </w:pPr>
                  <w:r>
                    <w:rPr>
                      <w:rFonts w:ascii="Times New Roman" w:hAnsi="Times New Roman" w:cs="Times New Roman"/>
                      <w:color w:val="auto"/>
                      <w:sz w:val="21"/>
                      <w:szCs w:val="21"/>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42" w:hRule="atLeast"/>
                <w:jc w:val="center"/>
              </w:trPr>
              <w:tc>
                <w:tcPr>
                  <w:tcW w:w="716" w:type="dxa"/>
                  <w:vMerge w:val="continue"/>
                  <w:tcBorders>
                    <w:tl2br w:val="nil"/>
                    <w:tr2bl w:val="nil"/>
                  </w:tcBorders>
                  <w:vAlign w:val="center"/>
                </w:tcPr>
                <w:p>
                  <w:pPr>
                    <w:pStyle w:val="83"/>
                    <w:tabs>
                      <w:tab w:val="left" w:pos="317"/>
                    </w:tabs>
                    <w:spacing w:line="240" w:lineRule="auto"/>
                    <w:ind w:firstLine="0"/>
                    <w:jc w:val="center"/>
                    <w:rPr>
                      <w:rFonts w:ascii="Times New Roman" w:hAnsi="Times New Roman" w:cs="Times New Roman"/>
                      <w:color w:val="auto"/>
                      <w:sz w:val="21"/>
                      <w:szCs w:val="21"/>
                    </w:rPr>
                  </w:pPr>
                </w:p>
              </w:tc>
              <w:tc>
                <w:tcPr>
                  <w:tcW w:w="715" w:type="dxa"/>
                  <w:vMerge w:val="continue"/>
                  <w:tcBorders>
                    <w:tl2br w:val="nil"/>
                    <w:tr2bl w:val="nil"/>
                  </w:tcBorders>
                  <w:vAlign w:val="center"/>
                </w:tcPr>
                <w:p>
                  <w:pPr>
                    <w:pStyle w:val="83"/>
                    <w:tabs>
                      <w:tab w:val="left" w:pos="317"/>
                    </w:tabs>
                    <w:spacing w:line="240" w:lineRule="auto"/>
                    <w:ind w:firstLine="0"/>
                    <w:jc w:val="center"/>
                    <w:rPr>
                      <w:rFonts w:ascii="Times New Roman" w:hAnsi="Times New Roman" w:cs="Times New Roman"/>
                      <w:color w:val="auto"/>
                      <w:sz w:val="21"/>
                      <w:szCs w:val="21"/>
                    </w:rPr>
                  </w:pPr>
                </w:p>
              </w:tc>
              <w:tc>
                <w:tcPr>
                  <w:tcW w:w="7140" w:type="dxa"/>
                  <w:tcBorders>
                    <w:tl2br w:val="nil"/>
                    <w:tr2bl w:val="nil"/>
                  </w:tcBorders>
                  <w:vAlign w:val="center"/>
                </w:tcPr>
                <w:p>
                  <w:pPr>
                    <w:pStyle w:val="83"/>
                    <w:tabs>
                      <w:tab w:val="left" w:pos="322"/>
                    </w:tabs>
                    <w:spacing w:line="240" w:lineRule="auto"/>
                    <w:ind w:firstLine="0"/>
                    <w:jc w:val="center"/>
                    <w:rPr>
                      <w:rFonts w:ascii="Times New Roman" w:hAnsi="Times New Roman" w:cs="Times New Roman"/>
                      <w:color w:val="auto"/>
                      <w:sz w:val="21"/>
                      <w:szCs w:val="21"/>
                    </w:rPr>
                  </w:pPr>
                  <w:r>
                    <w:rPr>
                      <w:rFonts w:ascii="Times New Roman" w:hAnsi="Times New Roman" w:cs="Times New Roman"/>
                      <w:color w:val="auto"/>
                      <w:sz w:val="21"/>
                      <w:szCs w:val="21"/>
                    </w:rPr>
                    <w:t>5、</w:t>
                  </w:r>
                  <w:r>
                    <w:rPr>
                      <w:rFonts w:ascii="Times New Roman" w:hAnsi="Times New Roman" w:cs="Times New Roman"/>
                      <w:color w:val="auto"/>
                      <w:sz w:val="21"/>
                      <w:szCs w:val="21"/>
                    </w:rPr>
                    <w:tab/>
                  </w:r>
                  <w:r>
                    <w:rPr>
                      <w:rFonts w:ascii="Times New Roman" w:hAnsi="Times New Roman" w:cs="Times New Roman"/>
                      <w:color w:val="auto"/>
                      <w:sz w:val="21"/>
                      <w:szCs w:val="21"/>
                    </w:rPr>
                    <w:t>对保留的工业炉窑开展环保提标改造，配套建设高效脱硫脱硝除尘设施，确保稳定达标排放。加快推进钢铁行业超低排放改造，积极推进平板玻璃行业和水泥行业污染治理升级改造。鼓励具备条件的陶瓷企业陶瓷窑、喷雾干燥塔开展超低排放改造。平板玻璃、建筑陶瓷企业逐步取消脱硫脱硝烟气旁路或设置备用脱硫脱硝等设施，鼓励水泥企业实施全流程污染深度治理’推进具备条件的焦化企业实施干熄焦改造。在保证生产安全前提下，钢铁烧结（球团）、高炉、转炉、轧钢工序实施车间封闭生产</w:t>
                  </w:r>
                  <w:r>
                    <w:rPr>
                      <w:rFonts w:hint="eastAsia" w:ascii="Times New Roman" w:hAnsi="Times New Roman" w:cs="Times New Roman"/>
                      <w:color w:val="auto"/>
                      <w:sz w:val="21"/>
                      <w:szCs w:val="21"/>
                      <w:lang w:val="en-US" w:eastAsia="zh-CN" w:bidi="en-US"/>
                    </w:rPr>
                    <w:t>。</w:t>
                  </w:r>
                  <w:r>
                    <w:rPr>
                      <w:rFonts w:ascii="Times New Roman" w:hAnsi="Times New Roman" w:cs="Times New Roman"/>
                      <w:color w:val="auto"/>
                      <w:sz w:val="21"/>
                      <w:szCs w:val="21"/>
                    </w:rPr>
                    <w:t>己实现超低排放企业，对标行业先进，持续推动污染物排放总量降低。</w:t>
                  </w:r>
                </w:p>
              </w:tc>
              <w:tc>
                <w:tcPr>
                  <w:tcW w:w="3678" w:type="dxa"/>
                  <w:tcBorders>
                    <w:tl2br w:val="nil"/>
                    <w:tr2bl w:val="nil"/>
                  </w:tcBorders>
                  <w:vAlign w:val="center"/>
                </w:tcPr>
                <w:p>
                  <w:pPr>
                    <w:pStyle w:val="83"/>
                    <w:tabs>
                      <w:tab w:val="left" w:pos="317"/>
                    </w:tabs>
                    <w:spacing w:line="240" w:lineRule="auto"/>
                    <w:ind w:firstLine="0"/>
                    <w:jc w:val="center"/>
                    <w:rPr>
                      <w:rFonts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本项目不涉及新增工业炉窑</w:t>
                  </w:r>
                </w:p>
              </w:tc>
              <w:tc>
                <w:tcPr>
                  <w:tcW w:w="669" w:type="dxa"/>
                  <w:tcBorders>
                    <w:tl2br w:val="nil"/>
                    <w:tr2bl w:val="nil"/>
                  </w:tcBorders>
                  <w:vAlign w:val="center"/>
                </w:tcPr>
                <w:p>
                  <w:pPr>
                    <w:pStyle w:val="83"/>
                    <w:tabs>
                      <w:tab w:val="left" w:pos="317"/>
                    </w:tabs>
                    <w:spacing w:line="240" w:lineRule="auto"/>
                    <w:ind w:firstLine="0"/>
                    <w:jc w:val="center"/>
                    <w:rPr>
                      <w:rFonts w:ascii="Times New Roman" w:hAnsi="Times New Roman" w:cs="Times New Roman"/>
                      <w:color w:val="auto"/>
                      <w:sz w:val="21"/>
                      <w:szCs w:val="21"/>
                    </w:rPr>
                  </w:pPr>
                  <w:r>
                    <w:rPr>
                      <w:rFonts w:ascii="Times New Roman" w:hAnsi="Times New Roman" w:cs="Times New Roman"/>
                      <w:color w:val="auto"/>
                      <w:sz w:val="21"/>
                      <w:szCs w:val="21"/>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6" w:type="dxa"/>
                  <w:vMerge w:val="continue"/>
                  <w:tcBorders>
                    <w:tl2br w:val="nil"/>
                    <w:tr2bl w:val="nil"/>
                  </w:tcBorders>
                  <w:vAlign w:val="center"/>
                </w:tcPr>
                <w:p>
                  <w:pPr>
                    <w:pStyle w:val="83"/>
                    <w:tabs>
                      <w:tab w:val="left" w:pos="317"/>
                    </w:tabs>
                    <w:spacing w:line="240" w:lineRule="auto"/>
                    <w:ind w:firstLine="0"/>
                    <w:jc w:val="center"/>
                    <w:rPr>
                      <w:rFonts w:ascii="Times New Roman" w:hAnsi="Times New Roman" w:cs="Times New Roman"/>
                      <w:color w:val="auto"/>
                      <w:sz w:val="21"/>
                      <w:szCs w:val="21"/>
                    </w:rPr>
                  </w:pPr>
                </w:p>
              </w:tc>
              <w:tc>
                <w:tcPr>
                  <w:tcW w:w="715" w:type="dxa"/>
                  <w:vMerge w:val="continue"/>
                  <w:tcBorders>
                    <w:tl2br w:val="nil"/>
                    <w:tr2bl w:val="nil"/>
                  </w:tcBorders>
                  <w:vAlign w:val="center"/>
                </w:tcPr>
                <w:p>
                  <w:pPr>
                    <w:pStyle w:val="83"/>
                    <w:tabs>
                      <w:tab w:val="left" w:pos="317"/>
                    </w:tabs>
                    <w:spacing w:line="240" w:lineRule="auto"/>
                    <w:ind w:firstLine="0"/>
                    <w:jc w:val="center"/>
                    <w:rPr>
                      <w:rFonts w:ascii="Times New Roman" w:hAnsi="Times New Roman" w:cs="Times New Roman"/>
                      <w:color w:val="auto"/>
                      <w:sz w:val="21"/>
                      <w:szCs w:val="21"/>
                    </w:rPr>
                  </w:pPr>
                </w:p>
              </w:tc>
              <w:tc>
                <w:tcPr>
                  <w:tcW w:w="7140" w:type="dxa"/>
                  <w:tcBorders>
                    <w:tl2br w:val="nil"/>
                    <w:tr2bl w:val="nil"/>
                  </w:tcBorders>
                  <w:vAlign w:val="center"/>
                </w:tcPr>
                <w:p>
                  <w:pPr>
                    <w:pStyle w:val="83"/>
                    <w:numPr>
                      <w:ilvl w:val="0"/>
                      <w:numId w:val="1"/>
                    </w:numPr>
                    <w:tabs>
                      <w:tab w:val="left" w:pos="322"/>
                    </w:tabs>
                    <w:spacing w:line="240" w:lineRule="auto"/>
                    <w:ind w:firstLine="0"/>
                    <w:jc w:val="center"/>
                    <w:rPr>
                      <w:rFonts w:ascii="Times New Roman" w:hAnsi="Times New Roman" w:cs="Times New Roman"/>
                      <w:color w:val="auto"/>
                      <w:sz w:val="21"/>
                      <w:szCs w:val="21"/>
                    </w:rPr>
                  </w:pPr>
                  <w:r>
                    <w:rPr>
                      <w:rFonts w:ascii="Times New Roman" w:hAnsi="Times New Roman" w:cs="Times New Roman"/>
                      <w:color w:val="auto"/>
                      <w:sz w:val="21"/>
                      <w:szCs w:val="21"/>
                    </w:rPr>
                    <w:t>加快重点行业超低排放改造。深入实施工业企业排放达标计划，未达标排放的企业一律依法停产整治以钢铁、焦化等行业为重点，全面实施超低排放改造。推进工业企业</w:t>
                  </w:r>
                  <w:r>
                    <w:rPr>
                      <w:rFonts w:ascii="Times New Roman" w:hAnsi="Times New Roman" w:cs="Times New Roman"/>
                      <w:color w:val="auto"/>
                      <w:sz w:val="21"/>
                      <w:szCs w:val="21"/>
                      <w:lang w:val="zh-CN" w:eastAsia="zh-CN" w:bidi="zh-CN"/>
                    </w:rPr>
                    <w:t>“持证</w:t>
                  </w:r>
                  <w:r>
                    <w:rPr>
                      <w:rFonts w:ascii="Times New Roman" w:hAnsi="Times New Roman" w:cs="Times New Roman"/>
                      <w:color w:val="auto"/>
                      <w:sz w:val="21"/>
                      <w:szCs w:val="21"/>
                    </w:rPr>
                    <w:t>排污”、“按证排污”，推行企业排放绩效管理、实行差异化管控。</w:t>
                  </w:r>
                </w:p>
              </w:tc>
              <w:tc>
                <w:tcPr>
                  <w:tcW w:w="3678" w:type="dxa"/>
                  <w:tcBorders>
                    <w:tl2br w:val="nil"/>
                    <w:tr2bl w:val="nil"/>
                  </w:tcBorders>
                  <w:vAlign w:val="center"/>
                </w:tcPr>
                <w:p>
                  <w:pPr>
                    <w:pStyle w:val="83"/>
                    <w:tabs>
                      <w:tab w:val="left" w:pos="317"/>
                    </w:tabs>
                    <w:spacing w:line="240" w:lineRule="auto"/>
                    <w:ind w:firstLine="0"/>
                    <w:jc w:val="center"/>
                    <w:rPr>
                      <w:rFonts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本项目不涉及</w:t>
                  </w:r>
                </w:p>
              </w:tc>
              <w:tc>
                <w:tcPr>
                  <w:tcW w:w="669" w:type="dxa"/>
                  <w:tcBorders>
                    <w:tl2br w:val="nil"/>
                    <w:tr2bl w:val="nil"/>
                  </w:tcBorders>
                  <w:vAlign w:val="center"/>
                </w:tcPr>
                <w:p>
                  <w:pPr>
                    <w:pStyle w:val="83"/>
                    <w:tabs>
                      <w:tab w:val="left" w:pos="317"/>
                    </w:tabs>
                    <w:spacing w:line="240" w:lineRule="auto"/>
                    <w:ind w:firstLine="0"/>
                    <w:jc w:val="center"/>
                    <w:rPr>
                      <w:rFonts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6" w:type="dxa"/>
                  <w:vMerge w:val="continue"/>
                  <w:tcBorders>
                    <w:tl2br w:val="nil"/>
                    <w:tr2bl w:val="nil"/>
                  </w:tcBorders>
                  <w:vAlign w:val="center"/>
                </w:tcPr>
                <w:p>
                  <w:pPr>
                    <w:pStyle w:val="83"/>
                    <w:tabs>
                      <w:tab w:val="left" w:pos="317"/>
                    </w:tabs>
                    <w:spacing w:line="240" w:lineRule="auto"/>
                    <w:ind w:firstLine="0"/>
                    <w:jc w:val="center"/>
                    <w:rPr>
                      <w:rFonts w:ascii="Times New Roman" w:hAnsi="Times New Roman" w:cs="Times New Roman"/>
                      <w:color w:val="auto"/>
                      <w:sz w:val="21"/>
                      <w:szCs w:val="21"/>
                    </w:rPr>
                  </w:pPr>
                </w:p>
              </w:tc>
              <w:tc>
                <w:tcPr>
                  <w:tcW w:w="715" w:type="dxa"/>
                  <w:vMerge w:val="continue"/>
                  <w:tcBorders>
                    <w:tl2br w:val="nil"/>
                    <w:tr2bl w:val="nil"/>
                  </w:tcBorders>
                  <w:vAlign w:val="center"/>
                </w:tcPr>
                <w:p>
                  <w:pPr>
                    <w:pStyle w:val="83"/>
                    <w:tabs>
                      <w:tab w:val="left" w:pos="317"/>
                    </w:tabs>
                    <w:spacing w:line="240" w:lineRule="auto"/>
                    <w:ind w:firstLine="0"/>
                    <w:jc w:val="center"/>
                    <w:rPr>
                      <w:rFonts w:ascii="Times New Roman" w:hAnsi="Times New Roman" w:cs="Times New Roman"/>
                      <w:color w:val="auto"/>
                      <w:sz w:val="21"/>
                      <w:szCs w:val="21"/>
                    </w:rPr>
                  </w:pPr>
                </w:p>
              </w:tc>
              <w:tc>
                <w:tcPr>
                  <w:tcW w:w="7140" w:type="dxa"/>
                  <w:tcBorders>
                    <w:tl2br w:val="nil"/>
                    <w:tr2bl w:val="nil"/>
                  </w:tcBorders>
                  <w:vAlign w:val="center"/>
                </w:tcPr>
                <w:p>
                  <w:pPr>
                    <w:pStyle w:val="83"/>
                    <w:tabs>
                      <w:tab w:val="left" w:pos="322"/>
                    </w:tabs>
                    <w:spacing w:line="240" w:lineRule="auto"/>
                    <w:ind w:firstLine="0"/>
                    <w:jc w:val="center"/>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7、</w:t>
                  </w:r>
                  <w:r>
                    <w:rPr>
                      <w:rFonts w:ascii="Times New Roman" w:hAnsi="Times New Roman" w:cs="Times New Roman"/>
                      <w:color w:val="auto"/>
                      <w:sz w:val="21"/>
                      <w:szCs w:val="21"/>
                    </w:rPr>
                    <w:t>开展钢铁、建材、火电、焦化、铸造等重点行业无组织排放排查工作，以县（市）区为单位分行业建立无组织排放改造清单和管理台账；物料存储运输等全部釆用密闭形式。</w:t>
                  </w:r>
                </w:p>
              </w:tc>
              <w:tc>
                <w:tcPr>
                  <w:tcW w:w="3678" w:type="dxa"/>
                  <w:tcBorders>
                    <w:tl2br w:val="nil"/>
                    <w:tr2bl w:val="nil"/>
                  </w:tcBorders>
                  <w:vAlign w:val="center"/>
                </w:tcPr>
                <w:p>
                  <w:pPr>
                    <w:pStyle w:val="83"/>
                    <w:tabs>
                      <w:tab w:val="left" w:pos="317"/>
                    </w:tabs>
                    <w:spacing w:line="240" w:lineRule="auto"/>
                    <w:ind w:firstLine="0"/>
                    <w:jc w:val="center"/>
                    <w:rPr>
                      <w:rFonts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项目于产尘点设置集气罩捕集废气以减少无组织颗粒物产生，车间全封闭可使无组织颗粒物自然沉降后无组织排放</w:t>
                  </w:r>
                </w:p>
              </w:tc>
              <w:tc>
                <w:tcPr>
                  <w:tcW w:w="669" w:type="dxa"/>
                  <w:tcBorders>
                    <w:tl2br w:val="nil"/>
                    <w:tr2bl w:val="nil"/>
                  </w:tcBorders>
                  <w:vAlign w:val="center"/>
                </w:tcPr>
                <w:p>
                  <w:pPr>
                    <w:pStyle w:val="83"/>
                    <w:tabs>
                      <w:tab w:val="left" w:pos="317"/>
                    </w:tabs>
                    <w:spacing w:line="240" w:lineRule="auto"/>
                    <w:ind w:firstLine="0"/>
                    <w:jc w:val="center"/>
                    <w:rPr>
                      <w:rFonts w:ascii="Times New Roman" w:hAnsi="Times New Roman" w:cs="Times New Roman"/>
                      <w:color w:val="auto"/>
                      <w:sz w:val="21"/>
                      <w:szCs w:val="21"/>
                    </w:rPr>
                  </w:pPr>
                  <w:r>
                    <w:rPr>
                      <w:rFonts w:ascii="Times New Roman" w:hAnsi="Times New Roman" w:cs="Times New Roman"/>
                      <w:color w:val="auto"/>
                      <w:sz w:val="21"/>
                      <w:szCs w:val="21"/>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12" w:hRule="atLeast"/>
                <w:jc w:val="center"/>
              </w:trPr>
              <w:tc>
                <w:tcPr>
                  <w:tcW w:w="716" w:type="dxa"/>
                  <w:vMerge w:val="continue"/>
                  <w:tcBorders>
                    <w:tl2br w:val="nil"/>
                    <w:tr2bl w:val="nil"/>
                  </w:tcBorders>
                  <w:vAlign w:val="center"/>
                </w:tcPr>
                <w:p>
                  <w:pPr>
                    <w:pStyle w:val="83"/>
                    <w:tabs>
                      <w:tab w:val="left" w:pos="317"/>
                    </w:tabs>
                    <w:spacing w:line="240" w:lineRule="auto"/>
                    <w:ind w:firstLine="0"/>
                    <w:jc w:val="center"/>
                    <w:rPr>
                      <w:rFonts w:ascii="Times New Roman" w:hAnsi="Times New Roman" w:cs="Times New Roman"/>
                      <w:color w:val="auto"/>
                      <w:sz w:val="21"/>
                      <w:szCs w:val="21"/>
                    </w:rPr>
                  </w:pPr>
                </w:p>
              </w:tc>
              <w:tc>
                <w:tcPr>
                  <w:tcW w:w="715" w:type="dxa"/>
                  <w:vMerge w:val="continue"/>
                  <w:tcBorders>
                    <w:tl2br w:val="nil"/>
                    <w:tr2bl w:val="nil"/>
                  </w:tcBorders>
                  <w:vAlign w:val="center"/>
                </w:tcPr>
                <w:p>
                  <w:pPr>
                    <w:pStyle w:val="83"/>
                    <w:tabs>
                      <w:tab w:val="left" w:pos="317"/>
                    </w:tabs>
                    <w:spacing w:line="240" w:lineRule="auto"/>
                    <w:ind w:firstLine="0"/>
                    <w:jc w:val="center"/>
                    <w:rPr>
                      <w:rFonts w:ascii="Times New Roman" w:hAnsi="Times New Roman" w:cs="Times New Roman"/>
                      <w:color w:val="auto"/>
                      <w:sz w:val="21"/>
                      <w:szCs w:val="21"/>
                    </w:rPr>
                  </w:pPr>
                </w:p>
              </w:tc>
              <w:tc>
                <w:tcPr>
                  <w:tcW w:w="7140" w:type="dxa"/>
                  <w:tcBorders>
                    <w:tl2br w:val="nil"/>
                    <w:tr2bl w:val="nil"/>
                  </w:tcBorders>
                  <w:vAlign w:val="center"/>
                </w:tcPr>
                <w:p>
                  <w:pPr>
                    <w:pStyle w:val="83"/>
                    <w:tabs>
                      <w:tab w:val="left" w:pos="302"/>
                    </w:tabs>
                    <w:spacing w:line="240" w:lineRule="auto"/>
                    <w:ind w:firstLine="0"/>
                    <w:jc w:val="center"/>
                    <w:rPr>
                      <w:rFonts w:ascii="Times New Roman" w:hAnsi="Times New Roman" w:cs="Times New Roman"/>
                      <w:color w:val="auto"/>
                      <w:sz w:val="21"/>
                      <w:szCs w:val="21"/>
                      <w:lang w:val="en-US"/>
                    </w:rPr>
                  </w:pPr>
                  <w:r>
                    <w:rPr>
                      <w:rFonts w:ascii="Times New Roman" w:hAnsi="Times New Roman" w:cs="Times New Roman"/>
                      <w:color w:val="auto"/>
                      <w:sz w:val="21"/>
                      <w:szCs w:val="21"/>
                    </w:rPr>
                    <w:t>8、加快油品质量升级。按照国家部署要求，</w:t>
                  </w:r>
                  <w:r>
                    <w:rPr>
                      <w:rFonts w:hint="eastAsia" w:ascii="Times New Roman" w:hAnsi="Times New Roman" w:cs="Times New Roman"/>
                      <w:color w:val="auto"/>
                      <w:sz w:val="21"/>
                      <w:szCs w:val="21"/>
                      <w:lang w:val="en-US" w:eastAsia="zh-CN"/>
                    </w:rPr>
                    <w:t>全面</w:t>
                  </w:r>
                  <w:r>
                    <w:rPr>
                      <w:rFonts w:ascii="Times New Roman" w:hAnsi="Times New Roman" w:cs="Times New Roman"/>
                      <w:color w:val="auto"/>
                      <w:sz w:val="21"/>
                      <w:szCs w:val="21"/>
                    </w:rPr>
                    <w:t>供应符合国六标准的车用汽柴油，实现车用柴油、普通柴油、部分船舶用油</w:t>
                  </w:r>
                  <w:r>
                    <w:rPr>
                      <w:rFonts w:ascii="Times New Roman" w:hAnsi="Times New Roman" w:cs="Times New Roman"/>
                      <w:color w:val="auto"/>
                      <w:sz w:val="21"/>
                      <w:szCs w:val="21"/>
                      <w:lang w:val="zh-CN" w:eastAsia="zh-CN" w:bidi="zh-CN"/>
                    </w:rPr>
                    <w:t>“三</w:t>
                  </w:r>
                  <w:r>
                    <w:rPr>
                      <w:rFonts w:ascii="Times New Roman" w:hAnsi="Times New Roman" w:cs="Times New Roman"/>
                      <w:color w:val="auto"/>
                      <w:sz w:val="21"/>
                      <w:szCs w:val="21"/>
                    </w:rPr>
                    <w:t>油并轨</w:t>
                  </w:r>
                  <w:r>
                    <w:rPr>
                      <w:rFonts w:ascii="Times New Roman" w:hAnsi="Times New Roman" w:cs="Times New Roman"/>
                      <w:color w:val="auto"/>
                      <w:sz w:val="21"/>
                      <w:szCs w:val="21"/>
                      <w:lang w:val="en-US" w:eastAsia="zh-CN"/>
                    </w:rPr>
                    <w:t>”</w:t>
                  </w:r>
                  <w:r>
                    <w:rPr>
                      <w:rFonts w:hint="eastAsia" w:ascii="Times New Roman" w:hAnsi="Times New Roman" w:cs="Times New Roman"/>
                      <w:color w:val="auto"/>
                      <w:sz w:val="21"/>
                      <w:szCs w:val="21"/>
                      <w:lang w:val="en-US" w:eastAsia="zh-CN"/>
                    </w:rPr>
                    <w:t>。</w:t>
                  </w:r>
                </w:p>
              </w:tc>
              <w:tc>
                <w:tcPr>
                  <w:tcW w:w="3678" w:type="dxa"/>
                  <w:tcBorders>
                    <w:tl2br w:val="nil"/>
                    <w:tr2bl w:val="nil"/>
                  </w:tcBorders>
                  <w:vAlign w:val="center"/>
                </w:tcPr>
                <w:p>
                  <w:pPr>
                    <w:jc w:val="center"/>
                    <w:rPr>
                      <w:color w:val="auto"/>
                      <w:szCs w:val="21"/>
                    </w:rPr>
                  </w:pPr>
                  <w:r>
                    <w:rPr>
                      <w:color w:val="auto"/>
                      <w:szCs w:val="21"/>
                    </w:rPr>
                    <w:t>项目原料、成品运输均采用新能源汽车或达到国六排放标准的汽车</w:t>
                  </w:r>
                </w:p>
              </w:tc>
              <w:tc>
                <w:tcPr>
                  <w:tcW w:w="669" w:type="dxa"/>
                  <w:tcBorders>
                    <w:tl2br w:val="nil"/>
                    <w:tr2bl w:val="nil"/>
                  </w:tcBorders>
                  <w:vAlign w:val="center"/>
                </w:tcPr>
                <w:p>
                  <w:pPr>
                    <w:pStyle w:val="83"/>
                    <w:tabs>
                      <w:tab w:val="left" w:pos="317"/>
                    </w:tabs>
                    <w:spacing w:line="240" w:lineRule="auto"/>
                    <w:ind w:firstLine="0"/>
                    <w:jc w:val="center"/>
                    <w:rPr>
                      <w:rFonts w:ascii="Times New Roman" w:hAnsi="Times New Roman" w:cs="Times New Roman"/>
                      <w:color w:val="auto"/>
                      <w:sz w:val="21"/>
                      <w:szCs w:val="21"/>
                    </w:rPr>
                  </w:pPr>
                  <w:r>
                    <w:rPr>
                      <w:rFonts w:ascii="Times New Roman" w:hAnsi="Times New Roman" w:cs="Times New Roman"/>
                      <w:color w:val="auto"/>
                      <w:sz w:val="21"/>
                      <w:szCs w:val="21"/>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6" w:type="dxa"/>
                  <w:vMerge w:val="continue"/>
                  <w:tcBorders>
                    <w:tl2br w:val="nil"/>
                    <w:tr2bl w:val="nil"/>
                  </w:tcBorders>
                  <w:vAlign w:val="center"/>
                </w:tcPr>
                <w:p>
                  <w:pPr>
                    <w:pStyle w:val="83"/>
                    <w:tabs>
                      <w:tab w:val="left" w:pos="317"/>
                    </w:tabs>
                    <w:spacing w:line="240" w:lineRule="auto"/>
                    <w:ind w:firstLine="0"/>
                    <w:jc w:val="center"/>
                    <w:rPr>
                      <w:rFonts w:ascii="Times New Roman" w:hAnsi="Times New Roman" w:cs="Times New Roman"/>
                      <w:color w:val="auto"/>
                      <w:sz w:val="21"/>
                      <w:szCs w:val="21"/>
                    </w:rPr>
                  </w:pPr>
                </w:p>
              </w:tc>
              <w:tc>
                <w:tcPr>
                  <w:tcW w:w="715" w:type="dxa"/>
                  <w:vMerge w:val="continue"/>
                  <w:tcBorders>
                    <w:tl2br w:val="nil"/>
                    <w:tr2bl w:val="nil"/>
                  </w:tcBorders>
                  <w:vAlign w:val="center"/>
                </w:tcPr>
                <w:p>
                  <w:pPr>
                    <w:pStyle w:val="83"/>
                    <w:tabs>
                      <w:tab w:val="left" w:pos="317"/>
                    </w:tabs>
                    <w:spacing w:line="240" w:lineRule="auto"/>
                    <w:ind w:firstLine="0"/>
                    <w:jc w:val="center"/>
                    <w:rPr>
                      <w:rFonts w:ascii="Times New Roman" w:hAnsi="Times New Roman" w:cs="Times New Roman"/>
                      <w:color w:val="auto"/>
                      <w:sz w:val="21"/>
                      <w:szCs w:val="21"/>
                    </w:rPr>
                  </w:pPr>
                </w:p>
              </w:tc>
              <w:tc>
                <w:tcPr>
                  <w:tcW w:w="7140" w:type="dxa"/>
                  <w:tcBorders>
                    <w:tl2br w:val="nil"/>
                    <w:tr2bl w:val="nil"/>
                  </w:tcBorders>
                  <w:vAlign w:val="center"/>
                </w:tcPr>
                <w:p>
                  <w:pPr>
                    <w:pStyle w:val="83"/>
                    <w:tabs>
                      <w:tab w:val="left" w:pos="322"/>
                    </w:tabs>
                    <w:spacing w:line="240" w:lineRule="auto"/>
                    <w:ind w:firstLine="0"/>
                    <w:jc w:val="center"/>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9、</w:t>
                  </w:r>
                  <w:r>
                    <w:rPr>
                      <w:rFonts w:ascii="Times New Roman" w:hAnsi="Times New Roman" w:cs="Times New Roman"/>
                      <w:color w:val="auto"/>
                      <w:sz w:val="21"/>
                      <w:szCs w:val="21"/>
                    </w:rPr>
                    <w:t>加强机动车监管和尾气治理。加快柴油货车治理，推动货运经营整合升级、提质增效，加快规模化发展、连锁化</w:t>
                  </w:r>
                  <w:r>
                    <w:rPr>
                      <w:rFonts w:ascii="Times New Roman" w:hAnsi="Times New Roman" w:cs="Times New Roman"/>
                      <w:color w:val="auto"/>
                      <w:sz w:val="21"/>
                      <w:szCs w:val="21"/>
                      <w:lang w:val="zh-CN" w:eastAsia="zh-CN" w:bidi="zh-CN"/>
                    </w:rPr>
                    <w:t>经营。</w:t>
                  </w:r>
                  <w:r>
                    <w:rPr>
                      <w:rFonts w:ascii="Times New Roman" w:hAnsi="Times New Roman" w:cs="Times New Roman"/>
                      <w:color w:val="auto"/>
                      <w:sz w:val="21"/>
                      <w:szCs w:val="21"/>
                    </w:rPr>
                    <w:t>实施清洁柴油车</w:t>
                  </w: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rPr>
                    <w:t>清洁运输和清洁油品行动，降低污染排放总量。</w:t>
                  </w:r>
                </w:p>
              </w:tc>
              <w:tc>
                <w:tcPr>
                  <w:tcW w:w="3678" w:type="dxa"/>
                  <w:tcBorders>
                    <w:tl2br w:val="nil"/>
                    <w:tr2bl w:val="nil"/>
                  </w:tcBorders>
                  <w:vAlign w:val="center"/>
                </w:tcPr>
                <w:p>
                  <w:pPr>
                    <w:jc w:val="center"/>
                    <w:rPr>
                      <w:color w:val="auto"/>
                      <w:szCs w:val="21"/>
                    </w:rPr>
                  </w:pPr>
                  <w:r>
                    <w:rPr>
                      <w:color w:val="auto"/>
                      <w:szCs w:val="21"/>
                    </w:rPr>
                    <w:t>项目原料、成品运输均采用新能源汽车或达到国六排放标准的汽车</w:t>
                  </w:r>
                </w:p>
              </w:tc>
              <w:tc>
                <w:tcPr>
                  <w:tcW w:w="669" w:type="dxa"/>
                  <w:tcBorders>
                    <w:tl2br w:val="nil"/>
                    <w:tr2bl w:val="nil"/>
                  </w:tcBorders>
                  <w:vAlign w:val="center"/>
                </w:tcPr>
                <w:p>
                  <w:pPr>
                    <w:pStyle w:val="83"/>
                    <w:tabs>
                      <w:tab w:val="left" w:pos="317"/>
                    </w:tabs>
                    <w:spacing w:line="240" w:lineRule="auto"/>
                    <w:ind w:firstLine="0"/>
                    <w:jc w:val="center"/>
                    <w:rPr>
                      <w:rFonts w:ascii="Times New Roman" w:hAnsi="Times New Roman" w:cs="Times New Roman"/>
                      <w:color w:val="auto"/>
                      <w:sz w:val="21"/>
                      <w:szCs w:val="21"/>
                    </w:rPr>
                  </w:pPr>
                  <w:r>
                    <w:rPr>
                      <w:rFonts w:ascii="Times New Roman" w:hAnsi="Times New Roman" w:cs="Times New Roman"/>
                      <w:color w:val="auto"/>
                      <w:sz w:val="21"/>
                      <w:szCs w:val="21"/>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6" w:type="dxa"/>
                  <w:vMerge w:val="continue"/>
                  <w:tcBorders>
                    <w:tl2br w:val="nil"/>
                    <w:tr2bl w:val="nil"/>
                  </w:tcBorders>
                  <w:vAlign w:val="center"/>
                </w:tcPr>
                <w:p>
                  <w:pPr>
                    <w:pStyle w:val="83"/>
                    <w:tabs>
                      <w:tab w:val="left" w:pos="317"/>
                    </w:tabs>
                    <w:spacing w:line="240" w:lineRule="auto"/>
                    <w:ind w:firstLine="0"/>
                    <w:jc w:val="center"/>
                    <w:rPr>
                      <w:rFonts w:ascii="Times New Roman" w:hAnsi="Times New Roman" w:cs="Times New Roman"/>
                      <w:color w:val="auto"/>
                      <w:sz w:val="21"/>
                      <w:szCs w:val="21"/>
                    </w:rPr>
                  </w:pPr>
                </w:p>
              </w:tc>
              <w:tc>
                <w:tcPr>
                  <w:tcW w:w="715" w:type="dxa"/>
                  <w:vMerge w:val="continue"/>
                  <w:tcBorders>
                    <w:tl2br w:val="nil"/>
                    <w:tr2bl w:val="nil"/>
                  </w:tcBorders>
                  <w:vAlign w:val="center"/>
                </w:tcPr>
                <w:p>
                  <w:pPr>
                    <w:pStyle w:val="83"/>
                    <w:tabs>
                      <w:tab w:val="left" w:pos="317"/>
                    </w:tabs>
                    <w:spacing w:line="240" w:lineRule="auto"/>
                    <w:ind w:firstLine="0"/>
                    <w:jc w:val="center"/>
                    <w:rPr>
                      <w:rFonts w:ascii="Times New Roman" w:hAnsi="Times New Roman" w:cs="Times New Roman"/>
                      <w:color w:val="auto"/>
                      <w:sz w:val="21"/>
                      <w:szCs w:val="21"/>
                    </w:rPr>
                  </w:pPr>
                </w:p>
              </w:tc>
              <w:tc>
                <w:tcPr>
                  <w:tcW w:w="7140" w:type="dxa"/>
                  <w:tcBorders>
                    <w:tl2br w:val="nil"/>
                    <w:tr2bl w:val="nil"/>
                  </w:tcBorders>
                  <w:vAlign w:val="center"/>
                </w:tcPr>
                <w:p>
                  <w:pPr>
                    <w:pStyle w:val="83"/>
                    <w:tabs>
                      <w:tab w:val="left" w:pos="427"/>
                    </w:tabs>
                    <w:spacing w:line="240" w:lineRule="auto"/>
                    <w:ind w:firstLine="0"/>
                    <w:jc w:val="center"/>
                    <w:rPr>
                      <w:rFonts w:ascii="Times New Roman" w:hAnsi="Times New Roman" w:cs="Times New Roman"/>
                      <w:color w:val="auto"/>
                      <w:sz w:val="21"/>
                      <w:szCs w:val="21"/>
                    </w:rPr>
                  </w:pPr>
                  <w:r>
                    <w:rPr>
                      <w:rFonts w:ascii="Times New Roman" w:hAnsi="Times New Roman" w:cs="Times New Roman"/>
                      <w:color w:val="auto"/>
                      <w:sz w:val="21"/>
                      <w:szCs w:val="21"/>
                    </w:rPr>
                    <w:t>10、</w:t>
                  </w:r>
                  <w:r>
                    <w:rPr>
                      <w:rFonts w:ascii="Times New Roman" w:hAnsi="Times New Roman" w:cs="Times New Roman"/>
                      <w:color w:val="auto"/>
                      <w:sz w:val="21"/>
                      <w:szCs w:val="21"/>
                    </w:rPr>
                    <w:tab/>
                  </w:r>
                  <w:r>
                    <w:rPr>
                      <w:rFonts w:ascii="Times New Roman" w:hAnsi="Times New Roman" w:cs="Times New Roman"/>
                      <w:color w:val="auto"/>
                      <w:sz w:val="21"/>
                      <w:szCs w:val="21"/>
                    </w:rPr>
                    <w:t>加快推广应用新能源汽车，港口、机场、铁路货场等新增或更换作业车辆主要采用新能源汽车，加快完善优化充电基础设施</w:t>
                  </w:r>
                  <w:r>
                    <w:rPr>
                      <w:rFonts w:hint="eastAsia" w:ascii="Times New Roman" w:hAnsi="Times New Roman" w:cs="Times New Roman"/>
                      <w:color w:val="auto"/>
                      <w:sz w:val="21"/>
                      <w:szCs w:val="21"/>
                      <w:lang w:eastAsia="zh-CN"/>
                    </w:rPr>
                    <w:t>。</w:t>
                  </w:r>
                </w:p>
              </w:tc>
              <w:tc>
                <w:tcPr>
                  <w:tcW w:w="3678" w:type="dxa"/>
                  <w:tcBorders>
                    <w:tl2br w:val="nil"/>
                    <w:tr2bl w:val="nil"/>
                  </w:tcBorders>
                  <w:vAlign w:val="center"/>
                </w:tcPr>
                <w:p>
                  <w:pPr>
                    <w:jc w:val="center"/>
                    <w:rPr>
                      <w:color w:val="auto"/>
                      <w:szCs w:val="21"/>
                    </w:rPr>
                  </w:pPr>
                  <w:r>
                    <w:rPr>
                      <w:color w:val="auto"/>
                      <w:szCs w:val="21"/>
                    </w:rPr>
                    <w:t>项目原料、成品运输均采用新能源汽车或达到国六排放标准的汽车</w:t>
                  </w:r>
                </w:p>
              </w:tc>
              <w:tc>
                <w:tcPr>
                  <w:tcW w:w="669" w:type="dxa"/>
                  <w:tcBorders>
                    <w:tl2br w:val="nil"/>
                    <w:tr2bl w:val="nil"/>
                  </w:tcBorders>
                  <w:vAlign w:val="center"/>
                </w:tcPr>
                <w:p>
                  <w:pPr>
                    <w:pStyle w:val="83"/>
                    <w:tabs>
                      <w:tab w:val="left" w:pos="317"/>
                    </w:tabs>
                    <w:spacing w:line="240" w:lineRule="auto"/>
                    <w:ind w:firstLine="0"/>
                    <w:jc w:val="center"/>
                    <w:rPr>
                      <w:rFonts w:ascii="Times New Roman" w:hAnsi="Times New Roman" w:cs="Times New Roman"/>
                      <w:color w:val="auto"/>
                      <w:sz w:val="21"/>
                      <w:szCs w:val="21"/>
                    </w:rPr>
                  </w:pPr>
                  <w:r>
                    <w:rPr>
                      <w:rFonts w:ascii="Times New Roman" w:hAnsi="Times New Roman" w:cs="Times New Roman"/>
                      <w:color w:val="auto"/>
                      <w:sz w:val="21"/>
                      <w:szCs w:val="21"/>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6" w:type="dxa"/>
                  <w:vMerge w:val="continue"/>
                  <w:tcBorders>
                    <w:tl2br w:val="nil"/>
                    <w:tr2bl w:val="nil"/>
                  </w:tcBorders>
                  <w:vAlign w:val="center"/>
                </w:tcPr>
                <w:p>
                  <w:pPr>
                    <w:pStyle w:val="83"/>
                    <w:tabs>
                      <w:tab w:val="left" w:pos="317"/>
                    </w:tabs>
                    <w:spacing w:line="240" w:lineRule="auto"/>
                    <w:ind w:firstLine="0"/>
                    <w:jc w:val="center"/>
                    <w:rPr>
                      <w:rFonts w:ascii="Times New Roman" w:hAnsi="Times New Roman" w:cs="Times New Roman"/>
                      <w:color w:val="auto"/>
                      <w:sz w:val="21"/>
                      <w:szCs w:val="21"/>
                    </w:rPr>
                  </w:pPr>
                </w:p>
              </w:tc>
              <w:tc>
                <w:tcPr>
                  <w:tcW w:w="715" w:type="dxa"/>
                  <w:vMerge w:val="continue"/>
                  <w:tcBorders>
                    <w:tl2br w:val="nil"/>
                    <w:tr2bl w:val="nil"/>
                  </w:tcBorders>
                  <w:vAlign w:val="center"/>
                </w:tcPr>
                <w:p>
                  <w:pPr>
                    <w:pStyle w:val="83"/>
                    <w:tabs>
                      <w:tab w:val="left" w:pos="317"/>
                    </w:tabs>
                    <w:spacing w:line="240" w:lineRule="auto"/>
                    <w:ind w:firstLine="0"/>
                    <w:jc w:val="center"/>
                    <w:rPr>
                      <w:rFonts w:ascii="Times New Roman" w:hAnsi="Times New Roman" w:cs="Times New Roman"/>
                      <w:color w:val="auto"/>
                      <w:sz w:val="21"/>
                      <w:szCs w:val="21"/>
                    </w:rPr>
                  </w:pPr>
                </w:p>
              </w:tc>
              <w:tc>
                <w:tcPr>
                  <w:tcW w:w="7140" w:type="dxa"/>
                  <w:tcBorders>
                    <w:tl2br w:val="nil"/>
                    <w:tr2bl w:val="nil"/>
                  </w:tcBorders>
                  <w:vAlign w:val="center"/>
                </w:tcPr>
                <w:p>
                  <w:pPr>
                    <w:pStyle w:val="83"/>
                    <w:tabs>
                      <w:tab w:val="left" w:pos="408"/>
                    </w:tabs>
                    <w:spacing w:line="240" w:lineRule="auto"/>
                    <w:ind w:firstLine="0"/>
                    <w:jc w:val="center"/>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11、</w:t>
                  </w:r>
                  <w:r>
                    <w:rPr>
                      <w:rFonts w:ascii="Times New Roman" w:hAnsi="Times New Roman" w:cs="Times New Roman"/>
                      <w:color w:val="auto"/>
                      <w:sz w:val="21"/>
                      <w:szCs w:val="21"/>
                    </w:rPr>
                    <w:t>加快推进</w:t>
                  </w:r>
                  <w:r>
                    <w:rPr>
                      <w:rFonts w:ascii="Times New Roman" w:hAnsi="Times New Roman" w:cs="Times New Roman"/>
                      <w:color w:val="auto"/>
                      <w:sz w:val="21"/>
                      <w:szCs w:val="21"/>
                      <w:lang w:val="zh-CN" w:eastAsia="zh-CN" w:bidi="zh-CN"/>
                    </w:rPr>
                    <w:t>“公转</w:t>
                  </w:r>
                  <w:r>
                    <w:rPr>
                      <w:rFonts w:ascii="Times New Roman" w:hAnsi="Times New Roman" w:cs="Times New Roman"/>
                      <w:color w:val="auto"/>
                      <w:sz w:val="21"/>
                      <w:szCs w:val="21"/>
                    </w:rPr>
                    <w:t>铁”。构建以铁路为主的大宗物料运输和集疏运体系，打通唐山港与大型工矿企业间的铁路运输通道，有效 解决铁路运输</w:t>
                  </w:r>
                  <w:r>
                    <w:rPr>
                      <w:rFonts w:ascii="Times New Roman" w:hAnsi="Times New Roman" w:cs="Times New Roman"/>
                      <w:color w:val="auto"/>
                      <w:sz w:val="21"/>
                      <w:szCs w:val="21"/>
                      <w:lang w:val="zh-CN" w:eastAsia="zh-CN" w:bidi="zh-CN"/>
                    </w:rPr>
                    <w:t>“最</w:t>
                  </w:r>
                  <w:r>
                    <w:rPr>
                      <w:rFonts w:ascii="Times New Roman" w:hAnsi="Times New Roman" w:cs="Times New Roman"/>
                      <w:color w:val="auto"/>
                      <w:sz w:val="21"/>
                      <w:szCs w:val="21"/>
                    </w:rPr>
                    <w:t>后一公里问题”，推进大宗物料运输基本实现利用铁路集疏港。</w:t>
                  </w:r>
                </w:p>
              </w:tc>
              <w:tc>
                <w:tcPr>
                  <w:tcW w:w="3678" w:type="dxa"/>
                  <w:tcBorders>
                    <w:tl2br w:val="nil"/>
                    <w:tr2bl w:val="nil"/>
                  </w:tcBorders>
                  <w:vAlign w:val="center"/>
                </w:tcPr>
                <w:p>
                  <w:pPr>
                    <w:jc w:val="center"/>
                    <w:rPr>
                      <w:color w:val="auto"/>
                      <w:szCs w:val="21"/>
                    </w:rPr>
                  </w:pPr>
                  <w:r>
                    <w:rPr>
                      <w:color w:val="auto"/>
                      <w:szCs w:val="21"/>
                    </w:rPr>
                    <w:t>项目原料、成品运输均采用新能源汽车或达到国六排放标准的汽车</w:t>
                  </w:r>
                </w:p>
              </w:tc>
              <w:tc>
                <w:tcPr>
                  <w:tcW w:w="669" w:type="dxa"/>
                  <w:tcBorders>
                    <w:tl2br w:val="nil"/>
                    <w:tr2bl w:val="nil"/>
                  </w:tcBorders>
                  <w:vAlign w:val="center"/>
                </w:tcPr>
                <w:p>
                  <w:pPr>
                    <w:pStyle w:val="83"/>
                    <w:tabs>
                      <w:tab w:val="left" w:pos="317"/>
                    </w:tabs>
                    <w:spacing w:line="240" w:lineRule="auto"/>
                    <w:ind w:firstLine="0"/>
                    <w:jc w:val="center"/>
                    <w:rPr>
                      <w:rFonts w:ascii="Times New Roman" w:hAnsi="Times New Roman" w:cs="Times New Roman"/>
                      <w:color w:val="auto"/>
                      <w:sz w:val="21"/>
                      <w:szCs w:val="21"/>
                    </w:rPr>
                  </w:pPr>
                  <w:r>
                    <w:rPr>
                      <w:rFonts w:ascii="Times New Roman" w:hAnsi="Times New Roman" w:cs="Times New Roman"/>
                      <w:color w:val="auto"/>
                      <w:sz w:val="21"/>
                      <w:szCs w:val="21"/>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6" w:type="dxa"/>
                  <w:vMerge w:val="continue"/>
                  <w:tcBorders>
                    <w:tl2br w:val="nil"/>
                    <w:tr2bl w:val="nil"/>
                  </w:tcBorders>
                  <w:vAlign w:val="center"/>
                </w:tcPr>
                <w:p>
                  <w:pPr>
                    <w:pStyle w:val="83"/>
                    <w:tabs>
                      <w:tab w:val="left" w:pos="317"/>
                    </w:tabs>
                    <w:spacing w:line="240" w:lineRule="auto"/>
                    <w:ind w:firstLine="0"/>
                    <w:jc w:val="center"/>
                    <w:rPr>
                      <w:rFonts w:ascii="Times New Roman" w:hAnsi="Times New Roman" w:cs="Times New Roman"/>
                      <w:color w:val="auto"/>
                      <w:sz w:val="21"/>
                      <w:szCs w:val="21"/>
                    </w:rPr>
                  </w:pPr>
                </w:p>
              </w:tc>
              <w:tc>
                <w:tcPr>
                  <w:tcW w:w="715" w:type="dxa"/>
                  <w:vMerge w:val="continue"/>
                  <w:tcBorders>
                    <w:tl2br w:val="nil"/>
                    <w:tr2bl w:val="nil"/>
                  </w:tcBorders>
                  <w:vAlign w:val="center"/>
                </w:tcPr>
                <w:p>
                  <w:pPr>
                    <w:pStyle w:val="83"/>
                    <w:tabs>
                      <w:tab w:val="left" w:pos="317"/>
                    </w:tabs>
                    <w:spacing w:line="240" w:lineRule="auto"/>
                    <w:ind w:firstLine="0"/>
                    <w:jc w:val="center"/>
                    <w:rPr>
                      <w:rFonts w:ascii="Times New Roman" w:hAnsi="Times New Roman" w:cs="Times New Roman"/>
                      <w:color w:val="auto"/>
                      <w:sz w:val="21"/>
                      <w:szCs w:val="21"/>
                    </w:rPr>
                  </w:pPr>
                </w:p>
              </w:tc>
              <w:tc>
                <w:tcPr>
                  <w:tcW w:w="7140" w:type="dxa"/>
                  <w:tcBorders>
                    <w:tl2br w:val="nil"/>
                    <w:tr2bl w:val="nil"/>
                  </w:tcBorders>
                  <w:vAlign w:val="center"/>
                </w:tcPr>
                <w:p>
                  <w:pPr>
                    <w:pStyle w:val="83"/>
                    <w:tabs>
                      <w:tab w:val="left" w:pos="418"/>
                    </w:tabs>
                    <w:spacing w:line="240" w:lineRule="auto"/>
                    <w:ind w:firstLine="0"/>
                    <w:jc w:val="center"/>
                    <w:rPr>
                      <w:rFonts w:ascii="Times New Roman" w:hAnsi="Times New Roman" w:cs="Times New Roman"/>
                      <w:color w:val="auto"/>
                      <w:sz w:val="21"/>
                      <w:szCs w:val="21"/>
                    </w:rPr>
                  </w:pPr>
                  <w:r>
                    <w:rPr>
                      <w:rFonts w:ascii="Times New Roman" w:hAnsi="Times New Roman" w:cs="Times New Roman"/>
                      <w:color w:val="auto"/>
                      <w:sz w:val="21"/>
                      <w:szCs w:val="21"/>
                    </w:rPr>
                    <w:t>12、深化建筑施工扬尘专项整治，严格执行《河北省建筑施工扬尘防治标准》。县城及城市规划建设用地范围内建筑工地全面做到周边围挡、物料堆放覆盖、土方开挖湿法作业、路面硬化、出入车辆清洗、渣土车辆密闭运输</w:t>
                  </w:r>
                  <w:r>
                    <w:rPr>
                      <w:rFonts w:ascii="Times New Roman" w:hAnsi="Times New Roman" w:cs="Times New Roman"/>
                      <w:color w:val="auto"/>
                      <w:sz w:val="21"/>
                      <w:szCs w:val="21"/>
                      <w:lang w:val="zh-CN" w:eastAsia="zh-CN" w:bidi="zh-CN"/>
                    </w:rPr>
                    <w:t>“六个</w:t>
                  </w:r>
                  <w:r>
                    <w:rPr>
                      <w:rFonts w:ascii="Times New Roman" w:hAnsi="Times New Roman" w:cs="Times New Roman"/>
                      <w:color w:val="auto"/>
                      <w:sz w:val="21"/>
                      <w:szCs w:val="21"/>
                    </w:rPr>
                    <w:t>百分之百”，建筑工地实现视频监控和</w:t>
                  </w:r>
                  <w:r>
                    <w:rPr>
                      <w:rFonts w:ascii="Times New Roman" w:hAnsi="Times New Roman" w:cs="Times New Roman"/>
                      <w:color w:val="auto"/>
                      <w:sz w:val="21"/>
                      <w:szCs w:val="21"/>
                      <w:lang w:val="en-US" w:eastAsia="zh-CN" w:bidi="en-US"/>
                    </w:rPr>
                    <w:t>PM</w:t>
                  </w:r>
                  <w:r>
                    <w:rPr>
                      <w:rFonts w:hint="eastAsia" w:ascii="Times New Roman" w:hAnsi="Times New Roman" w:cs="Times New Roman"/>
                      <w:color w:val="auto"/>
                      <w:sz w:val="21"/>
                      <w:szCs w:val="21"/>
                      <w:vertAlign w:val="subscript"/>
                      <w:lang w:val="en-US" w:eastAsia="zh-CN" w:bidi="en-US"/>
                    </w:rPr>
                    <w:t>10</w:t>
                  </w:r>
                  <w:r>
                    <w:rPr>
                      <w:rFonts w:ascii="Times New Roman" w:hAnsi="Times New Roman" w:cs="Times New Roman"/>
                      <w:color w:val="auto"/>
                      <w:sz w:val="21"/>
                      <w:szCs w:val="21"/>
                    </w:rPr>
                    <w:t>在线</w:t>
                  </w:r>
                  <w:r>
                    <w:rPr>
                      <w:rFonts w:hint="eastAsia" w:ascii="Times New Roman" w:hAnsi="Times New Roman" w:cs="Times New Roman"/>
                      <w:color w:val="auto"/>
                      <w:sz w:val="21"/>
                      <w:szCs w:val="21"/>
                      <w:lang w:eastAsia="zh-CN"/>
                    </w:rPr>
                    <w:t>监测</w:t>
                  </w:r>
                  <w:r>
                    <w:rPr>
                      <w:rFonts w:ascii="Times New Roman" w:hAnsi="Times New Roman" w:cs="Times New Roman"/>
                      <w:color w:val="auto"/>
                      <w:sz w:val="21"/>
                      <w:szCs w:val="21"/>
                    </w:rPr>
                    <w:t>联网全覆盖。实施城市土地硬化和复緑，开展国土绿化行动。加强道路扬尘综合整治。</w:t>
                  </w:r>
                </w:p>
              </w:tc>
              <w:tc>
                <w:tcPr>
                  <w:tcW w:w="3678" w:type="dxa"/>
                  <w:tcBorders>
                    <w:tl2br w:val="nil"/>
                    <w:tr2bl w:val="nil"/>
                  </w:tcBorders>
                  <w:vAlign w:val="center"/>
                </w:tcPr>
                <w:p>
                  <w:pPr>
                    <w:pStyle w:val="83"/>
                    <w:tabs>
                      <w:tab w:val="left" w:pos="317"/>
                    </w:tabs>
                    <w:spacing w:line="240" w:lineRule="auto"/>
                    <w:ind w:firstLine="0"/>
                    <w:jc w:val="center"/>
                    <w:rPr>
                      <w:rFonts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本项目施工期</w:t>
                  </w:r>
                  <w:r>
                    <w:rPr>
                      <w:rFonts w:ascii="Times New Roman" w:hAnsi="Times New Roman" w:cs="Times New Roman"/>
                      <w:color w:val="auto"/>
                      <w:sz w:val="21"/>
                      <w:szCs w:val="21"/>
                    </w:rPr>
                    <w:t>严格执行《河北省建筑施工扬尘防治标准》</w:t>
                  </w:r>
                  <w:r>
                    <w:rPr>
                      <w:rFonts w:hint="eastAsia" w:ascii="Times New Roman" w:hAnsi="Times New Roman" w:cs="Times New Roman"/>
                      <w:color w:val="auto"/>
                      <w:sz w:val="21"/>
                      <w:szCs w:val="21"/>
                      <w:lang w:eastAsia="zh-CN"/>
                    </w:rPr>
                    <w:t>，</w:t>
                  </w:r>
                  <w:r>
                    <w:rPr>
                      <w:rFonts w:hint="eastAsia" w:ascii="Times New Roman" w:hAnsi="Times New Roman" w:cs="Times New Roman"/>
                      <w:color w:val="auto"/>
                      <w:sz w:val="21"/>
                      <w:szCs w:val="21"/>
                      <w:lang w:val="en-US" w:eastAsia="zh-CN"/>
                    </w:rPr>
                    <w:t>施工期对周边环境影响较小</w:t>
                  </w:r>
                </w:p>
              </w:tc>
              <w:tc>
                <w:tcPr>
                  <w:tcW w:w="669" w:type="dxa"/>
                  <w:tcBorders>
                    <w:tl2br w:val="nil"/>
                    <w:tr2bl w:val="nil"/>
                  </w:tcBorders>
                  <w:vAlign w:val="center"/>
                </w:tcPr>
                <w:p>
                  <w:pPr>
                    <w:pStyle w:val="83"/>
                    <w:tabs>
                      <w:tab w:val="left" w:pos="317"/>
                    </w:tabs>
                    <w:spacing w:line="240" w:lineRule="auto"/>
                    <w:ind w:firstLine="0"/>
                    <w:jc w:val="center"/>
                    <w:rPr>
                      <w:rFonts w:ascii="Times New Roman" w:hAnsi="Times New Roman" w:cs="Times New Roman"/>
                      <w:color w:val="auto"/>
                      <w:sz w:val="21"/>
                      <w:szCs w:val="21"/>
                    </w:rPr>
                  </w:pPr>
                  <w:r>
                    <w:rPr>
                      <w:rFonts w:ascii="Times New Roman" w:hAnsi="Times New Roman" w:cs="Times New Roman"/>
                      <w:color w:val="auto"/>
                      <w:sz w:val="21"/>
                      <w:szCs w:val="21"/>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6" w:type="dxa"/>
                  <w:vMerge w:val="continue"/>
                  <w:tcBorders>
                    <w:tl2br w:val="nil"/>
                    <w:tr2bl w:val="nil"/>
                  </w:tcBorders>
                  <w:vAlign w:val="center"/>
                </w:tcPr>
                <w:p>
                  <w:pPr>
                    <w:pStyle w:val="83"/>
                    <w:tabs>
                      <w:tab w:val="left" w:pos="317"/>
                    </w:tabs>
                    <w:spacing w:line="240" w:lineRule="auto"/>
                    <w:ind w:firstLine="0"/>
                    <w:jc w:val="center"/>
                    <w:rPr>
                      <w:rFonts w:ascii="Times New Roman" w:hAnsi="Times New Roman" w:cs="Times New Roman"/>
                      <w:color w:val="auto"/>
                      <w:sz w:val="21"/>
                      <w:szCs w:val="21"/>
                    </w:rPr>
                  </w:pPr>
                </w:p>
              </w:tc>
              <w:tc>
                <w:tcPr>
                  <w:tcW w:w="715" w:type="dxa"/>
                  <w:vMerge w:val="continue"/>
                  <w:tcBorders>
                    <w:tl2br w:val="nil"/>
                    <w:tr2bl w:val="nil"/>
                  </w:tcBorders>
                  <w:vAlign w:val="center"/>
                </w:tcPr>
                <w:p>
                  <w:pPr>
                    <w:pStyle w:val="83"/>
                    <w:tabs>
                      <w:tab w:val="left" w:pos="317"/>
                    </w:tabs>
                    <w:spacing w:line="240" w:lineRule="auto"/>
                    <w:ind w:firstLine="0"/>
                    <w:jc w:val="center"/>
                    <w:rPr>
                      <w:rFonts w:ascii="Times New Roman" w:hAnsi="Times New Roman" w:cs="Times New Roman"/>
                      <w:color w:val="auto"/>
                      <w:sz w:val="21"/>
                      <w:szCs w:val="21"/>
                    </w:rPr>
                  </w:pPr>
                </w:p>
              </w:tc>
              <w:tc>
                <w:tcPr>
                  <w:tcW w:w="7140" w:type="dxa"/>
                  <w:tcBorders>
                    <w:tl2br w:val="nil"/>
                    <w:tr2bl w:val="nil"/>
                  </w:tcBorders>
                  <w:vAlign w:val="center"/>
                </w:tcPr>
                <w:p>
                  <w:pPr>
                    <w:pStyle w:val="83"/>
                    <w:tabs>
                      <w:tab w:val="left" w:pos="317"/>
                    </w:tabs>
                    <w:spacing w:line="240" w:lineRule="auto"/>
                    <w:ind w:firstLine="0"/>
                    <w:jc w:val="center"/>
                    <w:rPr>
                      <w:rFonts w:ascii="Times New Roman" w:hAnsi="Times New Roman" w:cs="Times New Roman"/>
                      <w:color w:val="auto"/>
                      <w:sz w:val="21"/>
                      <w:szCs w:val="21"/>
                    </w:rPr>
                  </w:pPr>
                  <w:r>
                    <w:rPr>
                      <w:rFonts w:ascii="Times New Roman" w:hAnsi="Times New Roman" w:cs="Times New Roman"/>
                      <w:color w:val="auto"/>
                      <w:sz w:val="21"/>
                      <w:szCs w:val="21"/>
                    </w:rPr>
                    <w:t>13、全市范围内全面禁止露天焚烧秸秆、垃圾（含落叶、枯草等）。</w:t>
                  </w:r>
                </w:p>
              </w:tc>
              <w:tc>
                <w:tcPr>
                  <w:tcW w:w="3678" w:type="dxa"/>
                  <w:tcBorders>
                    <w:tl2br w:val="nil"/>
                    <w:tr2bl w:val="nil"/>
                  </w:tcBorders>
                  <w:vAlign w:val="center"/>
                </w:tcPr>
                <w:p>
                  <w:pPr>
                    <w:pStyle w:val="83"/>
                    <w:tabs>
                      <w:tab w:val="left" w:pos="317"/>
                    </w:tabs>
                    <w:spacing w:line="240" w:lineRule="auto"/>
                    <w:ind w:firstLine="0"/>
                    <w:jc w:val="center"/>
                    <w:rPr>
                      <w:rFonts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本项目不涉及</w:t>
                  </w:r>
                </w:p>
              </w:tc>
              <w:tc>
                <w:tcPr>
                  <w:tcW w:w="669" w:type="dxa"/>
                  <w:tcBorders>
                    <w:tl2br w:val="nil"/>
                    <w:tr2bl w:val="nil"/>
                  </w:tcBorders>
                  <w:vAlign w:val="center"/>
                </w:tcPr>
                <w:p>
                  <w:pPr>
                    <w:pStyle w:val="83"/>
                    <w:tabs>
                      <w:tab w:val="left" w:pos="317"/>
                    </w:tabs>
                    <w:spacing w:line="240" w:lineRule="auto"/>
                    <w:ind w:firstLine="0"/>
                    <w:jc w:val="center"/>
                    <w:rPr>
                      <w:rFonts w:ascii="Times New Roman" w:hAnsi="Times New Roman" w:cs="Times New Roman"/>
                      <w:color w:val="auto"/>
                      <w:sz w:val="21"/>
                      <w:szCs w:val="21"/>
                    </w:rPr>
                  </w:pPr>
                  <w:r>
                    <w:rPr>
                      <w:rFonts w:ascii="Times New Roman" w:hAnsi="Times New Roman" w:cs="Times New Roman"/>
                      <w:color w:val="auto"/>
                      <w:sz w:val="21"/>
                      <w:szCs w:val="21"/>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729" w:hRule="atLeast"/>
                <w:jc w:val="center"/>
              </w:trPr>
              <w:tc>
                <w:tcPr>
                  <w:tcW w:w="716" w:type="dxa"/>
                  <w:vMerge w:val="continue"/>
                  <w:tcBorders>
                    <w:tl2br w:val="nil"/>
                    <w:tr2bl w:val="nil"/>
                  </w:tcBorders>
                  <w:vAlign w:val="center"/>
                </w:tcPr>
                <w:p>
                  <w:pPr>
                    <w:pStyle w:val="83"/>
                    <w:spacing w:line="240" w:lineRule="auto"/>
                    <w:ind w:firstLine="0"/>
                    <w:jc w:val="center"/>
                    <w:rPr>
                      <w:rFonts w:ascii="Times New Roman" w:hAnsi="Times New Roman" w:cs="Times New Roman"/>
                      <w:color w:val="auto"/>
                      <w:sz w:val="21"/>
                      <w:szCs w:val="21"/>
                    </w:rPr>
                  </w:pPr>
                </w:p>
              </w:tc>
              <w:tc>
                <w:tcPr>
                  <w:tcW w:w="715" w:type="dxa"/>
                  <w:tcBorders>
                    <w:tl2br w:val="nil"/>
                    <w:tr2bl w:val="nil"/>
                  </w:tcBorders>
                  <w:vAlign w:val="center"/>
                </w:tcPr>
                <w:p>
                  <w:pPr>
                    <w:pStyle w:val="83"/>
                    <w:spacing w:line="240" w:lineRule="auto"/>
                    <w:ind w:firstLine="0"/>
                    <w:jc w:val="center"/>
                    <w:rPr>
                      <w:rFonts w:ascii="Times New Roman" w:hAnsi="Times New Roman" w:cs="Times New Roman"/>
                      <w:color w:val="auto"/>
                      <w:sz w:val="21"/>
                      <w:szCs w:val="21"/>
                    </w:rPr>
                  </w:pPr>
                  <w:r>
                    <w:rPr>
                      <w:rFonts w:ascii="Times New Roman" w:hAnsi="Times New Roman" w:cs="Times New Roman"/>
                      <w:color w:val="auto"/>
                      <w:sz w:val="21"/>
                      <w:szCs w:val="21"/>
                    </w:rPr>
                    <w:t>环境风险防控</w:t>
                  </w:r>
                </w:p>
              </w:tc>
              <w:tc>
                <w:tcPr>
                  <w:tcW w:w="7140" w:type="dxa"/>
                  <w:tcBorders>
                    <w:tl2br w:val="nil"/>
                    <w:tr2bl w:val="nil"/>
                  </w:tcBorders>
                  <w:vAlign w:val="center"/>
                </w:tcPr>
                <w:p>
                  <w:pPr>
                    <w:pStyle w:val="83"/>
                    <w:tabs>
                      <w:tab w:val="left" w:pos="398"/>
                    </w:tabs>
                    <w:spacing w:line="240" w:lineRule="auto"/>
                    <w:ind w:firstLine="0"/>
                    <w:jc w:val="center"/>
                    <w:rPr>
                      <w:rFonts w:ascii="Times New Roman" w:hAnsi="Times New Roman" w:cs="Times New Roman"/>
                      <w:color w:val="auto"/>
                      <w:sz w:val="21"/>
                      <w:szCs w:val="21"/>
                      <w:lang w:eastAsia="zh-CN"/>
                    </w:rPr>
                  </w:pPr>
                  <w:r>
                    <w:rPr>
                      <w:rFonts w:ascii="Times New Roman" w:hAnsi="Times New Roman" w:cs="Times New Roman"/>
                      <w:color w:val="auto"/>
                      <w:sz w:val="21"/>
                      <w:szCs w:val="21"/>
                    </w:rPr>
                    <w:t>1、完善市、县、乡、村网格化环境监管体系，建立信息全面、</w:t>
                  </w:r>
                  <w:r>
                    <w:rPr>
                      <w:rFonts w:ascii="Times New Roman" w:hAnsi="Times New Roman" w:cs="Times New Roman"/>
                      <w:color w:val="auto"/>
                      <w:sz w:val="21"/>
                      <w:szCs w:val="21"/>
                      <w:lang w:val="zh-CN" w:eastAsia="zh-CN" w:bidi="zh-CN"/>
                    </w:rPr>
                    <w:t>要素齐</w:t>
                  </w:r>
                  <w:r>
                    <w:rPr>
                      <w:rFonts w:ascii="Times New Roman" w:hAnsi="Times New Roman" w:cs="Times New Roman"/>
                      <w:color w:val="auto"/>
                      <w:sz w:val="21"/>
                      <w:szCs w:val="21"/>
                    </w:rPr>
                    <w:t>全、处置高效、决策科学的市级大气环境监管大数据平台，实现对各级网格和各类污染源的集</w:t>
                  </w:r>
                  <w:r>
                    <w:rPr>
                      <w:rFonts w:hint="eastAsia" w:ascii="Times New Roman" w:hAnsi="Times New Roman" w:cs="Times New Roman"/>
                      <w:color w:val="auto"/>
                      <w:sz w:val="21"/>
                      <w:szCs w:val="21"/>
                      <w:lang w:eastAsia="zh-CN"/>
                    </w:rPr>
                    <w:t>中</w:t>
                  </w:r>
                  <w:r>
                    <w:rPr>
                      <w:rFonts w:ascii="Times New Roman" w:hAnsi="Times New Roman" w:cs="Times New Roman"/>
                      <w:color w:val="auto"/>
                      <w:sz w:val="21"/>
                      <w:szCs w:val="21"/>
                    </w:rPr>
                    <w:t>在线监测、全程监控和监管指挥</w:t>
                  </w:r>
                  <w:r>
                    <w:rPr>
                      <w:rFonts w:hint="eastAsia" w:ascii="Times New Roman" w:hAnsi="Times New Roman" w:cs="Times New Roman"/>
                      <w:color w:val="auto"/>
                      <w:sz w:val="21"/>
                      <w:szCs w:val="21"/>
                      <w:lang w:eastAsia="zh-CN"/>
                    </w:rPr>
                    <w:t>。</w:t>
                  </w:r>
                </w:p>
              </w:tc>
              <w:tc>
                <w:tcPr>
                  <w:tcW w:w="3678" w:type="dxa"/>
                  <w:tcBorders>
                    <w:tl2br w:val="nil"/>
                    <w:tr2bl w:val="nil"/>
                  </w:tcBorders>
                  <w:vAlign w:val="center"/>
                </w:tcPr>
                <w:p>
                  <w:pPr>
                    <w:jc w:val="center"/>
                    <w:rPr>
                      <w:color w:val="auto"/>
                      <w:szCs w:val="21"/>
                      <w:highlight w:val="yellow"/>
                    </w:rPr>
                  </w:pPr>
                  <w:r>
                    <w:rPr>
                      <w:color w:val="auto"/>
                      <w:szCs w:val="21"/>
                    </w:rPr>
                    <w:t>项目对可能发生的环境风险事故均采取相应措施，项目</w:t>
                  </w:r>
                  <w:r>
                    <w:rPr>
                      <w:rFonts w:hint="eastAsia"/>
                      <w:color w:val="auto"/>
                      <w:szCs w:val="21"/>
                    </w:rPr>
                    <w:t>油品储存区设置防火设施</w:t>
                  </w:r>
                  <w:r>
                    <w:rPr>
                      <w:color w:val="auto"/>
                      <w:szCs w:val="21"/>
                    </w:rPr>
                    <w:t>，厂区内采取分区防渗，制定环境风险应急预案，加强风险事故情况下的环境污染防范、应急响应和协同处置，防止对区域周边环境敏感点造成影响</w:t>
                  </w:r>
                </w:p>
              </w:tc>
              <w:tc>
                <w:tcPr>
                  <w:tcW w:w="669" w:type="dxa"/>
                  <w:tcBorders>
                    <w:tl2br w:val="nil"/>
                    <w:tr2bl w:val="nil"/>
                  </w:tcBorders>
                  <w:vAlign w:val="center"/>
                </w:tcPr>
                <w:p>
                  <w:pPr>
                    <w:jc w:val="center"/>
                    <w:rPr>
                      <w:color w:val="auto"/>
                      <w:szCs w:val="21"/>
                    </w:rPr>
                  </w:pPr>
                  <w:r>
                    <w:rPr>
                      <w:color w:val="auto"/>
                      <w:szCs w:val="21"/>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6" w:type="dxa"/>
                  <w:vMerge w:val="continue"/>
                  <w:tcBorders>
                    <w:tl2br w:val="nil"/>
                    <w:tr2bl w:val="nil"/>
                  </w:tcBorders>
                  <w:vAlign w:val="center"/>
                </w:tcPr>
                <w:p>
                  <w:pPr>
                    <w:pStyle w:val="83"/>
                    <w:spacing w:line="240" w:lineRule="auto"/>
                    <w:ind w:firstLine="0"/>
                    <w:jc w:val="center"/>
                    <w:rPr>
                      <w:rFonts w:ascii="Times New Roman" w:hAnsi="Times New Roman" w:cs="Times New Roman"/>
                      <w:color w:val="auto"/>
                      <w:sz w:val="21"/>
                      <w:szCs w:val="21"/>
                    </w:rPr>
                  </w:pPr>
                </w:p>
              </w:tc>
              <w:tc>
                <w:tcPr>
                  <w:tcW w:w="715" w:type="dxa"/>
                  <w:vMerge w:val="restart"/>
                  <w:tcBorders>
                    <w:tl2br w:val="nil"/>
                    <w:tr2bl w:val="nil"/>
                  </w:tcBorders>
                  <w:vAlign w:val="center"/>
                </w:tcPr>
                <w:p>
                  <w:pPr>
                    <w:pStyle w:val="83"/>
                    <w:spacing w:line="240" w:lineRule="auto"/>
                    <w:ind w:firstLine="0"/>
                    <w:jc w:val="center"/>
                    <w:rPr>
                      <w:rFonts w:ascii="Times New Roman" w:hAnsi="Times New Roman" w:cs="Times New Roman"/>
                      <w:color w:val="auto"/>
                      <w:sz w:val="21"/>
                      <w:szCs w:val="21"/>
                      <w:lang w:eastAsia="zh-CN"/>
                    </w:rPr>
                  </w:pPr>
                  <w:r>
                    <w:rPr>
                      <w:rFonts w:ascii="Times New Roman" w:hAnsi="Times New Roman" w:cs="Times New Roman"/>
                      <w:color w:val="auto"/>
                      <w:sz w:val="21"/>
                      <w:szCs w:val="21"/>
                    </w:rPr>
                    <w:t>资源</w:t>
                  </w:r>
                  <w:r>
                    <w:rPr>
                      <w:rFonts w:ascii="Times New Roman" w:hAnsi="Times New Roman" w:cs="Times New Roman"/>
                      <w:color w:val="auto"/>
                      <w:sz w:val="21"/>
                      <w:szCs w:val="21"/>
                      <w:lang w:eastAsia="zh-CN"/>
                    </w:rPr>
                    <w:t>开发利用</w:t>
                  </w:r>
                </w:p>
              </w:tc>
              <w:tc>
                <w:tcPr>
                  <w:tcW w:w="7140" w:type="dxa"/>
                  <w:tcBorders>
                    <w:tl2br w:val="nil"/>
                    <w:tr2bl w:val="nil"/>
                  </w:tcBorders>
                  <w:vAlign w:val="center"/>
                </w:tcPr>
                <w:p>
                  <w:pPr>
                    <w:pStyle w:val="83"/>
                    <w:tabs>
                      <w:tab w:val="left" w:pos="298"/>
                    </w:tabs>
                    <w:spacing w:line="240" w:lineRule="auto"/>
                    <w:ind w:firstLine="0"/>
                    <w:jc w:val="center"/>
                    <w:rPr>
                      <w:rFonts w:ascii="Times New Roman" w:hAnsi="Times New Roman" w:cs="Times New Roman"/>
                      <w:color w:val="auto"/>
                      <w:sz w:val="21"/>
                      <w:szCs w:val="21"/>
                      <w:lang w:eastAsia="zh-CN"/>
                    </w:rPr>
                  </w:pPr>
                  <w:r>
                    <w:rPr>
                      <w:rFonts w:ascii="Times New Roman" w:hAnsi="Times New Roman" w:cs="Times New Roman"/>
                      <w:color w:val="auto"/>
                      <w:sz w:val="21"/>
                      <w:szCs w:val="21"/>
                    </w:rPr>
                    <w:t>1、对新增耗煤项目实施减量替代。</w:t>
                  </w:r>
                </w:p>
              </w:tc>
              <w:tc>
                <w:tcPr>
                  <w:tcW w:w="3678" w:type="dxa"/>
                  <w:tcBorders>
                    <w:tl2br w:val="nil"/>
                    <w:tr2bl w:val="nil"/>
                  </w:tcBorders>
                  <w:vAlign w:val="center"/>
                </w:tcPr>
                <w:p>
                  <w:pPr>
                    <w:jc w:val="center"/>
                    <w:rPr>
                      <w:color w:val="auto"/>
                      <w:szCs w:val="21"/>
                      <w:highlight w:val="yellow"/>
                    </w:rPr>
                  </w:pPr>
                  <w:r>
                    <w:rPr>
                      <w:color w:val="auto"/>
                      <w:szCs w:val="21"/>
                    </w:rPr>
                    <w:t>本项目</w:t>
                  </w:r>
                  <w:r>
                    <w:rPr>
                      <w:rFonts w:hint="eastAsia"/>
                      <w:color w:val="auto"/>
                      <w:szCs w:val="21"/>
                    </w:rPr>
                    <w:t>不耗煤</w:t>
                  </w:r>
                </w:p>
              </w:tc>
              <w:tc>
                <w:tcPr>
                  <w:tcW w:w="669" w:type="dxa"/>
                  <w:tcBorders>
                    <w:tl2br w:val="nil"/>
                    <w:tr2bl w:val="nil"/>
                  </w:tcBorders>
                  <w:vAlign w:val="center"/>
                </w:tcPr>
                <w:p>
                  <w:pPr>
                    <w:jc w:val="center"/>
                    <w:rPr>
                      <w:color w:val="auto"/>
                      <w:szCs w:val="21"/>
                    </w:rPr>
                  </w:pPr>
                  <w:r>
                    <w:rPr>
                      <w:color w:val="auto"/>
                      <w:szCs w:val="21"/>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6" w:type="dxa"/>
                  <w:vMerge w:val="continue"/>
                  <w:tcBorders>
                    <w:tl2br w:val="nil"/>
                    <w:tr2bl w:val="nil"/>
                  </w:tcBorders>
                  <w:vAlign w:val="center"/>
                </w:tcPr>
                <w:p>
                  <w:pPr>
                    <w:pStyle w:val="83"/>
                    <w:spacing w:line="240" w:lineRule="auto"/>
                    <w:ind w:firstLine="0"/>
                    <w:jc w:val="center"/>
                    <w:rPr>
                      <w:color w:val="auto"/>
                      <w:sz w:val="21"/>
                      <w:szCs w:val="21"/>
                    </w:rPr>
                  </w:pPr>
                </w:p>
              </w:tc>
              <w:tc>
                <w:tcPr>
                  <w:tcW w:w="715" w:type="dxa"/>
                  <w:vMerge w:val="continue"/>
                  <w:tcBorders>
                    <w:tl2br w:val="nil"/>
                    <w:tr2bl w:val="nil"/>
                  </w:tcBorders>
                  <w:vAlign w:val="center"/>
                </w:tcPr>
                <w:p>
                  <w:pPr>
                    <w:pStyle w:val="83"/>
                    <w:spacing w:line="240" w:lineRule="auto"/>
                    <w:ind w:firstLine="0"/>
                    <w:jc w:val="center"/>
                    <w:rPr>
                      <w:color w:val="auto"/>
                      <w:sz w:val="21"/>
                      <w:szCs w:val="21"/>
                    </w:rPr>
                  </w:pPr>
                </w:p>
              </w:tc>
              <w:tc>
                <w:tcPr>
                  <w:tcW w:w="7140" w:type="dxa"/>
                  <w:tcBorders>
                    <w:tl2br w:val="nil"/>
                    <w:tr2bl w:val="nil"/>
                  </w:tcBorders>
                  <w:vAlign w:val="center"/>
                </w:tcPr>
                <w:p>
                  <w:pPr>
                    <w:pStyle w:val="83"/>
                    <w:tabs>
                      <w:tab w:val="left" w:pos="317"/>
                    </w:tabs>
                    <w:spacing w:line="240" w:lineRule="auto"/>
                    <w:ind w:firstLine="0"/>
                    <w:jc w:val="center"/>
                    <w:rPr>
                      <w:rFonts w:ascii="Times New Roman" w:hAnsi="Times New Roman" w:cs="Times New Roman"/>
                      <w:color w:val="auto"/>
                      <w:sz w:val="21"/>
                      <w:szCs w:val="21"/>
                    </w:rPr>
                  </w:pPr>
                  <w:r>
                    <w:rPr>
                      <w:rFonts w:ascii="Times New Roman" w:hAnsi="Times New Roman" w:cs="Times New Roman"/>
                      <w:color w:val="auto"/>
                      <w:sz w:val="21"/>
                      <w:szCs w:val="21"/>
                    </w:rPr>
                    <w:t>2、</w:t>
                  </w:r>
                  <w:r>
                    <w:rPr>
                      <w:rFonts w:ascii="Times New Roman" w:hAnsi="Times New Roman" w:cs="Times New Roman"/>
                      <w:color w:val="auto"/>
                      <w:sz w:val="21"/>
                      <w:szCs w:val="21"/>
                    </w:rPr>
                    <w:tab/>
                  </w:r>
                  <w:r>
                    <w:rPr>
                      <w:rFonts w:ascii="Times New Roman" w:hAnsi="Times New Roman" w:cs="Times New Roman"/>
                      <w:color w:val="auto"/>
                      <w:sz w:val="21"/>
                      <w:szCs w:val="21"/>
                    </w:rPr>
                    <w:t>提高能源利用效率。实施能源消耗总量和强度双控行动。健全节能标准体系，大力开发、推广节能高效技术和产品，实现重点用能行业、设备节能标准全覆盖。</w:t>
                  </w:r>
                </w:p>
              </w:tc>
              <w:tc>
                <w:tcPr>
                  <w:tcW w:w="3678" w:type="dxa"/>
                  <w:tcBorders>
                    <w:tl2br w:val="nil"/>
                    <w:tr2bl w:val="nil"/>
                  </w:tcBorders>
                  <w:vAlign w:val="center"/>
                </w:tcPr>
                <w:p>
                  <w:pPr>
                    <w:pStyle w:val="83"/>
                    <w:tabs>
                      <w:tab w:val="left" w:pos="317"/>
                    </w:tabs>
                    <w:spacing w:line="240" w:lineRule="auto"/>
                    <w:ind w:firstLine="0"/>
                    <w:jc w:val="center"/>
                    <w:rPr>
                      <w:rFonts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本项目能源为电能，属清洁能源，且本项目耗电设备电机均不属于淘汰设备，符合节能要求</w:t>
                  </w:r>
                </w:p>
              </w:tc>
              <w:tc>
                <w:tcPr>
                  <w:tcW w:w="669" w:type="dxa"/>
                  <w:tcBorders>
                    <w:tl2br w:val="nil"/>
                    <w:tr2bl w:val="nil"/>
                  </w:tcBorders>
                  <w:vAlign w:val="center"/>
                </w:tcPr>
                <w:p>
                  <w:pPr>
                    <w:pStyle w:val="83"/>
                    <w:spacing w:line="240" w:lineRule="auto"/>
                    <w:ind w:firstLine="0"/>
                    <w:jc w:val="center"/>
                    <w:rPr>
                      <w:rFonts w:ascii="Times New Roman" w:hAnsi="Times New Roman" w:cs="Times New Roman"/>
                      <w:color w:val="auto"/>
                      <w:sz w:val="21"/>
                      <w:szCs w:val="21"/>
                    </w:rPr>
                  </w:pPr>
                  <w:r>
                    <w:rPr>
                      <w:rFonts w:ascii="Times New Roman" w:hAnsi="Times New Roman" w:cs="Times New Roman"/>
                      <w:color w:val="auto"/>
                      <w:sz w:val="21"/>
                      <w:szCs w:val="21"/>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6" w:type="dxa"/>
                  <w:vMerge w:val="continue"/>
                  <w:tcBorders>
                    <w:tl2br w:val="nil"/>
                    <w:tr2bl w:val="nil"/>
                  </w:tcBorders>
                  <w:vAlign w:val="center"/>
                </w:tcPr>
                <w:p>
                  <w:pPr>
                    <w:pStyle w:val="83"/>
                    <w:spacing w:line="240" w:lineRule="auto"/>
                    <w:ind w:firstLine="0"/>
                    <w:jc w:val="center"/>
                    <w:rPr>
                      <w:rFonts w:ascii="Times New Roman" w:hAnsi="Times New Roman" w:cs="Times New Roman"/>
                      <w:color w:val="auto"/>
                      <w:sz w:val="21"/>
                      <w:szCs w:val="21"/>
                    </w:rPr>
                  </w:pPr>
                </w:p>
              </w:tc>
              <w:tc>
                <w:tcPr>
                  <w:tcW w:w="715" w:type="dxa"/>
                  <w:vMerge w:val="continue"/>
                  <w:tcBorders>
                    <w:tl2br w:val="nil"/>
                    <w:tr2bl w:val="nil"/>
                  </w:tcBorders>
                  <w:vAlign w:val="center"/>
                </w:tcPr>
                <w:p>
                  <w:pPr>
                    <w:pStyle w:val="83"/>
                    <w:spacing w:line="240" w:lineRule="auto"/>
                    <w:ind w:firstLine="0"/>
                    <w:jc w:val="center"/>
                    <w:rPr>
                      <w:rFonts w:ascii="Times New Roman" w:hAnsi="Times New Roman" w:cs="Times New Roman"/>
                      <w:color w:val="auto"/>
                      <w:sz w:val="21"/>
                      <w:szCs w:val="21"/>
                    </w:rPr>
                  </w:pPr>
                </w:p>
              </w:tc>
              <w:tc>
                <w:tcPr>
                  <w:tcW w:w="7140" w:type="dxa"/>
                  <w:tcBorders>
                    <w:tl2br w:val="nil"/>
                    <w:tr2bl w:val="nil"/>
                  </w:tcBorders>
                  <w:vAlign w:val="center"/>
                </w:tcPr>
                <w:p>
                  <w:pPr>
                    <w:pStyle w:val="83"/>
                    <w:tabs>
                      <w:tab w:val="left" w:pos="326"/>
                    </w:tabs>
                    <w:spacing w:line="240" w:lineRule="auto"/>
                    <w:ind w:firstLine="0"/>
                    <w:jc w:val="center"/>
                    <w:rPr>
                      <w:rFonts w:ascii="Times New Roman" w:hAnsi="Times New Roman" w:cs="Times New Roman"/>
                      <w:color w:val="auto"/>
                      <w:sz w:val="21"/>
                      <w:szCs w:val="21"/>
                    </w:rPr>
                  </w:pPr>
                  <w:r>
                    <w:rPr>
                      <w:rFonts w:ascii="Times New Roman" w:hAnsi="Times New Roman" w:cs="Times New Roman"/>
                      <w:color w:val="auto"/>
                      <w:sz w:val="21"/>
                      <w:szCs w:val="21"/>
                    </w:rPr>
                    <w:t>3、</w:t>
                  </w:r>
                  <w:r>
                    <w:rPr>
                      <w:rFonts w:ascii="Times New Roman" w:hAnsi="Times New Roman" w:cs="Times New Roman"/>
                      <w:color w:val="auto"/>
                      <w:sz w:val="21"/>
                      <w:szCs w:val="21"/>
                    </w:rPr>
                    <w:tab/>
                  </w:r>
                  <w:r>
                    <w:rPr>
                      <w:rFonts w:ascii="Times New Roman" w:hAnsi="Times New Roman" w:cs="Times New Roman"/>
                      <w:color w:val="auto"/>
                      <w:sz w:val="21"/>
                      <w:szCs w:val="21"/>
                    </w:rPr>
                    <w:t>加强重点能耗行业节能。持续开展重点企业能效对标提升，在钢铁、焦化、水泥、平板玻璃等重点耗能行业实施能效</w:t>
                  </w:r>
                  <w:r>
                    <w:rPr>
                      <w:rFonts w:ascii="Times New Roman" w:hAnsi="Times New Roman" w:cs="Times New Roman"/>
                      <w:color w:val="auto"/>
                      <w:sz w:val="21"/>
                      <w:szCs w:val="21"/>
                      <w:lang w:val="zh-CN" w:eastAsia="zh-CN" w:bidi="zh-CN"/>
                    </w:rPr>
                    <w:t>“领跑者</w:t>
                  </w:r>
                  <w:r>
                    <w:rPr>
                      <w:rFonts w:ascii="Times New Roman" w:hAnsi="Times New Roman" w:cs="Times New Roman"/>
                      <w:color w:val="auto"/>
                      <w:sz w:val="21"/>
                      <w:szCs w:val="21"/>
                      <w:lang w:val="en-US" w:eastAsia="zh-CN" w:bidi="zh-CN"/>
                    </w:rPr>
                    <w:t>”</w:t>
                  </w:r>
                  <w:r>
                    <w:rPr>
                      <w:rFonts w:ascii="Times New Roman" w:hAnsi="Times New Roman" w:cs="Times New Roman"/>
                      <w:color w:val="auto"/>
                      <w:sz w:val="21"/>
                      <w:szCs w:val="21"/>
                    </w:rPr>
                    <w:t>行动，引导企业对标提升，实施高耗煤行业节能改造，推广中高温余热余压利用、低温烟气余热深度回收、空气源热泵供暖等节能技术，推进能量系统优化，提升能源利用效率</w:t>
                  </w:r>
                  <w:r>
                    <w:rPr>
                      <w:rFonts w:hint="eastAsia" w:ascii="Times New Roman" w:hAnsi="Times New Roman" w:cs="Times New Roman"/>
                      <w:color w:val="auto"/>
                      <w:sz w:val="21"/>
                      <w:szCs w:val="21"/>
                      <w:lang w:eastAsia="zh-CN"/>
                    </w:rPr>
                    <w:t>。</w:t>
                  </w:r>
                </w:p>
              </w:tc>
              <w:tc>
                <w:tcPr>
                  <w:tcW w:w="3678" w:type="dxa"/>
                  <w:tcBorders>
                    <w:tl2br w:val="nil"/>
                    <w:tr2bl w:val="nil"/>
                  </w:tcBorders>
                  <w:vAlign w:val="center"/>
                </w:tcPr>
                <w:p>
                  <w:pPr>
                    <w:pStyle w:val="83"/>
                    <w:tabs>
                      <w:tab w:val="left" w:pos="317"/>
                    </w:tabs>
                    <w:spacing w:line="240" w:lineRule="auto"/>
                    <w:ind w:firstLine="0"/>
                    <w:jc w:val="center"/>
                    <w:rPr>
                      <w:rFonts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本项目不涉及</w:t>
                  </w:r>
                </w:p>
              </w:tc>
              <w:tc>
                <w:tcPr>
                  <w:tcW w:w="669" w:type="dxa"/>
                  <w:tcBorders>
                    <w:tl2br w:val="nil"/>
                    <w:tr2bl w:val="nil"/>
                  </w:tcBorders>
                  <w:vAlign w:val="center"/>
                </w:tcPr>
                <w:p>
                  <w:pPr>
                    <w:pStyle w:val="83"/>
                    <w:spacing w:line="240" w:lineRule="auto"/>
                    <w:ind w:firstLine="0"/>
                    <w:jc w:val="center"/>
                    <w:rPr>
                      <w:rFonts w:ascii="Times New Roman" w:hAnsi="Times New Roman" w:cs="Times New Roman"/>
                      <w:color w:val="auto"/>
                      <w:sz w:val="21"/>
                      <w:szCs w:val="21"/>
                      <w:lang w:eastAsia="zh-CN"/>
                    </w:rPr>
                  </w:pPr>
                  <w:r>
                    <w:rPr>
                      <w:rFonts w:hint="eastAsia" w:ascii="Times New Roman" w:hAnsi="Times New Roman" w:cs="Times New Roman"/>
                      <w:color w:val="auto"/>
                      <w:sz w:val="21"/>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6" w:type="dxa"/>
                  <w:vMerge w:val="continue"/>
                  <w:tcBorders>
                    <w:tl2br w:val="nil"/>
                    <w:tr2bl w:val="nil"/>
                  </w:tcBorders>
                  <w:vAlign w:val="center"/>
                </w:tcPr>
                <w:p>
                  <w:pPr>
                    <w:pStyle w:val="83"/>
                    <w:spacing w:line="240" w:lineRule="auto"/>
                    <w:ind w:firstLine="0"/>
                    <w:jc w:val="center"/>
                    <w:rPr>
                      <w:rFonts w:ascii="Times New Roman" w:hAnsi="Times New Roman" w:cs="Times New Roman"/>
                      <w:color w:val="auto"/>
                      <w:sz w:val="21"/>
                      <w:szCs w:val="21"/>
                    </w:rPr>
                  </w:pPr>
                </w:p>
              </w:tc>
              <w:tc>
                <w:tcPr>
                  <w:tcW w:w="715" w:type="dxa"/>
                  <w:vMerge w:val="continue"/>
                  <w:tcBorders>
                    <w:tl2br w:val="nil"/>
                    <w:tr2bl w:val="nil"/>
                  </w:tcBorders>
                  <w:vAlign w:val="center"/>
                </w:tcPr>
                <w:p>
                  <w:pPr>
                    <w:pStyle w:val="83"/>
                    <w:spacing w:line="240" w:lineRule="auto"/>
                    <w:ind w:firstLine="0"/>
                    <w:jc w:val="center"/>
                    <w:rPr>
                      <w:rFonts w:ascii="Times New Roman" w:hAnsi="Times New Roman" w:cs="Times New Roman"/>
                      <w:color w:val="auto"/>
                      <w:sz w:val="21"/>
                      <w:szCs w:val="21"/>
                    </w:rPr>
                  </w:pPr>
                </w:p>
              </w:tc>
              <w:tc>
                <w:tcPr>
                  <w:tcW w:w="7140" w:type="dxa"/>
                  <w:tcBorders>
                    <w:tl2br w:val="nil"/>
                    <w:tr2bl w:val="nil"/>
                  </w:tcBorders>
                  <w:vAlign w:val="center"/>
                </w:tcPr>
                <w:p>
                  <w:pPr>
                    <w:pStyle w:val="83"/>
                    <w:spacing w:line="240" w:lineRule="auto"/>
                    <w:ind w:firstLine="0"/>
                    <w:jc w:val="center"/>
                    <w:rPr>
                      <w:rFonts w:ascii="Times New Roman" w:hAnsi="Times New Roman" w:cs="Times New Roman"/>
                      <w:color w:val="auto"/>
                      <w:sz w:val="21"/>
                      <w:szCs w:val="21"/>
                    </w:rPr>
                  </w:pPr>
                  <w:r>
                    <w:rPr>
                      <w:rFonts w:ascii="Times New Roman" w:hAnsi="Times New Roman" w:cs="Times New Roman"/>
                      <w:color w:val="auto"/>
                      <w:sz w:val="21"/>
                      <w:szCs w:val="21"/>
                    </w:rPr>
                    <w:t>4、禁燃区内不得新建燃烧煤炭、重油、渣油等高污染燃料的设施：现有燃烧高污染燃料的设施，应当限期改用清洁能源：未改用清洁能源替代的高污染燃料设施，应当配套建设先进工艺的脱硫、脱硝、除尘装置或者釆取其他措施，控制二氧化硫、氮氧化物和烟尘等排放：仍未达到大气污染物排放标准的，应当停止使用。禁燃区内禁止</w:t>
                  </w:r>
                  <w:r>
                    <w:rPr>
                      <w:rFonts w:hint="eastAsia" w:ascii="Times New Roman" w:hAnsi="Times New Roman" w:cs="Times New Roman"/>
                      <w:color w:val="auto"/>
                      <w:sz w:val="21"/>
                      <w:szCs w:val="21"/>
                      <w:lang w:val="en-US" w:eastAsia="zh-CN"/>
                    </w:rPr>
                    <w:t>原煤</w:t>
                  </w:r>
                  <w:r>
                    <w:rPr>
                      <w:rFonts w:ascii="Times New Roman" w:hAnsi="Times New Roman" w:cs="Times New Roman"/>
                      <w:color w:val="auto"/>
                      <w:sz w:val="21"/>
                      <w:szCs w:val="21"/>
                    </w:rPr>
                    <w:t>散烧。</w:t>
                  </w:r>
                </w:p>
              </w:tc>
              <w:tc>
                <w:tcPr>
                  <w:tcW w:w="3678" w:type="dxa"/>
                  <w:tcBorders>
                    <w:tl2br w:val="nil"/>
                    <w:tr2bl w:val="nil"/>
                  </w:tcBorders>
                  <w:vAlign w:val="center"/>
                </w:tcPr>
                <w:p>
                  <w:pPr>
                    <w:pStyle w:val="83"/>
                    <w:tabs>
                      <w:tab w:val="left" w:pos="317"/>
                    </w:tabs>
                    <w:spacing w:line="240" w:lineRule="auto"/>
                    <w:ind w:firstLine="0"/>
                    <w:jc w:val="center"/>
                    <w:rPr>
                      <w:rFonts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本项目不涉及煤炭、重油、渣油等高污染燃料燃烧</w:t>
                  </w:r>
                </w:p>
              </w:tc>
              <w:tc>
                <w:tcPr>
                  <w:tcW w:w="669" w:type="dxa"/>
                  <w:tcBorders>
                    <w:tl2br w:val="nil"/>
                    <w:tr2bl w:val="nil"/>
                  </w:tcBorders>
                  <w:vAlign w:val="center"/>
                </w:tcPr>
                <w:p>
                  <w:pPr>
                    <w:pStyle w:val="83"/>
                    <w:spacing w:line="240" w:lineRule="auto"/>
                    <w:ind w:firstLine="0"/>
                    <w:jc w:val="center"/>
                    <w:rPr>
                      <w:rFonts w:ascii="Times New Roman" w:hAnsi="Times New Roman" w:cs="Times New Roman"/>
                      <w:color w:val="auto"/>
                      <w:sz w:val="21"/>
                      <w:szCs w:val="21"/>
                    </w:rPr>
                  </w:pPr>
                  <w:r>
                    <w:rPr>
                      <w:rFonts w:ascii="Times New Roman" w:hAnsi="Times New Roman" w:cs="Times New Roman"/>
                      <w:color w:val="auto"/>
                      <w:sz w:val="21"/>
                      <w:szCs w:val="21"/>
                    </w:rPr>
                    <w:t>符合</w:t>
                  </w:r>
                </w:p>
              </w:tc>
            </w:tr>
          </w:tbl>
          <w:p>
            <w:pPr>
              <w:pStyle w:val="67"/>
              <w:widowControl w:val="0"/>
              <w:overflowPunct/>
              <w:autoSpaceDE/>
              <w:autoSpaceDN/>
              <w:spacing w:line="480" w:lineRule="exact"/>
              <w:ind w:firstLine="0" w:firstLineChars="0"/>
              <w:jc w:val="center"/>
              <w:rPr>
                <w:b/>
                <w:bCs/>
                <w:color w:val="auto"/>
                <w:szCs w:val="24"/>
                <w:lang w:val="zh-CN"/>
              </w:rPr>
            </w:pPr>
            <w:r>
              <w:rPr>
                <w:rFonts w:ascii="Times New Roman" w:hAnsi="Times New Roman" w:eastAsia="宋体"/>
                <w:b/>
                <w:color w:val="auto"/>
                <w:szCs w:val="24"/>
              </w:rPr>
              <w:t>表</w:t>
            </w:r>
            <w:r>
              <w:rPr>
                <w:rFonts w:hint="eastAsia" w:ascii="Times New Roman" w:hAnsi="Times New Roman" w:eastAsia="宋体"/>
                <w:b/>
                <w:color w:val="auto"/>
                <w:szCs w:val="24"/>
              </w:rPr>
              <w:t xml:space="preserve">2 </w:t>
            </w:r>
            <w:r>
              <w:rPr>
                <w:rFonts w:ascii="Times New Roman" w:hAnsi="Times New Roman" w:eastAsia="宋体"/>
                <w:b/>
                <w:color w:val="auto"/>
                <w:szCs w:val="24"/>
              </w:rPr>
              <w:t xml:space="preserve">  与 “</w:t>
            </w:r>
            <w:r>
              <w:rPr>
                <w:rFonts w:hint="eastAsia" w:ascii="Times New Roman" w:hAnsi="Times New Roman" w:eastAsia="宋体"/>
                <w:b/>
                <w:color w:val="auto"/>
                <w:szCs w:val="24"/>
              </w:rPr>
              <w:t>遵化市生态</w:t>
            </w:r>
            <w:r>
              <w:rPr>
                <w:rFonts w:ascii="Times New Roman" w:hAnsi="Times New Roman" w:eastAsia="宋体"/>
                <w:b/>
                <w:color w:val="auto"/>
                <w:szCs w:val="24"/>
              </w:rPr>
              <w:t>环境准入负面清单”及其动态更新成果</w:t>
            </w:r>
            <w:r>
              <w:rPr>
                <w:rFonts w:hint="eastAsia" w:ascii="Times New Roman" w:hAnsi="Times New Roman" w:eastAsia="宋体"/>
                <w:b/>
                <w:color w:val="auto"/>
                <w:szCs w:val="24"/>
                <w:lang w:val="zh-CN"/>
              </w:rPr>
              <w:t>符合性分析</w:t>
            </w:r>
            <w:r>
              <w:rPr>
                <w:rFonts w:ascii="Times New Roman" w:hAnsi="Times New Roman" w:eastAsia="宋体"/>
                <w:b/>
                <w:color w:val="auto"/>
                <w:szCs w:val="24"/>
              </w:rPr>
              <w:t>符合性分析判定表</w:t>
            </w:r>
          </w:p>
          <w:tbl>
            <w:tblPr>
              <w:tblStyle w:val="33"/>
              <w:tblW w:w="4992"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679"/>
              <w:gridCol w:w="849"/>
              <w:gridCol w:w="699"/>
              <w:gridCol w:w="1068"/>
              <w:gridCol w:w="995"/>
              <w:gridCol w:w="3829"/>
              <w:gridCol w:w="3095"/>
              <w:gridCol w:w="65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94"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ascii="Times New Roman" w:hAnsi="Times New Roman"/>
                      <w:color w:val="auto"/>
                      <w:sz w:val="21"/>
                      <w:szCs w:val="21"/>
                    </w:rPr>
                    <w:t>编号</w:t>
                  </w:r>
                </w:p>
              </w:tc>
              <w:tc>
                <w:tcPr>
                  <w:tcW w:w="263"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ascii="Times New Roman" w:hAnsi="Times New Roman"/>
                      <w:color w:val="auto"/>
                      <w:sz w:val="21"/>
                      <w:szCs w:val="21"/>
                    </w:rPr>
                    <w:t>区县</w:t>
                  </w:r>
                </w:p>
              </w:tc>
              <w:tc>
                <w:tcPr>
                  <w:tcW w:w="329"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ascii="Times New Roman" w:hAnsi="Times New Roman"/>
                      <w:color w:val="auto"/>
                      <w:sz w:val="21"/>
                      <w:szCs w:val="21"/>
                    </w:rPr>
                    <w:t>乡镇</w:t>
                  </w:r>
                </w:p>
              </w:tc>
              <w:tc>
                <w:tcPr>
                  <w:tcW w:w="271"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ascii="Times New Roman" w:hAnsi="Times New Roman"/>
                      <w:color w:val="auto"/>
                      <w:sz w:val="21"/>
                      <w:szCs w:val="21"/>
                    </w:rPr>
                    <w:t>单元类别</w:t>
                  </w:r>
                </w:p>
              </w:tc>
              <w:tc>
                <w:tcPr>
                  <w:tcW w:w="414"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ascii="Times New Roman" w:hAnsi="Times New Roman"/>
                      <w:color w:val="auto"/>
                      <w:sz w:val="21"/>
                      <w:szCs w:val="21"/>
                    </w:rPr>
                    <w:t>环境要素类别</w:t>
                  </w:r>
                </w:p>
              </w:tc>
              <w:tc>
                <w:tcPr>
                  <w:tcW w:w="386"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ascii="Times New Roman" w:hAnsi="Times New Roman"/>
                      <w:color w:val="auto"/>
                      <w:sz w:val="21"/>
                      <w:szCs w:val="21"/>
                    </w:rPr>
                    <w:t>维度</w:t>
                  </w:r>
                </w:p>
              </w:tc>
              <w:tc>
                <w:tcPr>
                  <w:tcW w:w="1485"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ascii="Times New Roman" w:hAnsi="Times New Roman"/>
                      <w:color w:val="auto"/>
                      <w:sz w:val="21"/>
                      <w:szCs w:val="21"/>
                    </w:rPr>
                    <w:t>管控要求</w:t>
                  </w:r>
                </w:p>
              </w:tc>
              <w:tc>
                <w:tcPr>
                  <w:tcW w:w="1200"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ascii="Times New Roman" w:hAnsi="Times New Roman"/>
                      <w:color w:val="auto"/>
                      <w:sz w:val="21"/>
                      <w:szCs w:val="21"/>
                    </w:rPr>
                    <w:t>本项目情况</w:t>
                  </w:r>
                </w:p>
              </w:tc>
              <w:tc>
                <w:tcPr>
                  <w:tcW w:w="254"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结论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394" w:type="pct"/>
                  <w:vMerge w:val="restart"/>
                  <w:tcBorders>
                    <w:tl2br w:val="nil"/>
                    <w:tr2bl w:val="nil"/>
                  </w:tcBorders>
                  <w:vAlign w:val="center"/>
                </w:tcPr>
                <w:p>
                  <w:pPr>
                    <w:pStyle w:val="68"/>
                    <w:ind w:firstLine="0" w:firstLineChars="0"/>
                    <w:jc w:val="center"/>
                    <w:rPr>
                      <w:rFonts w:ascii="Times New Roman" w:hAnsi="Times New Roman"/>
                      <w:color w:val="auto"/>
                      <w:sz w:val="21"/>
                      <w:szCs w:val="21"/>
                    </w:rPr>
                  </w:pPr>
                  <w:r>
                    <w:rPr>
                      <w:rFonts w:ascii="Times New Roman" w:hAnsi="Times New Roman"/>
                      <w:color w:val="auto"/>
                      <w:sz w:val="21"/>
                      <w:szCs w:val="21"/>
                    </w:rPr>
                    <w:t>ZH13028120006</w:t>
                  </w:r>
                </w:p>
              </w:tc>
              <w:tc>
                <w:tcPr>
                  <w:tcW w:w="263" w:type="pct"/>
                  <w:vMerge w:val="restar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遵化市</w:t>
                  </w:r>
                </w:p>
              </w:tc>
              <w:tc>
                <w:tcPr>
                  <w:tcW w:w="329" w:type="pct"/>
                  <w:vMerge w:val="restar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苏家洼镇、西留村乡、西三里乡、</w:t>
                  </w:r>
                </w:p>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遵化镇</w:t>
                  </w:r>
                </w:p>
              </w:tc>
              <w:tc>
                <w:tcPr>
                  <w:tcW w:w="271" w:type="pct"/>
                  <w:vMerge w:val="restart"/>
                  <w:tcBorders>
                    <w:tl2br w:val="nil"/>
                    <w:tr2bl w:val="nil"/>
                  </w:tcBorders>
                  <w:vAlign w:val="center"/>
                </w:tcPr>
                <w:p>
                  <w:pPr>
                    <w:pStyle w:val="68"/>
                    <w:ind w:firstLine="0" w:firstLineChars="0"/>
                    <w:jc w:val="center"/>
                    <w:rPr>
                      <w:rFonts w:ascii="Times New Roman" w:hAnsi="Times New Roman"/>
                      <w:color w:val="auto"/>
                      <w:sz w:val="21"/>
                      <w:szCs w:val="21"/>
                      <w:lang w:val="zh-TW"/>
                    </w:rPr>
                  </w:pPr>
                  <w:r>
                    <w:rPr>
                      <w:rFonts w:hint="eastAsia" w:ascii="Times New Roman" w:hAnsi="Times New Roman"/>
                      <w:color w:val="auto"/>
                      <w:sz w:val="21"/>
                      <w:szCs w:val="21"/>
                    </w:rPr>
                    <w:t>重点管控单元</w:t>
                  </w:r>
                </w:p>
              </w:tc>
              <w:tc>
                <w:tcPr>
                  <w:tcW w:w="414" w:type="pct"/>
                  <w:vMerge w:val="restart"/>
                  <w:tcBorders>
                    <w:tl2br w:val="nil"/>
                    <w:tr2bl w:val="nil"/>
                  </w:tcBorders>
                  <w:vAlign w:val="center"/>
                </w:tcPr>
                <w:p>
                  <w:pPr>
                    <w:pStyle w:val="68"/>
                    <w:ind w:firstLine="0" w:firstLineChars="0"/>
                    <w:jc w:val="center"/>
                    <w:rPr>
                      <w:rFonts w:ascii="Times New Roman" w:hAnsi="Times New Roman"/>
                      <w:color w:val="auto"/>
                      <w:sz w:val="21"/>
                      <w:szCs w:val="21"/>
                    </w:rPr>
                  </w:pPr>
                  <w:r>
                    <w:rPr>
                      <w:rFonts w:ascii="Times New Roman" w:hAnsi="Times New Roman"/>
                      <w:color w:val="auto"/>
                      <w:sz w:val="21"/>
                      <w:szCs w:val="21"/>
                    </w:rPr>
                    <w:t>1、大气环境受体敏感重点管控区</w:t>
                  </w:r>
                  <w:r>
                    <w:rPr>
                      <w:rFonts w:hint="eastAsia" w:ascii="Times New Roman" w:hAnsi="Times New Roman"/>
                      <w:color w:val="auto"/>
                      <w:sz w:val="21"/>
                      <w:szCs w:val="21"/>
                    </w:rPr>
                    <w:t>；</w:t>
                  </w:r>
                  <w:r>
                    <w:rPr>
                      <w:rFonts w:ascii="Times New Roman" w:hAnsi="Times New Roman"/>
                      <w:color w:val="auto"/>
                      <w:sz w:val="21"/>
                      <w:szCs w:val="21"/>
                    </w:rPr>
                    <w:t>2</w:t>
                  </w:r>
                  <w:r>
                    <w:rPr>
                      <w:rFonts w:hint="eastAsia" w:ascii="Times New Roman" w:hAnsi="Times New Roman"/>
                      <w:color w:val="auto"/>
                      <w:sz w:val="21"/>
                      <w:szCs w:val="21"/>
                    </w:rPr>
                    <w:t>、</w:t>
                  </w:r>
                  <w:r>
                    <w:rPr>
                      <w:rFonts w:ascii="Times New Roman" w:hAnsi="Times New Roman"/>
                      <w:color w:val="auto"/>
                      <w:sz w:val="21"/>
                      <w:szCs w:val="21"/>
                    </w:rPr>
                    <w:t>中城区</w:t>
                  </w:r>
                  <w:r>
                    <w:rPr>
                      <w:rFonts w:hint="eastAsia" w:ascii="Times New Roman" w:hAnsi="Times New Roman"/>
                      <w:color w:val="auto"/>
                      <w:sz w:val="21"/>
                      <w:szCs w:val="21"/>
                    </w:rPr>
                    <w:t>；</w:t>
                  </w:r>
                  <w:r>
                    <w:rPr>
                      <w:rFonts w:ascii="Times New Roman" w:hAnsi="Times New Roman"/>
                      <w:color w:val="auto"/>
                      <w:sz w:val="21"/>
                      <w:szCs w:val="21"/>
                    </w:rPr>
                    <w:t>3</w:t>
                  </w:r>
                  <w:r>
                    <w:rPr>
                      <w:rFonts w:hint="eastAsia" w:ascii="Times New Roman" w:hAnsi="Times New Roman"/>
                      <w:color w:val="auto"/>
                      <w:sz w:val="21"/>
                      <w:szCs w:val="21"/>
                    </w:rPr>
                    <w:t>、</w:t>
                  </w:r>
                  <w:r>
                    <w:rPr>
                      <w:rFonts w:ascii="Times New Roman" w:hAnsi="Times New Roman"/>
                      <w:color w:val="auto"/>
                      <w:sz w:val="21"/>
                      <w:szCs w:val="21"/>
                    </w:rPr>
                    <w:t>水环境城镇生活污染重点管控区</w:t>
                  </w:r>
                  <w:r>
                    <w:rPr>
                      <w:rFonts w:hint="eastAsia" w:ascii="Times New Roman" w:hAnsi="Times New Roman"/>
                      <w:color w:val="auto"/>
                      <w:sz w:val="21"/>
                      <w:szCs w:val="21"/>
                    </w:rPr>
                    <w:t>；</w:t>
                  </w:r>
                  <w:r>
                    <w:rPr>
                      <w:rFonts w:ascii="Times New Roman" w:hAnsi="Times New Roman"/>
                      <w:color w:val="auto"/>
                      <w:sz w:val="21"/>
                      <w:szCs w:val="21"/>
                    </w:rPr>
                    <w:t>4、遵化市城镇开发边界</w:t>
                  </w:r>
                  <w:r>
                    <w:rPr>
                      <w:rFonts w:hint="eastAsia" w:ascii="Times New Roman" w:hAnsi="Times New Roman"/>
                      <w:color w:val="auto"/>
                      <w:sz w:val="21"/>
                      <w:szCs w:val="21"/>
                    </w:rPr>
                    <w:t>；</w:t>
                  </w:r>
                  <w:r>
                    <w:rPr>
                      <w:rFonts w:ascii="Times New Roman" w:hAnsi="Times New Roman"/>
                      <w:color w:val="auto"/>
                      <w:sz w:val="21"/>
                      <w:szCs w:val="21"/>
                    </w:rPr>
                    <w:t>5、高污染燃料禁燃区</w:t>
                  </w:r>
                </w:p>
              </w:tc>
              <w:tc>
                <w:tcPr>
                  <w:tcW w:w="386" w:type="pct"/>
                  <w:vMerge w:val="restar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空间布局约束</w:t>
                  </w:r>
                </w:p>
              </w:tc>
              <w:tc>
                <w:tcPr>
                  <w:tcW w:w="1485"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1</w:t>
                  </w:r>
                  <w:r>
                    <w:rPr>
                      <w:rFonts w:ascii="Times New Roman" w:hAnsi="Times New Roman"/>
                      <w:color w:val="auto"/>
                      <w:sz w:val="21"/>
                      <w:szCs w:val="21"/>
                    </w:rPr>
                    <w:t>、新建企业原则上均应建在工业集聚区。对城市建成区内重污染企业、不符合安全防护距离和卫生防护距离的危化企业实施有序搬迁改造或依法关闭。</w:t>
                  </w:r>
                </w:p>
              </w:tc>
              <w:tc>
                <w:tcPr>
                  <w:tcW w:w="1200"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本项目为铸造企业，不属于重污染企业，项目不需设置卫生防护距离</w:t>
                  </w:r>
                </w:p>
              </w:tc>
              <w:tc>
                <w:tcPr>
                  <w:tcW w:w="254"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394" w:type="pct"/>
                  <w:vMerge w:val="continue"/>
                  <w:tcBorders>
                    <w:tl2br w:val="nil"/>
                    <w:tr2bl w:val="nil"/>
                  </w:tcBorders>
                  <w:vAlign w:val="center"/>
                </w:tcPr>
                <w:p>
                  <w:pPr>
                    <w:pStyle w:val="68"/>
                    <w:ind w:firstLine="0" w:firstLineChars="0"/>
                    <w:jc w:val="center"/>
                    <w:rPr>
                      <w:rFonts w:ascii="Times New Roman" w:hAnsi="Times New Roman"/>
                      <w:color w:val="auto"/>
                      <w:sz w:val="21"/>
                      <w:szCs w:val="21"/>
                    </w:rPr>
                  </w:pPr>
                </w:p>
              </w:tc>
              <w:tc>
                <w:tcPr>
                  <w:tcW w:w="263" w:type="pct"/>
                  <w:vMerge w:val="continue"/>
                  <w:tcBorders>
                    <w:tl2br w:val="nil"/>
                    <w:tr2bl w:val="nil"/>
                  </w:tcBorders>
                  <w:vAlign w:val="center"/>
                </w:tcPr>
                <w:p>
                  <w:pPr>
                    <w:pStyle w:val="68"/>
                    <w:ind w:firstLine="0" w:firstLineChars="0"/>
                    <w:jc w:val="center"/>
                    <w:rPr>
                      <w:rFonts w:ascii="Times New Roman" w:hAnsi="Times New Roman"/>
                      <w:color w:val="auto"/>
                      <w:sz w:val="21"/>
                      <w:szCs w:val="21"/>
                    </w:rPr>
                  </w:pPr>
                </w:p>
              </w:tc>
              <w:tc>
                <w:tcPr>
                  <w:tcW w:w="329" w:type="pct"/>
                  <w:vMerge w:val="continue"/>
                  <w:tcBorders>
                    <w:tl2br w:val="nil"/>
                    <w:tr2bl w:val="nil"/>
                  </w:tcBorders>
                  <w:vAlign w:val="center"/>
                </w:tcPr>
                <w:p>
                  <w:pPr>
                    <w:pStyle w:val="68"/>
                    <w:ind w:firstLine="0" w:firstLineChars="0"/>
                    <w:jc w:val="center"/>
                    <w:rPr>
                      <w:rFonts w:ascii="Times New Roman" w:hAnsi="Times New Roman"/>
                      <w:color w:val="auto"/>
                      <w:sz w:val="21"/>
                      <w:szCs w:val="21"/>
                    </w:rPr>
                  </w:pPr>
                </w:p>
              </w:tc>
              <w:tc>
                <w:tcPr>
                  <w:tcW w:w="271" w:type="pct"/>
                  <w:vMerge w:val="continue"/>
                  <w:tcBorders>
                    <w:tl2br w:val="nil"/>
                    <w:tr2bl w:val="nil"/>
                  </w:tcBorders>
                  <w:vAlign w:val="center"/>
                </w:tcPr>
                <w:p>
                  <w:pPr>
                    <w:pStyle w:val="68"/>
                    <w:ind w:firstLine="0" w:firstLineChars="0"/>
                    <w:jc w:val="center"/>
                    <w:rPr>
                      <w:rFonts w:ascii="Times New Roman" w:hAnsi="Times New Roman"/>
                      <w:color w:val="auto"/>
                      <w:sz w:val="21"/>
                      <w:szCs w:val="21"/>
                    </w:rPr>
                  </w:pPr>
                </w:p>
              </w:tc>
              <w:tc>
                <w:tcPr>
                  <w:tcW w:w="414" w:type="pct"/>
                  <w:vMerge w:val="continue"/>
                  <w:tcBorders>
                    <w:tl2br w:val="nil"/>
                    <w:tr2bl w:val="nil"/>
                  </w:tcBorders>
                  <w:vAlign w:val="center"/>
                </w:tcPr>
                <w:p>
                  <w:pPr>
                    <w:pStyle w:val="68"/>
                    <w:ind w:firstLine="0" w:firstLineChars="0"/>
                    <w:jc w:val="center"/>
                    <w:rPr>
                      <w:rFonts w:ascii="Times New Roman" w:hAnsi="Times New Roman"/>
                      <w:color w:val="auto"/>
                      <w:sz w:val="21"/>
                      <w:szCs w:val="21"/>
                    </w:rPr>
                  </w:pPr>
                </w:p>
              </w:tc>
              <w:tc>
                <w:tcPr>
                  <w:tcW w:w="386" w:type="pct"/>
                  <w:vMerge w:val="continue"/>
                  <w:tcBorders>
                    <w:tl2br w:val="nil"/>
                    <w:tr2bl w:val="nil"/>
                  </w:tcBorders>
                  <w:vAlign w:val="center"/>
                </w:tcPr>
                <w:p>
                  <w:pPr>
                    <w:pStyle w:val="68"/>
                    <w:ind w:firstLine="0" w:firstLineChars="0"/>
                    <w:jc w:val="center"/>
                    <w:rPr>
                      <w:rFonts w:ascii="Times New Roman" w:hAnsi="Times New Roman"/>
                      <w:color w:val="auto"/>
                      <w:sz w:val="21"/>
                      <w:szCs w:val="21"/>
                    </w:rPr>
                  </w:pPr>
                </w:p>
              </w:tc>
              <w:tc>
                <w:tcPr>
                  <w:tcW w:w="1485"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2、</w:t>
                  </w:r>
                  <w:r>
                    <w:rPr>
                      <w:rFonts w:ascii="Times New Roman" w:hAnsi="Times New Roman"/>
                      <w:color w:val="auto"/>
                      <w:sz w:val="21"/>
                      <w:szCs w:val="21"/>
                    </w:rPr>
                    <w:t>禁止未按要求进行产能置换的新建、改建、扩建钢铁项目。</w:t>
                  </w:r>
                </w:p>
              </w:tc>
              <w:tc>
                <w:tcPr>
                  <w:tcW w:w="1200"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本项目不属于钢铁项目</w:t>
                  </w:r>
                </w:p>
              </w:tc>
              <w:tc>
                <w:tcPr>
                  <w:tcW w:w="254"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394" w:type="pct"/>
                  <w:vMerge w:val="continue"/>
                  <w:tcBorders>
                    <w:tl2br w:val="nil"/>
                    <w:tr2bl w:val="nil"/>
                  </w:tcBorders>
                  <w:vAlign w:val="center"/>
                </w:tcPr>
                <w:p>
                  <w:pPr>
                    <w:pStyle w:val="68"/>
                    <w:ind w:firstLine="0" w:firstLineChars="0"/>
                    <w:jc w:val="center"/>
                    <w:rPr>
                      <w:rFonts w:ascii="Times New Roman" w:hAnsi="Times New Roman"/>
                      <w:color w:val="auto"/>
                      <w:sz w:val="21"/>
                      <w:szCs w:val="21"/>
                    </w:rPr>
                  </w:pPr>
                </w:p>
              </w:tc>
              <w:tc>
                <w:tcPr>
                  <w:tcW w:w="263" w:type="pct"/>
                  <w:vMerge w:val="continue"/>
                  <w:tcBorders>
                    <w:tl2br w:val="nil"/>
                    <w:tr2bl w:val="nil"/>
                  </w:tcBorders>
                  <w:vAlign w:val="center"/>
                </w:tcPr>
                <w:p>
                  <w:pPr>
                    <w:pStyle w:val="68"/>
                    <w:ind w:firstLine="0" w:firstLineChars="0"/>
                    <w:jc w:val="center"/>
                    <w:rPr>
                      <w:rFonts w:ascii="Times New Roman" w:hAnsi="Times New Roman"/>
                      <w:color w:val="auto"/>
                      <w:sz w:val="21"/>
                      <w:szCs w:val="21"/>
                    </w:rPr>
                  </w:pPr>
                </w:p>
              </w:tc>
              <w:tc>
                <w:tcPr>
                  <w:tcW w:w="329" w:type="pct"/>
                  <w:vMerge w:val="continue"/>
                  <w:tcBorders>
                    <w:tl2br w:val="nil"/>
                    <w:tr2bl w:val="nil"/>
                  </w:tcBorders>
                  <w:vAlign w:val="center"/>
                </w:tcPr>
                <w:p>
                  <w:pPr>
                    <w:pStyle w:val="68"/>
                    <w:ind w:firstLine="0" w:firstLineChars="0"/>
                    <w:jc w:val="center"/>
                    <w:rPr>
                      <w:rFonts w:ascii="Times New Roman" w:hAnsi="Times New Roman"/>
                      <w:color w:val="auto"/>
                      <w:sz w:val="21"/>
                      <w:szCs w:val="21"/>
                    </w:rPr>
                  </w:pPr>
                </w:p>
              </w:tc>
              <w:tc>
                <w:tcPr>
                  <w:tcW w:w="271" w:type="pct"/>
                  <w:vMerge w:val="continue"/>
                  <w:tcBorders>
                    <w:tl2br w:val="nil"/>
                    <w:tr2bl w:val="nil"/>
                  </w:tcBorders>
                  <w:vAlign w:val="center"/>
                </w:tcPr>
                <w:p>
                  <w:pPr>
                    <w:pStyle w:val="68"/>
                    <w:ind w:firstLine="0" w:firstLineChars="0"/>
                    <w:jc w:val="center"/>
                    <w:rPr>
                      <w:rFonts w:ascii="Times New Roman" w:hAnsi="Times New Roman"/>
                      <w:color w:val="auto"/>
                      <w:sz w:val="21"/>
                      <w:szCs w:val="21"/>
                    </w:rPr>
                  </w:pPr>
                </w:p>
              </w:tc>
              <w:tc>
                <w:tcPr>
                  <w:tcW w:w="414" w:type="pct"/>
                  <w:vMerge w:val="continue"/>
                  <w:tcBorders>
                    <w:tl2br w:val="nil"/>
                    <w:tr2bl w:val="nil"/>
                  </w:tcBorders>
                  <w:vAlign w:val="center"/>
                </w:tcPr>
                <w:p>
                  <w:pPr>
                    <w:pStyle w:val="68"/>
                    <w:ind w:firstLine="0" w:firstLineChars="0"/>
                    <w:jc w:val="center"/>
                    <w:rPr>
                      <w:rFonts w:ascii="Times New Roman" w:hAnsi="Times New Roman"/>
                      <w:color w:val="auto"/>
                      <w:sz w:val="21"/>
                      <w:szCs w:val="21"/>
                    </w:rPr>
                  </w:pPr>
                </w:p>
              </w:tc>
              <w:tc>
                <w:tcPr>
                  <w:tcW w:w="386" w:type="pct"/>
                  <w:vMerge w:val="continue"/>
                  <w:tcBorders>
                    <w:tl2br w:val="nil"/>
                    <w:tr2bl w:val="nil"/>
                  </w:tcBorders>
                  <w:vAlign w:val="center"/>
                </w:tcPr>
                <w:p>
                  <w:pPr>
                    <w:pStyle w:val="68"/>
                    <w:ind w:firstLine="0" w:firstLineChars="0"/>
                    <w:jc w:val="center"/>
                    <w:rPr>
                      <w:rFonts w:ascii="Times New Roman" w:hAnsi="Times New Roman"/>
                      <w:color w:val="auto"/>
                      <w:sz w:val="21"/>
                      <w:szCs w:val="21"/>
                    </w:rPr>
                  </w:pPr>
                </w:p>
              </w:tc>
              <w:tc>
                <w:tcPr>
                  <w:tcW w:w="1485"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3、</w:t>
                  </w:r>
                  <w:r>
                    <w:rPr>
                      <w:rFonts w:ascii="Times New Roman" w:hAnsi="Times New Roman"/>
                      <w:color w:val="auto"/>
                      <w:sz w:val="21"/>
                      <w:szCs w:val="21"/>
                    </w:rPr>
                    <w:t>禁止布局废品收购站，经营性印刷、铁艺加工等涉 VOCs 排放行业企业，涉喷漆工序汽修行业二类以下企业。</w:t>
                  </w:r>
                </w:p>
              </w:tc>
              <w:tc>
                <w:tcPr>
                  <w:tcW w:w="1200"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项目为铸造企业，不属于废品收购站，项目不涉及</w:t>
                  </w:r>
                  <w:r>
                    <w:rPr>
                      <w:rFonts w:ascii="Times New Roman" w:hAnsi="Times New Roman"/>
                      <w:color w:val="auto"/>
                      <w:sz w:val="21"/>
                      <w:szCs w:val="21"/>
                    </w:rPr>
                    <w:t>VOCs排放</w:t>
                  </w:r>
                  <w:r>
                    <w:rPr>
                      <w:rFonts w:hint="eastAsia" w:ascii="Times New Roman" w:hAnsi="Times New Roman"/>
                      <w:color w:val="auto"/>
                      <w:sz w:val="21"/>
                      <w:szCs w:val="21"/>
                    </w:rPr>
                    <w:t>，不属于汽修行业</w:t>
                  </w:r>
                </w:p>
              </w:tc>
              <w:tc>
                <w:tcPr>
                  <w:tcW w:w="254"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394" w:type="pct"/>
                  <w:vMerge w:val="continue"/>
                  <w:tcBorders>
                    <w:tl2br w:val="nil"/>
                    <w:tr2bl w:val="nil"/>
                  </w:tcBorders>
                  <w:vAlign w:val="center"/>
                </w:tcPr>
                <w:p>
                  <w:pPr>
                    <w:pStyle w:val="68"/>
                    <w:ind w:firstLine="0" w:firstLineChars="0"/>
                    <w:jc w:val="center"/>
                    <w:rPr>
                      <w:rFonts w:ascii="Times New Roman" w:hAnsi="Times New Roman"/>
                      <w:color w:val="auto"/>
                      <w:sz w:val="21"/>
                      <w:szCs w:val="21"/>
                    </w:rPr>
                  </w:pPr>
                </w:p>
              </w:tc>
              <w:tc>
                <w:tcPr>
                  <w:tcW w:w="263" w:type="pct"/>
                  <w:vMerge w:val="continue"/>
                  <w:tcBorders>
                    <w:tl2br w:val="nil"/>
                    <w:tr2bl w:val="nil"/>
                  </w:tcBorders>
                  <w:vAlign w:val="center"/>
                </w:tcPr>
                <w:p>
                  <w:pPr>
                    <w:pStyle w:val="68"/>
                    <w:ind w:firstLine="0" w:firstLineChars="0"/>
                    <w:jc w:val="center"/>
                    <w:rPr>
                      <w:rFonts w:ascii="Times New Roman" w:hAnsi="Times New Roman"/>
                      <w:color w:val="auto"/>
                      <w:sz w:val="21"/>
                      <w:szCs w:val="21"/>
                    </w:rPr>
                  </w:pPr>
                </w:p>
              </w:tc>
              <w:tc>
                <w:tcPr>
                  <w:tcW w:w="329" w:type="pct"/>
                  <w:vMerge w:val="continue"/>
                  <w:tcBorders>
                    <w:tl2br w:val="nil"/>
                    <w:tr2bl w:val="nil"/>
                  </w:tcBorders>
                  <w:vAlign w:val="center"/>
                </w:tcPr>
                <w:p>
                  <w:pPr>
                    <w:pStyle w:val="68"/>
                    <w:ind w:firstLine="0" w:firstLineChars="0"/>
                    <w:jc w:val="center"/>
                    <w:rPr>
                      <w:rFonts w:ascii="Times New Roman" w:hAnsi="Times New Roman"/>
                      <w:color w:val="auto"/>
                      <w:sz w:val="21"/>
                      <w:szCs w:val="21"/>
                    </w:rPr>
                  </w:pPr>
                </w:p>
              </w:tc>
              <w:tc>
                <w:tcPr>
                  <w:tcW w:w="271" w:type="pct"/>
                  <w:vMerge w:val="continue"/>
                  <w:tcBorders>
                    <w:tl2br w:val="nil"/>
                    <w:tr2bl w:val="nil"/>
                  </w:tcBorders>
                  <w:vAlign w:val="center"/>
                </w:tcPr>
                <w:p>
                  <w:pPr>
                    <w:pStyle w:val="68"/>
                    <w:ind w:firstLine="0" w:firstLineChars="0"/>
                    <w:jc w:val="center"/>
                    <w:rPr>
                      <w:rFonts w:ascii="Times New Roman" w:hAnsi="Times New Roman"/>
                      <w:color w:val="auto"/>
                      <w:sz w:val="21"/>
                      <w:szCs w:val="21"/>
                    </w:rPr>
                  </w:pPr>
                </w:p>
              </w:tc>
              <w:tc>
                <w:tcPr>
                  <w:tcW w:w="414" w:type="pct"/>
                  <w:vMerge w:val="continue"/>
                  <w:tcBorders>
                    <w:tl2br w:val="nil"/>
                    <w:tr2bl w:val="nil"/>
                  </w:tcBorders>
                  <w:vAlign w:val="center"/>
                </w:tcPr>
                <w:p>
                  <w:pPr>
                    <w:pStyle w:val="68"/>
                    <w:ind w:firstLine="0" w:firstLineChars="0"/>
                    <w:jc w:val="center"/>
                    <w:rPr>
                      <w:rFonts w:ascii="Times New Roman" w:hAnsi="Times New Roman"/>
                      <w:color w:val="auto"/>
                      <w:sz w:val="21"/>
                      <w:szCs w:val="21"/>
                    </w:rPr>
                  </w:pPr>
                </w:p>
              </w:tc>
              <w:tc>
                <w:tcPr>
                  <w:tcW w:w="386" w:type="pct"/>
                  <w:vMerge w:val="restar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污染物排放控制</w:t>
                  </w:r>
                </w:p>
              </w:tc>
              <w:tc>
                <w:tcPr>
                  <w:tcW w:w="1485"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ascii="Times New Roman" w:hAnsi="Times New Roman"/>
                      <w:color w:val="auto"/>
                      <w:sz w:val="21"/>
                      <w:szCs w:val="21"/>
                    </w:rPr>
                    <w:t>1、城镇建成区的人口密集区域，禁止从事露天喷漆、喷涂、喷砂、电气焊等散发有毒有害气体加工作业。</w:t>
                  </w:r>
                </w:p>
              </w:tc>
              <w:tc>
                <w:tcPr>
                  <w:tcW w:w="1200" w:type="pct"/>
                  <w:tcBorders>
                    <w:tl2br w:val="nil"/>
                    <w:tr2bl w:val="nil"/>
                  </w:tcBorders>
                  <w:vAlign w:val="center"/>
                </w:tcPr>
                <w:p>
                  <w:pPr>
                    <w:pStyle w:val="68"/>
                    <w:ind w:firstLine="0" w:firstLineChars="0"/>
                    <w:jc w:val="center"/>
                    <w:rPr>
                      <w:rFonts w:ascii="Times New Roman" w:hAnsi="Times New Roman"/>
                      <w:color w:val="auto"/>
                      <w:sz w:val="21"/>
                      <w:szCs w:val="21"/>
                      <w:highlight w:val="red"/>
                    </w:rPr>
                  </w:pPr>
                  <w:r>
                    <w:rPr>
                      <w:rFonts w:hint="eastAsia" w:ascii="Times New Roman" w:hAnsi="Times New Roman"/>
                      <w:color w:val="auto"/>
                      <w:sz w:val="21"/>
                      <w:szCs w:val="21"/>
                    </w:rPr>
                    <w:t>本项目不涉及</w:t>
                  </w:r>
                  <w:r>
                    <w:rPr>
                      <w:rFonts w:ascii="Times New Roman" w:hAnsi="Times New Roman"/>
                      <w:color w:val="auto"/>
                      <w:sz w:val="21"/>
                      <w:szCs w:val="21"/>
                    </w:rPr>
                    <w:t>喷漆、喷涂、喷砂、电气焊等散发有毒有害气体加工作业</w:t>
                  </w:r>
                </w:p>
              </w:tc>
              <w:tc>
                <w:tcPr>
                  <w:tcW w:w="254"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ascii="Times New Roman" w:hAnsi="Times New Roman"/>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394" w:type="pct"/>
                  <w:vMerge w:val="continue"/>
                  <w:tcBorders>
                    <w:tl2br w:val="nil"/>
                    <w:tr2bl w:val="nil"/>
                  </w:tcBorders>
                  <w:vAlign w:val="center"/>
                </w:tcPr>
                <w:p>
                  <w:pPr>
                    <w:pStyle w:val="68"/>
                    <w:ind w:firstLine="0" w:firstLineChars="0"/>
                    <w:jc w:val="center"/>
                    <w:rPr>
                      <w:rFonts w:ascii="Times New Roman" w:hAnsi="Times New Roman"/>
                      <w:color w:val="auto"/>
                      <w:sz w:val="21"/>
                      <w:szCs w:val="21"/>
                    </w:rPr>
                  </w:pPr>
                </w:p>
              </w:tc>
              <w:tc>
                <w:tcPr>
                  <w:tcW w:w="263" w:type="pct"/>
                  <w:vMerge w:val="continue"/>
                  <w:tcBorders>
                    <w:tl2br w:val="nil"/>
                    <w:tr2bl w:val="nil"/>
                  </w:tcBorders>
                  <w:vAlign w:val="center"/>
                </w:tcPr>
                <w:p>
                  <w:pPr>
                    <w:pStyle w:val="68"/>
                    <w:ind w:firstLine="0" w:firstLineChars="0"/>
                    <w:jc w:val="center"/>
                    <w:rPr>
                      <w:rFonts w:ascii="Times New Roman" w:hAnsi="Times New Roman"/>
                      <w:color w:val="auto"/>
                      <w:sz w:val="21"/>
                      <w:szCs w:val="21"/>
                    </w:rPr>
                  </w:pPr>
                </w:p>
              </w:tc>
              <w:tc>
                <w:tcPr>
                  <w:tcW w:w="329" w:type="pct"/>
                  <w:vMerge w:val="continue"/>
                  <w:tcBorders>
                    <w:tl2br w:val="nil"/>
                    <w:tr2bl w:val="nil"/>
                  </w:tcBorders>
                  <w:vAlign w:val="center"/>
                </w:tcPr>
                <w:p>
                  <w:pPr>
                    <w:pStyle w:val="68"/>
                    <w:ind w:firstLine="0" w:firstLineChars="0"/>
                    <w:jc w:val="center"/>
                    <w:rPr>
                      <w:rFonts w:ascii="Times New Roman" w:hAnsi="Times New Roman"/>
                      <w:color w:val="auto"/>
                      <w:sz w:val="21"/>
                      <w:szCs w:val="21"/>
                    </w:rPr>
                  </w:pPr>
                </w:p>
              </w:tc>
              <w:tc>
                <w:tcPr>
                  <w:tcW w:w="271" w:type="pct"/>
                  <w:vMerge w:val="continue"/>
                  <w:tcBorders>
                    <w:tl2br w:val="nil"/>
                    <w:tr2bl w:val="nil"/>
                  </w:tcBorders>
                  <w:vAlign w:val="center"/>
                </w:tcPr>
                <w:p>
                  <w:pPr>
                    <w:pStyle w:val="68"/>
                    <w:ind w:firstLine="0" w:firstLineChars="0"/>
                    <w:jc w:val="center"/>
                    <w:rPr>
                      <w:rFonts w:ascii="Times New Roman" w:hAnsi="Times New Roman"/>
                      <w:color w:val="auto"/>
                      <w:sz w:val="21"/>
                      <w:szCs w:val="21"/>
                    </w:rPr>
                  </w:pPr>
                </w:p>
              </w:tc>
              <w:tc>
                <w:tcPr>
                  <w:tcW w:w="414" w:type="pct"/>
                  <w:vMerge w:val="continue"/>
                  <w:tcBorders>
                    <w:tl2br w:val="nil"/>
                    <w:tr2bl w:val="nil"/>
                  </w:tcBorders>
                  <w:vAlign w:val="center"/>
                </w:tcPr>
                <w:p>
                  <w:pPr>
                    <w:pStyle w:val="68"/>
                    <w:ind w:firstLine="0" w:firstLineChars="0"/>
                    <w:jc w:val="center"/>
                    <w:rPr>
                      <w:rFonts w:ascii="Times New Roman" w:hAnsi="Times New Roman"/>
                      <w:color w:val="auto"/>
                      <w:sz w:val="21"/>
                      <w:szCs w:val="21"/>
                    </w:rPr>
                  </w:pPr>
                </w:p>
              </w:tc>
              <w:tc>
                <w:tcPr>
                  <w:tcW w:w="386" w:type="pct"/>
                  <w:vMerge w:val="continue"/>
                  <w:tcBorders>
                    <w:tl2br w:val="nil"/>
                    <w:tr2bl w:val="nil"/>
                  </w:tcBorders>
                  <w:vAlign w:val="center"/>
                </w:tcPr>
                <w:p>
                  <w:pPr>
                    <w:pStyle w:val="68"/>
                    <w:ind w:firstLine="0" w:firstLineChars="0"/>
                    <w:jc w:val="center"/>
                    <w:rPr>
                      <w:rFonts w:ascii="Times New Roman" w:hAnsi="Times New Roman"/>
                      <w:color w:val="auto"/>
                      <w:sz w:val="21"/>
                      <w:szCs w:val="21"/>
                    </w:rPr>
                  </w:pPr>
                </w:p>
              </w:tc>
              <w:tc>
                <w:tcPr>
                  <w:tcW w:w="1485"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2</w:t>
                  </w:r>
                  <w:r>
                    <w:rPr>
                      <w:rFonts w:ascii="Times New Roman" w:hAnsi="Times New Roman"/>
                      <w:color w:val="auto"/>
                      <w:sz w:val="21"/>
                      <w:szCs w:val="21"/>
                    </w:rPr>
                    <w:t>、中心城区东部的矿产资源开发活动应逐步退出，推进工矿废弃地修复利用。</w:t>
                  </w:r>
                </w:p>
              </w:tc>
              <w:tc>
                <w:tcPr>
                  <w:tcW w:w="1200"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本项目不属于矿产资源开发</w:t>
                  </w:r>
                </w:p>
              </w:tc>
              <w:tc>
                <w:tcPr>
                  <w:tcW w:w="254"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394" w:type="pct"/>
                  <w:vMerge w:val="continue"/>
                  <w:tcBorders>
                    <w:tl2br w:val="nil"/>
                    <w:tr2bl w:val="nil"/>
                  </w:tcBorders>
                  <w:vAlign w:val="center"/>
                </w:tcPr>
                <w:p>
                  <w:pPr>
                    <w:pStyle w:val="68"/>
                    <w:ind w:firstLine="0" w:firstLineChars="0"/>
                    <w:jc w:val="center"/>
                    <w:rPr>
                      <w:rFonts w:ascii="Times New Roman" w:hAnsi="Times New Roman"/>
                      <w:color w:val="auto"/>
                      <w:sz w:val="21"/>
                      <w:szCs w:val="21"/>
                    </w:rPr>
                  </w:pPr>
                </w:p>
              </w:tc>
              <w:tc>
                <w:tcPr>
                  <w:tcW w:w="263" w:type="pct"/>
                  <w:vMerge w:val="continue"/>
                  <w:tcBorders>
                    <w:tl2br w:val="nil"/>
                    <w:tr2bl w:val="nil"/>
                  </w:tcBorders>
                  <w:vAlign w:val="center"/>
                </w:tcPr>
                <w:p>
                  <w:pPr>
                    <w:pStyle w:val="68"/>
                    <w:ind w:firstLine="0" w:firstLineChars="0"/>
                    <w:jc w:val="center"/>
                    <w:rPr>
                      <w:rFonts w:ascii="Times New Roman" w:hAnsi="Times New Roman"/>
                      <w:color w:val="auto"/>
                      <w:sz w:val="21"/>
                      <w:szCs w:val="21"/>
                    </w:rPr>
                  </w:pPr>
                </w:p>
              </w:tc>
              <w:tc>
                <w:tcPr>
                  <w:tcW w:w="329" w:type="pct"/>
                  <w:vMerge w:val="continue"/>
                  <w:tcBorders>
                    <w:tl2br w:val="nil"/>
                    <w:tr2bl w:val="nil"/>
                  </w:tcBorders>
                  <w:vAlign w:val="center"/>
                </w:tcPr>
                <w:p>
                  <w:pPr>
                    <w:pStyle w:val="68"/>
                    <w:ind w:firstLine="0" w:firstLineChars="0"/>
                    <w:jc w:val="center"/>
                    <w:rPr>
                      <w:rFonts w:ascii="Times New Roman" w:hAnsi="Times New Roman"/>
                      <w:color w:val="auto"/>
                      <w:sz w:val="21"/>
                      <w:szCs w:val="21"/>
                    </w:rPr>
                  </w:pPr>
                </w:p>
              </w:tc>
              <w:tc>
                <w:tcPr>
                  <w:tcW w:w="271" w:type="pct"/>
                  <w:vMerge w:val="continue"/>
                  <w:tcBorders>
                    <w:tl2br w:val="nil"/>
                    <w:tr2bl w:val="nil"/>
                  </w:tcBorders>
                  <w:vAlign w:val="center"/>
                </w:tcPr>
                <w:p>
                  <w:pPr>
                    <w:pStyle w:val="68"/>
                    <w:ind w:firstLine="0" w:firstLineChars="0"/>
                    <w:jc w:val="center"/>
                    <w:rPr>
                      <w:rFonts w:ascii="Times New Roman" w:hAnsi="Times New Roman"/>
                      <w:color w:val="auto"/>
                      <w:sz w:val="21"/>
                      <w:szCs w:val="21"/>
                    </w:rPr>
                  </w:pPr>
                </w:p>
              </w:tc>
              <w:tc>
                <w:tcPr>
                  <w:tcW w:w="414" w:type="pct"/>
                  <w:vMerge w:val="continue"/>
                  <w:tcBorders>
                    <w:tl2br w:val="nil"/>
                    <w:tr2bl w:val="nil"/>
                  </w:tcBorders>
                  <w:vAlign w:val="center"/>
                </w:tcPr>
                <w:p>
                  <w:pPr>
                    <w:pStyle w:val="68"/>
                    <w:ind w:firstLine="0" w:firstLineChars="0"/>
                    <w:jc w:val="center"/>
                    <w:rPr>
                      <w:rFonts w:ascii="Times New Roman" w:hAnsi="Times New Roman"/>
                      <w:color w:val="auto"/>
                      <w:sz w:val="21"/>
                      <w:szCs w:val="21"/>
                    </w:rPr>
                  </w:pPr>
                </w:p>
              </w:tc>
              <w:tc>
                <w:tcPr>
                  <w:tcW w:w="386" w:type="pct"/>
                  <w:vMerge w:val="restar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环境风险防控</w:t>
                  </w:r>
                </w:p>
              </w:tc>
              <w:tc>
                <w:tcPr>
                  <w:tcW w:w="1485"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1、</w:t>
                  </w:r>
                  <w:r>
                    <w:rPr>
                      <w:rFonts w:ascii="Times New Roman" w:hAnsi="Times New Roman"/>
                      <w:color w:val="auto"/>
                      <w:sz w:val="21"/>
                      <w:szCs w:val="21"/>
                    </w:rPr>
                    <w:t>加强重污染天气应急联动。加强污染气象条件和空气污染监测、预报预警和评估能力建设，建设全市区域污染传输监控预警系统，提高重污染天气预报预警准确度。全市具备发布空气质量预报信息的能力。</w:t>
                  </w:r>
                </w:p>
              </w:tc>
              <w:tc>
                <w:tcPr>
                  <w:tcW w:w="1200"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本项目按照相关要求</w:t>
                  </w:r>
                  <w:r>
                    <w:rPr>
                      <w:rFonts w:ascii="Times New Roman" w:hAnsi="Times New Roman"/>
                      <w:color w:val="auto"/>
                      <w:sz w:val="21"/>
                      <w:szCs w:val="21"/>
                    </w:rPr>
                    <w:t>组织</w:t>
                  </w:r>
                  <w:r>
                    <w:rPr>
                      <w:rFonts w:hint="eastAsia" w:ascii="Times New Roman" w:hAnsi="Times New Roman"/>
                      <w:color w:val="auto"/>
                      <w:sz w:val="21"/>
                      <w:szCs w:val="21"/>
                    </w:rPr>
                    <w:t>并委托编制</w:t>
                  </w:r>
                  <w:r>
                    <w:rPr>
                      <w:rFonts w:ascii="Times New Roman" w:hAnsi="Times New Roman"/>
                      <w:color w:val="auto"/>
                      <w:sz w:val="21"/>
                      <w:szCs w:val="21"/>
                    </w:rPr>
                    <w:t>《环境风险应急预案》，成立应急组织机构，定期开展应急演练，提高区域环境风险防范能力</w:t>
                  </w:r>
                </w:p>
              </w:tc>
              <w:tc>
                <w:tcPr>
                  <w:tcW w:w="254"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394" w:type="pct"/>
                  <w:vMerge w:val="continue"/>
                  <w:tcBorders>
                    <w:tl2br w:val="nil"/>
                    <w:tr2bl w:val="nil"/>
                  </w:tcBorders>
                  <w:vAlign w:val="center"/>
                </w:tcPr>
                <w:p>
                  <w:pPr>
                    <w:pStyle w:val="68"/>
                    <w:ind w:firstLine="0" w:firstLineChars="0"/>
                    <w:jc w:val="center"/>
                    <w:rPr>
                      <w:rFonts w:ascii="Times New Roman" w:hAnsi="Times New Roman"/>
                      <w:color w:val="auto"/>
                      <w:sz w:val="21"/>
                      <w:szCs w:val="21"/>
                    </w:rPr>
                  </w:pPr>
                </w:p>
              </w:tc>
              <w:tc>
                <w:tcPr>
                  <w:tcW w:w="263" w:type="pct"/>
                  <w:vMerge w:val="continue"/>
                  <w:tcBorders>
                    <w:tl2br w:val="nil"/>
                    <w:tr2bl w:val="nil"/>
                  </w:tcBorders>
                  <w:vAlign w:val="center"/>
                </w:tcPr>
                <w:p>
                  <w:pPr>
                    <w:pStyle w:val="68"/>
                    <w:ind w:firstLine="0" w:firstLineChars="0"/>
                    <w:jc w:val="center"/>
                    <w:rPr>
                      <w:rFonts w:ascii="Times New Roman" w:hAnsi="Times New Roman"/>
                      <w:color w:val="auto"/>
                      <w:sz w:val="21"/>
                      <w:szCs w:val="21"/>
                    </w:rPr>
                  </w:pPr>
                </w:p>
              </w:tc>
              <w:tc>
                <w:tcPr>
                  <w:tcW w:w="329" w:type="pct"/>
                  <w:vMerge w:val="continue"/>
                  <w:tcBorders>
                    <w:tl2br w:val="nil"/>
                    <w:tr2bl w:val="nil"/>
                  </w:tcBorders>
                  <w:vAlign w:val="center"/>
                </w:tcPr>
                <w:p>
                  <w:pPr>
                    <w:pStyle w:val="68"/>
                    <w:ind w:firstLine="0" w:firstLineChars="0"/>
                    <w:jc w:val="center"/>
                    <w:rPr>
                      <w:rFonts w:ascii="Times New Roman" w:hAnsi="Times New Roman"/>
                      <w:color w:val="auto"/>
                      <w:sz w:val="21"/>
                      <w:szCs w:val="21"/>
                    </w:rPr>
                  </w:pPr>
                </w:p>
              </w:tc>
              <w:tc>
                <w:tcPr>
                  <w:tcW w:w="271" w:type="pct"/>
                  <w:vMerge w:val="continue"/>
                  <w:tcBorders>
                    <w:tl2br w:val="nil"/>
                    <w:tr2bl w:val="nil"/>
                  </w:tcBorders>
                  <w:vAlign w:val="center"/>
                </w:tcPr>
                <w:p>
                  <w:pPr>
                    <w:pStyle w:val="68"/>
                    <w:ind w:firstLine="0" w:firstLineChars="0"/>
                    <w:jc w:val="center"/>
                    <w:rPr>
                      <w:rFonts w:ascii="Times New Roman" w:hAnsi="Times New Roman"/>
                      <w:color w:val="auto"/>
                      <w:sz w:val="21"/>
                      <w:szCs w:val="21"/>
                    </w:rPr>
                  </w:pPr>
                </w:p>
              </w:tc>
              <w:tc>
                <w:tcPr>
                  <w:tcW w:w="414" w:type="pct"/>
                  <w:vMerge w:val="continue"/>
                  <w:tcBorders>
                    <w:tl2br w:val="nil"/>
                    <w:tr2bl w:val="nil"/>
                  </w:tcBorders>
                  <w:vAlign w:val="center"/>
                </w:tcPr>
                <w:p>
                  <w:pPr>
                    <w:pStyle w:val="68"/>
                    <w:ind w:firstLine="0" w:firstLineChars="0"/>
                    <w:jc w:val="center"/>
                    <w:rPr>
                      <w:rFonts w:ascii="Times New Roman" w:hAnsi="Times New Roman"/>
                      <w:color w:val="auto"/>
                      <w:sz w:val="21"/>
                      <w:szCs w:val="21"/>
                    </w:rPr>
                  </w:pPr>
                </w:p>
              </w:tc>
              <w:tc>
                <w:tcPr>
                  <w:tcW w:w="386" w:type="pct"/>
                  <w:vMerge w:val="continue"/>
                  <w:tcBorders>
                    <w:tl2br w:val="nil"/>
                    <w:tr2bl w:val="nil"/>
                  </w:tcBorders>
                  <w:vAlign w:val="center"/>
                </w:tcPr>
                <w:p>
                  <w:pPr>
                    <w:pStyle w:val="68"/>
                    <w:ind w:firstLine="0" w:firstLineChars="0"/>
                    <w:jc w:val="center"/>
                    <w:rPr>
                      <w:rFonts w:ascii="Times New Roman" w:hAnsi="Times New Roman"/>
                      <w:color w:val="auto"/>
                      <w:sz w:val="21"/>
                      <w:szCs w:val="21"/>
                    </w:rPr>
                  </w:pPr>
                </w:p>
              </w:tc>
              <w:tc>
                <w:tcPr>
                  <w:tcW w:w="1485"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2、</w:t>
                  </w:r>
                  <w:r>
                    <w:rPr>
                      <w:rFonts w:ascii="Times New Roman" w:hAnsi="Times New Roman"/>
                      <w:color w:val="auto"/>
                      <w:sz w:val="21"/>
                      <w:szCs w:val="21"/>
                    </w:rPr>
                    <w:t>完善应急减排措施。</w:t>
                  </w:r>
                </w:p>
              </w:tc>
              <w:tc>
                <w:tcPr>
                  <w:tcW w:w="1200"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本项目建立有效的事故风险防范体系</w:t>
                  </w:r>
                </w:p>
              </w:tc>
              <w:tc>
                <w:tcPr>
                  <w:tcW w:w="254"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394" w:type="pct"/>
                  <w:vMerge w:val="continue"/>
                  <w:tcBorders>
                    <w:tl2br w:val="nil"/>
                    <w:tr2bl w:val="nil"/>
                  </w:tcBorders>
                  <w:vAlign w:val="center"/>
                </w:tcPr>
                <w:p>
                  <w:pPr>
                    <w:pStyle w:val="68"/>
                    <w:ind w:firstLine="0" w:firstLineChars="0"/>
                    <w:jc w:val="center"/>
                    <w:rPr>
                      <w:rFonts w:ascii="Times New Roman" w:hAnsi="Times New Roman"/>
                      <w:color w:val="auto"/>
                      <w:sz w:val="21"/>
                      <w:szCs w:val="21"/>
                    </w:rPr>
                  </w:pPr>
                </w:p>
              </w:tc>
              <w:tc>
                <w:tcPr>
                  <w:tcW w:w="263" w:type="pct"/>
                  <w:vMerge w:val="continue"/>
                  <w:tcBorders>
                    <w:tl2br w:val="nil"/>
                    <w:tr2bl w:val="nil"/>
                  </w:tcBorders>
                  <w:vAlign w:val="center"/>
                </w:tcPr>
                <w:p>
                  <w:pPr>
                    <w:pStyle w:val="68"/>
                    <w:ind w:firstLine="0" w:firstLineChars="0"/>
                    <w:jc w:val="center"/>
                    <w:rPr>
                      <w:rFonts w:ascii="Times New Roman" w:hAnsi="Times New Roman"/>
                      <w:color w:val="auto"/>
                      <w:sz w:val="21"/>
                      <w:szCs w:val="21"/>
                    </w:rPr>
                  </w:pPr>
                </w:p>
              </w:tc>
              <w:tc>
                <w:tcPr>
                  <w:tcW w:w="329" w:type="pct"/>
                  <w:vMerge w:val="continue"/>
                  <w:tcBorders>
                    <w:tl2br w:val="nil"/>
                    <w:tr2bl w:val="nil"/>
                  </w:tcBorders>
                  <w:vAlign w:val="center"/>
                </w:tcPr>
                <w:p>
                  <w:pPr>
                    <w:pStyle w:val="68"/>
                    <w:ind w:firstLine="0" w:firstLineChars="0"/>
                    <w:jc w:val="center"/>
                    <w:rPr>
                      <w:rFonts w:ascii="Times New Roman" w:hAnsi="Times New Roman"/>
                      <w:color w:val="auto"/>
                      <w:sz w:val="21"/>
                      <w:szCs w:val="21"/>
                    </w:rPr>
                  </w:pPr>
                </w:p>
              </w:tc>
              <w:tc>
                <w:tcPr>
                  <w:tcW w:w="271" w:type="pct"/>
                  <w:vMerge w:val="continue"/>
                  <w:tcBorders>
                    <w:tl2br w:val="nil"/>
                    <w:tr2bl w:val="nil"/>
                  </w:tcBorders>
                  <w:vAlign w:val="center"/>
                </w:tcPr>
                <w:p>
                  <w:pPr>
                    <w:pStyle w:val="68"/>
                    <w:ind w:firstLine="0" w:firstLineChars="0"/>
                    <w:jc w:val="center"/>
                    <w:rPr>
                      <w:rFonts w:ascii="Times New Roman" w:hAnsi="Times New Roman"/>
                      <w:color w:val="auto"/>
                      <w:sz w:val="21"/>
                      <w:szCs w:val="21"/>
                    </w:rPr>
                  </w:pPr>
                </w:p>
              </w:tc>
              <w:tc>
                <w:tcPr>
                  <w:tcW w:w="414" w:type="pct"/>
                  <w:vMerge w:val="continue"/>
                  <w:tcBorders>
                    <w:tl2br w:val="nil"/>
                    <w:tr2bl w:val="nil"/>
                  </w:tcBorders>
                  <w:vAlign w:val="center"/>
                </w:tcPr>
                <w:p>
                  <w:pPr>
                    <w:pStyle w:val="68"/>
                    <w:ind w:firstLine="0" w:firstLineChars="0"/>
                    <w:jc w:val="center"/>
                    <w:rPr>
                      <w:rFonts w:ascii="Times New Roman" w:hAnsi="Times New Roman"/>
                      <w:color w:val="auto"/>
                      <w:sz w:val="21"/>
                      <w:szCs w:val="21"/>
                    </w:rPr>
                  </w:pPr>
                </w:p>
              </w:tc>
              <w:tc>
                <w:tcPr>
                  <w:tcW w:w="386"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资源利用效率要求</w:t>
                  </w:r>
                </w:p>
              </w:tc>
              <w:tc>
                <w:tcPr>
                  <w:tcW w:w="1485"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ascii="Times New Roman" w:hAnsi="Times New Roman"/>
                      <w:color w:val="auto"/>
                      <w:sz w:val="21"/>
                      <w:szCs w:val="21"/>
                    </w:rPr>
                    <w:t>禁燃区内禁止新建、改建、扩建燃用高污染燃料的锅炉、炉窑、炉灶等燃烧设施。</w:t>
                  </w:r>
                </w:p>
              </w:tc>
              <w:tc>
                <w:tcPr>
                  <w:tcW w:w="1200"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项目不涉及燃料燃烧</w:t>
                  </w:r>
                </w:p>
              </w:tc>
              <w:tc>
                <w:tcPr>
                  <w:tcW w:w="254"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符合</w:t>
                  </w:r>
                </w:p>
              </w:tc>
            </w:tr>
          </w:tbl>
          <w:p>
            <w:pPr>
              <w:pStyle w:val="67"/>
              <w:widowControl w:val="0"/>
              <w:overflowPunct/>
              <w:autoSpaceDE/>
              <w:autoSpaceDN/>
              <w:spacing w:line="480" w:lineRule="exact"/>
              <w:ind w:firstLine="480" w:firstLineChars="200"/>
              <w:jc w:val="both"/>
              <w:rPr>
                <w:rFonts w:ascii="宋体" w:hAnsi="宋体" w:eastAsia="宋体" w:cs="宋体"/>
                <w:color w:val="auto"/>
                <w:szCs w:val="24"/>
              </w:rPr>
            </w:pPr>
            <w:r>
              <w:rPr>
                <w:rFonts w:hint="eastAsia" w:ascii="宋体" w:hAnsi="宋体" w:eastAsia="宋体" w:cs="宋体"/>
                <w:color w:val="auto"/>
                <w:szCs w:val="24"/>
              </w:rPr>
              <w:t>综上所述，本项目满足“三线一单”及《唐山市生态环境准入清单动态更新成果》要求。</w:t>
            </w:r>
          </w:p>
          <w:p>
            <w:pPr>
              <w:pStyle w:val="67"/>
              <w:widowControl w:val="0"/>
              <w:overflowPunct/>
              <w:autoSpaceDE/>
              <w:autoSpaceDN/>
              <w:spacing w:line="480" w:lineRule="exact"/>
              <w:ind w:firstLine="0" w:firstLineChars="0"/>
              <w:jc w:val="center"/>
              <w:rPr>
                <w:rFonts w:ascii="宋体" w:hAnsi="宋体" w:eastAsia="宋体" w:cs="宋体"/>
                <w:color w:val="auto"/>
                <w:szCs w:val="24"/>
              </w:rPr>
            </w:pPr>
          </w:p>
          <w:p>
            <w:pPr>
              <w:pStyle w:val="67"/>
              <w:widowControl w:val="0"/>
              <w:overflowPunct/>
              <w:autoSpaceDE/>
              <w:autoSpaceDN/>
              <w:spacing w:line="480" w:lineRule="exact"/>
              <w:ind w:firstLine="0" w:firstLineChars="0"/>
              <w:jc w:val="center"/>
              <w:rPr>
                <w:rFonts w:ascii="Times New Roman" w:hAnsi="Times New Roman" w:eastAsia="宋体"/>
                <w:b/>
                <w:color w:val="auto"/>
                <w:szCs w:val="24"/>
              </w:rPr>
            </w:pPr>
          </w:p>
          <w:p>
            <w:pPr>
              <w:pStyle w:val="67"/>
              <w:widowControl w:val="0"/>
              <w:overflowPunct/>
              <w:autoSpaceDE/>
              <w:autoSpaceDN/>
              <w:spacing w:line="480" w:lineRule="exact"/>
              <w:ind w:firstLine="0" w:firstLineChars="0"/>
              <w:jc w:val="center"/>
              <w:rPr>
                <w:rFonts w:ascii="Times New Roman" w:hAnsi="Times New Roman" w:eastAsia="宋体"/>
                <w:b/>
                <w:color w:val="auto"/>
                <w:szCs w:val="24"/>
              </w:rPr>
            </w:pPr>
          </w:p>
          <w:p>
            <w:pPr>
              <w:pStyle w:val="67"/>
              <w:widowControl w:val="0"/>
              <w:overflowPunct/>
              <w:autoSpaceDE/>
              <w:autoSpaceDN/>
              <w:spacing w:line="480" w:lineRule="exact"/>
              <w:ind w:firstLine="0" w:firstLineChars="0"/>
              <w:jc w:val="center"/>
              <w:rPr>
                <w:rFonts w:ascii="Times New Roman" w:hAnsi="Times New Roman" w:eastAsia="宋体"/>
                <w:b/>
                <w:color w:val="auto"/>
                <w:szCs w:val="24"/>
              </w:rPr>
            </w:pPr>
          </w:p>
          <w:p>
            <w:pPr>
              <w:spacing w:line="480" w:lineRule="exact"/>
              <w:rPr>
                <w:color w:val="auto"/>
              </w:rPr>
            </w:pPr>
          </w:p>
        </w:tc>
      </w:tr>
    </w:tbl>
    <w:p>
      <w:pPr>
        <w:pStyle w:val="29"/>
        <w:keepNext/>
        <w:widowControl w:val="0"/>
        <w:jc w:val="center"/>
        <w:rPr>
          <w:rFonts w:ascii="Times New Roman" w:hAnsi="Times New Roman" w:eastAsia="黑体"/>
          <w:snapToGrid w:val="0"/>
          <w:color w:val="auto"/>
          <w:sz w:val="30"/>
          <w:szCs w:val="30"/>
        </w:rPr>
        <w:sectPr>
          <w:type w:val="continuous"/>
          <w:pgSz w:w="16838" w:h="11905" w:orient="landscape"/>
          <w:pgMar w:top="1531" w:right="1701" w:bottom="1531" w:left="1701" w:header="851" w:footer="1077" w:gutter="0"/>
          <w:cols w:space="720" w:num="1"/>
          <w:docGrid w:linePitch="312" w:charSpace="0"/>
        </w:sect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8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5" w:hRule="atLeast"/>
        </w:trPr>
        <w:tc>
          <w:tcPr>
            <w:tcW w:w="507" w:type="dxa"/>
            <w:vAlign w:val="center"/>
          </w:tcPr>
          <w:p>
            <w:pPr>
              <w:pStyle w:val="2"/>
              <w:spacing w:line="480" w:lineRule="exact"/>
              <w:ind w:firstLine="0"/>
              <w:jc w:val="center"/>
              <w:rPr>
                <w:rFonts w:ascii="Times New Roman" w:hAnsi="Times New Roman"/>
                <w:color w:val="auto"/>
                <w:sz w:val="24"/>
                <w:szCs w:val="24"/>
              </w:rPr>
            </w:pPr>
            <w:r>
              <w:rPr>
                <w:rFonts w:ascii="Times New Roman" w:hAnsi="Times New Roman"/>
                <w:color w:val="auto"/>
                <w:sz w:val="24"/>
                <w:szCs w:val="24"/>
              </w:rPr>
              <w:t>其</w:t>
            </w:r>
          </w:p>
          <w:p>
            <w:pPr>
              <w:pStyle w:val="2"/>
              <w:spacing w:line="480" w:lineRule="exact"/>
              <w:ind w:firstLine="0"/>
              <w:jc w:val="center"/>
              <w:rPr>
                <w:rFonts w:ascii="Times New Roman" w:hAnsi="Times New Roman"/>
                <w:color w:val="auto"/>
                <w:sz w:val="24"/>
                <w:szCs w:val="24"/>
              </w:rPr>
            </w:pPr>
            <w:r>
              <w:rPr>
                <w:rFonts w:ascii="Times New Roman" w:hAnsi="Times New Roman"/>
                <w:color w:val="auto"/>
                <w:sz w:val="24"/>
                <w:szCs w:val="24"/>
              </w:rPr>
              <w:t>他</w:t>
            </w:r>
          </w:p>
          <w:p>
            <w:pPr>
              <w:pStyle w:val="2"/>
              <w:spacing w:line="480" w:lineRule="exact"/>
              <w:ind w:firstLine="0"/>
              <w:jc w:val="center"/>
              <w:rPr>
                <w:rFonts w:ascii="Times New Roman" w:hAnsi="Times New Roman"/>
                <w:color w:val="auto"/>
                <w:sz w:val="24"/>
                <w:szCs w:val="24"/>
              </w:rPr>
            </w:pPr>
            <w:r>
              <w:rPr>
                <w:rFonts w:ascii="Times New Roman" w:hAnsi="Times New Roman"/>
                <w:color w:val="auto"/>
                <w:sz w:val="24"/>
                <w:szCs w:val="24"/>
              </w:rPr>
              <w:t>符</w:t>
            </w:r>
          </w:p>
          <w:p>
            <w:pPr>
              <w:pStyle w:val="2"/>
              <w:spacing w:line="480" w:lineRule="exact"/>
              <w:ind w:firstLine="0"/>
              <w:jc w:val="center"/>
              <w:rPr>
                <w:rFonts w:ascii="Times New Roman" w:hAnsi="Times New Roman"/>
                <w:color w:val="auto"/>
                <w:sz w:val="24"/>
                <w:szCs w:val="24"/>
              </w:rPr>
            </w:pPr>
            <w:r>
              <w:rPr>
                <w:rFonts w:ascii="Times New Roman" w:hAnsi="Times New Roman"/>
                <w:color w:val="auto"/>
                <w:sz w:val="24"/>
                <w:szCs w:val="24"/>
              </w:rPr>
              <w:t>合</w:t>
            </w:r>
          </w:p>
          <w:p>
            <w:pPr>
              <w:pStyle w:val="2"/>
              <w:spacing w:line="480" w:lineRule="exact"/>
              <w:ind w:firstLine="0"/>
              <w:jc w:val="center"/>
              <w:rPr>
                <w:rFonts w:ascii="Times New Roman" w:hAnsi="Times New Roman"/>
                <w:color w:val="auto"/>
                <w:sz w:val="24"/>
                <w:szCs w:val="24"/>
              </w:rPr>
            </w:pPr>
            <w:r>
              <w:rPr>
                <w:rFonts w:ascii="Times New Roman" w:hAnsi="Times New Roman"/>
                <w:color w:val="auto"/>
                <w:sz w:val="24"/>
                <w:szCs w:val="24"/>
              </w:rPr>
              <w:t>性</w:t>
            </w:r>
          </w:p>
          <w:p>
            <w:pPr>
              <w:pStyle w:val="2"/>
              <w:spacing w:line="480" w:lineRule="exact"/>
              <w:ind w:firstLine="0"/>
              <w:jc w:val="center"/>
              <w:rPr>
                <w:rFonts w:ascii="Times New Roman" w:hAnsi="Times New Roman"/>
                <w:color w:val="auto"/>
                <w:sz w:val="24"/>
                <w:szCs w:val="24"/>
              </w:rPr>
            </w:pPr>
            <w:r>
              <w:rPr>
                <w:rFonts w:ascii="Times New Roman" w:hAnsi="Times New Roman"/>
                <w:color w:val="auto"/>
                <w:sz w:val="24"/>
                <w:szCs w:val="24"/>
              </w:rPr>
              <w:t>分</w:t>
            </w:r>
          </w:p>
          <w:p>
            <w:pPr>
              <w:pStyle w:val="2"/>
              <w:spacing w:line="480" w:lineRule="exact"/>
              <w:ind w:firstLine="0"/>
              <w:jc w:val="center"/>
              <w:rPr>
                <w:rFonts w:ascii="Times New Roman" w:hAnsi="Times New Roman" w:eastAsia="黑体"/>
                <w:snapToGrid w:val="0"/>
                <w:color w:val="auto"/>
                <w:sz w:val="30"/>
                <w:szCs w:val="30"/>
              </w:rPr>
            </w:pPr>
            <w:r>
              <w:rPr>
                <w:rFonts w:ascii="Times New Roman" w:hAnsi="Times New Roman"/>
                <w:color w:val="auto"/>
                <w:sz w:val="24"/>
                <w:szCs w:val="24"/>
              </w:rPr>
              <w:t>析</w:t>
            </w:r>
          </w:p>
        </w:tc>
        <w:tc>
          <w:tcPr>
            <w:tcW w:w="8487" w:type="dxa"/>
          </w:tcPr>
          <w:p>
            <w:pPr>
              <w:pStyle w:val="82"/>
              <w:spacing w:line="480" w:lineRule="exact"/>
              <w:ind w:firstLine="0" w:firstLineChars="0"/>
              <w:jc w:val="left"/>
              <w:rPr>
                <w:b/>
                <w:color w:val="auto"/>
                <w:sz w:val="24"/>
              </w:rPr>
            </w:pPr>
            <w:r>
              <w:rPr>
                <w:rFonts w:hint="eastAsia"/>
                <w:b/>
                <w:color w:val="auto"/>
                <w:sz w:val="24"/>
              </w:rPr>
              <w:t>2、</w:t>
            </w:r>
            <w:r>
              <w:rPr>
                <w:b/>
                <w:color w:val="auto"/>
                <w:sz w:val="24"/>
              </w:rPr>
              <w:t>相关政策符合性</w:t>
            </w:r>
          </w:p>
          <w:p>
            <w:pPr>
              <w:pStyle w:val="82"/>
              <w:spacing w:line="480" w:lineRule="exact"/>
              <w:ind w:firstLine="480"/>
              <w:jc w:val="left"/>
              <w:rPr>
                <w:color w:val="auto"/>
                <w:sz w:val="24"/>
              </w:rPr>
            </w:pPr>
            <w:r>
              <w:rPr>
                <w:rFonts w:hint="eastAsia"/>
                <w:color w:val="auto"/>
                <w:sz w:val="24"/>
              </w:rPr>
              <w:t>2.1产业政策符合性</w:t>
            </w:r>
          </w:p>
          <w:p>
            <w:pPr>
              <w:pStyle w:val="82"/>
              <w:spacing w:line="480" w:lineRule="exact"/>
              <w:ind w:firstLine="480"/>
              <w:jc w:val="left"/>
              <w:rPr>
                <w:color w:val="auto"/>
                <w:sz w:val="24"/>
              </w:rPr>
            </w:pPr>
            <w:r>
              <w:rPr>
                <w:color w:val="auto"/>
                <w:sz w:val="24"/>
              </w:rPr>
              <w:t>本项目</w:t>
            </w:r>
            <w:r>
              <w:rPr>
                <w:rFonts w:hint="eastAsia"/>
                <w:color w:val="auto"/>
                <w:sz w:val="24"/>
              </w:rPr>
              <w:t>不属于</w:t>
            </w:r>
            <w:r>
              <w:rPr>
                <w:color w:val="auto"/>
                <w:sz w:val="24"/>
              </w:rPr>
              <w:t>《产业结构调整指导目录》（2</w:t>
            </w:r>
            <w:r>
              <w:rPr>
                <w:rFonts w:hint="eastAsia"/>
                <w:color w:val="auto"/>
                <w:sz w:val="24"/>
              </w:rPr>
              <w:t>024</w:t>
            </w:r>
            <w:r>
              <w:rPr>
                <w:color w:val="auto"/>
                <w:sz w:val="24"/>
              </w:rPr>
              <w:t>年本）中的鼓励类</w:t>
            </w:r>
            <w:r>
              <w:rPr>
                <w:rFonts w:hint="eastAsia"/>
                <w:color w:val="auto"/>
                <w:sz w:val="24"/>
              </w:rPr>
              <w:t>、限制类、淘汰类项目，项目为允许类项目</w:t>
            </w:r>
            <w:r>
              <w:rPr>
                <w:color w:val="auto"/>
                <w:sz w:val="24"/>
              </w:rPr>
              <w:t>。项目已取得</w:t>
            </w:r>
            <w:r>
              <w:rPr>
                <w:rFonts w:hint="eastAsia"/>
                <w:color w:val="auto"/>
                <w:sz w:val="24"/>
              </w:rPr>
              <w:t>遵化市行政审批局</w:t>
            </w:r>
            <w:r>
              <w:rPr>
                <w:color w:val="auto"/>
                <w:sz w:val="24"/>
              </w:rPr>
              <w:t>出具的企业投资项目备案信息（</w:t>
            </w:r>
            <w:r>
              <w:rPr>
                <w:rFonts w:hint="eastAsia"/>
                <w:color w:val="auto"/>
                <w:sz w:val="24"/>
              </w:rPr>
              <w:t>遵审投资备字[2024]30号</w:t>
            </w:r>
            <w:r>
              <w:rPr>
                <w:color w:val="auto"/>
                <w:sz w:val="24"/>
              </w:rPr>
              <w:t>）</w:t>
            </w:r>
            <w:r>
              <w:rPr>
                <w:rFonts w:hint="eastAsia"/>
                <w:color w:val="auto"/>
                <w:sz w:val="24"/>
              </w:rPr>
              <w:t>；综述，</w:t>
            </w:r>
            <w:r>
              <w:rPr>
                <w:color w:val="auto"/>
                <w:sz w:val="24"/>
              </w:rPr>
              <w:t>项目符合国家有关法律、法规和政策规定</w:t>
            </w:r>
            <w:r>
              <w:rPr>
                <w:rFonts w:hint="eastAsia"/>
                <w:color w:val="auto"/>
                <w:sz w:val="24"/>
              </w:rPr>
              <w:t>。</w:t>
            </w:r>
          </w:p>
          <w:p>
            <w:pPr>
              <w:pStyle w:val="82"/>
              <w:spacing w:line="480" w:lineRule="exact"/>
              <w:ind w:firstLine="480"/>
              <w:jc w:val="left"/>
              <w:rPr>
                <w:color w:val="auto"/>
                <w:sz w:val="24"/>
              </w:rPr>
            </w:pPr>
            <w:r>
              <w:rPr>
                <w:rFonts w:hint="eastAsia"/>
                <w:color w:val="auto"/>
                <w:sz w:val="24"/>
              </w:rPr>
              <w:t>2.2其他政策符合性分析</w:t>
            </w:r>
          </w:p>
          <w:p>
            <w:pPr>
              <w:pStyle w:val="82"/>
              <w:spacing w:line="480" w:lineRule="exact"/>
              <w:ind w:firstLine="500"/>
              <w:jc w:val="left"/>
              <w:rPr>
                <w:color w:val="auto"/>
                <w:spacing w:val="5"/>
                <w:sz w:val="24"/>
              </w:rPr>
            </w:pPr>
            <w:r>
              <w:rPr>
                <w:rFonts w:hint="eastAsia"/>
                <w:color w:val="auto"/>
                <w:spacing w:val="5"/>
                <w:sz w:val="24"/>
              </w:rPr>
              <w:t>2.2.1与《唐山市钢铁行业整治提升工作方案》（</w:t>
            </w:r>
            <w:r>
              <w:rPr>
                <w:rFonts w:hint="eastAsia"/>
                <w:color w:val="auto"/>
                <w:spacing w:val="5"/>
                <w:sz w:val="24"/>
                <w:lang w:val="zh-TW"/>
              </w:rPr>
              <w:t>唐气领办〔2021〕15号</w:t>
            </w:r>
            <w:r>
              <w:rPr>
                <w:rFonts w:hint="eastAsia"/>
                <w:color w:val="auto"/>
                <w:spacing w:val="5"/>
                <w:sz w:val="24"/>
              </w:rPr>
              <w:t>）</w:t>
            </w:r>
            <w:r>
              <w:rPr>
                <w:color w:val="auto"/>
                <w:spacing w:val="5"/>
                <w:sz w:val="24"/>
              </w:rPr>
              <w:t>符合性分析</w:t>
            </w:r>
          </w:p>
          <w:p>
            <w:pPr>
              <w:pStyle w:val="82"/>
              <w:spacing w:line="480" w:lineRule="exact"/>
              <w:ind w:firstLine="0" w:firstLineChars="0"/>
              <w:jc w:val="center"/>
              <w:rPr>
                <w:b/>
                <w:bCs/>
                <w:color w:val="auto"/>
                <w:spacing w:val="5"/>
                <w:sz w:val="24"/>
              </w:rPr>
            </w:pPr>
            <w:r>
              <w:rPr>
                <w:rFonts w:hint="eastAsia"/>
                <w:b/>
                <w:bCs/>
                <w:color w:val="auto"/>
                <w:spacing w:val="5"/>
                <w:sz w:val="24"/>
              </w:rPr>
              <w:t>表3 本项目与《唐山市钢铁行业整治提升工作方案》（唐气领办〔2021〕15号）符合性分析</w:t>
            </w:r>
          </w:p>
          <w:tbl>
            <w:tblPr>
              <w:tblStyle w:val="33"/>
              <w:tblW w:w="8213"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739"/>
              <w:gridCol w:w="3266"/>
              <w:gridCol w:w="3451"/>
              <w:gridCol w:w="757"/>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49"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ascii="Times New Roman" w:hAnsi="Times New Roman"/>
                      <w:color w:val="auto"/>
                      <w:sz w:val="21"/>
                      <w:szCs w:val="21"/>
                    </w:rPr>
                    <w:t>序号</w:t>
                  </w:r>
                </w:p>
              </w:tc>
              <w:tc>
                <w:tcPr>
                  <w:tcW w:w="1987"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ascii="Times New Roman" w:hAnsi="Times New Roman"/>
                      <w:color w:val="auto"/>
                      <w:sz w:val="21"/>
                      <w:szCs w:val="21"/>
                    </w:rPr>
                    <w:t>相关规定</w:t>
                  </w:r>
                </w:p>
              </w:tc>
              <w:tc>
                <w:tcPr>
                  <w:tcW w:w="2100"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ascii="Times New Roman" w:hAnsi="Times New Roman"/>
                      <w:color w:val="auto"/>
                      <w:sz w:val="21"/>
                      <w:szCs w:val="21"/>
                    </w:rPr>
                    <w:t>本</w:t>
                  </w:r>
                  <w:r>
                    <w:rPr>
                      <w:rFonts w:hint="eastAsia" w:ascii="Times New Roman" w:hAnsi="Times New Roman"/>
                      <w:color w:val="auto"/>
                      <w:sz w:val="21"/>
                      <w:szCs w:val="21"/>
                    </w:rPr>
                    <w:t>项目</w:t>
                  </w:r>
                </w:p>
              </w:tc>
              <w:tc>
                <w:tcPr>
                  <w:tcW w:w="461"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ascii="Times New Roman" w:hAnsi="Times New Roman"/>
                      <w:color w:val="auto"/>
                      <w:sz w:val="21"/>
                      <w:szCs w:val="21"/>
                    </w:rPr>
                    <w:t>结论</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232" w:hRule="atLeast"/>
                <w:jc w:val="center"/>
              </w:trPr>
              <w:tc>
                <w:tcPr>
                  <w:tcW w:w="449"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1</w:t>
                  </w:r>
                </w:p>
              </w:tc>
              <w:tc>
                <w:tcPr>
                  <w:tcW w:w="1987"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熔炼工序进行封闭处理，内部加装集气装置，形成负压集中收集废气，将出铁口及钢包覆盖在内，烟气集中收集后经过高效袋式除尘设施进行一次除尘，由排气筒排放，颗粒物排放浓度不高于10mg/Nm</w:t>
                  </w:r>
                  <w:r>
                    <w:rPr>
                      <w:rFonts w:hint="eastAsia" w:ascii="Times New Roman" w:hAnsi="Times New Roman"/>
                      <w:color w:val="auto"/>
                      <w:sz w:val="21"/>
                      <w:szCs w:val="21"/>
                      <w:vertAlign w:val="superscript"/>
                    </w:rPr>
                    <w:t>3</w:t>
                  </w:r>
                  <w:r>
                    <w:rPr>
                      <w:rFonts w:hint="eastAsia" w:ascii="Times New Roman" w:hAnsi="Times New Roman"/>
                      <w:color w:val="auto"/>
                      <w:sz w:val="21"/>
                      <w:szCs w:val="21"/>
                    </w:rPr>
                    <w:t>。集气装置和除尘设施的风量和风压应充分满足生产需要，保证无烟尘外溢。</w:t>
                  </w:r>
                </w:p>
              </w:tc>
              <w:tc>
                <w:tcPr>
                  <w:tcW w:w="2100"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本项目熔炼工序进行了封闭处理，内部加装集气罩，将出铁口及钢包覆盖在内，烟气负压集中收集后经过高效袋式除尘设施进行一次除尘，由排气筒排放，颗粒物排放浓度不高于10mg/Nm</w:t>
                  </w:r>
                  <w:r>
                    <w:rPr>
                      <w:rFonts w:hint="eastAsia" w:ascii="Times New Roman" w:hAnsi="Times New Roman"/>
                      <w:color w:val="auto"/>
                      <w:sz w:val="21"/>
                      <w:szCs w:val="21"/>
                      <w:vertAlign w:val="superscript"/>
                    </w:rPr>
                    <w:t>3</w:t>
                  </w:r>
                  <w:r>
                    <w:rPr>
                      <w:rFonts w:hint="eastAsia" w:ascii="Times New Roman" w:hAnsi="Times New Roman"/>
                      <w:color w:val="auto"/>
                      <w:sz w:val="21"/>
                      <w:szCs w:val="21"/>
                    </w:rPr>
                    <w:t>。集气装置和除尘设施的风量和风压满足生产需要，无烟尘外溢。</w:t>
                  </w:r>
                </w:p>
              </w:tc>
              <w:tc>
                <w:tcPr>
                  <w:tcW w:w="461"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49" w:hRule="atLeast"/>
                <w:jc w:val="center"/>
              </w:trPr>
              <w:tc>
                <w:tcPr>
                  <w:tcW w:w="449"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2</w:t>
                  </w:r>
                </w:p>
              </w:tc>
              <w:tc>
                <w:tcPr>
                  <w:tcW w:w="1987"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熔炼车间内顶部安装集气罩，配套除尘设施进行二次除尘。</w:t>
                  </w:r>
                </w:p>
              </w:tc>
              <w:tc>
                <w:tcPr>
                  <w:tcW w:w="2100"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本项目熔炼车间内顶部安装集气罩，配套了二次除尘设施。</w:t>
                  </w:r>
                </w:p>
              </w:tc>
              <w:tc>
                <w:tcPr>
                  <w:tcW w:w="461"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49" w:hRule="atLeast"/>
                <w:jc w:val="center"/>
              </w:trPr>
              <w:tc>
                <w:tcPr>
                  <w:tcW w:w="449"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3</w:t>
                  </w:r>
                </w:p>
              </w:tc>
              <w:tc>
                <w:tcPr>
                  <w:tcW w:w="1987"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浇注工序设置浇注区或浇注段。浇注和冷却工序采取固定式或移动式集气设备，并配备废气处理设施，待砂型冷却至无可见烟尘外逸时，环保设备方可停止运行。颗粒物排放浓度不高于10mg/Nm</w:t>
                  </w:r>
                  <w:r>
                    <w:rPr>
                      <w:rFonts w:hint="eastAsia" w:ascii="Times New Roman" w:hAnsi="Times New Roman"/>
                      <w:color w:val="auto"/>
                      <w:sz w:val="21"/>
                      <w:szCs w:val="21"/>
                      <w:vertAlign w:val="superscript"/>
                    </w:rPr>
                    <w:t>3</w:t>
                  </w:r>
                  <w:r>
                    <w:rPr>
                      <w:rFonts w:hint="eastAsia" w:ascii="Times New Roman" w:hAnsi="Times New Roman"/>
                      <w:color w:val="auto"/>
                      <w:sz w:val="21"/>
                      <w:szCs w:val="21"/>
                    </w:rPr>
                    <w:t>。</w:t>
                  </w:r>
                </w:p>
              </w:tc>
              <w:tc>
                <w:tcPr>
                  <w:tcW w:w="2100"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本项目设有专门的浇注工位，工位上方设集气罩，废气引入相应处理设施，无可见烟尘外逸，颗粒物排放浓度不高于10mg/Nm</w:t>
                  </w:r>
                  <w:r>
                    <w:rPr>
                      <w:rFonts w:hint="eastAsia" w:ascii="Times New Roman" w:hAnsi="Times New Roman"/>
                      <w:color w:val="auto"/>
                      <w:sz w:val="21"/>
                      <w:szCs w:val="21"/>
                      <w:vertAlign w:val="superscript"/>
                    </w:rPr>
                    <w:t>3</w:t>
                  </w:r>
                  <w:r>
                    <w:rPr>
                      <w:rFonts w:hint="eastAsia" w:ascii="Times New Roman" w:hAnsi="Times New Roman"/>
                      <w:color w:val="auto"/>
                      <w:sz w:val="21"/>
                      <w:szCs w:val="21"/>
                    </w:rPr>
                    <w:t>。</w:t>
                  </w:r>
                </w:p>
              </w:tc>
              <w:tc>
                <w:tcPr>
                  <w:tcW w:w="461"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449"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4</w:t>
                  </w:r>
                </w:p>
              </w:tc>
              <w:tc>
                <w:tcPr>
                  <w:tcW w:w="1987"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ascii="Times New Roman" w:hAnsi="Times New Roman"/>
                      <w:color w:val="auto"/>
                      <w:sz w:val="21"/>
                      <w:szCs w:val="21"/>
                    </w:rPr>
                    <w:t>落砂、抛丸清理、砂处理工序应在密闭设备内操作，废气收集至除尘设施；车间不得有可见烟粉尘外逸。</w:t>
                  </w:r>
                </w:p>
              </w:tc>
              <w:tc>
                <w:tcPr>
                  <w:tcW w:w="2100"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本项目</w:t>
                  </w:r>
                  <w:r>
                    <w:rPr>
                      <w:rFonts w:ascii="Times New Roman" w:hAnsi="Times New Roman"/>
                      <w:color w:val="auto"/>
                      <w:sz w:val="21"/>
                      <w:szCs w:val="21"/>
                    </w:rPr>
                    <w:t>落砂、</w:t>
                  </w:r>
                  <w:r>
                    <w:rPr>
                      <w:rFonts w:hint="eastAsia" w:ascii="Times New Roman" w:hAnsi="Times New Roman"/>
                      <w:color w:val="auto"/>
                      <w:sz w:val="21"/>
                      <w:szCs w:val="21"/>
                    </w:rPr>
                    <w:t>打磨</w:t>
                  </w:r>
                  <w:r>
                    <w:rPr>
                      <w:rFonts w:ascii="Times New Roman" w:hAnsi="Times New Roman"/>
                      <w:color w:val="auto"/>
                      <w:sz w:val="21"/>
                      <w:szCs w:val="21"/>
                    </w:rPr>
                    <w:t>、砂处理</w:t>
                  </w:r>
                  <w:r>
                    <w:rPr>
                      <w:rFonts w:hint="eastAsia" w:ascii="Times New Roman" w:hAnsi="Times New Roman"/>
                      <w:color w:val="auto"/>
                      <w:sz w:val="21"/>
                      <w:szCs w:val="21"/>
                    </w:rPr>
                    <w:t>均</w:t>
                  </w:r>
                  <w:r>
                    <w:rPr>
                      <w:rFonts w:ascii="Times New Roman" w:hAnsi="Times New Roman"/>
                      <w:color w:val="auto"/>
                      <w:sz w:val="21"/>
                      <w:szCs w:val="21"/>
                    </w:rPr>
                    <w:t>在密闭设备内操作，废气收集至除尘设施</w:t>
                  </w:r>
                  <w:r>
                    <w:rPr>
                      <w:rFonts w:hint="eastAsia" w:ascii="Times New Roman" w:hAnsi="Times New Roman"/>
                      <w:color w:val="auto"/>
                      <w:sz w:val="21"/>
                      <w:szCs w:val="21"/>
                    </w:rPr>
                    <w:t>处理后达标排放</w:t>
                  </w:r>
                  <w:r>
                    <w:rPr>
                      <w:rFonts w:ascii="Times New Roman" w:hAnsi="Times New Roman"/>
                      <w:color w:val="auto"/>
                      <w:sz w:val="21"/>
                      <w:szCs w:val="21"/>
                    </w:rPr>
                    <w:t>；车间</w:t>
                  </w:r>
                  <w:r>
                    <w:rPr>
                      <w:rFonts w:hint="eastAsia" w:ascii="Times New Roman" w:hAnsi="Times New Roman"/>
                      <w:color w:val="auto"/>
                      <w:sz w:val="21"/>
                      <w:szCs w:val="21"/>
                    </w:rPr>
                    <w:t>设有二次除尘设施，无</w:t>
                  </w:r>
                  <w:r>
                    <w:rPr>
                      <w:rFonts w:ascii="Times New Roman" w:hAnsi="Times New Roman"/>
                      <w:color w:val="auto"/>
                      <w:sz w:val="21"/>
                      <w:szCs w:val="21"/>
                    </w:rPr>
                    <w:t>可见烟粉尘外逸。</w:t>
                  </w:r>
                </w:p>
              </w:tc>
              <w:tc>
                <w:tcPr>
                  <w:tcW w:w="461"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43" w:hRule="atLeast"/>
                <w:jc w:val="center"/>
              </w:trPr>
              <w:tc>
                <w:tcPr>
                  <w:tcW w:w="449"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5</w:t>
                  </w:r>
                </w:p>
              </w:tc>
              <w:tc>
                <w:tcPr>
                  <w:tcW w:w="1987"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ascii="Times New Roman" w:hAnsi="Times New Roman"/>
                      <w:color w:val="auto"/>
                      <w:sz w:val="21"/>
                      <w:szCs w:val="21"/>
                    </w:rPr>
                    <w:t>制芯（热芯盒）、覆膜砂（壳型）工序 VOCs 采用活性炭吸附或更高效的处理措施；制芯（冷芯盒）工序 VOCs 采用吸收法或更高效处理措施</w:t>
                  </w:r>
                  <w:r>
                    <w:rPr>
                      <w:rFonts w:hint="eastAsia" w:ascii="Times New Roman" w:hAnsi="Times New Roman"/>
                      <w:color w:val="auto"/>
                      <w:sz w:val="21"/>
                      <w:szCs w:val="21"/>
                    </w:rPr>
                    <w:t>；消失模、实型铸造工艺的浇注工序采用吸附脱附+蓄热燃烧、吸附脱附+催化燃烧、焚烧法等高效处理设施。VOCs排放浓度执行河北省《工业企业挥发性有机物排放控制标准》（DB13/2322-2016）中其他行业要求。</w:t>
                  </w:r>
                </w:p>
              </w:tc>
              <w:tc>
                <w:tcPr>
                  <w:tcW w:w="2100"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本项目不涉及VOCs排放。</w:t>
                  </w:r>
                </w:p>
              </w:tc>
              <w:tc>
                <w:tcPr>
                  <w:tcW w:w="461"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449"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6</w:t>
                  </w:r>
                </w:p>
              </w:tc>
              <w:tc>
                <w:tcPr>
                  <w:tcW w:w="1987"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热处理炉应使用电或天然气等清洁燃料，颗粒物排放浓度不高于10mg/Nm</w:t>
                  </w:r>
                  <w:r>
                    <w:rPr>
                      <w:rFonts w:hint="eastAsia" w:ascii="Times New Roman" w:hAnsi="Times New Roman"/>
                      <w:color w:val="auto"/>
                      <w:sz w:val="21"/>
                      <w:szCs w:val="21"/>
                      <w:vertAlign w:val="superscript"/>
                    </w:rPr>
                    <w:t>3</w:t>
                  </w:r>
                  <w:r>
                    <w:rPr>
                      <w:rFonts w:hint="eastAsia" w:ascii="Times New Roman" w:hAnsi="Times New Roman"/>
                      <w:color w:val="auto"/>
                      <w:sz w:val="21"/>
                      <w:szCs w:val="21"/>
                    </w:rPr>
                    <w:t>。</w:t>
                  </w:r>
                </w:p>
              </w:tc>
              <w:tc>
                <w:tcPr>
                  <w:tcW w:w="2100"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本项目热处理炉使用电能。</w:t>
                  </w:r>
                </w:p>
              </w:tc>
              <w:tc>
                <w:tcPr>
                  <w:tcW w:w="461"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10" w:hRule="atLeast"/>
                <w:jc w:val="center"/>
              </w:trPr>
              <w:tc>
                <w:tcPr>
                  <w:tcW w:w="449"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7</w:t>
                  </w:r>
                </w:p>
              </w:tc>
              <w:tc>
                <w:tcPr>
                  <w:tcW w:w="1987"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ascii="Times New Roman" w:hAnsi="Times New Roman"/>
                      <w:color w:val="auto"/>
                      <w:sz w:val="21"/>
                      <w:szCs w:val="21"/>
                    </w:rPr>
                    <w:t>煤粉、膨润土、</w:t>
                  </w:r>
                  <w:r>
                    <w:rPr>
                      <w:rFonts w:hint="eastAsia" w:ascii="Times New Roman" w:hAnsi="Times New Roman"/>
                      <w:color w:val="auto"/>
                      <w:sz w:val="21"/>
                      <w:szCs w:val="21"/>
                    </w:rPr>
                    <w:t>石英砂</w:t>
                  </w:r>
                  <w:r>
                    <w:rPr>
                      <w:rFonts w:ascii="Times New Roman" w:hAnsi="Times New Roman"/>
                      <w:color w:val="auto"/>
                      <w:sz w:val="21"/>
                      <w:szCs w:val="21"/>
                    </w:rPr>
                    <w:t>等粉状物料应袋装或罐装，并储存于封闭空间。生铁、废钢、焦炭和铁合金等粒状、块状散装物料应储存于半封闭储库，半封闭储库应至少两面有围墙（围挡）及屋顶，并对物料采取覆盖或喷淋（雾）等抑尘措施；熔模制造淋砂工序在半封闭空间内操作，配备除尘设施。</w:t>
                  </w:r>
                </w:p>
                <w:p>
                  <w:pPr>
                    <w:pStyle w:val="68"/>
                    <w:ind w:firstLine="0" w:firstLineChars="0"/>
                    <w:jc w:val="center"/>
                    <w:rPr>
                      <w:rFonts w:ascii="Times New Roman" w:hAnsi="Times New Roman"/>
                      <w:color w:val="auto"/>
                      <w:sz w:val="21"/>
                      <w:szCs w:val="21"/>
                    </w:rPr>
                  </w:pPr>
                  <w:r>
                    <w:rPr>
                      <w:rFonts w:ascii="Times New Roman" w:hAnsi="Times New Roman"/>
                      <w:color w:val="auto"/>
                      <w:sz w:val="21"/>
                      <w:szCs w:val="21"/>
                    </w:rPr>
                    <w:t>废钢、回炉料等金属物料切割破碎等原料加工工序应设置封闭操作间，并配套集气和除尘设施；禁止生产车间内散放原料，需采用全封闭式或地下料仓，生产环节必须在封闭车间内运行。</w:t>
                  </w:r>
                </w:p>
              </w:tc>
              <w:tc>
                <w:tcPr>
                  <w:tcW w:w="2100"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本项目所用石英砂</w:t>
                  </w:r>
                  <w:r>
                    <w:rPr>
                      <w:rFonts w:ascii="Times New Roman" w:hAnsi="Times New Roman"/>
                      <w:color w:val="auto"/>
                      <w:sz w:val="21"/>
                      <w:szCs w:val="21"/>
                    </w:rPr>
                    <w:t>等粉状物料</w:t>
                  </w:r>
                  <w:r>
                    <w:rPr>
                      <w:rFonts w:hint="eastAsia" w:ascii="Times New Roman" w:hAnsi="Times New Roman"/>
                      <w:color w:val="auto"/>
                      <w:sz w:val="21"/>
                      <w:szCs w:val="21"/>
                    </w:rPr>
                    <w:t>均采用</w:t>
                  </w:r>
                  <w:r>
                    <w:rPr>
                      <w:rFonts w:ascii="Times New Roman" w:hAnsi="Times New Roman"/>
                      <w:color w:val="auto"/>
                      <w:sz w:val="21"/>
                      <w:szCs w:val="21"/>
                    </w:rPr>
                    <w:t>袋装储存于封闭</w:t>
                  </w:r>
                  <w:r>
                    <w:rPr>
                      <w:rFonts w:hint="eastAsia" w:ascii="Times New Roman" w:hAnsi="Times New Roman"/>
                      <w:color w:val="auto"/>
                      <w:sz w:val="21"/>
                      <w:szCs w:val="21"/>
                    </w:rPr>
                    <w:t>生产车间内</w:t>
                  </w:r>
                  <w:r>
                    <w:rPr>
                      <w:rFonts w:ascii="Times New Roman" w:hAnsi="Times New Roman"/>
                      <w:color w:val="auto"/>
                      <w:sz w:val="21"/>
                      <w:szCs w:val="21"/>
                    </w:rPr>
                    <w:t>。</w:t>
                  </w:r>
                  <w:r>
                    <w:rPr>
                      <w:rFonts w:hint="eastAsia" w:ascii="Times New Roman" w:hAnsi="Times New Roman"/>
                      <w:color w:val="auto"/>
                      <w:sz w:val="21"/>
                      <w:szCs w:val="21"/>
                    </w:rPr>
                    <w:t>废钢、高锰砂</w:t>
                  </w:r>
                  <w:r>
                    <w:rPr>
                      <w:rFonts w:ascii="Times New Roman" w:hAnsi="Times New Roman"/>
                      <w:color w:val="auto"/>
                      <w:sz w:val="21"/>
                      <w:szCs w:val="21"/>
                    </w:rPr>
                    <w:t>等块状散装物料储存于</w:t>
                  </w:r>
                  <w:r>
                    <w:rPr>
                      <w:rFonts w:hint="eastAsia" w:ascii="Times New Roman" w:hAnsi="Times New Roman"/>
                      <w:color w:val="auto"/>
                      <w:sz w:val="21"/>
                      <w:szCs w:val="21"/>
                    </w:rPr>
                    <w:t>全</w:t>
                  </w:r>
                  <w:r>
                    <w:rPr>
                      <w:rFonts w:ascii="Times New Roman" w:hAnsi="Times New Roman"/>
                      <w:color w:val="auto"/>
                      <w:sz w:val="21"/>
                      <w:szCs w:val="21"/>
                    </w:rPr>
                    <w:t>封闭</w:t>
                  </w:r>
                  <w:r>
                    <w:rPr>
                      <w:rFonts w:hint="eastAsia" w:ascii="Times New Roman" w:hAnsi="Times New Roman"/>
                      <w:color w:val="auto"/>
                      <w:sz w:val="21"/>
                      <w:szCs w:val="21"/>
                    </w:rPr>
                    <w:t>生产车间内</w:t>
                  </w:r>
                  <w:r>
                    <w:rPr>
                      <w:rFonts w:ascii="Times New Roman" w:hAnsi="Times New Roman"/>
                      <w:color w:val="auto"/>
                      <w:sz w:val="21"/>
                      <w:szCs w:val="21"/>
                    </w:rPr>
                    <w:t>生产车间内</w:t>
                  </w:r>
                  <w:r>
                    <w:rPr>
                      <w:rFonts w:hint="eastAsia" w:ascii="Times New Roman" w:hAnsi="Times New Roman"/>
                      <w:color w:val="auto"/>
                      <w:sz w:val="21"/>
                      <w:szCs w:val="21"/>
                    </w:rPr>
                    <w:t>无</w:t>
                  </w:r>
                  <w:r>
                    <w:rPr>
                      <w:rFonts w:ascii="Times New Roman" w:hAnsi="Times New Roman"/>
                      <w:color w:val="auto"/>
                      <w:sz w:val="21"/>
                      <w:szCs w:val="21"/>
                    </w:rPr>
                    <w:t>散放</w:t>
                  </w:r>
                  <w:r>
                    <w:rPr>
                      <w:rFonts w:hint="eastAsia" w:ascii="Times New Roman" w:hAnsi="Times New Roman"/>
                      <w:color w:val="auto"/>
                      <w:sz w:val="21"/>
                      <w:szCs w:val="21"/>
                    </w:rPr>
                    <w:t>粉状</w:t>
                  </w:r>
                  <w:r>
                    <w:rPr>
                      <w:rFonts w:ascii="Times New Roman" w:hAnsi="Times New Roman"/>
                      <w:color w:val="auto"/>
                      <w:sz w:val="21"/>
                      <w:szCs w:val="21"/>
                    </w:rPr>
                    <w:t>原料，生产环节在封闭车间内运行。</w:t>
                  </w:r>
                </w:p>
              </w:tc>
              <w:tc>
                <w:tcPr>
                  <w:tcW w:w="461"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10" w:hRule="atLeast"/>
                <w:jc w:val="center"/>
              </w:trPr>
              <w:tc>
                <w:tcPr>
                  <w:tcW w:w="449"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8</w:t>
                  </w:r>
                </w:p>
              </w:tc>
              <w:tc>
                <w:tcPr>
                  <w:tcW w:w="1987"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ascii="Times New Roman" w:hAnsi="Times New Roman"/>
                      <w:color w:val="auto"/>
                      <w:sz w:val="21"/>
                      <w:szCs w:val="21"/>
                    </w:rPr>
                    <w:t>粉状、粒状等易散发粉尘的物料厂内转移、输送时，应采取密闭或覆盖等抑尘措施；转移、输送、装卸过程中应采取集气除尘措施，或喷淋（雾）等抑尘措施。除尘器卸灰口应采取密闭措施，除尘灰不得直接卸落到地面。除尘灰采取袋装、罐装等密闭措施收集、存放和运输</w:t>
                  </w:r>
                </w:p>
              </w:tc>
              <w:tc>
                <w:tcPr>
                  <w:tcW w:w="2100"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针对粉状料转移输送采取抑尘措施，同时车间设有二次除尘设施，</w:t>
                  </w:r>
                  <w:r>
                    <w:rPr>
                      <w:rFonts w:ascii="Times New Roman" w:hAnsi="Times New Roman"/>
                      <w:color w:val="auto"/>
                      <w:sz w:val="21"/>
                      <w:szCs w:val="21"/>
                    </w:rPr>
                    <w:t>除尘器卸灰口采取密闭措施，除尘灰不得直接卸落到地面。除尘灰采取袋装收集、存放和运输</w:t>
                  </w:r>
                </w:p>
              </w:tc>
              <w:tc>
                <w:tcPr>
                  <w:tcW w:w="461"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符合</w:t>
                  </w:r>
                </w:p>
              </w:tc>
            </w:tr>
          </w:tbl>
          <w:p>
            <w:pPr>
              <w:spacing w:line="480" w:lineRule="exact"/>
              <w:ind w:firstLine="500" w:firstLineChars="200"/>
              <w:rPr>
                <w:color w:val="auto"/>
                <w:sz w:val="24"/>
              </w:rPr>
            </w:pPr>
            <w:r>
              <w:rPr>
                <w:rFonts w:hint="eastAsia"/>
                <w:color w:val="auto"/>
                <w:spacing w:val="5"/>
                <w:sz w:val="24"/>
              </w:rPr>
              <w:t>经以上分析，本项目符合《</w:t>
            </w:r>
            <w:r>
              <w:rPr>
                <w:rFonts w:hint="eastAsia"/>
                <w:color w:val="auto"/>
                <w:sz w:val="24"/>
              </w:rPr>
              <w:t>唐山市钢铁行业整治提升工作方案》（</w:t>
            </w:r>
            <w:r>
              <w:rPr>
                <w:rFonts w:hint="eastAsia"/>
                <w:color w:val="auto"/>
                <w:sz w:val="24"/>
                <w:lang w:val="zh-TW"/>
              </w:rPr>
              <w:t>唐气领办〔2021〕15号</w:t>
            </w:r>
            <w:r>
              <w:rPr>
                <w:rFonts w:hint="eastAsia"/>
                <w:color w:val="auto"/>
                <w:sz w:val="24"/>
              </w:rPr>
              <w:t>）的相关要求。</w:t>
            </w:r>
          </w:p>
          <w:p>
            <w:pPr>
              <w:spacing w:line="480" w:lineRule="exact"/>
              <w:ind w:firstLine="500" w:firstLineChars="200"/>
              <w:rPr>
                <w:color w:val="auto"/>
                <w:spacing w:val="5"/>
                <w:sz w:val="24"/>
              </w:rPr>
            </w:pPr>
            <w:r>
              <w:rPr>
                <w:rFonts w:hint="eastAsia"/>
                <w:color w:val="auto"/>
                <w:spacing w:val="5"/>
                <w:sz w:val="24"/>
              </w:rPr>
              <w:t>2.2.2与《</w:t>
            </w:r>
            <w:r>
              <w:rPr>
                <w:color w:val="auto"/>
                <w:spacing w:val="5"/>
                <w:sz w:val="24"/>
              </w:rPr>
              <w:t>工业和信息化部 国家发展和改革委员会 生态环境部关于推动铸造和锻压行业高质量发展的指导意见</w:t>
            </w:r>
            <w:r>
              <w:rPr>
                <w:rFonts w:hint="eastAsia"/>
                <w:color w:val="auto"/>
                <w:spacing w:val="5"/>
                <w:sz w:val="24"/>
              </w:rPr>
              <w:t>》（工信部联通装[2023]40号）符合性分析</w:t>
            </w:r>
          </w:p>
          <w:p>
            <w:pPr>
              <w:spacing w:line="480" w:lineRule="exact"/>
              <w:jc w:val="center"/>
              <w:rPr>
                <w:rFonts w:hint="eastAsia"/>
                <w:b/>
                <w:bCs/>
                <w:color w:val="auto"/>
                <w:spacing w:val="5"/>
                <w:sz w:val="24"/>
              </w:rPr>
            </w:pPr>
          </w:p>
          <w:p>
            <w:pPr>
              <w:spacing w:line="480" w:lineRule="exact"/>
              <w:jc w:val="center"/>
              <w:rPr>
                <w:rFonts w:hint="eastAsia"/>
                <w:b/>
                <w:bCs/>
                <w:color w:val="auto"/>
                <w:spacing w:val="5"/>
                <w:sz w:val="24"/>
              </w:rPr>
            </w:pPr>
          </w:p>
          <w:p>
            <w:pPr>
              <w:spacing w:line="480" w:lineRule="exact"/>
              <w:jc w:val="center"/>
              <w:rPr>
                <w:rFonts w:hint="eastAsia"/>
                <w:b/>
                <w:bCs/>
                <w:color w:val="auto"/>
                <w:spacing w:val="5"/>
                <w:sz w:val="24"/>
              </w:rPr>
            </w:pPr>
          </w:p>
          <w:p>
            <w:pPr>
              <w:spacing w:line="480" w:lineRule="exact"/>
              <w:jc w:val="center"/>
              <w:rPr>
                <w:b/>
                <w:bCs/>
                <w:color w:val="auto"/>
                <w:spacing w:val="5"/>
                <w:sz w:val="24"/>
              </w:rPr>
            </w:pPr>
            <w:r>
              <w:rPr>
                <w:rFonts w:hint="eastAsia"/>
                <w:b/>
                <w:bCs/>
                <w:color w:val="auto"/>
                <w:spacing w:val="5"/>
                <w:sz w:val="24"/>
              </w:rPr>
              <w:t>表4   本项目与工信部联通装[2023]40号符合性分析结果一览表</w:t>
            </w:r>
          </w:p>
          <w:tbl>
            <w:tblPr>
              <w:tblStyle w:val="33"/>
              <w:tblW w:w="8296"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94"/>
              <w:gridCol w:w="4427"/>
              <w:gridCol w:w="2540"/>
              <w:gridCol w:w="635"/>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18"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ascii="Times New Roman" w:hAnsi="Times New Roman"/>
                      <w:color w:val="auto"/>
                      <w:sz w:val="21"/>
                      <w:szCs w:val="21"/>
                    </w:rPr>
                    <w:t>序号</w:t>
                  </w:r>
                </w:p>
              </w:tc>
              <w:tc>
                <w:tcPr>
                  <w:tcW w:w="2667"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ascii="Times New Roman" w:hAnsi="Times New Roman"/>
                      <w:color w:val="auto"/>
                      <w:sz w:val="21"/>
                      <w:szCs w:val="21"/>
                    </w:rPr>
                    <w:t>相关规定</w:t>
                  </w:r>
                </w:p>
              </w:tc>
              <w:tc>
                <w:tcPr>
                  <w:tcW w:w="1530"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ascii="Times New Roman" w:hAnsi="Times New Roman"/>
                      <w:color w:val="auto"/>
                      <w:sz w:val="21"/>
                      <w:szCs w:val="21"/>
                    </w:rPr>
                    <w:t>本</w:t>
                  </w:r>
                  <w:r>
                    <w:rPr>
                      <w:rFonts w:hint="eastAsia" w:ascii="Times New Roman" w:hAnsi="Times New Roman"/>
                      <w:color w:val="auto"/>
                      <w:sz w:val="21"/>
                      <w:szCs w:val="21"/>
                    </w:rPr>
                    <w:t>项目</w:t>
                  </w:r>
                </w:p>
              </w:tc>
              <w:tc>
                <w:tcPr>
                  <w:tcW w:w="383"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ascii="Times New Roman" w:hAnsi="Times New Roman"/>
                      <w:color w:val="auto"/>
                      <w:sz w:val="21"/>
                      <w:szCs w:val="21"/>
                    </w:rPr>
                    <w:t>结论</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97" w:hRule="atLeast"/>
                <w:jc w:val="center"/>
              </w:trPr>
              <w:tc>
                <w:tcPr>
                  <w:tcW w:w="418"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1</w:t>
                  </w:r>
                </w:p>
              </w:tc>
              <w:tc>
                <w:tcPr>
                  <w:tcW w:w="2667"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ascii="Times New Roman" w:hAnsi="Times New Roman"/>
                      <w:color w:val="auto"/>
                      <w:sz w:val="21"/>
                      <w:szCs w:val="21"/>
                    </w:rPr>
                    <w:t>重点发展高紧实度粘土砂自动化造型、高效自硬砂铸造、精密组芯造型、壳型铸造、离心铸造、金属型铸造、铁模覆砂、消失模/V法/实型铸造、轻合金高压/挤压/差压，低压/半固态/调压铸造、硅溶胶熔模铸造、短流程铸造、砂型3D打印等先进铸造工艺与装备。</w:t>
                  </w:r>
                </w:p>
              </w:tc>
              <w:tc>
                <w:tcPr>
                  <w:tcW w:w="1530"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本项目采用</w:t>
                  </w:r>
                  <w:r>
                    <w:rPr>
                      <w:rFonts w:ascii="Times New Roman" w:hAnsi="Times New Roman"/>
                      <w:color w:val="auto"/>
                      <w:sz w:val="21"/>
                      <w:szCs w:val="21"/>
                    </w:rPr>
                    <w:t>高效自硬砂铸造</w:t>
                  </w:r>
                  <w:r>
                    <w:rPr>
                      <w:rFonts w:hint="eastAsia" w:ascii="Times New Roman" w:hAnsi="Times New Roman"/>
                      <w:color w:val="auto"/>
                      <w:sz w:val="21"/>
                      <w:szCs w:val="21"/>
                    </w:rPr>
                    <w:t>工艺。</w:t>
                  </w:r>
                </w:p>
              </w:tc>
              <w:tc>
                <w:tcPr>
                  <w:tcW w:w="383"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418"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2</w:t>
                  </w:r>
                </w:p>
              </w:tc>
              <w:tc>
                <w:tcPr>
                  <w:tcW w:w="2667"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铸造企业不得采用无芯工频感应电炉、无磁轭（≥0.25吨）铝壳中频感应电炉、水玻璃熔模精密铸造氯化铵硬化模壳、铝合金六氯乙烷精炼等淘汰类工艺和装备。加快存量项目升级改造，推进企业合理选择低污染、低能耗、经济高效的先进工艺技术，提升行业竞争能力。</w:t>
                  </w:r>
                </w:p>
              </w:tc>
              <w:tc>
                <w:tcPr>
                  <w:tcW w:w="1530"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本项目不涉及上述淘汰类装备与工艺。</w:t>
                  </w:r>
                </w:p>
              </w:tc>
              <w:tc>
                <w:tcPr>
                  <w:tcW w:w="383"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43" w:hRule="atLeast"/>
                <w:jc w:val="center"/>
              </w:trPr>
              <w:tc>
                <w:tcPr>
                  <w:tcW w:w="418"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3</w:t>
                  </w:r>
                </w:p>
              </w:tc>
              <w:tc>
                <w:tcPr>
                  <w:tcW w:w="2667"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依法申领排污许可证，严格持证排污、按证排污并按排污许可证规定落实自行监测、台账记录、执行报告、信息公开等要求。铸造企业严格执行《铸造工业大气污染物排放标准》（GB 39726）及地方排放标准，加强无组织排放控制，不能稳定达标排放的，限期完成设施升级改造，不具备改造条件及改造后仍不能达标的，依法依规进行淘汰。</w:t>
                  </w:r>
                </w:p>
              </w:tc>
              <w:tc>
                <w:tcPr>
                  <w:tcW w:w="1530"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本项目建设完成后实际排污前依法申领排污许可证，按照</w:t>
                  </w:r>
                  <w:r>
                    <w:rPr>
                      <w:rFonts w:ascii="Times New Roman" w:hAnsi="Times New Roman"/>
                      <w:color w:val="auto"/>
                      <w:sz w:val="21"/>
                      <w:szCs w:val="21"/>
                    </w:rPr>
                    <w:t>《排污许可证申请与核发技术规范</w:t>
                  </w:r>
                  <w:r>
                    <w:rPr>
                      <w:rFonts w:hint="eastAsia" w:ascii="Times New Roman" w:hAnsi="Times New Roman"/>
                      <w:color w:val="auto"/>
                      <w:sz w:val="21"/>
                      <w:szCs w:val="21"/>
                    </w:rPr>
                    <w:t>金属铸造工业（</w:t>
                  </w:r>
                  <w:r>
                    <w:rPr>
                      <w:rFonts w:ascii="Times New Roman" w:hAnsi="Times New Roman"/>
                      <w:color w:val="auto"/>
                      <w:sz w:val="21"/>
                      <w:szCs w:val="21"/>
                    </w:rPr>
                    <w:t>HJ11</w:t>
                  </w:r>
                  <w:r>
                    <w:rPr>
                      <w:rFonts w:hint="eastAsia" w:ascii="Times New Roman" w:hAnsi="Times New Roman"/>
                      <w:color w:val="auto"/>
                      <w:sz w:val="21"/>
                      <w:szCs w:val="21"/>
                    </w:rPr>
                    <w:t>15</w:t>
                  </w:r>
                  <w:r>
                    <w:rPr>
                      <w:rFonts w:ascii="Times New Roman" w:hAnsi="Times New Roman"/>
                      <w:color w:val="auto"/>
                      <w:sz w:val="21"/>
                      <w:szCs w:val="21"/>
                    </w:rPr>
                    <w:t>—2020</w:t>
                  </w:r>
                  <w:r>
                    <w:rPr>
                      <w:rFonts w:hint="eastAsia" w:ascii="Times New Roman" w:hAnsi="Times New Roman"/>
                      <w:color w:val="auto"/>
                      <w:sz w:val="21"/>
                      <w:szCs w:val="21"/>
                    </w:rPr>
                    <w:t>）、《排污单位自行监测技术指南金属铸造工业》（</w:t>
                  </w:r>
                  <w:r>
                    <w:rPr>
                      <w:rFonts w:ascii="Times New Roman" w:hAnsi="Times New Roman"/>
                      <w:color w:val="auto"/>
                      <w:sz w:val="21"/>
                      <w:szCs w:val="21"/>
                    </w:rPr>
                    <w:t>HJ1</w:t>
                  </w:r>
                  <w:r>
                    <w:rPr>
                      <w:rFonts w:hint="eastAsia" w:ascii="Times New Roman" w:hAnsi="Times New Roman"/>
                      <w:color w:val="auto"/>
                      <w:sz w:val="21"/>
                      <w:szCs w:val="21"/>
                    </w:rPr>
                    <w:t>251</w:t>
                  </w:r>
                  <w:r>
                    <w:rPr>
                      <w:rFonts w:ascii="Times New Roman" w:hAnsi="Times New Roman"/>
                      <w:color w:val="auto"/>
                      <w:sz w:val="21"/>
                      <w:szCs w:val="21"/>
                    </w:rPr>
                    <w:t>—202</w:t>
                  </w:r>
                  <w:r>
                    <w:rPr>
                      <w:rFonts w:hint="eastAsia" w:ascii="Times New Roman" w:hAnsi="Times New Roman"/>
                      <w:color w:val="auto"/>
                      <w:sz w:val="21"/>
                      <w:szCs w:val="21"/>
                    </w:rPr>
                    <w:t xml:space="preserve">2）的规定落实自行监测、台账记录、执行报告、信息公开等要求。各项污染物能够满足相应的排放标准。 </w:t>
                  </w:r>
                </w:p>
              </w:tc>
              <w:tc>
                <w:tcPr>
                  <w:tcW w:w="383"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418"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4</w:t>
                  </w:r>
                </w:p>
              </w:tc>
              <w:tc>
                <w:tcPr>
                  <w:tcW w:w="2667"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推广短流程铸造，鼓励铸造行业冲天炉（10吨/小时及以下）改为电炉。推进铸造废砂再生处理技术应用、废旧金属循环再生与利用。</w:t>
                  </w:r>
                </w:p>
              </w:tc>
              <w:tc>
                <w:tcPr>
                  <w:tcW w:w="1530"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本项目不涉及冲天炉使用，配有自动化程度较高的废砂处理生产线。</w:t>
                  </w:r>
                </w:p>
              </w:tc>
              <w:tc>
                <w:tcPr>
                  <w:tcW w:w="383"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符合</w:t>
                  </w:r>
                </w:p>
              </w:tc>
            </w:tr>
          </w:tbl>
          <w:p>
            <w:pPr>
              <w:spacing w:line="480" w:lineRule="exact"/>
              <w:ind w:firstLine="500" w:firstLineChars="200"/>
              <w:rPr>
                <w:color w:val="auto"/>
                <w:spacing w:val="5"/>
                <w:sz w:val="24"/>
              </w:rPr>
            </w:pPr>
            <w:r>
              <w:rPr>
                <w:rFonts w:hint="eastAsia"/>
                <w:color w:val="auto"/>
                <w:spacing w:val="5"/>
                <w:sz w:val="24"/>
              </w:rPr>
              <w:t>2.2.3与《</w:t>
            </w:r>
            <w:r>
              <w:rPr>
                <w:color w:val="auto"/>
                <w:spacing w:val="5"/>
                <w:sz w:val="24"/>
              </w:rPr>
              <w:t>重污染天气重点行业应急减排措施制定</w:t>
            </w:r>
            <w:r>
              <w:rPr>
                <w:rFonts w:hint="eastAsia"/>
                <w:color w:val="auto"/>
                <w:spacing w:val="5"/>
                <w:sz w:val="24"/>
              </w:rPr>
              <w:t>技术指南》符合性分析</w:t>
            </w:r>
          </w:p>
          <w:p>
            <w:pPr>
              <w:spacing w:line="480" w:lineRule="exact"/>
              <w:ind w:firstLine="500" w:firstLineChars="200"/>
              <w:rPr>
                <w:color w:val="auto"/>
                <w:spacing w:val="5"/>
                <w:sz w:val="24"/>
              </w:rPr>
            </w:pPr>
            <w:r>
              <w:rPr>
                <w:rFonts w:hint="eastAsia"/>
                <w:color w:val="auto"/>
                <w:spacing w:val="5"/>
                <w:sz w:val="24"/>
              </w:rPr>
              <w:t>本项目采用电炉熔炼设备，与铸件企业绩效分级指标对比如下。</w:t>
            </w:r>
          </w:p>
          <w:p>
            <w:pPr>
              <w:spacing w:line="480" w:lineRule="exact"/>
              <w:jc w:val="center"/>
              <w:rPr>
                <w:b/>
                <w:bCs/>
                <w:color w:val="auto"/>
                <w:spacing w:val="5"/>
                <w:sz w:val="24"/>
              </w:rPr>
            </w:pPr>
            <w:r>
              <w:rPr>
                <w:rFonts w:hint="eastAsia"/>
                <w:b/>
                <w:bCs/>
                <w:color w:val="auto"/>
                <w:spacing w:val="5"/>
                <w:sz w:val="24"/>
              </w:rPr>
              <w:t>表5 本项目与《</w:t>
            </w:r>
            <w:r>
              <w:rPr>
                <w:b/>
                <w:bCs/>
                <w:color w:val="auto"/>
                <w:spacing w:val="5"/>
                <w:sz w:val="24"/>
              </w:rPr>
              <w:t>重污染天气重点行业应急减排措施制定</w:t>
            </w:r>
            <w:r>
              <w:rPr>
                <w:rFonts w:hint="eastAsia"/>
                <w:b/>
                <w:bCs/>
                <w:color w:val="auto"/>
                <w:spacing w:val="5"/>
                <w:sz w:val="24"/>
              </w:rPr>
              <w:t>技术指南》符合性分析结果一览表</w:t>
            </w:r>
          </w:p>
          <w:tbl>
            <w:tblPr>
              <w:tblStyle w:val="33"/>
              <w:tblW w:w="8305"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93"/>
              <w:gridCol w:w="4448"/>
              <w:gridCol w:w="2511"/>
              <w:gridCol w:w="653"/>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17"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项目</w:t>
                  </w:r>
                </w:p>
              </w:tc>
              <w:tc>
                <w:tcPr>
                  <w:tcW w:w="2676"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A级企业</w:t>
                  </w:r>
                  <w:r>
                    <w:rPr>
                      <w:rFonts w:ascii="Times New Roman" w:hAnsi="Times New Roman"/>
                      <w:color w:val="auto"/>
                      <w:sz w:val="21"/>
                      <w:szCs w:val="21"/>
                    </w:rPr>
                    <w:t>相关规定</w:t>
                  </w:r>
                </w:p>
              </w:tc>
              <w:tc>
                <w:tcPr>
                  <w:tcW w:w="1511"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ascii="Times New Roman" w:hAnsi="Times New Roman"/>
                      <w:color w:val="auto"/>
                      <w:sz w:val="21"/>
                      <w:szCs w:val="21"/>
                    </w:rPr>
                    <w:t>本</w:t>
                  </w:r>
                  <w:r>
                    <w:rPr>
                      <w:rFonts w:hint="eastAsia" w:ascii="Times New Roman" w:hAnsi="Times New Roman"/>
                      <w:color w:val="auto"/>
                      <w:sz w:val="21"/>
                      <w:szCs w:val="21"/>
                    </w:rPr>
                    <w:t>项目情况</w:t>
                  </w:r>
                </w:p>
              </w:tc>
              <w:tc>
                <w:tcPr>
                  <w:tcW w:w="393"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评级结果</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448" w:hRule="atLeast"/>
                <w:jc w:val="center"/>
              </w:trPr>
              <w:tc>
                <w:tcPr>
                  <w:tcW w:w="417"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装备水平及生产工艺</w:t>
                  </w:r>
                </w:p>
              </w:tc>
              <w:tc>
                <w:tcPr>
                  <w:tcW w:w="2676"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1、粘土砂工艺采用水平或垂直自动化造型线；2消失模工艺采用消失模自动化造型线；3、熔模铸造工艺采用硅溶胶铸造工艺、采用自动制壳线；4、压铸等其他铸造工艺暂不考虑装备水平差异，依据其污染治理水平确定绩效。</w:t>
                  </w:r>
                </w:p>
              </w:tc>
              <w:tc>
                <w:tcPr>
                  <w:tcW w:w="1511"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本项目采用</w:t>
                  </w:r>
                  <w:r>
                    <w:rPr>
                      <w:rFonts w:ascii="Times New Roman" w:hAnsi="Times New Roman"/>
                      <w:color w:val="auto"/>
                      <w:sz w:val="21"/>
                      <w:szCs w:val="21"/>
                    </w:rPr>
                    <w:t>高效自硬砂铸造</w:t>
                  </w:r>
                  <w:r>
                    <w:rPr>
                      <w:rFonts w:hint="eastAsia" w:ascii="Times New Roman" w:hAnsi="Times New Roman"/>
                      <w:color w:val="auto"/>
                      <w:sz w:val="21"/>
                      <w:szCs w:val="21"/>
                    </w:rPr>
                    <w:t>工艺，无粘土砂工艺、熔模铸造工艺、消失模铸造工艺。</w:t>
                  </w:r>
                </w:p>
              </w:tc>
              <w:tc>
                <w:tcPr>
                  <w:tcW w:w="393"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417" w:type="pct"/>
                  <w:vMerge w:val="restar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污染治理技术</w:t>
                  </w:r>
                </w:p>
              </w:tc>
              <w:tc>
                <w:tcPr>
                  <w:tcW w:w="2676"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ascii="Times New Roman" w:hAnsi="Times New Roman"/>
                      <w:color w:val="auto"/>
                      <w:sz w:val="21"/>
                      <w:szCs w:val="21"/>
                    </w:rPr>
                    <w:t>1、所使用的生产设备具有高密闭性或具有配套的良好除尘设施的工序可不设二次捕集措施</w:t>
                  </w:r>
                  <w:r>
                    <w:rPr>
                      <w:rFonts w:hint="eastAsia" w:ascii="Times New Roman" w:hAnsi="Times New Roman"/>
                      <w:color w:val="auto"/>
                      <w:sz w:val="21"/>
                      <w:szCs w:val="21"/>
                    </w:rPr>
                    <w:t>；</w:t>
                  </w:r>
                  <w:r>
                    <w:rPr>
                      <w:rFonts w:ascii="Times New Roman" w:hAnsi="Times New Roman"/>
                      <w:color w:val="auto"/>
                      <w:sz w:val="21"/>
                      <w:szCs w:val="21"/>
                    </w:rPr>
                    <w:t>PM有逸散工序采取二次捕集措施，捕集排风罩应符合《排风罩的分类及技术条件》 (GB/T 16758) 的要求</w:t>
                  </w:r>
                  <w:r>
                    <w:rPr>
                      <w:rFonts w:hint="eastAsia" w:ascii="Times New Roman" w:hAnsi="Times New Roman"/>
                      <w:color w:val="auto"/>
                      <w:sz w:val="21"/>
                      <w:szCs w:val="21"/>
                    </w:rPr>
                    <w:t>；2、采用袋式除尘、滤筒除尘等高效除尘工艺</w:t>
                  </w:r>
                </w:p>
              </w:tc>
              <w:tc>
                <w:tcPr>
                  <w:tcW w:w="1511"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本项目各产尘工序在按照</w:t>
                  </w:r>
                  <w:r>
                    <w:rPr>
                      <w:rFonts w:ascii="Times New Roman" w:hAnsi="Times New Roman"/>
                      <w:color w:val="auto"/>
                      <w:sz w:val="21"/>
                      <w:szCs w:val="21"/>
                    </w:rPr>
                    <w:t>《排风罩的分类及技术条件》(GB/T 16758)的要求</w:t>
                  </w:r>
                  <w:r>
                    <w:rPr>
                      <w:rFonts w:hint="eastAsia" w:ascii="Times New Roman" w:hAnsi="Times New Roman"/>
                      <w:color w:val="auto"/>
                      <w:sz w:val="21"/>
                      <w:szCs w:val="21"/>
                    </w:rPr>
                    <w:t>安装集气罩，烟气集中收集后经过高效袋式除尘设施进行一次除尘，由排气筒排放。熔炼车间内顶部安装集气罩，配套除尘设施进行二次除尘。</w:t>
                  </w:r>
                </w:p>
              </w:tc>
              <w:tc>
                <w:tcPr>
                  <w:tcW w:w="393"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417" w:type="pct"/>
                  <w:vMerge w:val="continue"/>
                  <w:tcBorders>
                    <w:tl2br w:val="nil"/>
                    <w:tr2bl w:val="nil"/>
                  </w:tcBorders>
                  <w:vAlign w:val="center"/>
                </w:tcPr>
                <w:p>
                  <w:pPr>
                    <w:pStyle w:val="68"/>
                    <w:ind w:firstLine="0" w:firstLineChars="0"/>
                    <w:jc w:val="center"/>
                    <w:rPr>
                      <w:rFonts w:ascii="Times New Roman" w:hAnsi="Times New Roman"/>
                      <w:color w:val="auto"/>
                      <w:sz w:val="21"/>
                      <w:szCs w:val="21"/>
                    </w:rPr>
                  </w:pPr>
                </w:p>
              </w:tc>
              <w:tc>
                <w:tcPr>
                  <w:tcW w:w="2676"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ascii="Times New Roman" w:hAnsi="Times New Roman"/>
                      <w:color w:val="auto"/>
                      <w:sz w:val="21"/>
                      <w:szCs w:val="21"/>
                    </w:rPr>
                    <w:t>1、制芯(热芯盒)、覆膜砂(壳型) 工序 VOCs 采用活性炭吸附或更高效的处理措施</w:t>
                  </w:r>
                  <w:r>
                    <w:rPr>
                      <w:rFonts w:hint="eastAsia" w:ascii="Times New Roman" w:hAnsi="Times New Roman"/>
                      <w:color w:val="auto"/>
                      <w:sz w:val="21"/>
                      <w:szCs w:val="21"/>
                    </w:rPr>
                    <w:t>；</w:t>
                  </w:r>
                  <w:r>
                    <w:rPr>
                      <w:rFonts w:ascii="Times New Roman" w:hAnsi="Times New Roman"/>
                      <w:color w:val="auto"/>
                      <w:sz w:val="21"/>
                      <w:szCs w:val="21"/>
                    </w:rPr>
                    <w:t>制芯(冷芯盒) 工序VOCs 采用吸收法或更高效处理措施</w:t>
                  </w:r>
                  <w:r>
                    <w:rPr>
                      <w:rFonts w:hint="eastAsia" w:ascii="Times New Roman" w:hAnsi="Times New Roman"/>
                      <w:color w:val="auto"/>
                      <w:sz w:val="21"/>
                      <w:szCs w:val="21"/>
                    </w:rPr>
                    <w:t>；</w:t>
                  </w:r>
                  <w:r>
                    <w:rPr>
                      <w:rFonts w:ascii="Times New Roman" w:hAnsi="Times New Roman"/>
                      <w:color w:val="auto"/>
                      <w:sz w:val="21"/>
                      <w:szCs w:val="21"/>
                    </w:rPr>
                    <w:t xml:space="preserve"> 浇注(树脂砂)VOCs 工序采用活性炭吸附、吸收法或更高效的处理措</w:t>
                  </w:r>
                  <w:r>
                    <w:rPr>
                      <w:rFonts w:hint="eastAsia" w:ascii="Times New Roman" w:hAnsi="Times New Roman"/>
                      <w:color w:val="auto"/>
                      <w:sz w:val="21"/>
                      <w:szCs w:val="21"/>
                    </w:rPr>
                    <w:t>；</w:t>
                  </w:r>
                  <w:r>
                    <w:rPr>
                      <w:rFonts w:ascii="Times New Roman" w:hAnsi="Times New Roman"/>
                      <w:color w:val="auto"/>
                      <w:sz w:val="21"/>
                      <w:szCs w:val="21"/>
                    </w:rPr>
                    <w:t>2、消失模、实型铸造工艺的浇注工序采用吸附脱附+蓄热燃烧、吸附脱附+催化燃烧、焚烧法等高效处理设施。3、涂装工序采用吸附脱附+蓄热燃烧、吸附脱附+催化燃烧、焚烧法等高效处理设施:如使用水性、粉末、高固体分、无溶剂、辐射固化等低 VOCs 含量的涂料或采用辊涂、静电喷涂、高压无气喷涂、空气辅助无气喷涂热喷涂等涂装技术的涂装工序可采用活性 炭吸附等处理措施</w:t>
                  </w:r>
                  <w:r>
                    <w:rPr>
                      <w:rFonts w:hint="eastAsia" w:ascii="Times New Roman" w:hAnsi="Times New Roman"/>
                      <w:color w:val="auto"/>
                      <w:sz w:val="21"/>
                      <w:szCs w:val="21"/>
                    </w:rPr>
                    <w:t>；</w:t>
                  </w:r>
                  <w:r>
                    <w:rPr>
                      <w:rFonts w:ascii="Times New Roman" w:hAnsi="Times New Roman"/>
                      <w:color w:val="auto"/>
                      <w:sz w:val="21"/>
                      <w:szCs w:val="21"/>
                    </w:rPr>
                    <w:t>使用纯无机涂料的热喷涂工艺，可采用布袋除尘等粉尘处理措施</w:t>
                  </w:r>
                  <w:r>
                    <w:rPr>
                      <w:rFonts w:hint="eastAsia" w:ascii="Times New Roman" w:hAnsi="Times New Roman"/>
                      <w:color w:val="auto"/>
                      <w:sz w:val="21"/>
                      <w:szCs w:val="21"/>
                    </w:rPr>
                    <w:t>。</w:t>
                  </w:r>
                </w:p>
              </w:tc>
              <w:tc>
                <w:tcPr>
                  <w:tcW w:w="1511"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本项目不涉及</w:t>
                  </w:r>
                  <w:r>
                    <w:rPr>
                      <w:rFonts w:ascii="Times New Roman" w:hAnsi="Times New Roman"/>
                      <w:color w:val="auto"/>
                      <w:sz w:val="21"/>
                      <w:szCs w:val="21"/>
                    </w:rPr>
                    <w:t>VOCs</w:t>
                  </w:r>
                  <w:r>
                    <w:rPr>
                      <w:rFonts w:hint="eastAsia" w:ascii="Times New Roman" w:hAnsi="Times New Roman"/>
                      <w:color w:val="auto"/>
                      <w:sz w:val="21"/>
                      <w:szCs w:val="21"/>
                    </w:rPr>
                    <w:t>排放；</w:t>
                  </w:r>
                </w:p>
              </w:tc>
              <w:tc>
                <w:tcPr>
                  <w:tcW w:w="393"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43" w:hRule="atLeast"/>
                <w:jc w:val="center"/>
              </w:trPr>
              <w:tc>
                <w:tcPr>
                  <w:tcW w:w="417"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排放限值</w:t>
                  </w:r>
                </w:p>
              </w:tc>
              <w:tc>
                <w:tcPr>
                  <w:tcW w:w="2676"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1、PM、SO</w:t>
                  </w:r>
                  <w:r>
                    <w:rPr>
                      <w:rFonts w:hint="eastAsia" w:ascii="Times New Roman" w:hAnsi="Times New Roman"/>
                      <w:color w:val="auto"/>
                      <w:sz w:val="21"/>
                      <w:szCs w:val="21"/>
                      <w:vertAlign w:val="subscript"/>
                    </w:rPr>
                    <w:t>2</w:t>
                  </w:r>
                  <w:r>
                    <w:rPr>
                      <w:rFonts w:hint="eastAsia" w:ascii="Times New Roman" w:hAnsi="Times New Roman"/>
                      <w:color w:val="auto"/>
                      <w:sz w:val="21"/>
                      <w:szCs w:val="21"/>
                    </w:rPr>
                    <w:t>、NOx放浓度分别不高于15、50、150 mg/m</w:t>
                  </w:r>
                  <w:r>
                    <w:rPr>
                      <w:rFonts w:hint="eastAsia" w:ascii="Times New Roman" w:hAnsi="Times New Roman"/>
                      <w:color w:val="auto"/>
                      <w:sz w:val="21"/>
                      <w:szCs w:val="21"/>
                      <w:vertAlign w:val="superscript"/>
                    </w:rPr>
                    <w:t>3</w:t>
                  </w:r>
                  <w:r>
                    <w:rPr>
                      <w:rFonts w:hint="eastAsia" w:ascii="Times New Roman" w:hAnsi="Times New Roman"/>
                      <w:color w:val="auto"/>
                      <w:sz w:val="21"/>
                      <w:szCs w:val="21"/>
                    </w:rPr>
                    <w:t>；2、在连续一年的监测数据中，车间或生产设施排气简排放的NMHC为20-30 mg/m</w:t>
                  </w:r>
                  <w:r>
                    <w:rPr>
                      <w:rFonts w:hint="eastAsia" w:ascii="Times New Roman" w:hAnsi="Times New Roman"/>
                      <w:color w:val="auto"/>
                      <w:sz w:val="21"/>
                      <w:szCs w:val="21"/>
                      <w:vertAlign w:val="superscript"/>
                    </w:rPr>
                    <w:t>3</w:t>
                  </w:r>
                  <w:r>
                    <w:rPr>
                      <w:rFonts w:hint="eastAsia" w:ascii="Times New Roman" w:hAnsi="Times New Roman"/>
                      <w:color w:val="auto"/>
                      <w:sz w:val="21"/>
                      <w:szCs w:val="21"/>
                    </w:rPr>
                    <w:t>、TVOC为40-50 mg/m</w:t>
                  </w:r>
                  <w:r>
                    <w:rPr>
                      <w:rFonts w:hint="eastAsia" w:ascii="Times New Roman" w:hAnsi="Times New Roman"/>
                      <w:color w:val="auto"/>
                      <w:sz w:val="21"/>
                      <w:szCs w:val="21"/>
                      <w:vertAlign w:val="superscript"/>
                    </w:rPr>
                    <w:t>3</w:t>
                  </w:r>
                  <w:r>
                    <w:rPr>
                      <w:rFonts w:hint="eastAsia" w:ascii="Times New Roman" w:hAnsi="Times New Roman"/>
                      <w:color w:val="auto"/>
                      <w:sz w:val="21"/>
                      <w:szCs w:val="21"/>
                    </w:rPr>
                    <w:t>；3、厂区内无组织排放监控点NMHC的小时平均浓度值不超过6 mg/m</w:t>
                  </w:r>
                  <w:r>
                    <w:rPr>
                      <w:rFonts w:hint="eastAsia" w:ascii="Times New Roman" w:hAnsi="Times New Roman"/>
                      <w:color w:val="auto"/>
                      <w:sz w:val="21"/>
                      <w:szCs w:val="21"/>
                      <w:vertAlign w:val="superscript"/>
                    </w:rPr>
                    <w:t>3</w:t>
                  </w:r>
                  <w:r>
                    <w:rPr>
                      <w:rFonts w:hint="eastAsia" w:ascii="Times New Roman" w:hAnsi="Times New Roman"/>
                      <w:color w:val="auto"/>
                      <w:sz w:val="21"/>
                      <w:szCs w:val="21"/>
                    </w:rPr>
                    <w:t>、任意一次浓度值不超过20 mg/m</w:t>
                  </w:r>
                  <w:r>
                    <w:rPr>
                      <w:rFonts w:hint="eastAsia" w:ascii="Times New Roman" w:hAnsi="Times New Roman"/>
                      <w:color w:val="auto"/>
                      <w:sz w:val="21"/>
                      <w:szCs w:val="21"/>
                      <w:vertAlign w:val="superscript"/>
                    </w:rPr>
                    <w:t>3</w:t>
                  </w:r>
                  <w:r>
                    <w:rPr>
                      <w:rFonts w:hint="eastAsia" w:ascii="Times New Roman" w:hAnsi="Times New Roman"/>
                      <w:color w:val="auto"/>
                      <w:sz w:val="21"/>
                      <w:szCs w:val="21"/>
                    </w:rPr>
                    <w:t>。</w:t>
                  </w:r>
                </w:p>
              </w:tc>
              <w:tc>
                <w:tcPr>
                  <w:tcW w:w="1511"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各工序含尘废气排放浓度不高于10mg/m</w:t>
                  </w:r>
                  <w:r>
                    <w:rPr>
                      <w:rFonts w:hint="eastAsia" w:ascii="Times New Roman" w:hAnsi="Times New Roman"/>
                      <w:color w:val="auto"/>
                      <w:sz w:val="21"/>
                      <w:szCs w:val="21"/>
                      <w:vertAlign w:val="superscript"/>
                    </w:rPr>
                    <w:t>3</w:t>
                  </w:r>
                  <w:r>
                    <w:rPr>
                      <w:rFonts w:hint="eastAsia" w:ascii="Times New Roman" w:hAnsi="Times New Roman"/>
                      <w:color w:val="auto"/>
                      <w:sz w:val="21"/>
                      <w:szCs w:val="21"/>
                    </w:rPr>
                    <w:t>。</w:t>
                  </w:r>
                </w:p>
              </w:tc>
              <w:tc>
                <w:tcPr>
                  <w:tcW w:w="393"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417" w:type="pct"/>
                  <w:vMerge w:val="restar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无组织排放</w:t>
                  </w:r>
                </w:p>
              </w:tc>
              <w:tc>
                <w:tcPr>
                  <w:tcW w:w="2676"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1、物料储存</w:t>
                  </w:r>
                </w:p>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(1)煤粉、膨润土、石英砂等粉状物料应袋装或罐装并储存于封闭储库中；</w:t>
                  </w:r>
                </w:p>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(2)生铁、废钢、焦炭、铁合金及其他原辅材料等粒状、块状散装物料应储存于封闭储库中。</w:t>
                  </w:r>
                </w:p>
              </w:tc>
              <w:tc>
                <w:tcPr>
                  <w:tcW w:w="1511"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本项目粉状物料袋装存储于全封闭生产车间内</w:t>
                  </w:r>
                </w:p>
              </w:tc>
              <w:tc>
                <w:tcPr>
                  <w:tcW w:w="393" w:type="pct"/>
                  <w:vMerge w:val="restar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446" w:hRule="atLeast"/>
                <w:jc w:val="center"/>
              </w:trPr>
              <w:tc>
                <w:tcPr>
                  <w:tcW w:w="417" w:type="pct"/>
                  <w:vMerge w:val="continue"/>
                  <w:tcBorders>
                    <w:tl2br w:val="nil"/>
                    <w:tr2bl w:val="nil"/>
                  </w:tcBorders>
                  <w:vAlign w:val="center"/>
                </w:tcPr>
                <w:p>
                  <w:pPr>
                    <w:pStyle w:val="68"/>
                    <w:ind w:firstLine="0" w:firstLineChars="0"/>
                    <w:jc w:val="center"/>
                    <w:rPr>
                      <w:color w:val="auto"/>
                    </w:rPr>
                  </w:pPr>
                </w:p>
              </w:tc>
              <w:tc>
                <w:tcPr>
                  <w:tcW w:w="2676"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2、物料转移和输送</w:t>
                  </w:r>
                </w:p>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(1)粉状、粒状等易散发粉尘的物料厂内转移、输送时，应采取密闭或覆盖等抑尘措施；转移、输送、装卸过程中应采取集气除尘措施，或喷淋(雾) 等抑尘措施；(2)除尘器卸灰口应采取密闭措施，除尘灰不得直接卸落到地面。除尘灰采取袋装、罐装等密闭措施收集存放和运输;</w:t>
                  </w:r>
                </w:p>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(3)厂区道路硬化，并采取清扫、洒水等措施，保持清洁。</w:t>
                  </w:r>
                </w:p>
              </w:tc>
              <w:tc>
                <w:tcPr>
                  <w:tcW w:w="1511"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物料转运输送过程产生的粉尘经二次除尘装置捕集处理后排放，除尘器密闭卸灰袋装收集存放；厂区道路硬化，并采取清扫、洒水等措施，保持清洁；</w:t>
                  </w:r>
                </w:p>
              </w:tc>
              <w:tc>
                <w:tcPr>
                  <w:tcW w:w="393" w:type="pct"/>
                  <w:vMerge w:val="continue"/>
                  <w:tcBorders>
                    <w:tl2br w:val="nil"/>
                    <w:tr2bl w:val="nil"/>
                  </w:tcBorders>
                  <w:vAlign w:val="center"/>
                </w:tcPr>
                <w:p>
                  <w:pPr>
                    <w:pStyle w:val="68"/>
                    <w:ind w:firstLine="0" w:firstLineChars="0"/>
                    <w:jc w:val="center"/>
                    <w:rPr>
                      <w:rFonts w:ascii="Times New Roman" w:hAnsi="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17" w:type="pct"/>
                  <w:vMerge w:val="continue"/>
                  <w:tcBorders>
                    <w:tl2br w:val="nil"/>
                    <w:tr2bl w:val="nil"/>
                  </w:tcBorders>
                  <w:vAlign w:val="center"/>
                </w:tcPr>
                <w:p>
                  <w:pPr>
                    <w:pStyle w:val="68"/>
                    <w:ind w:firstLine="0" w:firstLineChars="0"/>
                    <w:jc w:val="center"/>
                    <w:rPr>
                      <w:rFonts w:ascii="Times New Roman" w:hAnsi="Times New Roman"/>
                      <w:color w:val="auto"/>
                      <w:sz w:val="21"/>
                      <w:szCs w:val="21"/>
                    </w:rPr>
                  </w:pPr>
                </w:p>
              </w:tc>
              <w:tc>
                <w:tcPr>
                  <w:tcW w:w="2676"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3、铸造</w:t>
                  </w:r>
                </w:p>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(1)孕育、变质、炉外精炼、除气等金属液预处理工序PM排放环节应安装半封闭空间，并配备除尘设施；(2)浇注工序设置浇注区或浇注段，采用外部罩的罩口应尽可能接近污染源并覆盖污染源；落砂、抛丸清理、砂处理工序应在封闭空间内操作，废气收集至除尘设施。制芯工序在封闭或半封闭空间内操作；(3)对于树脂砂、水玻璃砂等工艺生产特殊尺寸(特大等)铸件或使用地坑造型的，浇注和泠却工序在密闭车间或密闭空间内进行并配备废气处理设施，待砂型冷却至无可见烟尘外逸时，环保设备方可停止运行；落砂工序应采取有效集气除尘或抑尘措施；(4)清理(去除浇冒口、铲飞边毛刺等) 和浇包、渣包的维修等工序宜在封闭空间内操作，废气收集至除尘设施；(5)车间不得有可见烟粉尘外逸</w:t>
                  </w:r>
                </w:p>
              </w:tc>
              <w:tc>
                <w:tcPr>
                  <w:tcW w:w="1511"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铸造各生产工艺产尘点均设有废气收集处置设施。浇注工序设置浇注段，落砂、打磨、砂处理设置于封闭空间内，配套设置脉冲布袋除尘器车间顶部设有二次除尘设施，车间内无可见烟尘。</w:t>
                  </w:r>
                </w:p>
              </w:tc>
              <w:tc>
                <w:tcPr>
                  <w:tcW w:w="393" w:type="pct"/>
                  <w:vMerge w:val="continue"/>
                  <w:tcBorders>
                    <w:tl2br w:val="nil"/>
                    <w:tr2bl w:val="nil"/>
                  </w:tcBorders>
                  <w:vAlign w:val="center"/>
                </w:tcPr>
                <w:p>
                  <w:pPr>
                    <w:pStyle w:val="68"/>
                    <w:ind w:firstLine="0" w:firstLineChars="0"/>
                    <w:jc w:val="center"/>
                    <w:rPr>
                      <w:rFonts w:ascii="Times New Roman" w:hAnsi="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417"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监测监控水平</w:t>
                  </w:r>
                </w:p>
              </w:tc>
              <w:tc>
                <w:tcPr>
                  <w:tcW w:w="2676"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1、料场出入口等易产生 PM排放环节，安装高清视频监控设施。视频监控数据保存六个月以上；2、主要生产设施与污染防治设施分表计电。</w:t>
                  </w:r>
                </w:p>
              </w:tc>
              <w:tc>
                <w:tcPr>
                  <w:tcW w:w="1511"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生产车间主要出入口等易产生PM排放环节，项目建设完成后安装高清视频监控设施。视频监控数据保存六个月以上主要生产设施与污染防治设施分表计电。</w:t>
                  </w:r>
                </w:p>
              </w:tc>
              <w:tc>
                <w:tcPr>
                  <w:tcW w:w="393"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417" w:type="pct"/>
                  <w:vMerge w:val="restar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环境管理水平</w:t>
                  </w:r>
                </w:p>
              </w:tc>
              <w:tc>
                <w:tcPr>
                  <w:tcW w:w="2676"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环保档案齐全：1、环评批复文件，2、排污许可证及季度、年度执行报告，3、竣工验收文件，4、废气治理设施运行管理规程；5一年内第三方废气监测报告</w:t>
                  </w:r>
                </w:p>
              </w:tc>
              <w:tc>
                <w:tcPr>
                  <w:tcW w:w="1511"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按照前述要求，项目建设完成后保证公司环保档案齐全</w:t>
                  </w:r>
                </w:p>
              </w:tc>
              <w:tc>
                <w:tcPr>
                  <w:tcW w:w="393"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417" w:type="pct"/>
                  <w:vMerge w:val="continue"/>
                  <w:tcBorders>
                    <w:tl2br w:val="nil"/>
                    <w:tr2bl w:val="nil"/>
                  </w:tcBorders>
                  <w:vAlign w:val="center"/>
                </w:tcPr>
                <w:p>
                  <w:pPr>
                    <w:pStyle w:val="68"/>
                    <w:ind w:firstLine="0" w:firstLineChars="0"/>
                    <w:jc w:val="center"/>
                    <w:rPr>
                      <w:rFonts w:ascii="Times New Roman" w:hAnsi="Times New Roman"/>
                      <w:color w:val="auto"/>
                      <w:sz w:val="21"/>
                      <w:szCs w:val="21"/>
                    </w:rPr>
                  </w:pPr>
                </w:p>
              </w:tc>
              <w:tc>
                <w:tcPr>
                  <w:tcW w:w="2676"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台账记录：1、完整生产管理台账；生产设备运行台账原辅材料、燃料使用量，产品产量；2、设备维护记录；3、废气治理设备清单：主要污染治理设备、设计说明书、运行记录、CEMS 小时数据等(如需) ；4、耗材记录：包括草酸、磷酸、活性炭等耗材使用量，除尘器滤料更换记录等，5、运输管理电子台账(包括出入厂记录、车牌号、VIN号、发动机编号和排放阶段等) ；6、固废、危废处理记录；7、废气治理设施运行管理规程。</w:t>
                  </w:r>
                </w:p>
              </w:tc>
              <w:tc>
                <w:tcPr>
                  <w:tcW w:w="1511"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按照</w:t>
                  </w:r>
                  <w:r>
                    <w:rPr>
                      <w:rFonts w:ascii="Times New Roman" w:hAnsi="Times New Roman"/>
                      <w:color w:val="auto"/>
                      <w:sz w:val="21"/>
                      <w:szCs w:val="21"/>
                    </w:rPr>
                    <w:t xml:space="preserve">《排污许可证申请与核发技术规范 </w:t>
                  </w:r>
                  <w:r>
                    <w:rPr>
                      <w:rFonts w:hint="eastAsia" w:ascii="Times New Roman" w:hAnsi="Times New Roman"/>
                      <w:color w:val="auto"/>
                      <w:sz w:val="21"/>
                      <w:szCs w:val="21"/>
                    </w:rPr>
                    <w:t>金属铸造工业</w:t>
                  </w:r>
                  <w:r>
                    <w:rPr>
                      <w:rFonts w:ascii="Times New Roman" w:hAnsi="Times New Roman"/>
                      <w:color w:val="auto"/>
                      <w:sz w:val="21"/>
                      <w:szCs w:val="21"/>
                    </w:rPr>
                    <w:t>》</w:t>
                  </w:r>
                  <w:r>
                    <w:rPr>
                      <w:rFonts w:hint="eastAsia" w:ascii="Times New Roman" w:hAnsi="Times New Roman"/>
                      <w:color w:val="auto"/>
                      <w:sz w:val="21"/>
                      <w:szCs w:val="21"/>
                    </w:rPr>
                    <w:t>（</w:t>
                  </w:r>
                  <w:r>
                    <w:rPr>
                      <w:rFonts w:ascii="Times New Roman" w:hAnsi="Times New Roman"/>
                      <w:color w:val="auto"/>
                      <w:sz w:val="21"/>
                      <w:szCs w:val="21"/>
                    </w:rPr>
                    <w:t>HJ11</w:t>
                  </w:r>
                  <w:r>
                    <w:rPr>
                      <w:rFonts w:hint="eastAsia" w:ascii="Times New Roman" w:hAnsi="Times New Roman"/>
                      <w:color w:val="auto"/>
                      <w:sz w:val="21"/>
                      <w:szCs w:val="21"/>
                    </w:rPr>
                    <w:t>15</w:t>
                  </w:r>
                  <w:r>
                    <w:rPr>
                      <w:rFonts w:ascii="Times New Roman" w:hAnsi="Times New Roman"/>
                      <w:color w:val="auto"/>
                      <w:sz w:val="21"/>
                      <w:szCs w:val="21"/>
                    </w:rPr>
                    <w:t>—2020</w:t>
                  </w:r>
                  <w:r>
                    <w:rPr>
                      <w:rFonts w:hint="eastAsia" w:ascii="Times New Roman" w:hAnsi="Times New Roman"/>
                      <w:color w:val="auto"/>
                      <w:sz w:val="21"/>
                      <w:szCs w:val="21"/>
                    </w:rPr>
                    <w:t>）相关要求进行了台账记录</w:t>
                  </w:r>
                </w:p>
              </w:tc>
              <w:tc>
                <w:tcPr>
                  <w:tcW w:w="393"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417" w:type="pct"/>
                  <w:vMerge w:val="continue"/>
                  <w:tcBorders>
                    <w:tl2br w:val="nil"/>
                    <w:tr2bl w:val="nil"/>
                  </w:tcBorders>
                  <w:vAlign w:val="center"/>
                </w:tcPr>
                <w:p>
                  <w:pPr>
                    <w:pStyle w:val="68"/>
                    <w:ind w:firstLine="0" w:firstLineChars="0"/>
                    <w:jc w:val="center"/>
                    <w:rPr>
                      <w:rFonts w:ascii="Times New Roman" w:hAnsi="Times New Roman"/>
                      <w:color w:val="auto"/>
                      <w:sz w:val="21"/>
                      <w:szCs w:val="21"/>
                    </w:rPr>
                  </w:pPr>
                </w:p>
              </w:tc>
              <w:tc>
                <w:tcPr>
                  <w:tcW w:w="2676"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人员配置：设置环保部门，配备专职环保人员，并具备相应的环境管理能力</w:t>
                  </w:r>
                </w:p>
              </w:tc>
              <w:tc>
                <w:tcPr>
                  <w:tcW w:w="1511"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公司拟设环保部门，并配备专职环保人员，具备相应的环境管理能力</w:t>
                  </w:r>
                </w:p>
              </w:tc>
              <w:tc>
                <w:tcPr>
                  <w:tcW w:w="393"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417"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运输方式</w:t>
                  </w:r>
                </w:p>
              </w:tc>
              <w:tc>
                <w:tcPr>
                  <w:tcW w:w="2676"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1、物料公路运输全部使用达到国五及以上排放标准重型载货车辆(含燃气)或新能源车辆；2、厂内运输车辆全部达到国五及以上排放标准(含燃气) 或使用新能源车辆；3、危废运输全部使用国五及以上或新能源车辆；4、厂内非道路移动机械全部达到国三及以上排放标准或使用新能源机械</w:t>
                  </w:r>
                </w:p>
              </w:tc>
              <w:tc>
                <w:tcPr>
                  <w:tcW w:w="1511"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本项目所涉及的运输车辆环保等级均采用满足国五及以上排放标准，厂内非道路移动机械全部达到国三及以上排放标准或使用新能源机械。</w:t>
                  </w:r>
                </w:p>
              </w:tc>
              <w:tc>
                <w:tcPr>
                  <w:tcW w:w="393"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417"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运输监管</w:t>
                  </w:r>
                </w:p>
              </w:tc>
              <w:tc>
                <w:tcPr>
                  <w:tcW w:w="2676"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参照《重污染天气重点行业移动源应急管理技术指南》建立门禁系统和电子台账</w:t>
                  </w:r>
                </w:p>
              </w:tc>
              <w:tc>
                <w:tcPr>
                  <w:tcW w:w="1511"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公司参照《重污染天气重点行业移动源应急管理技术指南》建立了门禁系统和电子台账。</w:t>
                  </w:r>
                </w:p>
              </w:tc>
              <w:tc>
                <w:tcPr>
                  <w:tcW w:w="393"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A</w:t>
                  </w:r>
                </w:p>
              </w:tc>
            </w:tr>
          </w:tbl>
          <w:p>
            <w:pPr>
              <w:spacing w:line="480" w:lineRule="exact"/>
              <w:ind w:firstLine="500" w:firstLineChars="200"/>
              <w:rPr>
                <w:color w:val="auto"/>
                <w:spacing w:val="5"/>
                <w:sz w:val="24"/>
              </w:rPr>
            </w:pPr>
            <w:r>
              <w:rPr>
                <w:rFonts w:hint="eastAsia"/>
                <w:color w:val="auto"/>
                <w:spacing w:val="5"/>
                <w:sz w:val="24"/>
              </w:rPr>
              <w:t>综上对比分析，公司污染治理技术水平达到A级标准，应按照A级企业标准严格落实减排措施。</w:t>
            </w:r>
          </w:p>
          <w:p>
            <w:pPr>
              <w:spacing w:line="480" w:lineRule="exact"/>
              <w:ind w:firstLine="500" w:firstLineChars="200"/>
              <w:rPr>
                <w:color w:val="auto"/>
                <w:spacing w:val="5"/>
                <w:sz w:val="24"/>
              </w:rPr>
            </w:pPr>
            <w:r>
              <w:rPr>
                <w:rFonts w:hint="eastAsia"/>
                <w:color w:val="auto"/>
                <w:spacing w:val="5"/>
                <w:sz w:val="24"/>
              </w:rPr>
              <w:t>2.2.4与《</w:t>
            </w:r>
            <w:r>
              <w:rPr>
                <w:color w:val="auto"/>
                <w:spacing w:val="5"/>
                <w:sz w:val="24"/>
              </w:rPr>
              <w:t>铸造工业大气污染防治可行技术指南</w:t>
            </w:r>
            <w:r>
              <w:rPr>
                <w:rFonts w:hint="eastAsia"/>
                <w:color w:val="auto"/>
                <w:spacing w:val="5"/>
                <w:sz w:val="24"/>
              </w:rPr>
              <w:t>》（</w:t>
            </w:r>
            <w:r>
              <w:rPr>
                <w:color w:val="auto"/>
                <w:spacing w:val="5"/>
                <w:sz w:val="24"/>
              </w:rPr>
              <w:t>HJ 1292—2023</w:t>
            </w:r>
            <w:r>
              <w:rPr>
                <w:rFonts w:hint="eastAsia"/>
                <w:color w:val="auto"/>
                <w:spacing w:val="5"/>
                <w:sz w:val="24"/>
              </w:rPr>
              <w:t>）符合性分析</w:t>
            </w:r>
          </w:p>
          <w:p>
            <w:pPr>
              <w:spacing w:line="480" w:lineRule="exact"/>
              <w:jc w:val="center"/>
              <w:rPr>
                <w:b/>
                <w:bCs/>
                <w:color w:val="auto"/>
                <w:spacing w:val="5"/>
                <w:sz w:val="24"/>
              </w:rPr>
            </w:pPr>
          </w:p>
          <w:p>
            <w:pPr>
              <w:spacing w:line="480" w:lineRule="exact"/>
              <w:jc w:val="center"/>
              <w:rPr>
                <w:b/>
                <w:bCs/>
                <w:color w:val="auto"/>
                <w:spacing w:val="5"/>
                <w:sz w:val="24"/>
              </w:rPr>
            </w:pPr>
            <w:r>
              <w:rPr>
                <w:rFonts w:hint="eastAsia"/>
                <w:b/>
                <w:bCs/>
                <w:color w:val="auto"/>
                <w:spacing w:val="5"/>
                <w:sz w:val="24"/>
              </w:rPr>
              <w:t>表6    本项目与（</w:t>
            </w:r>
            <w:r>
              <w:rPr>
                <w:b/>
                <w:bCs/>
                <w:color w:val="auto"/>
                <w:spacing w:val="5"/>
                <w:sz w:val="24"/>
              </w:rPr>
              <w:t>HJ 1292—2023</w:t>
            </w:r>
            <w:r>
              <w:rPr>
                <w:rFonts w:hint="eastAsia"/>
                <w:b/>
                <w:bCs/>
                <w:color w:val="auto"/>
                <w:spacing w:val="5"/>
                <w:sz w:val="24"/>
              </w:rPr>
              <w:t>）符合性分析结果一览表</w:t>
            </w:r>
          </w:p>
          <w:tbl>
            <w:tblPr>
              <w:tblStyle w:val="33"/>
              <w:tblW w:w="8398"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93"/>
              <w:gridCol w:w="4063"/>
              <w:gridCol w:w="2990"/>
              <w:gridCol w:w="652"/>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trHeight w:val="90" w:hRule="atLeast"/>
                <w:jc w:val="center"/>
              </w:trPr>
              <w:tc>
                <w:tcPr>
                  <w:tcW w:w="413"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工序</w:t>
                  </w:r>
                </w:p>
              </w:tc>
              <w:tc>
                <w:tcPr>
                  <w:tcW w:w="2418"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ascii="Times New Roman" w:hAnsi="Times New Roman"/>
                      <w:color w:val="auto"/>
                      <w:sz w:val="21"/>
                      <w:szCs w:val="21"/>
                    </w:rPr>
                    <w:t>相关规定</w:t>
                  </w:r>
                </w:p>
              </w:tc>
              <w:tc>
                <w:tcPr>
                  <w:tcW w:w="1779"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ascii="Times New Roman" w:hAnsi="Times New Roman"/>
                      <w:color w:val="auto"/>
                      <w:sz w:val="21"/>
                      <w:szCs w:val="21"/>
                    </w:rPr>
                    <w:t>本</w:t>
                  </w:r>
                  <w:r>
                    <w:rPr>
                      <w:rFonts w:hint="eastAsia" w:ascii="Times New Roman" w:hAnsi="Times New Roman"/>
                      <w:color w:val="auto"/>
                      <w:sz w:val="21"/>
                      <w:szCs w:val="21"/>
                    </w:rPr>
                    <w:t>项目</w:t>
                  </w:r>
                </w:p>
              </w:tc>
              <w:tc>
                <w:tcPr>
                  <w:tcW w:w="388"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ascii="Times New Roman" w:hAnsi="Times New Roman"/>
                      <w:color w:val="auto"/>
                      <w:sz w:val="21"/>
                      <w:szCs w:val="21"/>
                    </w:rPr>
                    <w:t>结论</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54" w:hRule="atLeast"/>
                <w:jc w:val="center"/>
              </w:trPr>
              <w:tc>
                <w:tcPr>
                  <w:tcW w:w="413"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金属熔炼</w:t>
                  </w:r>
                </w:p>
              </w:tc>
              <w:tc>
                <w:tcPr>
                  <w:tcW w:w="2418"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炉盖与除尘一体化技术：①旋风除尘技术（可选）</w:t>
                  </w:r>
                  <w:r>
                    <w:rPr>
                      <w:rFonts w:ascii="Times New Roman" w:hAnsi="Times New Roman"/>
                      <w:color w:val="auto"/>
                      <w:sz w:val="21"/>
                      <w:szCs w:val="21"/>
                    </w:rPr>
                    <w:t xml:space="preserve">+ </w:t>
                  </w:r>
                  <w:r>
                    <w:rPr>
                      <w:rFonts w:hint="eastAsia" w:ascii="Times New Roman" w:hAnsi="Times New Roman"/>
                      <w:color w:val="auto"/>
                      <w:sz w:val="21"/>
                      <w:szCs w:val="21"/>
                    </w:rPr>
                    <w:t>②袋式除尘技术</w:t>
                  </w:r>
                  <w:r>
                    <w:rPr>
                      <w:rFonts w:ascii="Times New Roman" w:hAnsi="Times New Roman"/>
                      <w:color w:val="auto"/>
                      <w:sz w:val="21"/>
                      <w:szCs w:val="21"/>
                    </w:rPr>
                    <w:t>/</w:t>
                  </w:r>
                  <w:r>
                    <w:rPr>
                      <w:rFonts w:hint="eastAsia" w:ascii="Times New Roman" w:hAnsi="Times New Roman"/>
                      <w:color w:val="auto"/>
                      <w:sz w:val="21"/>
                      <w:szCs w:val="21"/>
                    </w:rPr>
                    <w:t>滤筒除尘技术</w:t>
                  </w:r>
                </w:p>
              </w:tc>
              <w:tc>
                <w:tcPr>
                  <w:tcW w:w="1779"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本项目熔炼工序采用炉盖与除尘一体化脉冲袋式除尘技术。</w:t>
                  </w:r>
                </w:p>
              </w:tc>
              <w:tc>
                <w:tcPr>
                  <w:tcW w:w="388"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可行</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13"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造型制芯</w:t>
                  </w:r>
                </w:p>
              </w:tc>
              <w:tc>
                <w:tcPr>
                  <w:tcW w:w="2418"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①旋风除尘技术（可选）</w:t>
                  </w:r>
                  <w:r>
                    <w:rPr>
                      <w:rFonts w:ascii="Times New Roman" w:hAnsi="Times New Roman"/>
                      <w:color w:val="auto"/>
                      <w:sz w:val="21"/>
                      <w:szCs w:val="21"/>
                    </w:rPr>
                    <w:t>+</w:t>
                  </w:r>
                  <w:r>
                    <w:rPr>
                      <w:rFonts w:hint="eastAsia" w:ascii="Times New Roman" w:hAnsi="Times New Roman"/>
                      <w:color w:val="auto"/>
                      <w:sz w:val="21"/>
                      <w:szCs w:val="21"/>
                    </w:rPr>
                    <w:t>②袋式除尘技术</w:t>
                  </w:r>
                  <w:r>
                    <w:rPr>
                      <w:rFonts w:ascii="Times New Roman" w:hAnsi="Times New Roman"/>
                      <w:color w:val="auto"/>
                      <w:sz w:val="21"/>
                      <w:szCs w:val="21"/>
                    </w:rPr>
                    <w:t>/</w:t>
                  </w:r>
                  <w:r>
                    <w:rPr>
                      <w:rFonts w:hint="eastAsia" w:ascii="Times New Roman" w:hAnsi="Times New Roman"/>
                      <w:color w:val="auto"/>
                      <w:sz w:val="21"/>
                      <w:szCs w:val="21"/>
                    </w:rPr>
                    <w:t>滤筒除尘技术</w:t>
                  </w:r>
                </w:p>
              </w:tc>
              <w:tc>
                <w:tcPr>
                  <w:tcW w:w="1779"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本项目该工序采用脉冲袋式除尘技术。</w:t>
                  </w:r>
                </w:p>
              </w:tc>
              <w:tc>
                <w:tcPr>
                  <w:tcW w:w="388"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可行</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13"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浇注</w:t>
                  </w:r>
                </w:p>
              </w:tc>
              <w:tc>
                <w:tcPr>
                  <w:tcW w:w="2418"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①旋风除尘技术（可选）</w:t>
                  </w:r>
                  <w:r>
                    <w:rPr>
                      <w:rFonts w:ascii="Times New Roman" w:hAnsi="Times New Roman"/>
                      <w:color w:val="auto"/>
                      <w:sz w:val="21"/>
                      <w:szCs w:val="21"/>
                    </w:rPr>
                    <w:t>+</w:t>
                  </w:r>
                  <w:r>
                    <w:rPr>
                      <w:rFonts w:hint="eastAsia" w:ascii="Times New Roman" w:hAnsi="Times New Roman"/>
                      <w:color w:val="auto"/>
                      <w:sz w:val="21"/>
                      <w:szCs w:val="21"/>
                    </w:rPr>
                    <w:t>②袋式除尘技术</w:t>
                  </w:r>
                  <w:r>
                    <w:rPr>
                      <w:rFonts w:ascii="Times New Roman" w:hAnsi="Times New Roman"/>
                      <w:color w:val="auto"/>
                      <w:sz w:val="21"/>
                      <w:szCs w:val="21"/>
                    </w:rPr>
                    <w:t>/</w:t>
                  </w:r>
                  <w:r>
                    <w:rPr>
                      <w:rFonts w:hint="eastAsia" w:ascii="Times New Roman" w:hAnsi="Times New Roman"/>
                      <w:color w:val="auto"/>
                      <w:sz w:val="21"/>
                      <w:szCs w:val="21"/>
                    </w:rPr>
                    <w:t>滤筒除尘技术</w:t>
                  </w:r>
                </w:p>
              </w:tc>
              <w:tc>
                <w:tcPr>
                  <w:tcW w:w="1779"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本项目该工序采用脉冲袋式除尘技术。</w:t>
                  </w:r>
                </w:p>
              </w:tc>
              <w:tc>
                <w:tcPr>
                  <w:tcW w:w="388"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可行</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413"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砂处理</w:t>
                  </w:r>
                </w:p>
              </w:tc>
              <w:tc>
                <w:tcPr>
                  <w:tcW w:w="2418"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①旋风除尘技术（可选）</w:t>
                  </w:r>
                  <w:r>
                    <w:rPr>
                      <w:rFonts w:ascii="Times New Roman" w:hAnsi="Times New Roman"/>
                      <w:color w:val="auto"/>
                      <w:sz w:val="21"/>
                      <w:szCs w:val="21"/>
                    </w:rPr>
                    <w:t>+</w:t>
                  </w:r>
                  <w:r>
                    <w:rPr>
                      <w:rFonts w:hint="eastAsia" w:ascii="Times New Roman" w:hAnsi="Times New Roman"/>
                      <w:color w:val="auto"/>
                      <w:sz w:val="21"/>
                      <w:szCs w:val="21"/>
                    </w:rPr>
                    <w:t>②袋式除尘技术</w:t>
                  </w:r>
                  <w:r>
                    <w:rPr>
                      <w:rFonts w:ascii="Times New Roman" w:hAnsi="Times New Roman"/>
                      <w:color w:val="auto"/>
                      <w:sz w:val="21"/>
                      <w:szCs w:val="21"/>
                    </w:rPr>
                    <w:t>/</w:t>
                  </w:r>
                  <w:r>
                    <w:rPr>
                      <w:rFonts w:hint="eastAsia" w:ascii="Times New Roman" w:hAnsi="Times New Roman"/>
                      <w:color w:val="auto"/>
                      <w:sz w:val="21"/>
                      <w:szCs w:val="21"/>
                    </w:rPr>
                    <w:t>滤筒除尘技术</w:t>
                  </w:r>
                </w:p>
              </w:tc>
              <w:tc>
                <w:tcPr>
                  <w:tcW w:w="1779"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本项目该工序采用脉冲袋式除尘技术。</w:t>
                  </w:r>
                </w:p>
              </w:tc>
              <w:tc>
                <w:tcPr>
                  <w:tcW w:w="388"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可行</w:t>
                  </w:r>
                </w:p>
              </w:tc>
            </w:tr>
          </w:tbl>
          <w:p>
            <w:pPr>
              <w:spacing w:line="480" w:lineRule="exact"/>
              <w:ind w:firstLine="500" w:firstLineChars="200"/>
              <w:rPr>
                <w:color w:val="auto"/>
                <w:spacing w:val="5"/>
                <w:sz w:val="24"/>
              </w:rPr>
            </w:pPr>
            <w:r>
              <w:rPr>
                <w:rFonts w:hint="eastAsia"/>
                <w:color w:val="auto"/>
                <w:spacing w:val="5"/>
                <w:sz w:val="24"/>
              </w:rPr>
              <w:t>2.2.5与《唐山市铸造行业烟气达标治理工作方案》符合性分析见表1-6。</w:t>
            </w:r>
          </w:p>
          <w:p>
            <w:pPr>
              <w:spacing w:line="480" w:lineRule="exact"/>
              <w:jc w:val="center"/>
              <w:rPr>
                <w:b/>
                <w:bCs/>
                <w:color w:val="auto"/>
                <w:spacing w:val="5"/>
                <w:sz w:val="24"/>
              </w:rPr>
            </w:pPr>
            <w:r>
              <w:rPr>
                <w:rFonts w:hint="eastAsia"/>
                <w:b/>
                <w:bCs/>
                <w:color w:val="auto"/>
                <w:spacing w:val="5"/>
                <w:sz w:val="24"/>
              </w:rPr>
              <w:t>表7 本项目与《唐山市铸造行业烟气达标治理工作方案》符合性分析结果一览表</w:t>
            </w:r>
          </w:p>
          <w:tbl>
            <w:tblPr>
              <w:tblStyle w:val="33"/>
              <w:tblW w:w="8311"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62"/>
              <w:gridCol w:w="4229"/>
              <w:gridCol w:w="2753"/>
              <w:gridCol w:w="667"/>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99"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ascii="Times New Roman" w:hAnsi="Times New Roman"/>
                      <w:color w:val="auto"/>
                      <w:sz w:val="21"/>
                      <w:szCs w:val="21"/>
                    </w:rPr>
                    <w:t>序号</w:t>
                  </w:r>
                </w:p>
              </w:tc>
              <w:tc>
                <w:tcPr>
                  <w:tcW w:w="2543"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ascii="Times New Roman" w:hAnsi="Times New Roman"/>
                      <w:color w:val="auto"/>
                      <w:sz w:val="21"/>
                      <w:szCs w:val="21"/>
                    </w:rPr>
                    <w:t>相关规定</w:t>
                  </w:r>
                </w:p>
              </w:tc>
              <w:tc>
                <w:tcPr>
                  <w:tcW w:w="1655"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ascii="Times New Roman" w:hAnsi="Times New Roman"/>
                      <w:color w:val="auto"/>
                      <w:sz w:val="21"/>
                      <w:szCs w:val="21"/>
                    </w:rPr>
                    <w:t>本</w:t>
                  </w:r>
                  <w:r>
                    <w:rPr>
                      <w:rFonts w:hint="eastAsia" w:ascii="Times New Roman" w:hAnsi="Times New Roman"/>
                      <w:color w:val="auto"/>
                      <w:sz w:val="21"/>
                      <w:szCs w:val="21"/>
                    </w:rPr>
                    <w:t>项目</w:t>
                  </w:r>
                </w:p>
              </w:tc>
              <w:tc>
                <w:tcPr>
                  <w:tcW w:w="401"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ascii="Times New Roman" w:hAnsi="Times New Roman"/>
                      <w:color w:val="auto"/>
                      <w:sz w:val="21"/>
                      <w:szCs w:val="21"/>
                    </w:rPr>
                    <w:t>结论</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399"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1</w:t>
                  </w:r>
                </w:p>
              </w:tc>
              <w:tc>
                <w:tcPr>
                  <w:tcW w:w="2543"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熔炼工序在炉口上方或两侧安装集气罩，集气罩面积应将出铁口覆盖在内，烟气集中收集后经过高效袋式除尘设施进行一次除尘，由排气筒排放，颗粒物排放浓度不高于10mg/Nm</w:t>
                  </w:r>
                  <w:r>
                    <w:rPr>
                      <w:rFonts w:hint="eastAsia" w:ascii="Times New Roman" w:hAnsi="Times New Roman"/>
                      <w:color w:val="auto"/>
                      <w:sz w:val="21"/>
                      <w:szCs w:val="21"/>
                      <w:vertAlign w:val="superscript"/>
                    </w:rPr>
                    <w:t>3</w:t>
                  </w:r>
                  <w:r>
                    <w:rPr>
                      <w:rFonts w:hint="eastAsia" w:ascii="Times New Roman" w:hAnsi="Times New Roman"/>
                      <w:color w:val="auto"/>
                      <w:sz w:val="21"/>
                      <w:szCs w:val="21"/>
                    </w:rPr>
                    <w:t>。鼓励将熔炼工序进行封闭处理，内部加装集气装置，形成负压集中收集废气。</w:t>
                  </w:r>
                </w:p>
              </w:tc>
              <w:tc>
                <w:tcPr>
                  <w:tcW w:w="1655"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本项目熔炼工序在炉口上方安装集气罩，集气罩面积将出铁口覆盖在内，烟气集中收集后经过高效袋式除尘设施进行一次除尘，由排气筒排放，颗粒物排放浓度不高10mg/Nm</w:t>
                  </w:r>
                  <w:r>
                    <w:rPr>
                      <w:rFonts w:hint="eastAsia" w:ascii="Times New Roman" w:hAnsi="Times New Roman"/>
                      <w:color w:val="auto"/>
                      <w:sz w:val="21"/>
                      <w:szCs w:val="21"/>
                      <w:vertAlign w:val="superscript"/>
                    </w:rPr>
                    <w:t>3</w:t>
                  </w:r>
                  <w:r>
                    <w:rPr>
                      <w:rFonts w:hint="eastAsia" w:ascii="Times New Roman" w:hAnsi="Times New Roman"/>
                      <w:color w:val="auto"/>
                      <w:sz w:val="21"/>
                      <w:szCs w:val="21"/>
                    </w:rPr>
                    <w:t>。</w:t>
                  </w:r>
                </w:p>
              </w:tc>
              <w:tc>
                <w:tcPr>
                  <w:tcW w:w="401"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99"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2</w:t>
                  </w:r>
                </w:p>
              </w:tc>
              <w:tc>
                <w:tcPr>
                  <w:tcW w:w="2543"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熔炼车间内顶部安装集气罩，配套除尘设施进行二次除尘。车间内不得有可视烟尘逸出，设置24小时视频监控，视频资料自行保存半年以上，备查。</w:t>
                  </w:r>
                </w:p>
              </w:tc>
              <w:tc>
                <w:tcPr>
                  <w:tcW w:w="1655"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熔炼车间内顶部安装集气罩，配套除尘设施进行二次除尘。设置24小时视频监控，视频资料自行保存半年以上。</w:t>
                  </w:r>
                </w:p>
              </w:tc>
              <w:tc>
                <w:tcPr>
                  <w:tcW w:w="401"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43" w:hRule="atLeast"/>
                <w:jc w:val="center"/>
              </w:trPr>
              <w:tc>
                <w:tcPr>
                  <w:tcW w:w="399"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3</w:t>
                  </w:r>
                </w:p>
              </w:tc>
              <w:tc>
                <w:tcPr>
                  <w:tcW w:w="2543"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浇注及冷却区需安装配套集气罩，烟气集中收集后经过除尘设施理，颗粒物排放浓度不高10mg/Nm</w:t>
                  </w:r>
                  <w:r>
                    <w:rPr>
                      <w:rFonts w:hint="eastAsia" w:ascii="Times New Roman" w:hAnsi="Times New Roman"/>
                      <w:color w:val="auto"/>
                      <w:sz w:val="21"/>
                      <w:szCs w:val="21"/>
                      <w:vertAlign w:val="superscript"/>
                    </w:rPr>
                    <w:t>3</w:t>
                  </w:r>
                  <w:r>
                    <w:rPr>
                      <w:rFonts w:hint="eastAsia" w:ascii="Times New Roman" w:hAnsi="Times New Roman"/>
                      <w:color w:val="auto"/>
                      <w:sz w:val="21"/>
                      <w:szCs w:val="21"/>
                    </w:rPr>
                    <w:t xml:space="preserve"> ；使用树脂砂、覆膜砂、真空消失模等有机物料造型的，烟气经过除尘后，需再经过VOCs治理设施处理，由排气筒排放，VOCs排放浓度执行河北省《工业企业挥发性有机物排放控制标准》（DB13/2322-2016）中其他行业要求</w:t>
                  </w:r>
                </w:p>
              </w:tc>
              <w:tc>
                <w:tcPr>
                  <w:tcW w:w="1655"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浇注及冷却区安装配套集气罩，烟气集中收集后经过除尘设施理，颗粒物排放浓度不高10mg/Nm</w:t>
                  </w:r>
                  <w:r>
                    <w:rPr>
                      <w:rFonts w:hint="eastAsia" w:ascii="Times New Roman" w:hAnsi="Times New Roman"/>
                      <w:color w:val="auto"/>
                      <w:sz w:val="21"/>
                      <w:szCs w:val="21"/>
                      <w:vertAlign w:val="superscript"/>
                    </w:rPr>
                    <w:t>3</w:t>
                  </w:r>
                  <w:r>
                    <w:rPr>
                      <w:rFonts w:hint="eastAsia" w:ascii="Times New Roman" w:hAnsi="Times New Roman"/>
                      <w:color w:val="auto"/>
                      <w:sz w:val="21"/>
                      <w:szCs w:val="21"/>
                    </w:rPr>
                    <w:t>；不涉及VOCs排放。</w:t>
                  </w:r>
                </w:p>
              </w:tc>
              <w:tc>
                <w:tcPr>
                  <w:tcW w:w="401"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399"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4</w:t>
                  </w:r>
                </w:p>
              </w:tc>
              <w:tc>
                <w:tcPr>
                  <w:tcW w:w="2543"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造型、制芯设备出砂口上方安装集气装置和除尘设施；落砂、磁选、清理（去除浇冒口、铲飞边毛刺等）、旧砂回用、废砂再生工序应设置固定工位，采取封闭措施，并安装集气装置和除尘设施，颗粒物排放浓度不高于10mg/Nm</w:t>
                  </w:r>
                  <w:r>
                    <w:rPr>
                      <w:rFonts w:hint="eastAsia" w:ascii="Times New Roman" w:hAnsi="Times New Roman"/>
                      <w:color w:val="auto"/>
                      <w:sz w:val="21"/>
                      <w:szCs w:val="21"/>
                      <w:vertAlign w:val="superscript"/>
                    </w:rPr>
                    <w:t>3</w:t>
                  </w:r>
                  <w:r>
                    <w:rPr>
                      <w:rFonts w:hint="eastAsia" w:ascii="Times New Roman" w:hAnsi="Times New Roman"/>
                      <w:color w:val="auto"/>
                      <w:sz w:val="21"/>
                      <w:szCs w:val="21"/>
                    </w:rPr>
                    <w:t>。</w:t>
                  </w:r>
                </w:p>
              </w:tc>
              <w:tc>
                <w:tcPr>
                  <w:tcW w:w="1655"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造型、制芯设备出砂口上方安装集气装置和除尘设施；落砂、磁选、清理、旧砂回用工序设有固定工位，采取封闭措施，并设有集气装置和除尘设施，颗粒物排放浓度不高于10mg/Nm</w:t>
                  </w:r>
                  <w:r>
                    <w:rPr>
                      <w:rFonts w:hint="eastAsia" w:ascii="Times New Roman" w:hAnsi="Times New Roman"/>
                      <w:color w:val="auto"/>
                      <w:sz w:val="21"/>
                      <w:szCs w:val="21"/>
                      <w:vertAlign w:val="superscript"/>
                    </w:rPr>
                    <w:t>3</w:t>
                  </w:r>
                  <w:r>
                    <w:rPr>
                      <w:rFonts w:hint="eastAsia" w:ascii="Times New Roman" w:hAnsi="Times New Roman"/>
                      <w:color w:val="auto"/>
                      <w:sz w:val="21"/>
                      <w:szCs w:val="21"/>
                    </w:rPr>
                    <w:t>。</w:t>
                  </w:r>
                </w:p>
              </w:tc>
              <w:tc>
                <w:tcPr>
                  <w:tcW w:w="401"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10" w:hRule="atLeast"/>
                <w:jc w:val="center"/>
              </w:trPr>
              <w:tc>
                <w:tcPr>
                  <w:tcW w:w="399"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5</w:t>
                  </w:r>
                </w:p>
              </w:tc>
              <w:tc>
                <w:tcPr>
                  <w:tcW w:w="2543"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抛丸工序全密闭，并安装集气装置，经过除尘设施处理，颗粒物排放浓度不高于10mg/Nm</w:t>
                  </w:r>
                  <w:r>
                    <w:rPr>
                      <w:rFonts w:hint="eastAsia" w:ascii="Times New Roman" w:hAnsi="Times New Roman"/>
                      <w:color w:val="auto"/>
                      <w:sz w:val="21"/>
                      <w:szCs w:val="21"/>
                      <w:vertAlign w:val="superscript"/>
                    </w:rPr>
                    <w:t>3</w:t>
                  </w:r>
                  <w:r>
                    <w:rPr>
                      <w:rFonts w:hint="eastAsia" w:ascii="Times New Roman" w:hAnsi="Times New Roman"/>
                      <w:color w:val="auto"/>
                      <w:sz w:val="21"/>
                      <w:szCs w:val="21"/>
                    </w:rPr>
                    <w:t>。</w:t>
                  </w:r>
                </w:p>
              </w:tc>
              <w:tc>
                <w:tcPr>
                  <w:tcW w:w="1655"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打磨工序全密闭，并安装集气装置，经过除尘设施处理，颗粒物排放浓度不高于10mg/Nm</w:t>
                  </w:r>
                  <w:r>
                    <w:rPr>
                      <w:rFonts w:hint="eastAsia" w:ascii="Times New Roman" w:hAnsi="Times New Roman"/>
                      <w:color w:val="auto"/>
                      <w:sz w:val="21"/>
                      <w:szCs w:val="21"/>
                      <w:vertAlign w:val="superscript"/>
                    </w:rPr>
                    <w:t>3</w:t>
                  </w:r>
                  <w:r>
                    <w:rPr>
                      <w:rFonts w:hint="eastAsia" w:ascii="Times New Roman" w:hAnsi="Times New Roman"/>
                      <w:color w:val="auto"/>
                      <w:sz w:val="21"/>
                      <w:szCs w:val="21"/>
                    </w:rPr>
                    <w:t>。</w:t>
                  </w:r>
                </w:p>
              </w:tc>
              <w:tc>
                <w:tcPr>
                  <w:tcW w:w="401"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符合</w:t>
                  </w:r>
                </w:p>
              </w:tc>
            </w:tr>
          </w:tbl>
          <w:p>
            <w:pPr>
              <w:spacing w:line="480" w:lineRule="exact"/>
              <w:ind w:firstLine="500" w:firstLineChars="200"/>
              <w:rPr>
                <w:color w:val="auto"/>
                <w:spacing w:val="5"/>
                <w:sz w:val="24"/>
              </w:rPr>
            </w:pPr>
            <w:r>
              <w:rPr>
                <w:rFonts w:hint="eastAsia"/>
                <w:color w:val="auto"/>
                <w:spacing w:val="5"/>
                <w:sz w:val="24"/>
              </w:rPr>
              <w:t>根据表7，本项目符合《唐山市铸造行业烟气达标治理工作方案》的相关要求。</w:t>
            </w:r>
          </w:p>
          <w:p>
            <w:pPr>
              <w:spacing w:line="480" w:lineRule="exact"/>
              <w:ind w:firstLine="500" w:firstLineChars="200"/>
              <w:rPr>
                <w:color w:val="auto"/>
                <w:spacing w:val="5"/>
                <w:sz w:val="24"/>
              </w:rPr>
            </w:pPr>
            <w:r>
              <w:rPr>
                <w:rFonts w:hint="eastAsia"/>
                <w:color w:val="auto"/>
                <w:spacing w:val="5"/>
                <w:sz w:val="24"/>
              </w:rPr>
              <w:t>2.2.6与《铸造企业规范条件》（T/CFA0310021-</w:t>
            </w:r>
            <w:r>
              <w:rPr>
                <w:color w:val="auto"/>
                <w:spacing w:val="5"/>
                <w:sz w:val="24"/>
              </w:rPr>
              <w:t>2023</w:t>
            </w:r>
            <w:r>
              <w:rPr>
                <w:rFonts w:hint="eastAsia"/>
                <w:color w:val="auto"/>
                <w:spacing w:val="5"/>
                <w:sz w:val="24"/>
              </w:rPr>
              <w:t>）符合性分析</w:t>
            </w:r>
          </w:p>
          <w:p>
            <w:pPr>
              <w:spacing w:line="480" w:lineRule="exact"/>
              <w:jc w:val="center"/>
              <w:rPr>
                <w:b/>
                <w:bCs/>
                <w:color w:val="auto"/>
                <w:spacing w:val="5"/>
                <w:sz w:val="24"/>
              </w:rPr>
            </w:pPr>
            <w:r>
              <w:rPr>
                <w:rFonts w:hint="eastAsia"/>
                <w:b/>
                <w:bCs/>
                <w:color w:val="auto"/>
                <w:spacing w:val="5"/>
                <w:sz w:val="24"/>
              </w:rPr>
              <w:t>表8 本项目与《铸造企业规范条件》（T/CFA0310021-</w:t>
            </w:r>
            <w:r>
              <w:rPr>
                <w:b/>
                <w:bCs/>
                <w:color w:val="auto"/>
                <w:spacing w:val="5"/>
                <w:sz w:val="24"/>
              </w:rPr>
              <w:t>2023</w:t>
            </w:r>
            <w:r>
              <w:rPr>
                <w:rFonts w:hint="eastAsia"/>
                <w:b/>
                <w:bCs/>
                <w:color w:val="auto"/>
                <w:spacing w:val="5"/>
                <w:sz w:val="24"/>
              </w:rPr>
              <w:t>）符合性分析结果一览表</w:t>
            </w:r>
          </w:p>
          <w:tbl>
            <w:tblPr>
              <w:tblStyle w:val="33"/>
              <w:tblW w:w="8350"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948"/>
              <w:gridCol w:w="4038"/>
              <w:gridCol w:w="2664"/>
              <w:gridCol w:w="700"/>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67"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项目</w:t>
                  </w:r>
                </w:p>
              </w:tc>
              <w:tc>
                <w:tcPr>
                  <w:tcW w:w="2418"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ascii="Times New Roman" w:hAnsi="Times New Roman"/>
                      <w:color w:val="auto"/>
                      <w:sz w:val="21"/>
                      <w:szCs w:val="21"/>
                    </w:rPr>
                    <w:t>相关规定</w:t>
                  </w:r>
                </w:p>
              </w:tc>
              <w:tc>
                <w:tcPr>
                  <w:tcW w:w="1595"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ascii="Times New Roman" w:hAnsi="Times New Roman"/>
                      <w:color w:val="auto"/>
                      <w:sz w:val="21"/>
                      <w:szCs w:val="21"/>
                    </w:rPr>
                    <w:t>本</w:t>
                  </w:r>
                  <w:r>
                    <w:rPr>
                      <w:rFonts w:hint="eastAsia" w:ascii="Times New Roman" w:hAnsi="Times New Roman"/>
                      <w:color w:val="auto"/>
                      <w:sz w:val="21"/>
                      <w:szCs w:val="21"/>
                    </w:rPr>
                    <w:t>项目</w:t>
                  </w:r>
                </w:p>
              </w:tc>
              <w:tc>
                <w:tcPr>
                  <w:tcW w:w="419"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ascii="Times New Roman" w:hAnsi="Times New Roman"/>
                      <w:color w:val="auto"/>
                      <w:sz w:val="21"/>
                      <w:szCs w:val="21"/>
                    </w:rPr>
                    <w:t>结论</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450" w:hRule="atLeast"/>
                <w:jc w:val="center"/>
              </w:trPr>
              <w:tc>
                <w:tcPr>
                  <w:tcW w:w="567"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生产</w:t>
                  </w:r>
                </w:p>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工艺</w:t>
                  </w:r>
                </w:p>
              </w:tc>
              <w:tc>
                <w:tcPr>
                  <w:tcW w:w="2418"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1、企业不应使用国家明令淘汰的生产工艺，不应采用粘土砂干型/芯、油砂制芯、七O砂制型/芯等落后铸造工艺；粘土砂工艺批量生产铸件不应采用手工造型；水玻璃模精密铸造模亮硬化不应采用氯化铵硬化工艺；铝合金精炼不应采用六氯乙烷等有毒有害的精炼剂。2、新（改、扩）建粘土砂型铸造项目应采用自动化造型；新(改、扩)建模精密铸造项目不应采用水玻璃熔模精密铸造工艺。</w:t>
                  </w:r>
                </w:p>
              </w:tc>
              <w:tc>
                <w:tcPr>
                  <w:tcW w:w="1595"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本项目不涉及国家明令淘汰的生产工艺，不应采用粘土砂干型/芯、油砂制芯、七O砂制型/芯等落后铸造工艺，不使用粘土砂型工艺。</w:t>
                  </w:r>
                </w:p>
              </w:tc>
              <w:tc>
                <w:tcPr>
                  <w:tcW w:w="419"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67"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生产</w:t>
                  </w:r>
                </w:p>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装备</w:t>
                  </w:r>
                </w:p>
              </w:tc>
              <w:tc>
                <w:tcPr>
                  <w:tcW w:w="2418"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铸造企业不得采用无芯工频感应电炉、无磁轭（≥0.25吨）铝壳中频感应电炉。</w:t>
                  </w:r>
                </w:p>
              </w:tc>
              <w:tc>
                <w:tcPr>
                  <w:tcW w:w="1595"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本项目不涉及上述淘汰类装备。</w:t>
                  </w:r>
                </w:p>
              </w:tc>
              <w:tc>
                <w:tcPr>
                  <w:tcW w:w="419"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43" w:hRule="atLeast"/>
                <w:jc w:val="center"/>
              </w:trPr>
              <w:tc>
                <w:tcPr>
                  <w:tcW w:w="567"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成型设备</w:t>
                  </w:r>
                </w:p>
              </w:tc>
              <w:tc>
                <w:tcPr>
                  <w:tcW w:w="2418"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企业应配备与产品及生产能力相匹配的造型、制芯及其他成型设备，如粘土砂造型机（线）、树脂混砂机、壳型(芯)机、铁模砂生产线、水玻璃砂生产线，消失模、V法、实型铸造设备、离心铸造设备、压铸设备、低压铸造设备、重力铸造设备、挤压铸造设备、差压铸造设备、熔模铸造设备、制芯设备、快速成型设备等</w:t>
                  </w:r>
                </w:p>
              </w:tc>
              <w:tc>
                <w:tcPr>
                  <w:tcW w:w="1595"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公司配备了与产品及生产能力相匹配的造型、制芯及其他成型设备。</w:t>
                  </w:r>
                </w:p>
              </w:tc>
              <w:tc>
                <w:tcPr>
                  <w:tcW w:w="419"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86" w:hRule="atLeast"/>
                <w:jc w:val="center"/>
              </w:trPr>
              <w:tc>
                <w:tcPr>
                  <w:tcW w:w="567"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砂处理及再生设备</w:t>
                  </w:r>
                </w:p>
              </w:tc>
              <w:tc>
                <w:tcPr>
                  <w:tcW w:w="2418"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采用树脂自硬砂、水玻璃砂铸造工艺的企业应配备完善的砂处理及砂再生设备。</w:t>
                  </w:r>
                </w:p>
              </w:tc>
              <w:tc>
                <w:tcPr>
                  <w:tcW w:w="1595"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 xml:space="preserve">公司水玻璃砂铸造工艺配备了相应的砂处理及再生设备，旧砂回用率大于80%。 </w:t>
                  </w:r>
                </w:p>
              </w:tc>
              <w:tc>
                <w:tcPr>
                  <w:tcW w:w="419" w:type="pct"/>
                  <w:tcBorders>
                    <w:tl2br w:val="nil"/>
                    <w:tr2bl w:val="nil"/>
                  </w:tcBorders>
                  <w:vAlign w:val="center"/>
                </w:tcPr>
                <w:p>
                  <w:pPr>
                    <w:pStyle w:val="68"/>
                    <w:ind w:firstLine="0" w:firstLineChars="0"/>
                    <w:jc w:val="center"/>
                    <w:rPr>
                      <w:rFonts w:ascii="Times New Roman" w:hAnsi="Times New Roman"/>
                      <w:color w:val="auto"/>
                      <w:sz w:val="21"/>
                      <w:szCs w:val="21"/>
                    </w:rPr>
                  </w:pPr>
                  <w:r>
                    <w:rPr>
                      <w:rFonts w:hint="eastAsia" w:ascii="Times New Roman" w:hAnsi="Times New Roman"/>
                      <w:color w:val="auto"/>
                      <w:sz w:val="21"/>
                      <w:szCs w:val="21"/>
                    </w:rPr>
                    <w:t>符合</w:t>
                  </w:r>
                </w:p>
              </w:tc>
            </w:tr>
          </w:tbl>
          <w:p>
            <w:pPr>
              <w:autoSpaceDE w:val="0"/>
              <w:autoSpaceDN w:val="0"/>
              <w:adjustRightInd w:val="0"/>
              <w:snapToGrid w:val="0"/>
              <w:spacing w:line="480" w:lineRule="exact"/>
              <w:ind w:firstLine="488" w:firstLineChars="200"/>
              <w:jc w:val="left"/>
              <w:rPr>
                <w:color w:val="auto"/>
                <w:spacing w:val="2"/>
                <w:kern w:val="0"/>
                <w:sz w:val="24"/>
              </w:rPr>
            </w:pPr>
            <w:r>
              <w:rPr>
                <w:color w:val="auto"/>
                <w:spacing w:val="2"/>
                <w:kern w:val="0"/>
                <w:sz w:val="24"/>
              </w:rPr>
              <w:t>综上所述，本项目的建设符合国家</w:t>
            </w:r>
            <w:r>
              <w:rPr>
                <w:rFonts w:hint="eastAsia"/>
                <w:color w:val="auto"/>
                <w:spacing w:val="2"/>
                <w:kern w:val="0"/>
                <w:sz w:val="24"/>
              </w:rPr>
              <w:t>及地方</w:t>
            </w:r>
            <w:r>
              <w:rPr>
                <w:color w:val="auto"/>
                <w:spacing w:val="2"/>
                <w:kern w:val="0"/>
                <w:sz w:val="24"/>
              </w:rPr>
              <w:t>产业政策</w:t>
            </w:r>
            <w:r>
              <w:rPr>
                <w:rFonts w:hint="eastAsia"/>
                <w:color w:val="auto"/>
                <w:spacing w:val="2"/>
                <w:kern w:val="0"/>
                <w:sz w:val="24"/>
              </w:rPr>
              <w:t>。</w:t>
            </w:r>
          </w:p>
          <w:p>
            <w:pPr>
              <w:autoSpaceDE w:val="0"/>
              <w:autoSpaceDN w:val="0"/>
              <w:adjustRightInd w:val="0"/>
              <w:snapToGrid w:val="0"/>
              <w:spacing w:line="480" w:lineRule="exact"/>
              <w:ind w:firstLine="480" w:firstLineChars="200"/>
              <w:rPr>
                <w:color w:val="auto"/>
                <w:kern w:val="0"/>
                <w:sz w:val="24"/>
              </w:rPr>
            </w:pPr>
            <w:r>
              <w:rPr>
                <w:rFonts w:hint="eastAsia"/>
                <w:color w:val="auto"/>
                <w:kern w:val="0"/>
                <w:sz w:val="24"/>
              </w:rPr>
              <w:t>2.3项目选址合理性分析</w:t>
            </w:r>
          </w:p>
          <w:p>
            <w:pPr>
              <w:autoSpaceDE w:val="0"/>
              <w:autoSpaceDN w:val="0"/>
              <w:adjustRightInd w:val="0"/>
              <w:snapToGrid w:val="0"/>
              <w:spacing w:line="480" w:lineRule="exact"/>
              <w:ind w:firstLine="480" w:firstLineChars="200"/>
              <w:rPr>
                <w:color w:val="auto"/>
                <w:kern w:val="0"/>
                <w:sz w:val="24"/>
              </w:rPr>
            </w:pPr>
            <w:r>
              <w:rPr>
                <w:rFonts w:hint="eastAsia"/>
                <w:color w:val="auto"/>
                <w:kern w:val="0"/>
                <w:sz w:val="24"/>
              </w:rPr>
              <w:t>2.3.1相关规划符合性</w:t>
            </w:r>
          </w:p>
          <w:p>
            <w:pPr>
              <w:autoSpaceDE w:val="0"/>
              <w:autoSpaceDN w:val="0"/>
              <w:adjustRightInd w:val="0"/>
              <w:snapToGrid w:val="0"/>
              <w:spacing w:line="480" w:lineRule="exact"/>
              <w:ind w:firstLine="480" w:firstLineChars="200"/>
              <w:rPr>
                <w:color w:val="auto"/>
                <w:kern w:val="0"/>
                <w:sz w:val="24"/>
              </w:rPr>
            </w:pPr>
            <w:r>
              <w:rPr>
                <w:rFonts w:hint="eastAsia"/>
                <w:color w:val="auto"/>
                <w:kern w:val="0"/>
                <w:sz w:val="24"/>
              </w:rPr>
              <w:t>项目位于</w:t>
            </w:r>
            <w:r>
              <w:rPr>
                <w:rFonts w:hint="eastAsia"/>
                <w:snapToGrid w:val="0"/>
                <w:color w:val="auto"/>
                <w:kern w:val="0"/>
                <w:sz w:val="24"/>
                <w:szCs w:val="22"/>
              </w:rPr>
              <w:t>河北省唐山市遵化市遵化镇团练屯村</w:t>
            </w:r>
            <w:r>
              <w:rPr>
                <w:rFonts w:hint="eastAsia"/>
                <w:color w:val="auto"/>
                <w:kern w:val="0"/>
                <w:sz w:val="24"/>
              </w:rPr>
              <w:t>，项目选址不在自然保护区、风景名胜区、世界文化和自然遗产地、饮用水源保护区范围内。</w:t>
            </w:r>
          </w:p>
          <w:p>
            <w:pPr>
              <w:autoSpaceDE w:val="0"/>
              <w:autoSpaceDN w:val="0"/>
              <w:adjustRightInd w:val="0"/>
              <w:snapToGrid w:val="0"/>
              <w:spacing w:line="480" w:lineRule="exact"/>
              <w:ind w:firstLine="480" w:firstLineChars="200"/>
              <w:rPr>
                <w:color w:val="auto"/>
                <w:kern w:val="0"/>
                <w:sz w:val="24"/>
              </w:rPr>
            </w:pPr>
            <w:r>
              <w:rPr>
                <w:rFonts w:hint="eastAsia"/>
                <w:color w:val="auto"/>
                <w:kern w:val="0"/>
                <w:sz w:val="24"/>
              </w:rPr>
              <w:t>因此本厂选址符合区域要求。</w:t>
            </w:r>
          </w:p>
          <w:p>
            <w:pPr>
              <w:autoSpaceDE w:val="0"/>
              <w:autoSpaceDN w:val="0"/>
              <w:adjustRightInd w:val="0"/>
              <w:snapToGrid w:val="0"/>
              <w:spacing w:line="480" w:lineRule="exact"/>
              <w:ind w:firstLine="480" w:firstLineChars="200"/>
              <w:rPr>
                <w:color w:val="auto"/>
                <w:kern w:val="0"/>
                <w:sz w:val="24"/>
              </w:rPr>
            </w:pPr>
            <w:r>
              <w:rPr>
                <w:rFonts w:hint="eastAsia"/>
                <w:color w:val="auto"/>
                <w:kern w:val="0"/>
                <w:sz w:val="24"/>
              </w:rPr>
              <w:t>2.3.2基础设施及交通状况分析</w:t>
            </w:r>
          </w:p>
          <w:p>
            <w:pPr>
              <w:autoSpaceDE w:val="0"/>
              <w:autoSpaceDN w:val="0"/>
              <w:adjustRightInd w:val="0"/>
              <w:snapToGrid w:val="0"/>
              <w:spacing w:line="480" w:lineRule="exact"/>
              <w:ind w:firstLine="480" w:firstLineChars="200"/>
              <w:rPr>
                <w:color w:val="auto"/>
                <w:kern w:val="0"/>
                <w:sz w:val="24"/>
              </w:rPr>
            </w:pPr>
            <w:r>
              <w:rPr>
                <w:color w:val="auto"/>
                <w:sz w:val="24"/>
              </w:rPr>
              <w:t>本项目</w:t>
            </w:r>
            <w:r>
              <w:rPr>
                <w:rFonts w:hint="eastAsia"/>
                <w:color w:val="auto"/>
                <w:sz w:val="24"/>
              </w:rPr>
              <w:t>厂区</w:t>
            </w:r>
            <w:r>
              <w:rPr>
                <w:color w:val="auto"/>
                <w:sz w:val="24"/>
              </w:rPr>
              <w:t>用水</w:t>
            </w:r>
            <w:r>
              <w:rPr>
                <w:rFonts w:hint="eastAsia"/>
                <w:color w:val="auto"/>
                <w:sz w:val="24"/>
              </w:rPr>
              <w:t>由团练屯村供水管网供给</w:t>
            </w:r>
            <w:r>
              <w:rPr>
                <w:color w:val="auto"/>
                <w:sz w:val="24"/>
              </w:rPr>
              <w:t>，用电</w:t>
            </w:r>
            <w:r>
              <w:rPr>
                <w:rFonts w:hint="eastAsia"/>
                <w:color w:val="auto"/>
                <w:sz w:val="24"/>
              </w:rPr>
              <w:t>由当地电网引入，生产车间不采暖，办公用房采暖、制冷均采用空调</w:t>
            </w:r>
            <w:r>
              <w:rPr>
                <w:rFonts w:hint="eastAsia"/>
                <w:color w:val="auto"/>
                <w:kern w:val="0"/>
                <w:sz w:val="24"/>
              </w:rPr>
              <w:t>。厂区紧邻道路，交通方便。</w:t>
            </w:r>
          </w:p>
          <w:p>
            <w:pPr>
              <w:autoSpaceDE w:val="0"/>
              <w:autoSpaceDN w:val="0"/>
              <w:adjustRightInd w:val="0"/>
              <w:snapToGrid w:val="0"/>
              <w:spacing w:line="480" w:lineRule="exact"/>
              <w:ind w:firstLine="480" w:firstLineChars="200"/>
              <w:rPr>
                <w:color w:val="auto"/>
                <w:kern w:val="0"/>
                <w:sz w:val="24"/>
              </w:rPr>
            </w:pPr>
            <w:r>
              <w:rPr>
                <w:rFonts w:hint="eastAsia"/>
                <w:color w:val="auto"/>
                <w:kern w:val="0"/>
                <w:sz w:val="24"/>
              </w:rPr>
              <w:t>2.3.3环境影响评价结果分析</w:t>
            </w:r>
          </w:p>
          <w:p>
            <w:pPr>
              <w:autoSpaceDE w:val="0"/>
              <w:autoSpaceDN w:val="0"/>
              <w:adjustRightInd w:val="0"/>
              <w:snapToGrid w:val="0"/>
              <w:spacing w:line="480" w:lineRule="exact"/>
              <w:ind w:firstLine="480" w:firstLineChars="200"/>
              <w:rPr>
                <w:color w:val="auto"/>
                <w:kern w:val="0"/>
                <w:sz w:val="24"/>
              </w:rPr>
            </w:pPr>
            <w:r>
              <w:rPr>
                <w:rFonts w:hint="eastAsia"/>
                <w:color w:val="auto"/>
                <w:kern w:val="0"/>
                <w:sz w:val="24"/>
              </w:rPr>
              <w:t>本项目生产过程中采用了较完善的环保治理措施，大气污染物全部达标排放，对评价范围内环境敏感点影响较小；</w:t>
            </w:r>
            <w:r>
              <w:rPr>
                <w:color w:val="auto"/>
                <w:kern w:val="0"/>
                <w:sz w:val="24"/>
              </w:rPr>
              <w:t>职工生活污水</w:t>
            </w:r>
            <w:r>
              <w:rPr>
                <w:rFonts w:hint="eastAsia"/>
                <w:color w:val="auto"/>
                <w:kern w:val="0"/>
                <w:sz w:val="24"/>
              </w:rPr>
              <w:t>就地泼洒抑尘不外排</w:t>
            </w:r>
            <w:r>
              <w:rPr>
                <w:color w:val="auto"/>
                <w:kern w:val="0"/>
                <w:sz w:val="24"/>
              </w:rPr>
              <w:t>；</w:t>
            </w:r>
            <w:r>
              <w:rPr>
                <w:rFonts w:hint="eastAsia"/>
                <w:color w:val="auto"/>
                <w:sz w:val="24"/>
              </w:rPr>
              <w:t>冷却水经冷却后循环利用不外排</w:t>
            </w:r>
            <w:r>
              <w:rPr>
                <w:rFonts w:hint="eastAsia"/>
                <w:color w:val="auto"/>
                <w:kern w:val="0"/>
                <w:sz w:val="24"/>
              </w:rPr>
              <w:t>；项目生产过程对地下水水质影响较小；固体废物合理处置。本项目对周围环境影响较小。</w:t>
            </w:r>
          </w:p>
          <w:p>
            <w:pPr>
              <w:autoSpaceDE w:val="0"/>
              <w:autoSpaceDN w:val="0"/>
              <w:adjustRightInd w:val="0"/>
              <w:snapToGrid w:val="0"/>
              <w:spacing w:line="480" w:lineRule="exact"/>
              <w:ind w:firstLine="480" w:firstLineChars="200"/>
              <w:rPr>
                <w:color w:val="auto"/>
                <w:kern w:val="0"/>
                <w:sz w:val="24"/>
              </w:rPr>
            </w:pPr>
            <w:r>
              <w:rPr>
                <w:rFonts w:hint="eastAsia"/>
                <w:color w:val="auto"/>
                <w:kern w:val="0"/>
                <w:sz w:val="24"/>
              </w:rPr>
              <w:t>2.3.4环境功能区划符合性分析</w:t>
            </w:r>
          </w:p>
          <w:p>
            <w:pPr>
              <w:autoSpaceDE w:val="0"/>
              <w:autoSpaceDN w:val="0"/>
              <w:adjustRightInd w:val="0"/>
              <w:snapToGrid w:val="0"/>
              <w:spacing w:line="480" w:lineRule="exact"/>
              <w:ind w:firstLine="480" w:firstLineChars="200"/>
              <w:rPr>
                <w:color w:val="auto"/>
                <w:kern w:val="0"/>
                <w:sz w:val="24"/>
              </w:rPr>
            </w:pPr>
            <w:r>
              <w:rPr>
                <w:rFonts w:hint="eastAsia"/>
                <w:color w:val="auto"/>
                <w:kern w:val="0"/>
                <w:sz w:val="24"/>
              </w:rPr>
              <w:t>本项目拟建场地周围没有文物、古迹、自然保护区等环境敏感点，所在区域为环境空气质量二类功能区，声功能区为2类区，本项目各类污染物经防治措施处理后均符合相关标准。本项目建设不会改变功能区现状，因此项目选址符合环境功能区划要求。</w:t>
            </w:r>
          </w:p>
          <w:p>
            <w:pPr>
              <w:autoSpaceDE w:val="0"/>
              <w:autoSpaceDN w:val="0"/>
              <w:adjustRightInd w:val="0"/>
              <w:snapToGrid w:val="0"/>
              <w:spacing w:line="480" w:lineRule="exact"/>
              <w:ind w:firstLine="480" w:firstLineChars="200"/>
              <w:rPr>
                <w:color w:val="auto"/>
                <w:kern w:val="0"/>
                <w:sz w:val="24"/>
              </w:rPr>
            </w:pPr>
            <w:r>
              <w:rPr>
                <w:rFonts w:hint="eastAsia"/>
                <w:color w:val="auto"/>
                <w:kern w:val="0"/>
                <w:sz w:val="24"/>
              </w:rPr>
              <w:t>2.3.5与生态红线关系</w:t>
            </w:r>
          </w:p>
          <w:p>
            <w:pPr>
              <w:autoSpaceDE w:val="0"/>
              <w:autoSpaceDN w:val="0"/>
              <w:adjustRightInd w:val="0"/>
              <w:snapToGrid w:val="0"/>
              <w:spacing w:line="480" w:lineRule="exact"/>
              <w:ind w:firstLine="480" w:firstLineChars="200"/>
              <w:rPr>
                <w:color w:val="auto"/>
                <w:kern w:val="0"/>
                <w:sz w:val="24"/>
              </w:rPr>
            </w:pPr>
            <w:r>
              <w:rPr>
                <w:rFonts w:hint="eastAsia"/>
                <w:color w:val="auto"/>
                <w:kern w:val="0"/>
                <w:sz w:val="24"/>
              </w:rPr>
              <w:t>本项目与生态红线不冲突，符合其保护要求。</w:t>
            </w:r>
          </w:p>
          <w:p>
            <w:pPr>
              <w:autoSpaceDE w:val="0"/>
              <w:autoSpaceDN w:val="0"/>
              <w:adjustRightInd w:val="0"/>
              <w:snapToGrid w:val="0"/>
              <w:spacing w:line="480" w:lineRule="exact"/>
              <w:ind w:firstLine="480" w:firstLineChars="200"/>
              <w:rPr>
                <w:color w:val="auto"/>
                <w:kern w:val="0"/>
                <w:sz w:val="24"/>
              </w:rPr>
            </w:pPr>
            <w:r>
              <w:rPr>
                <w:rFonts w:hint="eastAsia"/>
                <w:color w:val="auto"/>
                <w:kern w:val="0"/>
                <w:sz w:val="24"/>
              </w:rPr>
              <w:t>2.3.6防护距离要求</w:t>
            </w:r>
          </w:p>
          <w:p>
            <w:pPr>
              <w:autoSpaceDE w:val="0"/>
              <w:autoSpaceDN w:val="0"/>
              <w:adjustRightInd w:val="0"/>
              <w:snapToGrid w:val="0"/>
              <w:spacing w:line="480" w:lineRule="exact"/>
              <w:ind w:firstLine="480" w:firstLineChars="200"/>
              <w:rPr>
                <w:color w:val="auto"/>
                <w:kern w:val="0"/>
                <w:sz w:val="24"/>
              </w:rPr>
            </w:pPr>
            <w:r>
              <w:rPr>
                <w:rFonts w:hint="eastAsia"/>
                <w:color w:val="auto"/>
                <w:kern w:val="0"/>
                <w:sz w:val="24"/>
              </w:rPr>
              <w:t>本工程无需设置大气环境防护距离。</w:t>
            </w:r>
          </w:p>
          <w:p>
            <w:pPr>
              <w:autoSpaceDE w:val="0"/>
              <w:autoSpaceDN w:val="0"/>
              <w:adjustRightInd w:val="0"/>
              <w:snapToGrid w:val="0"/>
              <w:spacing w:line="480" w:lineRule="exact"/>
              <w:ind w:firstLine="480" w:firstLineChars="200"/>
              <w:rPr>
                <w:color w:val="auto"/>
                <w:kern w:val="0"/>
                <w:sz w:val="24"/>
              </w:rPr>
            </w:pPr>
            <w:r>
              <w:rPr>
                <w:rFonts w:hint="eastAsia"/>
                <w:color w:val="auto"/>
                <w:kern w:val="0"/>
                <w:sz w:val="24"/>
              </w:rPr>
              <w:t>综上所述，项目选址合理。</w:t>
            </w:r>
          </w:p>
          <w:p>
            <w:pPr>
              <w:autoSpaceDE w:val="0"/>
              <w:autoSpaceDN w:val="0"/>
              <w:adjustRightInd w:val="0"/>
              <w:snapToGrid w:val="0"/>
              <w:spacing w:line="480" w:lineRule="exact"/>
              <w:ind w:firstLine="480" w:firstLineChars="200"/>
              <w:rPr>
                <w:color w:val="auto"/>
                <w:kern w:val="0"/>
                <w:sz w:val="24"/>
              </w:rPr>
            </w:pPr>
          </w:p>
          <w:p>
            <w:pPr>
              <w:autoSpaceDE w:val="0"/>
              <w:autoSpaceDN w:val="0"/>
              <w:adjustRightInd w:val="0"/>
              <w:snapToGrid w:val="0"/>
              <w:spacing w:line="480" w:lineRule="exact"/>
              <w:ind w:firstLine="480" w:firstLineChars="200"/>
              <w:rPr>
                <w:color w:val="auto"/>
                <w:kern w:val="0"/>
                <w:sz w:val="24"/>
              </w:rPr>
            </w:pPr>
          </w:p>
          <w:p>
            <w:pPr>
              <w:autoSpaceDE w:val="0"/>
              <w:autoSpaceDN w:val="0"/>
              <w:adjustRightInd w:val="0"/>
              <w:snapToGrid w:val="0"/>
              <w:spacing w:line="480" w:lineRule="exact"/>
              <w:ind w:firstLine="480" w:firstLineChars="200"/>
              <w:rPr>
                <w:color w:val="auto"/>
                <w:kern w:val="0"/>
                <w:sz w:val="24"/>
              </w:rPr>
            </w:pPr>
          </w:p>
          <w:p>
            <w:pPr>
              <w:autoSpaceDE w:val="0"/>
              <w:autoSpaceDN w:val="0"/>
              <w:adjustRightInd w:val="0"/>
              <w:snapToGrid w:val="0"/>
              <w:spacing w:line="480" w:lineRule="exact"/>
              <w:ind w:firstLine="480" w:firstLineChars="200"/>
              <w:rPr>
                <w:color w:val="auto"/>
                <w:kern w:val="0"/>
                <w:sz w:val="24"/>
              </w:rPr>
            </w:pPr>
          </w:p>
          <w:p>
            <w:pPr>
              <w:autoSpaceDE w:val="0"/>
              <w:autoSpaceDN w:val="0"/>
              <w:adjustRightInd w:val="0"/>
              <w:snapToGrid w:val="0"/>
              <w:spacing w:line="480" w:lineRule="exact"/>
              <w:ind w:firstLine="480" w:firstLineChars="200"/>
              <w:rPr>
                <w:color w:val="auto"/>
                <w:kern w:val="0"/>
                <w:sz w:val="24"/>
              </w:rPr>
            </w:pPr>
          </w:p>
          <w:p>
            <w:pPr>
              <w:pStyle w:val="29"/>
              <w:jc w:val="both"/>
              <w:rPr>
                <w:rFonts w:ascii="Times New Roman" w:hAnsi="Times New Roman" w:eastAsia="黑体"/>
                <w:snapToGrid w:val="0"/>
                <w:color w:val="auto"/>
                <w:sz w:val="30"/>
                <w:szCs w:val="30"/>
              </w:rPr>
            </w:pPr>
          </w:p>
        </w:tc>
      </w:tr>
    </w:tbl>
    <w:p>
      <w:pPr>
        <w:rPr>
          <w:rFonts w:eastAsia="黑体"/>
          <w:snapToGrid w:val="0"/>
          <w:color w:val="auto"/>
          <w:sz w:val="30"/>
          <w:szCs w:val="30"/>
        </w:rPr>
        <w:sectPr>
          <w:pgSz w:w="11905" w:h="16838"/>
          <w:pgMar w:top="1701" w:right="1531" w:bottom="1701" w:left="1531" w:header="851" w:footer="1077" w:gutter="0"/>
          <w:cols w:space="720" w:num="1"/>
          <w:docGrid w:linePitch="312" w:charSpace="0"/>
        </w:sectPr>
      </w:pPr>
    </w:p>
    <w:p>
      <w:pPr>
        <w:outlineLvl w:val="0"/>
        <w:rPr>
          <w:rFonts w:eastAsia="黑体"/>
          <w:snapToGrid w:val="0"/>
          <w:color w:val="auto"/>
          <w:sz w:val="30"/>
          <w:szCs w:val="30"/>
        </w:rPr>
      </w:pPr>
      <w:bookmarkStart w:id="13" w:name="_Toc26214"/>
      <w:r>
        <w:rPr>
          <w:rFonts w:eastAsia="黑体"/>
          <w:snapToGrid w:val="0"/>
          <w:color w:val="auto"/>
          <w:sz w:val="30"/>
          <w:szCs w:val="30"/>
        </w:rPr>
        <w:t>二、建设项目工程分析</w:t>
      </w:r>
      <w:bookmarkEnd w:id="13"/>
    </w:p>
    <w:tbl>
      <w:tblPr>
        <w:tblStyle w:val="3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5"/>
        <w:gridCol w:w="398"/>
        <w:gridCol w:w="820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48" w:hRule="atLeast"/>
          <w:jc w:val="center"/>
        </w:trPr>
        <w:tc>
          <w:tcPr>
            <w:tcW w:w="455" w:type="dxa"/>
            <w:vAlign w:val="center"/>
          </w:tcPr>
          <w:p>
            <w:pPr>
              <w:pStyle w:val="29"/>
              <w:adjustRightInd w:val="0"/>
              <w:snapToGrid w:val="0"/>
              <w:spacing w:before="0" w:beforeAutospacing="0" w:after="0" w:afterAutospacing="0" w:line="480" w:lineRule="exact"/>
              <w:jc w:val="center"/>
              <w:rPr>
                <w:rFonts w:ascii="Times New Roman" w:hAnsi="Times New Roman"/>
                <w:color w:val="auto"/>
                <w:szCs w:val="24"/>
              </w:rPr>
            </w:pPr>
            <w:r>
              <w:rPr>
                <w:rFonts w:ascii="Times New Roman" w:hAnsi="Times New Roman"/>
                <w:color w:val="auto"/>
                <w:szCs w:val="24"/>
              </w:rPr>
              <w:t>建</w:t>
            </w:r>
          </w:p>
          <w:p>
            <w:pPr>
              <w:pStyle w:val="29"/>
              <w:adjustRightInd w:val="0"/>
              <w:snapToGrid w:val="0"/>
              <w:spacing w:before="0" w:beforeAutospacing="0" w:after="0" w:afterAutospacing="0" w:line="480" w:lineRule="exact"/>
              <w:jc w:val="center"/>
              <w:rPr>
                <w:rFonts w:ascii="Times New Roman" w:hAnsi="Times New Roman"/>
                <w:color w:val="auto"/>
                <w:szCs w:val="24"/>
              </w:rPr>
            </w:pPr>
            <w:r>
              <w:rPr>
                <w:rFonts w:ascii="Times New Roman" w:hAnsi="Times New Roman"/>
                <w:color w:val="auto"/>
                <w:szCs w:val="24"/>
              </w:rPr>
              <w:t>设</w:t>
            </w:r>
          </w:p>
          <w:p>
            <w:pPr>
              <w:pStyle w:val="29"/>
              <w:adjustRightInd w:val="0"/>
              <w:snapToGrid w:val="0"/>
              <w:spacing w:before="0" w:beforeAutospacing="0" w:after="0" w:afterAutospacing="0" w:line="480" w:lineRule="exact"/>
              <w:jc w:val="center"/>
              <w:rPr>
                <w:rFonts w:ascii="Times New Roman" w:hAnsi="Times New Roman"/>
                <w:color w:val="auto"/>
                <w:szCs w:val="24"/>
              </w:rPr>
            </w:pPr>
            <w:r>
              <w:rPr>
                <w:rFonts w:ascii="Times New Roman" w:hAnsi="Times New Roman"/>
                <w:color w:val="auto"/>
                <w:szCs w:val="24"/>
              </w:rPr>
              <w:t>内</w:t>
            </w:r>
          </w:p>
          <w:p>
            <w:pPr>
              <w:pStyle w:val="29"/>
              <w:adjustRightInd w:val="0"/>
              <w:snapToGrid w:val="0"/>
              <w:spacing w:before="0" w:beforeAutospacing="0" w:after="0" w:afterAutospacing="0" w:line="480" w:lineRule="exact"/>
              <w:jc w:val="center"/>
              <w:rPr>
                <w:rFonts w:ascii="Times New Roman" w:hAnsi="Times New Roman"/>
                <w:color w:val="auto"/>
                <w:sz w:val="21"/>
                <w:szCs w:val="21"/>
              </w:rPr>
            </w:pPr>
            <w:r>
              <w:rPr>
                <w:rFonts w:ascii="Times New Roman" w:hAnsi="Times New Roman"/>
                <w:color w:val="auto"/>
                <w:szCs w:val="24"/>
              </w:rPr>
              <w:t>容</w:t>
            </w:r>
          </w:p>
        </w:tc>
        <w:tc>
          <w:tcPr>
            <w:tcW w:w="8604" w:type="dxa"/>
            <w:gridSpan w:val="2"/>
          </w:tcPr>
          <w:p>
            <w:pPr>
              <w:spacing w:line="500" w:lineRule="exact"/>
              <w:ind w:firstLine="482" w:firstLineChars="200"/>
              <w:rPr>
                <w:b/>
                <w:bCs/>
                <w:color w:val="auto"/>
                <w:sz w:val="24"/>
              </w:rPr>
            </w:pPr>
            <w:r>
              <w:rPr>
                <w:rFonts w:hint="eastAsia"/>
                <w:b/>
                <w:bCs/>
                <w:color w:val="auto"/>
                <w:sz w:val="24"/>
              </w:rPr>
              <w:t>1</w:t>
            </w:r>
            <w:r>
              <w:rPr>
                <w:b/>
                <w:bCs/>
                <w:color w:val="auto"/>
                <w:sz w:val="24"/>
              </w:rPr>
              <w:t>、</w:t>
            </w:r>
            <w:r>
              <w:rPr>
                <w:rFonts w:hint="eastAsia"/>
                <w:b/>
                <w:bCs/>
                <w:color w:val="auto"/>
                <w:sz w:val="24"/>
              </w:rPr>
              <w:t>项目由来</w:t>
            </w:r>
          </w:p>
          <w:p>
            <w:pPr>
              <w:widowControl/>
              <w:spacing w:line="500" w:lineRule="exact"/>
              <w:ind w:firstLine="480" w:firstLineChars="200"/>
              <w:rPr>
                <w:color w:val="auto"/>
                <w:sz w:val="24"/>
              </w:rPr>
            </w:pPr>
            <w:r>
              <w:rPr>
                <w:rFonts w:hint="eastAsia"/>
                <w:color w:val="auto"/>
                <w:sz w:val="24"/>
              </w:rPr>
              <w:t>项目由来：遵化市益诚机械配件有限公司在经济逐步复苏的大环境下，进行了市场调研，发现数控机床配件铸件产品需求量增加，为了尽快占领市场份额，努力满足市场需求，推动区域经济发展，遵化市益诚机械配件有限公司拟投资4000万元实施“年产高端精密铸件5500吨数控机床配件项目”，项目占地2000m</w:t>
            </w:r>
            <w:r>
              <w:rPr>
                <w:rFonts w:hint="eastAsia"/>
                <w:color w:val="auto"/>
                <w:sz w:val="24"/>
                <w:vertAlign w:val="superscript"/>
              </w:rPr>
              <w:t>2</w:t>
            </w:r>
            <w:r>
              <w:rPr>
                <w:rFonts w:hint="eastAsia"/>
                <w:color w:val="auto"/>
                <w:sz w:val="24"/>
              </w:rPr>
              <w:t>，主要利旧改新建设的生产车间及配套附属设施。项目建成后可年产高端精密铸件5500吨：数控机床配件（产品不涉及地条钢）。</w:t>
            </w:r>
          </w:p>
          <w:p>
            <w:pPr>
              <w:adjustRightInd w:val="0"/>
              <w:snapToGrid w:val="0"/>
              <w:spacing w:line="480" w:lineRule="exact"/>
              <w:ind w:firstLine="480" w:firstLineChars="200"/>
              <w:rPr>
                <w:color w:val="auto"/>
                <w:sz w:val="24"/>
              </w:rPr>
            </w:pPr>
            <w:r>
              <w:rPr>
                <w:color w:val="auto"/>
                <w:sz w:val="24"/>
              </w:rPr>
              <w:t>按照《中华人民共和国环境保护法》、《中华人民共和国环境影响评价法》以及国务院第682号令的要求，该项目应进行环境影响评价；根据《建设项目环境保护管理条例》和《建设项目环境影响评价分类管理名录》（部令第16号）中有关规定要求，本项目黑色金属铸造属于名录三十、金属制品业68.铸造及其他金属制品制造-其他，应编制环境影响报告表。遵化市益诚机械配件有限公司委托我公司对该项目进行环境影响评价。我单位接受委托后，立即开展了现场踏勘，资料收集等工作，并按照《建设项目环境影响报告表编制技术指南（污染影响类）（试行）》等有关环评技术规范要求，编制完成该项目环境影响报告表。</w:t>
            </w:r>
          </w:p>
          <w:p>
            <w:pPr>
              <w:spacing w:line="500" w:lineRule="exact"/>
              <w:ind w:firstLine="482" w:firstLineChars="200"/>
              <w:rPr>
                <w:b/>
                <w:bCs/>
                <w:color w:val="auto"/>
                <w:sz w:val="24"/>
              </w:rPr>
            </w:pPr>
            <w:r>
              <w:rPr>
                <w:b/>
                <w:bCs/>
                <w:color w:val="auto"/>
                <w:sz w:val="24"/>
              </w:rPr>
              <w:t>2、</w:t>
            </w:r>
            <w:r>
              <w:rPr>
                <w:rFonts w:hint="eastAsia"/>
                <w:b/>
                <w:bCs/>
                <w:color w:val="auto"/>
                <w:sz w:val="24"/>
              </w:rPr>
              <w:t>项目</w:t>
            </w:r>
            <w:r>
              <w:rPr>
                <w:b/>
                <w:bCs/>
                <w:color w:val="auto"/>
                <w:sz w:val="24"/>
              </w:rPr>
              <w:t>工程概况</w:t>
            </w:r>
          </w:p>
          <w:p>
            <w:pPr>
              <w:spacing w:line="500" w:lineRule="exact"/>
              <w:ind w:firstLine="480" w:firstLineChars="200"/>
              <w:rPr>
                <w:color w:val="auto"/>
                <w:sz w:val="24"/>
              </w:rPr>
            </w:pPr>
            <w:r>
              <w:rPr>
                <w:rFonts w:hint="eastAsia"/>
                <w:color w:val="auto"/>
                <w:sz w:val="24"/>
              </w:rPr>
              <w:t>（1）</w:t>
            </w:r>
            <w:r>
              <w:rPr>
                <w:color w:val="auto"/>
                <w:sz w:val="24"/>
              </w:rPr>
              <w:t>项目名称：</w:t>
            </w:r>
            <w:r>
              <w:rPr>
                <w:rFonts w:hint="eastAsia"/>
                <w:color w:val="auto"/>
                <w:sz w:val="24"/>
              </w:rPr>
              <w:t>遵化市益诚机械配件有限公司年产高端精密铸件5500吨数控机床配件项目</w:t>
            </w:r>
          </w:p>
          <w:p>
            <w:pPr>
              <w:spacing w:line="500" w:lineRule="exact"/>
              <w:ind w:firstLine="480" w:firstLineChars="200"/>
              <w:rPr>
                <w:color w:val="auto"/>
                <w:sz w:val="24"/>
              </w:rPr>
            </w:pPr>
            <w:r>
              <w:rPr>
                <w:rFonts w:hint="eastAsia"/>
                <w:color w:val="auto"/>
                <w:sz w:val="24"/>
              </w:rPr>
              <w:t>（2）</w:t>
            </w:r>
            <w:r>
              <w:rPr>
                <w:color w:val="auto"/>
                <w:sz w:val="24"/>
              </w:rPr>
              <w:t>建设单位：</w:t>
            </w:r>
            <w:r>
              <w:rPr>
                <w:rFonts w:hint="eastAsia"/>
                <w:color w:val="auto"/>
                <w:sz w:val="24"/>
              </w:rPr>
              <w:t>遵化市益诚机械配件有限公司</w:t>
            </w:r>
          </w:p>
          <w:p>
            <w:pPr>
              <w:spacing w:line="500" w:lineRule="exact"/>
              <w:ind w:firstLine="480" w:firstLineChars="200"/>
              <w:rPr>
                <w:color w:val="auto"/>
                <w:sz w:val="24"/>
              </w:rPr>
            </w:pPr>
            <w:r>
              <w:rPr>
                <w:rFonts w:hint="eastAsia"/>
                <w:color w:val="auto"/>
                <w:sz w:val="24"/>
              </w:rPr>
              <w:t>（3）</w:t>
            </w:r>
            <w:r>
              <w:rPr>
                <w:color w:val="auto"/>
                <w:sz w:val="24"/>
              </w:rPr>
              <w:t>建设性质：</w:t>
            </w:r>
            <w:r>
              <w:rPr>
                <w:rFonts w:hint="eastAsia"/>
                <w:color w:val="auto"/>
                <w:sz w:val="24"/>
              </w:rPr>
              <w:t>新建</w:t>
            </w:r>
          </w:p>
          <w:p>
            <w:pPr>
              <w:spacing w:line="500" w:lineRule="exact"/>
              <w:ind w:firstLine="480" w:firstLineChars="200"/>
              <w:rPr>
                <w:color w:val="auto"/>
                <w:sz w:val="24"/>
              </w:rPr>
            </w:pPr>
            <w:r>
              <w:rPr>
                <w:rFonts w:hint="eastAsia"/>
                <w:color w:val="auto"/>
                <w:sz w:val="24"/>
              </w:rPr>
              <w:t>（4）主要建设内容及规模：项目占地3亩，总建筑面积2000平方米。主要利旧改新建设的生产车间及配套附属设施。项目建成后可年产高端精密铸件5500吨：数控机床配件（产品不涉及地条钢）。</w:t>
            </w:r>
          </w:p>
          <w:p>
            <w:pPr>
              <w:spacing w:line="500" w:lineRule="exact"/>
              <w:ind w:firstLine="480" w:firstLineChars="200"/>
              <w:rPr>
                <w:color w:val="auto"/>
                <w:sz w:val="24"/>
              </w:rPr>
            </w:pPr>
            <w:r>
              <w:rPr>
                <w:rFonts w:hint="eastAsia"/>
                <w:color w:val="auto"/>
                <w:sz w:val="24"/>
              </w:rPr>
              <w:t>项目建设组成一览表见下表</w:t>
            </w:r>
            <w:r>
              <w:rPr>
                <w:color w:val="auto"/>
                <w:sz w:val="24"/>
              </w:rPr>
              <w:t>：</w:t>
            </w:r>
          </w:p>
          <w:p>
            <w:pPr>
              <w:spacing w:line="500" w:lineRule="exact"/>
              <w:jc w:val="center"/>
              <w:rPr>
                <w:b/>
                <w:snapToGrid w:val="0"/>
                <w:color w:val="auto"/>
                <w:kern w:val="0"/>
                <w:sz w:val="24"/>
                <w:lang w:val="zh-CN"/>
              </w:rPr>
            </w:pPr>
          </w:p>
          <w:p>
            <w:pPr>
              <w:spacing w:line="500" w:lineRule="exact"/>
              <w:jc w:val="center"/>
              <w:rPr>
                <w:b/>
                <w:snapToGrid w:val="0"/>
                <w:color w:val="auto"/>
                <w:kern w:val="0"/>
                <w:sz w:val="24"/>
                <w:lang w:val="zh-CN"/>
              </w:rPr>
            </w:pPr>
          </w:p>
          <w:p>
            <w:pPr>
              <w:spacing w:line="460" w:lineRule="exact"/>
              <w:jc w:val="center"/>
              <w:rPr>
                <w:b/>
                <w:bCs/>
                <w:color w:val="auto"/>
                <w:sz w:val="24"/>
                <w:lang w:val="zh-CN"/>
              </w:rPr>
            </w:pPr>
            <w:r>
              <w:rPr>
                <w:b/>
                <w:bCs/>
                <w:color w:val="auto"/>
                <w:sz w:val="24"/>
                <w:lang w:val="zh-CN"/>
              </w:rPr>
              <w:t>表</w:t>
            </w:r>
            <w:r>
              <w:rPr>
                <w:rFonts w:hint="eastAsia"/>
                <w:b/>
                <w:bCs/>
                <w:color w:val="auto"/>
                <w:sz w:val="24"/>
              </w:rPr>
              <w:t>9</w:t>
            </w:r>
            <w:r>
              <w:rPr>
                <w:b/>
                <w:bCs/>
                <w:color w:val="auto"/>
                <w:sz w:val="24"/>
              </w:rPr>
              <w:t xml:space="preserve">    项目</w:t>
            </w:r>
            <w:r>
              <w:rPr>
                <w:b/>
                <w:bCs/>
                <w:color w:val="auto"/>
                <w:sz w:val="24"/>
                <w:lang w:val="zh-CN"/>
              </w:rPr>
              <w:t>组成一览表</w:t>
            </w:r>
          </w:p>
          <w:tbl>
            <w:tblPr>
              <w:tblStyle w:val="33"/>
              <w:tblW w:w="851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89"/>
              <w:gridCol w:w="508"/>
              <w:gridCol w:w="1276"/>
              <w:gridCol w:w="614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4" w:type="pct"/>
                  <w:gridSpan w:val="2"/>
                  <w:tcBorders>
                    <w:tl2br w:val="nil"/>
                    <w:tr2bl w:val="nil"/>
                  </w:tcBorders>
                  <w:vAlign w:val="center"/>
                </w:tcPr>
                <w:p>
                  <w:pPr>
                    <w:autoSpaceDE w:val="0"/>
                    <w:autoSpaceDN w:val="0"/>
                    <w:jc w:val="center"/>
                    <w:rPr>
                      <w:bCs/>
                      <w:snapToGrid w:val="0"/>
                      <w:color w:val="auto"/>
                      <w:kern w:val="0"/>
                      <w:szCs w:val="21"/>
                      <w:lang w:val="zh-CN"/>
                    </w:rPr>
                  </w:pPr>
                  <w:r>
                    <w:rPr>
                      <w:bCs/>
                      <w:snapToGrid w:val="0"/>
                      <w:color w:val="auto"/>
                      <w:kern w:val="0"/>
                      <w:szCs w:val="21"/>
                      <w:lang w:val="zh-CN"/>
                    </w:rPr>
                    <w:t>工程名称</w:t>
                  </w:r>
                </w:p>
              </w:tc>
              <w:tc>
                <w:tcPr>
                  <w:tcW w:w="4355" w:type="pct"/>
                  <w:gridSpan w:val="2"/>
                  <w:tcBorders>
                    <w:tl2br w:val="nil"/>
                    <w:tr2bl w:val="nil"/>
                  </w:tcBorders>
                  <w:vAlign w:val="center"/>
                </w:tcPr>
                <w:p>
                  <w:pPr>
                    <w:autoSpaceDE w:val="0"/>
                    <w:autoSpaceDN w:val="0"/>
                    <w:jc w:val="center"/>
                    <w:rPr>
                      <w:bCs/>
                      <w:snapToGrid w:val="0"/>
                      <w:color w:val="auto"/>
                      <w:kern w:val="0"/>
                      <w:szCs w:val="21"/>
                      <w:lang w:val="zh-CN"/>
                    </w:rPr>
                  </w:pPr>
                  <w:r>
                    <w:rPr>
                      <w:bCs/>
                      <w:snapToGrid w:val="0"/>
                      <w:color w:val="auto"/>
                      <w:kern w:val="0"/>
                      <w:szCs w:val="21"/>
                      <w:lang w:val="zh-CN"/>
                    </w:rPr>
                    <w:t>工程内容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44" w:type="pct"/>
                  <w:gridSpan w:val="2"/>
                  <w:tcBorders>
                    <w:tl2br w:val="nil"/>
                    <w:tr2bl w:val="nil"/>
                  </w:tcBorders>
                  <w:vAlign w:val="center"/>
                </w:tcPr>
                <w:p>
                  <w:pPr>
                    <w:autoSpaceDE w:val="0"/>
                    <w:autoSpaceDN w:val="0"/>
                    <w:jc w:val="center"/>
                    <w:rPr>
                      <w:bCs/>
                      <w:snapToGrid w:val="0"/>
                      <w:color w:val="auto"/>
                      <w:kern w:val="0"/>
                      <w:szCs w:val="21"/>
                      <w:lang w:val="zh-CN"/>
                    </w:rPr>
                  </w:pPr>
                  <w:r>
                    <w:rPr>
                      <w:bCs/>
                      <w:snapToGrid w:val="0"/>
                      <w:color w:val="auto"/>
                      <w:kern w:val="0"/>
                      <w:szCs w:val="21"/>
                      <w:lang w:val="zh-CN"/>
                    </w:rPr>
                    <w:t>主体工程</w:t>
                  </w:r>
                </w:p>
              </w:tc>
              <w:tc>
                <w:tcPr>
                  <w:tcW w:w="4355" w:type="pct"/>
                  <w:gridSpan w:val="2"/>
                  <w:tcBorders>
                    <w:tl2br w:val="nil"/>
                    <w:tr2bl w:val="nil"/>
                  </w:tcBorders>
                  <w:vAlign w:val="center"/>
                </w:tcPr>
                <w:p>
                  <w:pPr>
                    <w:autoSpaceDE w:val="0"/>
                    <w:autoSpaceDN w:val="0"/>
                    <w:jc w:val="center"/>
                    <w:rPr>
                      <w:bCs/>
                      <w:snapToGrid w:val="0"/>
                      <w:color w:val="auto"/>
                      <w:kern w:val="0"/>
                      <w:szCs w:val="21"/>
                    </w:rPr>
                  </w:pPr>
                  <w:r>
                    <w:rPr>
                      <w:color w:val="auto"/>
                      <w:szCs w:val="21"/>
                    </w:rPr>
                    <w:t>项目</w:t>
                  </w:r>
                  <w:r>
                    <w:rPr>
                      <w:rFonts w:hint="eastAsia"/>
                      <w:color w:val="auto"/>
                      <w:szCs w:val="21"/>
                    </w:rPr>
                    <w:t>主要利旧改新建设的生产车间</w:t>
                  </w:r>
                  <w:r>
                    <w:rPr>
                      <w:color w:val="auto"/>
                      <w:szCs w:val="21"/>
                    </w:rPr>
                    <w:t>，建筑面积为</w:t>
                  </w:r>
                  <w:r>
                    <w:rPr>
                      <w:rFonts w:hint="eastAsia"/>
                      <w:color w:val="auto"/>
                      <w:szCs w:val="21"/>
                    </w:rPr>
                    <w:t>200</w:t>
                  </w:r>
                  <w:r>
                    <w:rPr>
                      <w:color w:val="auto"/>
                      <w:szCs w:val="21"/>
                    </w:rPr>
                    <w:t>0m</w:t>
                  </w:r>
                  <w:r>
                    <w:rPr>
                      <w:color w:val="auto"/>
                      <w:szCs w:val="21"/>
                      <w:vertAlign w:val="superscript"/>
                    </w:rPr>
                    <w:t>2</w:t>
                  </w:r>
                  <w:r>
                    <w:rPr>
                      <w:color w:val="auto"/>
                      <w:szCs w:val="21"/>
                    </w:rPr>
                    <w:t>，</w:t>
                  </w:r>
                  <w:r>
                    <w:rPr>
                      <w:rFonts w:hint="eastAsia"/>
                      <w:color w:val="auto"/>
                      <w:szCs w:val="21"/>
                    </w:rPr>
                    <w:t>1.5m高砖混墙体+单层彩钢结构，车间顶部高11m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644" w:type="pct"/>
                  <w:gridSpan w:val="2"/>
                  <w:vMerge w:val="restart"/>
                  <w:tcBorders>
                    <w:tl2br w:val="nil"/>
                    <w:tr2bl w:val="nil"/>
                  </w:tcBorders>
                  <w:vAlign w:val="center"/>
                </w:tcPr>
                <w:p>
                  <w:pPr>
                    <w:autoSpaceDE w:val="0"/>
                    <w:autoSpaceDN w:val="0"/>
                    <w:jc w:val="center"/>
                    <w:rPr>
                      <w:color w:val="auto"/>
                      <w:szCs w:val="21"/>
                      <w:lang w:val="zh-CN"/>
                    </w:rPr>
                  </w:pPr>
                  <w:r>
                    <w:rPr>
                      <w:color w:val="auto"/>
                      <w:szCs w:val="21"/>
                      <w:lang w:val="zh-CN"/>
                    </w:rPr>
                    <w:t>辅助工程</w:t>
                  </w:r>
                </w:p>
              </w:tc>
              <w:tc>
                <w:tcPr>
                  <w:tcW w:w="749" w:type="pct"/>
                  <w:tcBorders>
                    <w:tl2br w:val="nil"/>
                    <w:tr2bl w:val="nil"/>
                  </w:tcBorders>
                  <w:vAlign w:val="center"/>
                </w:tcPr>
                <w:p>
                  <w:pPr>
                    <w:autoSpaceDE w:val="0"/>
                    <w:autoSpaceDN w:val="0"/>
                    <w:jc w:val="center"/>
                    <w:rPr>
                      <w:color w:val="auto"/>
                      <w:szCs w:val="21"/>
                    </w:rPr>
                  </w:pPr>
                  <w:r>
                    <w:rPr>
                      <w:rFonts w:hint="eastAsia"/>
                      <w:color w:val="auto"/>
                      <w:szCs w:val="21"/>
                    </w:rPr>
                    <w:t>办公室</w:t>
                  </w:r>
                </w:p>
              </w:tc>
              <w:tc>
                <w:tcPr>
                  <w:tcW w:w="3606" w:type="pct"/>
                  <w:tcBorders>
                    <w:tl2br w:val="nil"/>
                    <w:tr2bl w:val="nil"/>
                  </w:tcBorders>
                  <w:vAlign w:val="center"/>
                </w:tcPr>
                <w:p>
                  <w:pPr>
                    <w:autoSpaceDE w:val="0"/>
                    <w:autoSpaceDN w:val="0"/>
                    <w:jc w:val="center"/>
                    <w:rPr>
                      <w:color w:val="auto"/>
                      <w:szCs w:val="21"/>
                    </w:rPr>
                  </w:pPr>
                  <w:r>
                    <w:rPr>
                      <w:rFonts w:hint="eastAsia"/>
                      <w:color w:val="auto"/>
                      <w:szCs w:val="21"/>
                    </w:rPr>
                    <w:t>本项目于生产车间内设置办公室：</w:t>
                  </w:r>
                  <w:r>
                    <w:rPr>
                      <w:bCs/>
                      <w:snapToGrid w:val="0"/>
                      <w:color w:val="auto"/>
                      <w:kern w:val="0"/>
                      <w:szCs w:val="21"/>
                    </w:rPr>
                    <w:t>建筑面积</w:t>
                  </w:r>
                  <w:r>
                    <w:rPr>
                      <w:rFonts w:hint="eastAsia"/>
                      <w:bCs/>
                      <w:snapToGrid w:val="0"/>
                      <w:color w:val="auto"/>
                      <w:kern w:val="0"/>
                      <w:szCs w:val="21"/>
                    </w:rPr>
                    <w:t>5</w:t>
                  </w:r>
                  <w:r>
                    <w:rPr>
                      <w:bCs/>
                      <w:snapToGrid w:val="0"/>
                      <w:color w:val="auto"/>
                      <w:kern w:val="0"/>
                      <w:szCs w:val="21"/>
                    </w:rPr>
                    <w:t>0</w:t>
                  </w:r>
                  <w:r>
                    <w:rPr>
                      <w:color w:val="auto"/>
                      <w:szCs w:val="21"/>
                    </w:rPr>
                    <w:t>m</w:t>
                  </w:r>
                  <w:r>
                    <w:rPr>
                      <w:color w:val="auto"/>
                      <w:szCs w:val="21"/>
                      <w:vertAlign w:val="superscript"/>
                    </w:rPr>
                    <w:t>2</w:t>
                  </w:r>
                  <w:r>
                    <w:rPr>
                      <w:color w:val="auto"/>
                      <w:szCs w:val="21"/>
                    </w:rPr>
                    <w:t>，用于办公</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4" w:type="pct"/>
                  <w:gridSpan w:val="2"/>
                  <w:vMerge w:val="continue"/>
                  <w:tcBorders>
                    <w:tl2br w:val="nil"/>
                    <w:tr2bl w:val="nil"/>
                  </w:tcBorders>
                  <w:vAlign w:val="center"/>
                </w:tcPr>
                <w:p>
                  <w:pPr>
                    <w:autoSpaceDE w:val="0"/>
                    <w:autoSpaceDN w:val="0"/>
                    <w:jc w:val="center"/>
                    <w:rPr>
                      <w:color w:val="auto"/>
                      <w:szCs w:val="21"/>
                      <w:lang w:val="zh-CN"/>
                    </w:rPr>
                  </w:pPr>
                </w:p>
              </w:tc>
              <w:tc>
                <w:tcPr>
                  <w:tcW w:w="749" w:type="pct"/>
                  <w:tcBorders>
                    <w:tl2br w:val="nil"/>
                    <w:tr2bl w:val="nil"/>
                  </w:tcBorders>
                  <w:vAlign w:val="center"/>
                </w:tcPr>
                <w:p>
                  <w:pPr>
                    <w:autoSpaceDE w:val="0"/>
                    <w:autoSpaceDN w:val="0"/>
                    <w:jc w:val="center"/>
                    <w:rPr>
                      <w:color w:val="auto"/>
                      <w:szCs w:val="21"/>
                    </w:rPr>
                  </w:pPr>
                  <w:r>
                    <w:rPr>
                      <w:color w:val="auto"/>
                      <w:szCs w:val="21"/>
                    </w:rPr>
                    <w:t>循环冷却水</w:t>
                  </w:r>
                </w:p>
              </w:tc>
              <w:tc>
                <w:tcPr>
                  <w:tcW w:w="3606" w:type="pct"/>
                  <w:tcBorders>
                    <w:tl2br w:val="nil"/>
                    <w:tr2bl w:val="nil"/>
                  </w:tcBorders>
                  <w:vAlign w:val="center"/>
                </w:tcPr>
                <w:p>
                  <w:pPr>
                    <w:jc w:val="center"/>
                    <w:rPr>
                      <w:color w:val="auto"/>
                      <w:szCs w:val="21"/>
                    </w:rPr>
                  </w:pPr>
                  <w:r>
                    <w:rPr>
                      <w:color w:val="auto"/>
                      <w:szCs w:val="21"/>
                    </w:rPr>
                    <w:t>设置</w:t>
                  </w:r>
                  <w:r>
                    <w:rPr>
                      <w:rFonts w:hint="eastAsia"/>
                      <w:color w:val="auto"/>
                      <w:szCs w:val="21"/>
                    </w:rPr>
                    <w:t>1台冷却塔，处理能力10</w:t>
                  </w:r>
                  <w:r>
                    <w:rPr>
                      <w:color w:val="auto"/>
                      <w:szCs w:val="21"/>
                    </w:rPr>
                    <w:t>0m</w:t>
                  </w:r>
                  <w:r>
                    <w:rPr>
                      <w:color w:val="auto"/>
                      <w:szCs w:val="21"/>
                      <w:vertAlign w:val="superscript"/>
                    </w:rPr>
                    <w:t>3</w:t>
                  </w:r>
                  <w:r>
                    <w:rPr>
                      <w:color w:val="auto"/>
                      <w:szCs w:val="21"/>
                    </w:rPr>
                    <w:t>/h</w:t>
                  </w:r>
                  <w:r>
                    <w:rPr>
                      <w:rFonts w:hint="eastAsia"/>
                      <w:color w:val="auto"/>
                      <w:szCs w:val="21"/>
                    </w:rPr>
                    <w:t>，</w:t>
                  </w:r>
                  <w:r>
                    <w:rPr>
                      <w:color w:val="auto"/>
                      <w:szCs w:val="21"/>
                    </w:rPr>
                    <w:t>1座循环水池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4" w:type="pct"/>
                  <w:gridSpan w:val="2"/>
                  <w:vMerge w:val="restart"/>
                  <w:tcBorders>
                    <w:tl2br w:val="nil"/>
                    <w:tr2bl w:val="nil"/>
                  </w:tcBorders>
                  <w:vAlign w:val="center"/>
                </w:tcPr>
                <w:p>
                  <w:pPr>
                    <w:autoSpaceDE w:val="0"/>
                    <w:autoSpaceDN w:val="0"/>
                    <w:jc w:val="center"/>
                    <w:rPr>
                      <w:bCs/>
                      <w:snapToGrid w:val="0"/>
                      <w:color w:val="auto"/>
                      <w:kern w:val="0"/>
                      <w:szCs w:val="21"/>
                      <w:lang w:val="zh-CN"/>
                    </w:rPr>
                  </w:pPr>
                  <w:r>
                    <w:rPr>
                      <w:bCs/>
                      <w:snapToGrid w:val="0"/>
                      <w:color w:val="auto"/>
                      <w:kern w:val="0"/>
                      <w:szCs w:val="21"/>
                      <w:lang w:val="zh-CN"/>
                    </w:rPr>
                    <w:t>储运工程</w:t>
                  </w:r>
                </w:p>
              </w:tc>
              <w:tc>
                <w:tcPr>
                  <w:tcW w:w="749" w:type="pct"/>
                  <w:tcBorders>
                    <w:tl2br w:val="nil"/>
                    <w:tr2bl w:val="nil"/>
                  </w:tcBorders>
                  <w:vAlign w:val="center"/>
                </w:tcPr>
                <w:p>
                  <w:pPr>
                    <w:adjustRightInd w:val="0"/>
                    <w:snapToGrid w:val="0"/>
                    <w:jc w:val="center"/>
                    <w:rPr>
                      <w:color w:val="auto"/>
                      <w:szCs w:val="21"/>
                      <w:lang w:val="zh-CN"/>
                    </w:rPr>
                  </w:pPr>
                  <w:r>
                    <w:rPr>
                      <w:color w:val="auto"/>
                      <w:szCs w:val="21"/>
                    </w:rPr>
                    <w:t>成品库</w:t>
                  </w:r>
                </w:p>
              </w:tc>
              <w:tc>
                <w:tcPr>
                  <w:tcW w:w="3606" w:type="pct"/>
                  <w:tcBorders>
                    <w:tl2br w:val="nil"/>
                    <w:tr2bl w:val="nil"/>
                  </w:tcBorders>
                  <w:vAlign w:val="center"/>
                </w:tcPr>
                <w:p>
                  <w:pPr>
                    <w:autoSpaceDE w:val="0"/>
                    <w:autoSpaceDN w:val="0"/>
                    <w:adjustRightInd w:val="0"/>
                    <w:snapToGrid w:val="0"/>
                    <w:jc w:val="center"/>
                    <w:rPr>
                      <w:color w:val="auto"/>
                      <w:szCs w:val="21"/>
                    </w:rPr>
                  </w:pPr>
                  <w:r>
                    <w:rPr>
                      <w:rFonts w:hint="eastAsia"/>
                      <w:color w:val="auto"/>
                      <w:kern w:val="0"/>
                      <w:szCs w:val="21"/>
                    </w:rPr>
                    <w:t>位于生产车间内</w:t>
                  </w:r>
                  <w:r>
                    <w:rPr>
                      <w:color w:val="auto"/>
                      <w:kern w:val="0"/>
                      <w:szCs w:val="21"/>
                    </w:rPr>
                    <w:t>，</w:t>
                  </w:r>
                  <w:r>
                    <w:rPr>
                      <w:rFonts w:hint="eastAsia"/>
                      <w:color w:val="auto"/>
                      <w:kern w:val="0"/>
                      <w:szCs w:val="21"/>
                    </w:rPr>
                    <w:t>占地区域</w:t>
                  </w:r>
                  <w:r>
                    <w:rPr>
                      <w:color w:val="auto"/>
                      <w:kern w:val="0"/>
                      <w:szCs w:val="21"/>
                    </w:rPr>
                    <w:t>长</w:t>
                  </w:r>
                  <w:r>
                    <w:rPr>
                      <w:rFonts w:hint="eastAsia"/>
                      <w:color w:val="auto"/>
                      <w:kern w:val="0"/>
                      <w:szCs w:val="21"/>
                    </w:rPr>
                    <w:t>20</w:t>
                  </w:r>
                  <w:r>
                    <w:rPr>
                      <w:color w:val="auto"/>
                      <w:kern w:val="0"/>
                      <w:szCs w:val="21"/>
                    </w:rPr>
                    <w:t>m、宽</w:t>
                  </w:r>
                  <w:r>
                    <w:rPr>
                      <w:rFonts w:hint="eastAsia"/>
                      <w:color w:val="auto"/>
                      <w:kern w:val="0"/>
                      <w:szCs w:val="21"/>
                    </w:rPr>
                    <w:t>10</w:t>
                  </w:r>
                  <w:r>
                    <w:rPr>
                      <w:color w:val="auto"/>
                      <w:kern w:val="0"/>
                      <w:szCs w:val="21"/>
                    </w:rPr>
                    <w:t>m</w:t>
                  </w:r>
                  <w:r>
                    <w:rPr>
                      <w:color w:val="auto"/>
                      <w:szCs w:val="21"/>
                    </w:rPr>
                    <w:t>，主要用于产品的储存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4" w:type="pct"/>
                  <w:gridSpan w:val="2"/>
                  <w:vMerge w:val="continue"/>
                  <w:tcBorders>
                    <w:tl2br w:val="nil"/>
                    <w:tr2bl w:val="nil"/>
                  </w:tcBorders>
                  <w:vAlign w:val="center"/>
                </w:tcPr>
                <w:p>
                  <w:pPr>
                    <w:autoSpaceDE w:val="0"/>
                    <w:autoSpaceDN w:val="0"/>
                    <w:jc w:val="center"/>
                    <w:rPr>
                      <w:color w:val="auto"/>
                      <w:szCs w:val="21"/>
                    </w:rPr>
                  </w:pPr>
                </w:p>
              </w:tc>
              <w:tc>
                <w:tcPr>
                  <w:tcW w:w="749" w:type="pct"/>
                  <w:tcBorders>
                    <w:tl2br w:val="nil"/>
                    <w:tr2bl w:val="nil"/>
                  </w:tcBorders>
                  <w:vAlign w:val="center"/>
                </w:tcPr>
                <w:p>
                  <w:pPr>
                    <w:adjustRightInd w:val="0"/>
                    <w:snapToGrid w:val="0"/>
                    <w:jc w:val="center"/>
                    <w:rPr>
                      <w:color w:val="auto"/>
                      <w:szCs w:val="21"/>
                    </w:rPr>
                  </w:pPr>
                  <w:r>
                    <w:rPr>
                      <w:rFonts w:hint="eastAsia"/>
                      <w:color w:val="auto"/>
                      <w:szCs w:val="21"/>
                    </w:rPr>
                    <w:t>原料库</w:t>
                  </w:r>
                </w:p>
              </w:tc>
              <w:tc>
                <w:tcPr>
                  <w:tcW w:w="3606" w:type="pct"/>
                  <w:tcBorders>
                    <w:tl2br w:val="nil"/>
                    <w:tr2bl w:val="nil"/>
                  </w:tcBorders>
                  <w:vAlign w:val="center"/>
                </w:tcPr>
                <w:p>
                  <w:pPr>
                    <w:autoSpaceDE w:val="0"/>
                    <w:autoSpaceDN w:val="0"/>
                    <w:adjustRightInd w:val="0"/>
                    <w:snapToGrid w:val="0"/>
                    <w:jc w:val="center"/>
                    <w:rPr>
                      <w:color w:val="auto"/>
                      <w:kern w:val="0"/>
                      <w:szCs w:val="21"/>
                    </w:rPr>
                  </w:pPr>
                  <w:r>
                    <w:rPr>
                      <w:rFonts w:hint="eastAsia"/>
                      <w:color w:val="auto"/>
                      <w:kern w:val="0"/>
                      <w:szCs w:val="21"/>
                    </w:rPr>
                    <w:t>位于生产车间内</w:t>
                  </w:r>
                  <w:r>
                    <w:rPr>
                      <w:color w:val="auto"/>
                      <w:kern w:val="0"/>
                      <w:szCs w:val="21"/>
                    </w:rPr>
                    <w:t>，</w:t>
                  </w:r>
                  <w:r>
                    <w:rPr>
                      <w:rFonts w:hint="eastAsia"/>
                      <w:color w:val="auto"/>
                      <w:kern w:val="0"/>
                      <w:szCs w:val="21"/>
                    </w:rPr>
                    <w:t>占地区域</w:t>
                  </w:r>
                  <w:r>
                    <w:rPr>
                      <w:color w:val="auto"/>
                      <w:kern w:val="0"/>
                      <w:szCs w:val="21"/>
                    </w:rPr>
                    <w:t>长</w:t>
                  </w:r>
                  <w:r>
                    <w:rPr>
                      <w:rFonts w:hint="eastAsia"/>
                      <w:color w:val="auto"/>
                      <w:kern w:val="0"/>
                      <w:szCs w:val="21"/>
                    </w:rPr>
                    <w:t>15</w:t>
                  </w:r>
                  <w:r>
                    <w:rPr>
                      <w:color w:val="auto"/>
                      <w:kern w:val="0"/>
                      <w:szCs w:val="21"/>
                    </w:rPr>
                    <w:t>m、宽</w:t>
                  </w:r>
                  <w:r>
                    <w:rPr>
                      <w:rFonts w:hint="eastAsia"/>
                      <w:color w:val="auto"/>
                      <w:kern w:val="0"/>
                      <w:szCs w:val="21"/>
                    </w:rPr>
                    <w:t>10</w:t>
                  </w:r>
                  <w:r>
                    <w:rPr>
                      <w:color w:val="auto"/>
                      <w:kern w:val="0"/>
                      <w:szCs w:val="21"/>
                    </w:rPr>
                    <w:t>m</w:t>
                  </w:r>
                  <w:r>
                    <w:rPr>
                      <w:color w:val="auto"/>
                      <w:szCs w:val="21"/>
                    </w:rPr>
                    <w:t>，主要用于</w:t>
                  </w:r>
                  <w:r>
                    <w:rPr>
                      <w:rFonts w:hint="eastAsia"/>
                      <w:color w:val="auto"/>
                      <w:szCs w:val="21"/>
                    </w:rPr>
                    <w:t>原料</w:t>
                  </w:r>
                  <w:r>
                    <w:rPr>
                      <w:color w:val="auto"/>
                      <w:szCs w:val="21"/>
                    </w:rPr>
                    <w:t>的储存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4" w:type="pct"/>
                  <w:gridSpan w:val="2"/>
                  <w:vMerge w:val="continue"/>
                  <w:tcBorders>
                    <w:tl2br w:val="nil"/>
                    <w:tr2bl w:val="nil"/>
                  </w:tcBorders>
                  <w:vAlign w:val="center"/>
                </w:tcPr>
                <w:p>
                  <w:pPr>
                    <w:autoSpaceDE w:val="0"/>
                    <w:autoSpaceDN w:val="0"/>
                    <w:jc w:val="center"/>
                    <w:rPr>
                      <w:color w:val="auto"/>
                      <w:szCs w:val="21"/>
                    </w:rPr>
                  </w:pPr>
                </w:p>
              </w:tc>
              <w:tc>
                <w:tcPr>
                  <w:tcW w:w="749" w:type="pct"/>
                  <w:tcBorders>
                    <w:tl2br w:val="nil"/>
                    <w:tr2bl w:val="nil"/>
                  </w:tcBorders>
                  <w:vAlign w:val="center"/>
                </w:tcPr>
                <w:p>
                  <w:pPr>
                    <w:autoSpaceDE w:val="0"/>
                    <w:autoSpaceDN w:val="0"/>
                    <w:jc w:val="center"/>
                    <w:rPr>
                      <w:color w:val="auto"/>
                      <w:szCs w:val="21"/>
                    </w:rPr>
                  </w:pPr>
                  <w:r>
                    <w:rPr>
                      <w:rFonts w:hint="eastAsia"/>
                      <w:color w:val="auto"/>
                      <w:szCs w:val="21"/>
                    </w:rPr>
                    <w:t>润滑油储存区</w:t>
                  </w:r>
                </w:p>
              </w:tc>
              <w:tc>
                <w:tcPr>
                  <w:tcW w:w="3606" w:type="pct"/>
                  <w:tcBorders>
                    <w:tl2br w:val="nil"/>
                    <w:tr2bl w:val="nil"/>
                  </w:tcBorders>
                  <w:vAlign w:val="center"/>
                </w:tcPr>
                <w:p>
                  <w:pPr>
                    <w:autoSpaceDE w:val="0"/>
                    <w:autoSpaceDN w:val="0"/>
                    <w:jc w:val="center"/>
                    <w:rPr>
                      <w:bCs/>
                      <w:snapToGrid w:val="0"/>
                      <w:color w:val="auto"/>
                      <w:kern w:val="0"/>
                      <w:szCs w:val="21"/>
                    </w:rPr>
                  </w:pPr>
                  <w:r>
                    <w:rPr>
                      <w:rFonts w:hint="eastAsia"/>
                      <w:color w:val="auto"/>
                      <w:kern w:val="0"/>
                      <w:szCs w:val="21"/>
                    </w:rPr>
                    <w:t>位于生产车间内</w:t>
                  </w:r>
                  <w:r>
                    <w:rPr>
                      <w:color w:val="auto"/>
                      <w:kern w:val="0"/>
                      <w:szCs w:val="21"/>
                    </w:rPr>
                    <w:t>，</w:t>
                  </w:r>
                  <w:r>
                    <w:rPr>
                      <w:rFonts w:hint="eastAsia"/>
                      <w:color w:val="auto"/>
                      <w:kern w:val="0"/>
                      <w:szCs w:val="21"/>
                    </w:rPr>
                    <w:t>占地区域</w:t>
                  </w:r>
                  <w:r>
                    <w:rPr>
                      <w:color w:val="auto"/>
                      <w:kern w:val="0"/>
                      <w:szCs w:val="21"/>
                    </w:rPr>
                    <w:t>长</w:t>
                  </w:r>
                  <w:r>
                    <w:rPr>
                      <w:rFonts w:hint="eastAsia"/>
                      <w:color w:val="auto"/>
                      <w:kern w:val="0"/>
                      <w:szCs w:val="21"/>
                    </w:rPr>
                    <w:t>2</w:t>
                  </w:r>
                  <w:r>
                    <w:rPr>
                      <w:color w:val="auto"/>
                      <w:kern w:val="0"/>
                      <w:szCs w:val="21"/>
                    </w:rPr>
                    <w:t>m、宽</w:t>
                  </w:r>
                  <w:r>
                    <w:rPr>
                      <w:rFonts w:hint="eastAsia"/>
                      <w:color w:val="auto"/>
                      <w:kern w:val="0"/>
                      <w:szCs w:val="21"/>
                    </w:rPr>
                    <w:t>1</w:t>
                  </w:r>
                  <w:r>
                    <w:rPr>
                      <w:color w:val="auto"/>
                      <w:kern w:val="0"/>
                      <w:szCs w:val="21"/>
                    </w:rPr>
                    <w:t>m</w:t>
                  </w:r>
                  <w:r>
                    <w:rPr>
                      <w:color w:val="auto"/>
                      <w:szCs w:val="21"/>
                    </w:rPr>
                    <w:t>，</w:t>
                  </w:r>
                  <w:r>
                    <w:rPr>
                      <w:rFonts w:hint="eastAsia"/>
                      <w:color w:val="auto"/>
                      <w:szCs w:val="21"/>
                    </w:rPr>
                    <w:t>底部设置钢板焊接托盘，</w:t>
                  </w:r>
                  <w:r>
                    <w:rPr>
                      <w:color w:val="auto"/>
                      <w:szCs w:val="21"/>
                    </w:rPr>
                    <w:t>用于</w:t>
                  </w:r>
                  <w:r>
                    <w:rPr>
                      <w:rFonts w:hint="eastAsia"/>
                      <w:color w:val="auto"/>
                      <w:szCs w:val="21"/>
                    </w:rPr>
                    <w:t>润滑油储存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644" w:type="pct"/>
                  <w:gridSpan w:val="2"/>
                  <w:vMerge w:val="restart"/>
                  <w:tcBorders>
                    <w:tl2br w:val="nil"/>
                    <w:tr2bl w:val="nil"/>
                  </w:tcBorders>
                  <w:vAlign w:val="center"/>
                </w:tcPr>
                <w:p>
                  <w:pPr>
                    <w:autoSpaceDE w:val="0"/>
                    <w:autoSpaceDN w:val="0"/>
                    <w:jc w:val="center"/>
                    <w:rPr>
                      <w:bCs/>
                      <w:snapToGrid w:val="0"/>
                      <w:color w:val="auto"/>
                      <w:kern w:val="0"/>
                      <w:szCs w:val="21"/>
                      <w:lang w:val="zh-CN"/>
                    </w:rPr>
                  </w:pPr>
                  <w:r>
                    <w:rPr>
                      <w:bCs/>
                      <w:snapToGrid w:val="0"/>
                      <w:color w:val="auto"/>
                      <w:kern w:val="0"/>
                      <w:szCs w:val="21"/>
                      <w:lang w:val="zh-CN"/>
                    </w:rPr>
                    <w:t>公用工程</w:t>
                  </w:r>
                </w:p>
              </w:tc>
              <w:tc>
                <w:tcPr>
                  <w:tcW w:w="749" w:type="pct"/>
                  <w:tcBorders>
                    <w:tl2br w:val="nil"/>
                    <w:tr2bl w:val="nil"/>
                  </w:tcBorders>
                  <w:vAlign w:val="center"/>
                </w:tcPr>
                <w:p>
                  <w:pPr>
                    <w:jc w:val="center"/>
                    <w:rPr>
                      <w:bCs/>
                      <w:snapToGrid w:val="0"/>
                      <w:color w:val="auto"/>
                      <w:kern w:val="0"/>
                      <w:szCs w:val="21"/>
                      <w:lang w:val="zh-CN"/>
                    </w:rPr>
                  </w:pPr>
                  <w:r>
                    <w:rPr>
                      <w:color w:val="auto"/>
                      <w:szCs w:val="21"/>
                    </w:rPr>
                    <w:t>供电</w:t>
                  </w:r>
                </w:p>
              </w:tc>
              <w:tc>
                <w:tcPr>
                  <w:tcW w:w="3606" w:type="pct"/>
                  <w:tcBorders>
                    <w:tl2br w:val="nil"/>
                    <w:tr2bl w:val="nil"/>
                  </w:tcBorders>
                  <w:vAlign w:val="center"/>
                </w:tcPr>
                <w:p>
                  <w:pPr>
                    <w:jc w:val="center"/>
                    <w:rPr>
                      <w:bCs/>
                      <w:snapToGrid w:val="0"/>
                      <w:color w:val="auto"/>
                      <w:kern w:val="0"/>
                      <w:szCs w:val="21"/>
                    </w:rPr>
                  </w:pPr>
                  <w:r>
                    <w:rPr>
                      <w:color w:val="auto"/>
                      <w:szCs w:val="21"/>
                    </w:rPr>
                    <w:t>当地电网统一供给，项目用电量为</w:t>
                  </w:r>
                  <w:r>
                    <w:rPr>
                      <w:rFonts w:hint="eastAsia"/>
                      <w:color w:val="auto"/>
                      <w:szCs w:val="21"/>
                    </w:rPr>
                    <w:t>51.2</w:t>
                  </w:r>
                  <w:r>
                    <w:rPr>
                      <w:color w:val="auto"/>
                      <w:szCs w:val="21"/>
                    </w:rPr>
                    <w:t>万kwh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4" w:type="pct"/>
                  <w:gridSpan w:val="2"/>
                  <w:vMerge w:val="continue"/>
                  <w:tcBorders>
                    <w:tl2br w:val="nil"/>
                    <w:tr2bl w:val="nil"/>
                  </w:tcBorders>
                  <w:vAlign w:val="center"/>
                </w:tcPr>
                <w:p>
                  <w:pPr>
                    <w:pStyle w:val="32"/>
                    <w:spacing w:after="0"/>
                    <w:ind w:left="0" w:leftChars="0"/>
                    <w:jc w:val="center"/>
                    <w:rPr>
                      <w:color w:val="auto"/>
                      <w:szCs w:val="21"/>
                      <w:lang w:val="zh-CN"/>
                    </w:rPr>
                  </w:pPr>
                </w:p>
              </w:tc>
              <w:tc>
                <w:tcPr>
                  <w:tcW w:w="749" w:type="pct"/>
                  <w:vMerge w:val="restart"/>
                  <w:tcBorders>
                    <w:tl2br w:val="nil"/>
                    <w:tr2bl w:val="nil"/>
                  </w:tcBorders>
                  <w:vAlign w:val="center"/>
                </w:tcPr>
                <w:p>
                  <w:pPr>
                    <w:jc w:val="center"/>
                    <w:rPr>
                      <w:bCs/>
                      <w:snapToGrid w:val="0"/>
                      <w:color w:val="auto"/>
                      <w:kern w:val="0"/>
                      <w:szCs w:val="21"/>
                      <w:lang w:val="zh-CN"/>
                    </w:rPr>
                  </w:pPr>
                  <w:r>
                    <w:rPr>
                      <w:color w:val="auto"/>
                      <w:szCs w:val="21"/>
                    </w:rPr>
                    <w:t>新水</w:t>
                  </w:r>
                </w:p>
              </w:tc>
              <w:tc>
                <w:tcPr>
                  <w:tcW w:w="3606" w:type="pct"/>
                  <w:tcBorders>
                    <w:tl2br w:val="nil"/>
                    <w:tr2bl w:val="nil"/>
                  </w:tcBorders>
                  <w:vAlign w:val="center"/>
                </w:tcPr>
                <w:p>
                  <w:pPr>
                    <w:jc w:val="center"/>
                    <w:rPr>
                      <w:color w:val="auto"/>
                      <w:szCs w:val="21"/>
                    </w:rPr>
                  </w:pPr>
                  <w:r>
                    <w:rPr>
                      <w:color w:val="auto"/>
                      <w:szCs w:val="21"/>
                    </w:rPr>
                    <w:t>项目生产用水主要为</w:t>
                  </w:r>
                  <w:r>
                    <w:rPr>
                      <w:rFonts w:hint="eastAsia"/>
                      <w:color w:val="auto"/>
                      <w:szCs w:val="21"/>
                    </w:rPr>
                    <w:t>冷却用水，冷却水循环利用，新水为补水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4" w:type="pct"/>
                  <w:gridSpan w:val="2"/>
                  <w:vMerge w:val="continue"/>
                  <w:tcBorders>
                    <w:tl2br w:val="nil"/>
                    <w:tr2bl w:val="nil"/>
                  </w:tcBorders>
                  <w:vAlign w:val="center"/>
                </w:tcPr>
                <w:p>
                  <w:pPr>
                    <w:jc w:val="center"/>
                    <w:rPr>
                      <w:color w:val="auto"/>
                      <w:szCs w:val="21"/>
                    </w:rPr>
                  </w:pPr>
                </w:p>
              </w:tc>
              <w:tc>
                <w:tcPr>
                  <w:tcW w:w="749" w:type="pct"/>
                  <w:vMerge w:val="continue"/>
                  <w:tcBorders>
                    <w:tl2br w:val="nil"/>
                    <w:tr2bl w:val="nil"/>
                  </w:tcBorders>
                  <w:vAlign w:val="center"/>
                </w:tcPr>
                <w:p>
                  <w:pPr>
                    <w:jc w:val="center"/>
                    <w:rPr>
                      <w:color w:val="auto"/>
                      <w:szCs w:val="21"/>
                    </w:rPr>
                  </w:pPr>
                </w:p>
              </w:tc>
              <w:tc>
                <w:tcPr>
                  <w:tcW w:w="3606" w:type="pct"/>
                  <w:tcBorders>
                    <w:tl2br w:val="nil"/>
                    <w:tr2bl w:val="nil"/>
                  </w:tcBorders>
                  <w:vAlign w:val="center"/>
                </w:tcPr>
                <w:p>
                  <w:pPr>
                    <w:jc w:val="center"/>
                    <w:rPr>
                      <w:color w:val="auto"/>
                      <w:szCs w:val="21"/>
                    </w:rPr>
                  </w:pPr>
                  <w:r>
                    <w:rPr>
                      <w:color w:val="auto"/>
                      <w:szCs w:val="21"/>
                    </w:rPr>
                    <w:t>生活用水主要为职工盥洗、饮用用水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4" w:type="pct"/>
                  <w:gridSpan w:val="2"/>
                  <w:vMerge w:val="continue"/>
                  <w:tcBorders>
                    <w:tl2br w:val="nil"/>
                    <w:tr2bl w:val="nil"/>
                  </w:tcBorders>
                  <w:vAlign w:val="center"/>
                </w:tcPr>
                <w:p>
                  <w:pPr>
                    <w:autoSpaceDE w:val="0"/>
                    <w:autoSpaceDN w:val="0"/>
                    <w:jc w:val="center"/>
                    <w:rPr>
                      <w:bCs/>
                      <w:snapToGrid w:val="0"/>
                      <w:color w:val="auto"/>
                      <w:kern w:val="0"/>
                      <w:szCs w:val="21"/>
                      <w:lang w:val="zh-CN"/>
                    </w:rPr>
                  </w:pPr>
                </w:p>
              </w:tc>
              <w:tc>
                <w:tcPr>
                  <w:tcW w:w="749" w:type="pct"/>
                  <w:vMerge w:val="restart"/>
                  <w:tcBorders>
                    <w:tl2br w:val="nil"/>
                    <w:tr2bl w:val="nil"/>
                  </w:tcBorders>
                  <w:vAlign w:val="center"/>
                </w:tcPr>
                <w:p>
                  <w:pPr>
                    <w:jc w:val="center"/>
                    <w:rPr>
                      <w:color w:val="auto"/>
                      <w:szCs w:val="21"/>
                    </w:rPr>
                  </w:pPr>
                  <w:r>
                    <w:rPr>
                      <w:color w:val="auto"/>
                      <w:szCs w:val="21"/>
                    </w:rPr>
                    <w:t>排水</w:t>
                  </w:r>
                </w:p>
              </w:tc>
              <w:tc>
                <w:tcPr>
                  <w:tcW w:w="3606" w:type="pct"/>
                  <w:tcBorders>
                    <w:tl2br w:val="nil"/>
                    <w:tr2bl w:val="nil"/>
                  </w:tcBorders>
                  <w:vAlign w:val="center"/>
                </w:tcPr>
                <w:p>
                  <w:pPr>
                    <w:jc w:val="center"/>
                    <w:rPr>
                      <w:color w:val="auto"/>
                      <w:szCs w:val="21"/>
                    </w:rPr>
                  </w:pPr>
                  <w:r>
                    <w:rPr>
                      <w:color w:val="auto"/>
                      <w:szCs w:val="21"/>
                    </w:rPr>
                    <w:t>项目</w:t>
                  </w:r>
                  <w:r>
                    <w:rPr>
                      <w:rFonts w:hint="eastAsia"/>
                      <w:color w:val="auto"/>
                      <w:szCs w:val="21"/>
                    </w:rPr>
                    <w:t>冷却水循环利用不外排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4" w:type="pct"/>
                  <w:gridSpan w:val="2"/>
                  <w:vMerge w:val="continue"/>
                  <w:tcBorders>
                    <w:tl2br w:val="nil"/>
                    <w:tr2bl w:val="nil"/>
                  </w:tcBorders>
                  <w:vAlign w:val="center"/>
                </w:tcPr>
                <w:p>
                  <w:pPr>
                    <w:autoSpaceDE w:val="0"/>
                    <w:autoSpaceDN w:val="0"/>
                    <w:jc w:val="center"/>
                    <w:rPr>
                      <w:bCs/>
                      <w:snapToGrid w:val="0"/>
                      <w:color w:val="auto"/>
                      <w:kern w:val="0"/>
                      <w:szCs w:val="21"/>
                      <w:lang w:val="zh-CN"/>
                    </w:rPr>
                  </w:pPr>
                </w:p>
              </w:tc>
              <w:tc>
                <w:tcPr>
                  <w:tcW w:w="749" w:type="pct"/>
                  <w:vMerge w:val="continue"/>
                  <w:tcBorders>
                    <w:tl2br w:val="nil"/>
                    <w:tr2bl w:val="nil"/>
                  </w:tcBorders>
                  <w:vAlign w:val="center"/>
                </w:tcPr>
                <w:p>
                  <w:pPr>
                    <w:jc w:val="center"/>
                    <w:rPr>
                      <w:color w:val="auto"/>
                      <w:szCs w:val="21"/>
                    </w:rPr>
                  </w:pPr>
                </w:p>
              </w:tc>
              <w:tc>
                <w:tcPr>
                  <w:tcW w:w="3606" w:type="pct"/>
                  <w:tcBorders>
                    <w:tl2br w:val="nil"/>
                    <w:tr2bl w:val="nil"/>
                  </w:tcBorders>
                  <w:vAlign w:val="center"/>
                </w:tcPr>
                <w:p>
                  <w:pPr>
                    <w:jc w:val="center"/>
                    <w:rPr>
                      <w:color w:val="auto"/>
                      <w:szCs w:val="21"/>
                    </w:rPr>
                  </w:pPr>
                  <w:r>
                    <w:rPr>
                      <w:color w:val="auto"/>
                      <w:szCs w:val="21"/>
                    </w:rPr>
                    <w:t>职工</w:t>
                  </w:r>
                  <w:r>
                    <w:rPr>
                      <w:rFonts w:hint="eastAsia"/>
                      <w:color w:val="auto"/>
                      <w:szCs w:val="21"/>
                    </w:rPr>
                    <w:t>盥洗废水就地泼洒抑尘不外排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4" w:type="pct"/>
                  <w:gridSpan w:val="2"/>
                  <w:vMerge w:val="continue"/>
                  <w:tcBorders>
                    <w:tl2br w:val="nil"/>
                    <w:tr2bl w:val="nil"/>
                  </w:tcBorders>
                  <w:vAlign w:val="center"/>
                </w:tcPr>
                <w:p>
                  <w:pPr>
                    <w:autoSpaceDE w:val="0"/>
                    <w:autoSpaceDN w:val="0"/>
                    <w:jc w:val="center"/>
                    <w:rPr>
                      <w:bCs/>
                      <w:snapToGrid w:val="0"/>
                      <w:color w:val="auto"/>
                      <w:kern w:val="0"/>
                      <w:szCs w:val="21"/>
                      <w:lang w:val="zh-CN"/>
                    </w:rPr>
                  </w:pPr>
                </w:p>
              </w:tc>
              <w:tc>
                <w:tcPr>
                  <w:tcW w:w="749" w:type="pct"/>
                  <w:tcBorders>
                    <w:tl2br w:val="nil"/>
                    <w:tr2bl w:val="nil"/>
                  </w:tcBorders>
                  <w:vAlign w:val="center"/>
                </w:tcPr>
                <w:p>
                  <w:pPr>
                    <w:jc w:val="center"/>
                    <w:rPr>
                      <w:color w:val="auto"/>
                      <w:szCs w:val="21"/>
                    </w:rPr>
                  </w:pPr>
                  <w:r>
                    <w:rPr>
                      <w:color w:val="auto"/>
                      <w:szCs w:val="21"/>
                    </w:rPr>
                    <w:t>供</w:t>
                  </w:r>
                  <w:r>
                    <w:rPr>
                      <w:rFonts w:hint="eastAsia"/>
                      <w:color w:val="auto"/>
                      <w:szCs w:val="21"/>
                    </w:rPr>
                    <w:t>暖、制冷</w:t>
                  </w:r>
                </w:p>
              </w:tc>
              <w:tc>
                <w:tcPr>
                  <w:tcW w:w="3606" w:type="pct"/>
                  <w:tcBorders>
                    <w:tl2br w:val="nil"/>
                    <w:tr2bl w:val="nil"/>
                  </w:tcBorders>
                  <w:vAlign w:val="center"/>
                </w:tcPr>
                <w:p>
                  <w:pPr>
                    <w:jc w:val="center"/>
                    <w:rPr>
                      <w:color w:val="auto"/>
                      <w:szCs w:val="21"/>
                    </w:rPr>
                  </w:pPr>
                  <w:r>
                    <w:rPr>
                      <w:rFonts w:hint="eastAsia"/>
                      <w:color w:val="auto"/>
                      <w:szCs w:val="21"/>
                    </w:rPr>
                    <w:t>生产车间不供暖，项目办公室供热、制冷均采用空调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6" w:type="pct"/>
                  <w:vMerge w:val="restart"/>
                  <w:tcBorders>
                    <w:tl2br w:val="nil"/>
                    <w:tr2bl w:val="nil"/>
                  </w:tcBorders>
                  <w:vAlign w:val="center"/>
                </w:tcPr>
                <w:p>
                  <w:pPr>
                    <w:autoSpaceDE w:val="0"/>
                    <w:autoSpaceDN w:val="0"/>
                    <w:jc w:val="center"/>
                    <w:rPr>
                      <w:bCs/>
                      <w:snapToGrid w:val="0"/>
                      <w:color w:val="auto"/>
                      <w:kern w:val="0"/>
                      <w:szCs w:val="21"/>
                    </w:rPr>
                  </w:pPr>
                  <w:r>
                    <w:rPr>
                      <w:bCs/>
                      <w:snapToGrid w:val="0"/>
                      <w:color w:val="auto"/>
                      <w:kern w:val="0"/>
                      <w:szCs w:val="21"/>
                    </w:rPr>
                    <w:t>环保工程</w:t>
                  </w:r>
                </w:p>
              </w:tc>
              <w:tc>
                <w:tcPr>
                  <w:tcW w:w="297" w:type="pct"/>
                  <w:tcBorders>
                    <w:tl2br w:val="nil"/>
                    <w:tr2bl w:val="nil"/>
                  </w:tcBorders>
                  <w:vAlign w:val="center"/>
                </w:tcPr>
                <w:p>
                  <w:pPr>
                    <w:jc w:val="center"/>
                    <w:rPr>
                      <w:color w:val="auto"/>
                      <w:szCs w:val="21"/>
                    </w:rPr>
                  </w:pPr>
                  <w:r>
                    <w:rPr>
                      <w:color w:val="auto"/>
                      <w:szCs w:val="21"/>
                    </w:rPr>
                    <w:t>废气</w:t>
                  </w:r>
                </w:p>
              </w:tc>
              <w:tc>
                <w:tcPr>
                  <w:tcW w:w="4355" w:type="pct"/>
                  <w:gridSpan w:val="2"/>
                  <w:tcBorders>
                    <w:tl2br w:val="nil"/>
                    <w:tr2bl w:val="nil"/>
                  </w:tcBorders>
                  <w:vAlign w:val="center"/>
                </w:tcPr>
                <w:p>
                  <w:pPr>
                    <w:jc w:val="center"/>
                    <w:rPr>
                      <w:color w:val="auto"/>
                      <w:szCs w:val="21"/>
                    </w:rPr>
                  </w:pPr>
                  <w:r>
                    <w:rPr>
                      <w:color w:val="auto"/>
                      <w:szCs w:val="21"/>
                    </w:rPr>
                    <w:t>①熔炼废气通过脉冲袋式除尘器（</w:t>
                  </w:r>
                  <w:r>
                    <w:rPr>
                      <w:rFonts w:hint="eastAsia"/>
                      <w:color w:val="auto"/>
                      <w:szCs w:val="21"/>
                    </w:rPr>
                    <w:t>10000</w:t>
                  </w:r>
                  <w:r>
                    <w:rPr>
                      <w:color w:val="auto"/>
                      <w:szCs w:val="21"/>
                    </w:rPr>
                    <w:t>m</w:t>
                  </w:r>
                  <w:r>
                    <w:rPr>
                      <w:color w:val="auto"/>
                      <w:szCs w:val="21"/>
                      <w:vertAlign w:val="superscript"/>
                    </w:rPr>
                    <w:t>3</w:t>
                  </w:r>
                  <w:r>
                    <w:rPr>
                      <w:color w:val="auto"/>
                      <w:szCs w:val="21"/>
                    </w:rPr>
                    <w:t>/h）处理后经1根高15高排气筒（</w:t>
                  </w:r>
                  <w:r>
                    <w:rPr>
                      <w:rFonts w:hint="eastAsia"/>
                      <w:color w:val="auto"/>
                      <w:szCs w:val="21"/>
                    </w:rPr>
                    <w:t>DA001</w:t>
                  </w:r>
                  <w:r>
                    <w:rPr>
                      <w:color w:val="auto"/>
                      <w:szCs w:val="21"/>
                    </w:rPr>
                    <w:t>）排放；②</w:t>
                  </w:r>
                  <w:r>
                    <w:rPr>
                      <w:rFonts w:hint="eastAsia"/>
                      <w:color w:val="auto"/>
                      <w:szCs w:val="21"/>
                    </w:rPr>
                    <w:t>浇注、</w:t>
                  </w:r>
                  <w:r>
                    <w:rPr>
                      <w:color w:val="auto"/>
                      <w:szCs w:val="21"/>
                    </w:rPr>
                    <w:t>砂处理</w:t>
                  </w:r>
                  <w:r>
                    <w:rPr>
                      <w:rFonts w:hint="eastAsia"/>
                      <w:color w:val="auto"/>
                      <w:szCs w:val="21"/>
                    </w:rPr>
                    <w:t>、混砂、打磨</w:t>
                  </w:r>
                  <w:r>
                    <w:rPr>
                      <w:color w:val="auto"/>
                      <w:szCs w:val="21"/>
                    </w:rPr>
                    <w:t>含尘</w:t>
                  </w:r>
                  <w:r>
                    <w:rPr>
                      <w:rFonts w:hint="eastAsia"/>
                      <w:color w:val="auto"/>
                      <w:szCs w:val="21"/>
                    </w:rPr>
                    <w:t>以及顶吸废气</w:t>
                  </w:r>
                  <w:r>
                    <w:rPr>
                      <w:color w:val="auto"/>
                      <w:szCs w:val="21"/>
                    </w:rPr>
                    <w:t>通过脉冲袋式除尘器（</w:t>
                  </w:r>
                  <w:r>
                    <w:rPr>
                      <w:rFonts w:hint="eastAsia"/>
                      <w:color w:val="auto"/>
                      <w:szCs w:val="21"/>
                    </w:rPr>
                    <w:t>48000</w:t>
                  </w:r>
                  <w:r>
                    <w:rPr>
                      <w:color w:val="auto"/>
                      <w:szCs w:val="21"/>
                    </w:rPr>
                    <w:t>m</w:t>
                  </w:r>
                  <w:r>
                    <w:rPr>
                      <w:color w:val="auto"/>
                      <w:szCs w:val="21"/>
                      <w:vertAlign w:val="superscript"/>
                    </w:rPr>
                    <w:t>3</w:t>
                  </w:r>
                  <w:r>
                    <w:rPr>
                      <w:color w:val="auto"/>
                      <w:szCs w:val="21"/>
                    </w:rPr>
                    <w:t>/h）处理后经1根高15高排气筒（</w:t>
                  </w:r>
                  <w:r>
                    <w:rPr>
                      <w:rFonts w:hint="eastAsia"/>
                      <w:color w:val="auto"/>
                      <w:szCs w:val="21"/>
                    </w:rPr>
                    <w:t>DA002</w:t>
                  </w:r>
                  <w:r>
                    <w:rPr>
                      <w:color w:val="auto"/>
                      <w:szCs w:val="21"/>
                    </w:rPr>
                    <w:t>）排放</w:t>
                  </w:r>
                  <w:r>
                    <w:rPr>
                      <w:rFonts w:hint="eastAsia"/>
                      <w:color w:val="auto"/>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6" w:type="pct"/>
                  <w:vMerge w:val="continue"/>
                  <w:tcBorders>
                    <w:tl2br w:val="nil"/>
                    <w:tr2bl w:val="nil"/>
                  </w:tcBorders>
                  <w:vAlign w:val="center"/>
                </w:tcPr>
                <w:p>
                  <w:pPr>
                    <w:autoSpaceDE w:val="0"/>
                    <w:autoSpaceDN w:val="0"/>
                    <w:jc w:val="center"/>
                    <w:rPr>
                      <w:bCs/>
                      <w:snapToGrid w:val="0"/>
                      <w:color w:val="auto"/>
                      <w:kern w:val="0"/>
                      <w:szCs w:val="21"/>
                      <w:lang w:val="zh-CN"/>
                    </w:rPr>
                  </w:pPr>
                </w:p>
              </w:tc>
              <w:tc>
                <w:tcPr>
                  <w:tcW w:w="297" w:type="pct"/>
                  <w:vMerge w:val="restart"/>
                  <w:tcBorders>
                    <w:tl2br w:val="nil"/>
                    <w:tr2bl w:val="nil"/>
                  </w:tcBorders>
                  <w:vAlign w:val="center"/>
                </w:tcPr>
                <w:p>
                  <w:pPr>
                    <w:jc w:val="center"/>
                    <w:rPr>
                      <w:color w:val="auto"/>
                      <w:szCs w:val="21"/>
                    </w:rPr>
                  </w:pPr>
                  <w:r>
                    <w:rPr>
                      <w:color w:val="auto"/>
                      <w:szCs w:val="21"/>
                    </w:rPr>
                    <w:t>废水</w:t>
                  </w:r>
                </w:p>
              </w:tc>
              <w:tc>
                <w:tcPr>
                  <w:tcW w:w="4355" w:type="pct"/>
                  <w:gridSpan w:val="2"/>
                  <w:tcBorders>
                    <w:tl2br w:val="nil"/>
                    <w:tr2bl w:val="nil"/>
                  </w:tcBorders>
                  <w:vAlign w:val="center"/>
                </w:tcPr>
                <w:p>
                  <w:pPr>
                    <w:jc w:val="center"/>
                    <w:rPr>
                      <w:color w:val="auto"/>
                      <w:szCs w:val="21"/>
                    </w:rPr>
                  </w:pPr>
                  <w:r>
                    <w:rPr>
                      <w:color w:val="auto"/>
                      <w:szCs w:val="21"/>
                    </w:rPr>
                    <w:t>项目</w:t>
                  </w:r>
                  <w:r>
                    <w:rPr>
                      <w:rFonts w:hint="eastAsia"/>
                      <w:color w:val="auto"/>
                      <w:szCs w:val="21"/>
                    </w:rPr>
                    <w:t>冷却水循环利用不外排、洗车用水循环利用不外排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6" w:type="pct"/>
                  <w:vMerge w:val="continue"/>
                  <w:tcBorders>
                    <w:tl2br w:val="nil"/>
                    <w:tr2bl w:val="nil"/>
                  </w:tcBorders>
                  <w:vAlign w:val="center"/>
                </w:tcPr>
                <w:p>
                  <w:pPr>
                    <w:autoSpaceDE w:val="0"/>
                    <w:autoSpaceDN w:val="0"/>
                    <w:jc w:val="center"/>
                    <w:rPr>
                      <w:bCs/>
                      <w:snapToGrid w:val="0"/>
                      <w:color w:val="auto"/>
                      <w:kern w:val="0"/>
                      <w:szCs w:val="21"/>
                      <w:lang w:val="zh-CN"/>
                    </w:rPr>
                  </w:pPr>
                </w:p>
              </w:tc>
              <w:tc>
                <w:tcPr>
                  <w:tcW w:w="297" w:type="pct"/>
                  <w:vMerge w:val="continue"/>
                  <w:tcBorders>
                    <w:tl2br w:val="nil"/>
                    <w:tr2bl w:val="nil"/>
                  </w:tcBorders>
                  <w:vAlign w:val="center"/>
                </w:tcPr>
                <w:p>
                  <w:pPr>
                    <w:autoSpaceDE w:val="0"/>
                    <w:autoSpaceDN w:val="0"/>
                    <w:jc w:val="center"/>
                    <w:rPr>
                      <w:bCs/>
                      <w:snapToGrid w:val="0"/>
                      <w:color w:val="auto"/>
                      <w:kern w:val="0"/>
                      <w:szCs w:val="21"/>
                    </w:rPr>
                  </w:pPr>
                </w:p>
              </w:tc>
              <w:tc>
                <w:tcPr>
                  <w:tcW w:w="4355" w:type="pct"/>
                  <w:gridSpan w:val="2"/>
                  <w:tcBorders>
                    <w:tl2br w:val="nil"/>
                    <w:tr2bl w:val="nil"/>
                  </w:tcBorders>
                  <w:vAlign w:val="center"/>
                </w:tcPr>
                <w:p>
                  <w:pPr>
                    <w:jc w:val="center"/>
                    <w:rPr>
                      <w:color w:val="auto"/>
                      <w:szCs w:val="21"/>
                    </w:rPr>
                  </w:pPr>
                  <w:r>
                    <w:rPr>
                      <w:color w:val="auto"/>
                      <w:szCs w:val="21"/>
                    </w:rPr>
                    <w:t>职工</w:t>
                  </w:r>
                  <w:r>
                    <w:rPr>
                      <w:rFonts w:hint="eastAsia"/>
                      <w:color w:val="auto"/>
                      <w:szCs w:val="21"/>
                    </w:rPr>
                    <w:t>盥洗废水就地泼洒抑尘不外排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46" w:type="pct"/>
                  <w:vMerge w:val="continue"/>
                  <w:tcBorders>
                    <w:tl2br w:val="nil"/>
                    <w:tr2bl w:val="nil"/>
                  </w:tcBorders>
                  <w:vAlign w:val="center"/>
                </w:tcPr>
                <w:p>
                  <w:pPr>
                    <w:autoSpaceDE w:val="0"/>
                    <w:autoSpaceDN w:val="0"/>
                    <w:jc w:val="center"/>
                    <w:rPr>
                      <w:bCs/>
                      <w:snapToGrid w:val="0"/>
                      <w:color w:val="auto"/>
                      <w:kern w:val="0"/>
                      <w:szCs w:val="21"/>
                      <w:lang w:val="zh-CN"/>
                    </w:rPr>
                  </w:pPr>
                </w:p>
              </w:tc>
              <w:tc>
                <w:tcPr>
                  <w:tcW w:w="297" w:type="pct"/>
                  <w:tcBorders>
                    <w:tl2br w:val="nil"/>
                    <w:tr2bl w:val="nil"/>
                  </w:tcBorders>
                  <w:vAlign w:val="center"/>
                </w:tcPr>
                <w:p>
                  <w:pPr>
                    <w:autoSpaceDE w:val="0"/>
                    <w:autoSpaceDN w:val="0"/>
                    <w:jc w:val="center"/>
                    <w:rPr>
                      <w:bCs/>
                      <w:snapToGrid w:val="0"/>
                      <w:color w:val="auto"/>
                      <w:kern w:val="0"/>
                      <w:szCs w:val="21"/>
                    </w:rPr>
                  </w:pPr>
                  <w:r>
                    <w:rPr>
                      <w:bCs/>
                      <w:snapToGrid w:val="0"/>
                      <w:color w:val="auto"/>
                      <w:kern w:val="0"/>
                      <w:szCs w:val="21"/>
                    </w:rPr>
                    <w:t>噪声</w:t>
                  </w:r>
                </w:p>
              </w:tc>
              <w:tc>
                <w:tcPr>
                  <w:tcW w:w="4355" w:type="pct"/>
                  <w:gridSpan w:val="2"/>
                  <w:tcBorders>
                    <w:tl2br w:val="nil"/>
                    <w:tr2bl w:val="nil"/>
                  </w:tcBorders>
                  <w:vAlign w:val="center"/>
                </w:tcPr>
                <w:p>
                  <w:pPr>
                    <w:jc w:val="center"/>
                    <w:rPr>
                      <w:color w:val="auto"/>
                      <w:szCs w:val="21"/>
                    </w:rPr>
                  </w:pPr>
                  <w:r>
                    <w:rPr>
                      <w:color w:val="auto"/>
                      <w:szCs w:val="21"/>
                    </w:rPr>
                    <w:t>项目噪声源为主要为</w:t>
                  </w:r>
                  <w:r>
                    <w:rPr>
                      <w:rFonts w:hint="eastAsia"/>
                      <w:color w:val="auto"/>
                      <w:szCs w:val="21"/>
                    </w:rPr>
                    <w:t>电炉、退火炉、振动脱模、砂处理设备、震击式造型机、滚砂机、混砂机、天车、角磨机、风机、空压机</w:t>
                  </w:r>
                  <w:r>
                    <w:rPr>
                      <w:color w:val="auto"/>
                      <w:szCs w:val="21"/>
                    </w:rPr>
                    <w:t>等，设备安装基础减振，风机设置软连接，经封闭厂房隔声后，</w:t>
                  </w:r>
                  <w:r>
                    <w:rPr>
                      <w:rFonts w:hint="eastAsia"/>
                      <w:color w:val="auto"/>
                      <w:szCs w:val="21"/>
                    </w:rPr>
                    <w:t>四周</w:t>
                  </w:r>
                  <w:r>
                    <w:rPr>
                      <w:color w:val="auto"/>
                      <w:szCs w:val="21"/>
                    </w:rPr>
                    <w:t>厂界</w:t>
                  </w:r>
                  <w:r>
                    <w:rPr>
                      <w:rFonts w:hint="eastAsia"/>
                      <w:color w:val="auto"/>
                      <w:szCs w:val="21"/>
                    </w:rPr>
                    <w:t>昼夜</w:t>
                  </w:r>
                  <w:r>
                    <w:rPr>
                      <w:color w:val="auto"/>
                      <w:szCs w:val="21"/>
                    </w:rPr>
                    <w:t>噪声预测值</w:t>
                  </w:r>
                  <w:r>
                    <w:rPr>
                      <w:rFonts w:hint="eastAsia"/>
                      <w:color w:val="auto"/>
                      <w:szCs w:val="21"/>
                    </w:rPr>
                    <w:t>均</w:t>
                  </w:r>
                  <w:r>
                    <w:rPr>
                      <w:color w:val="auto"/>
                      <w:szCs w:val="21"/>
                    </w:rPr>
                    <w:t>满足《工业企业厂界环境噪声排放标准》(GB12348-2008)</w:t>
                  </w:r>
                  <w:r>
                    <w:rPr>
                      <w:rFonts w:hint="eastAsia"/>
                      <w:color w:val="auto"/>
                      <w:szCs w:val="21"/>
                    </w:rPr>
                    <w:t>2</w:t>
                  </w:r>
                  <w:r>
                    <w:rPr>
                      <w:color w:val="auto"/>
                      <w:szCs w:val="21"/>
                    </w:rPr>
                    <w:t>类标准限值要求。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6" w:type="pct"/>
                  <w:vMerge w:val="continue"/>
                  <w:tcBorders>
                    <w:tl2br w:val="nil"/>
                    <w:tr2bl w:val="nil"/>
                  </w:tcBorders>
                  <w:vAlign w:val="center"/>
                </w:tcPr>
                <w:p>
                  <w:pPr>
                    <w:autoSpaceDE w:val="0"/>
                    <w:autoSpaceDN w:val="0"/>
                    <w:jc w:val="center"/>
                    <w:rPr>
                      <w:bCs/>
                      <w:snapToGrid w:val="0"/>
                      <w:color w:val="auto"/>
                      <w:kern w:val="0"/>
                      <w:szCs w:val="21"/>
                      <w:lang w:val="zh-CN"/>
                    </w:rPr>
                  </w:pPr>
                </w:p>
              </w:tc>
              <w:tc>
                <w:tcPr>
                  <w:tcW w:w="297" w:type="pct"/>
                  <w:vMerge w:val="restart"/>
                  <w:tcBorders>
                    <w:tl2br w:val="nil"/>
                    <w:tr2bl w:val="nil"/>
                  </w:tcBorders>
                  <w:vAlign w:val="center"/>
                </w:tcPr>
                <w:p>
                  <w:pPr>
                    <w:jc w:val="center"/>
                    <w:rPr>
                      <w:color w:val="auto"/>
                      <w:szCs w:val="21"/>
                    </w:rPr>
                  </w:pPr>
                  <w:r>
                    <w:rPr>
                      <w:color w:val="auto"/>
                      <w:szCs w:val="21"/>
                    </w:rPr>
                    <w:t>固废</w:t>
                  </w:r>
                </w:p>
              </w:tc>
              <w:tc>
                <w:tcPr>
                  <w:tcW w:w="749" w:type="pct"/>
                  <w:tcBorders>
                    <w:tl2br w:val="nil"/>
                    <w:tr2bl w:val="nil"/>
                  </w:tcBorders>
                  <w:vAlign w:val="center"/>
                </w:tcPr>
                <w:p>
                  <w:pPr>
                    <w:jc w:val="center"/>
                    <w:rPr>
                      <w:color w:val="auto"/>
                      <w:szCs w:val="21"/>
                    </w:rPr>
                  </w:pPr>
                  <w:r>
                    <w:rPr>
                      <w:color w:val="auto"/>
                      <w:szCs w:val="21"/>
                    </w:rPr>
                    <w:t>一般固废暂存</w:t>
                  </w:r>
                  <w:r>
                    <w:rPr>
                      <w:rFonts w:hint="eastAsia"/>
                      <w:color w:val="auto"/>
                      <w:szCs w:val="21"/>
                    </w:rPr>
                    <w:t>区</w:t>
                  </w:r>
                </w:p>
              </w:tc>
              <w:tc>
                <w:tcPr>
                  <w:tcW w:w="3606" w:type="pct"/>
                  <w:tcBorders>
                    <w:tl2br w:val="nil"/>
                    <w:tr2bl w:val="nil"/>
                  </w:tcBorders>
                  <w:vAlign w:val="center"/>
                </w:tcPr>
                <w:p>
                  <w:pPr>
                    <w:jc w:val="center"/>
                    <w:rPr>
                      <w:color w:val="auto"/>
                      <w:szCs w:val="21"/>
                    </w:rPr>
                  </w:pPr>
                  <w:r>
                    <w:rPr>
                      <w:rFonts w:hint="eastAsia"/>
                      <w:color w:val="auto"/>
                      <w:szCs w:val="21"/>
                    </w:rPr>
                    <w:t>生产车间内部</w:t>
                  </w:r>
                  <w:r>
                    <w:rPr>
                      <w:color w:val="auto"/>
                      <w:szCs w:val="21"/>
                    </w:rPr>
                    <w:t>设置</w:t>
                  </w:r>
                  <w:r>
                    <w:rPr>
                      <w:rFonts w:hint="eastAsia"/>
                      <w:color w:val="auto"/>
                      <w:szCs w:val="21"/>
                    </w:rPr>
                    <w:t>一般固废暂存区</w:t>
                  </w:r>
                  <w:r>
                    <w:rPr>
                      <w:color w:val="auto"/>
                      <w:szCs w:val="21"/>
                    </w:rPr>
                    <w:t>，尺寸长</w:t>
                  </w:r>
                  <w:r>
                    <w:rPr>
                      <w:rFonts w:hint="eastAsia"/>
                      <w:color w:val="auto"/>
                      <w:szCs w:val="21"/>
                    </w:rPr>
                    <w:t>4</w:t>
                  </w:r>
                  <w:r>
                    <w:rPr>
                      <w:color w:val="auto"/>
                      <w:szCs w:val="21"/>
                    </w:rPr>
                    <w:t>m、宽</w:t>
                  </w:r>
                  <w:r>
                    <w:rPr>
                      <w:rFonts w:hint="eastAsia"/>
                      <w:color w:val="auto"/>
                      <w:szCs w:val="21"/>
                    </w:rPr>
                    <w:t>3</w:t>
                  </w:r>
                  <w:r>
                    <w:rPr>
                      <w:color w:val="auto"/>
                      <w:szCs w:val="21"/>
                    </w:rPr>
                    <w:t>m，占地面积</w:t>
                  </w:r>
                  <w:r>
                    <w:rPr>
                      <w:rFonts w:hint="eastAsia"/>
                      <w:color w:val="auto"/>
                      <w:szCs w:val="21"/>
                    </w:rPr>
                    <w:t>12</w:t>
                  </w:r>
                  <w:r>
                    <w:rPr>
                      <w:color w:val="auto"/>
                      <w:szCs w:val="21"/>
                    </w:rPr>
                    <w:t>m</w:t>
                  </w:r>
                  <w:r>
                    <w:rPr>
                      <w:color w:val="auto"/>
                      <w:szCs w:val="21"/>
                      <w:vertAlign w:val="superscript"/>
                    </w:rPr>
                    <w:t>2</w:t>
                  </w:r>
                  <w:r>
                    <w:rPr>
                      <w:color w:val="auto"/>
                      <w:szCs w:val="21"/>
                    </w:rPr>
                    <w:t>，用于储存一般固废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6" w:type="pct"/>
                  <w:vMerge w:val="continue"/>
                  <w:tcBorders>
                    <w:tl2br w:val="nil"/>
                    <w:tr2bl w:val="nil"/>
                  </w:tcBorders>
                  <w:vAlign w:val="center"/>
                </w:tcPr>
                <w:p>
                  <w:pPr>
                    <w:autoSpaceDE w:val="0"/>
                    <w:autoSpaceDN w:val="0"/>
                    <w:jc w:val="center"/>
                    <w:rPr>
                      <w:bCs/>
                      <w:snapToGrid w:val="0"/>
                      <w:color w:val="auto"/>
                      <w:kern w:val="0"/>
                      <w:szCs w:val="21"/>
                      <w:lang w:val="zh-CN"/>
                    </w:rPr>
                  </w:pPr>
                </w:p>
              </w:tc>
              <w:tc>
                <w:tcPr>
                  <w:tcW w:w="297" w:type="pct"/>
                  <w:vMerge w:val="continue"/>
                  <w:tcBorders>
                    <w:tl2br w:val="nil"/>
                    <w:tr2bl w:val="nil"/>
                  </w:tcBorders>
                  <w:vAlign w:val="center"/>
                </w:tcPr>
                <w:p>
                  <w:pPr>
                    <w:jc w:val="center"/>
                    <w:rPr>
                      <w:color w:val="auto"/>
                      <w:szCs w:val="21"/>
                    </w:rPr>
                  </w:pPr>
                </w:p>
              </w:tc>
              <w:tc>
                <w:tcPr>
                  <w:tcW w:w="749" w:type="pct"/>
                  <w:tcBorders>
                    <w:tl2br w:val="nil"/>
                    <w:tr2bl w:val="nil"/>
                  </w:tcBorders>
                  <w:vAlign w:val="center"/>
                </w:tcPr>
                <w:p>
                  <w:pPr>
                    <w:jc w:val="center"/>
                    <w:rPr>
                      <w:color w:val="auto"/>
                      <w:szCs w:val="21"/>
                    </w:rPr>
                  </w:pPr>
                  <w:r>
                    <w:rPr>
                      <w:color w:val="auto"/>
                      <w:szCs w:val="21"/>
                    </w:rPr>
                    <w:t>危废间</w:t>
                  </w:r>
                </w:p>
              </w:tc>
              <w:tc>
                <w:tcPr>
                  <w:tcW w:w="3606" w:type="pct"/>
                  <w:tcBorders>
                    <w:tl2br w:val="nil"/>
                    <w:tr2bl w:val="nil"/>
                  </w:tcBorders>
                  <w:vAlign w:val="center"/>
                </w:tcPr>
                <w:p>
                  <w:pPr>
                    <w:jc w:val="center"/>
                    <w:rPr>
                      <w:color w:val="auto"/>
                      <w:szCs w:val="21"/>
                    </w:rPr>
                  </w:pPr>
                  <w:r>
                    <w:rPr>
                      <w:color w:val="auto"/>
                      <w:szCs w:val="21"/>
                    </w:rPr>
                    <w:t>厂区</w:t>
                  </w:r>
                  <w:r>
                    <w:rPr>
                      <w:rFonts w:hint="eastAsia"/>
                      <w:color w:val="auto"/>
                      <w:szCs w:val="21"/>
                    </w:rPr>
                    <w:t>东</w:t>
                  </w:r>
                  <w:r>
                    <w:rPr>
                      <w:color w:val="auto"/>
                      <w:szCs w:val="21"/>
                    </w:rPr>
                    <w:t>侧设置危废间，砖混结构，尺寸长</w:t>
                  </w:r>
                  <w:r>
                    <w:rPr>
                      <w:rFonts w:hint="eastAsia"/>
                      <w:color w:val="auto"/>
                      <w:szCs w:val="21"/>
                    </w:rPr>
                    <w:t>2</w:t>
                  </w:r>
                  <w:r>
                    <w:rPr>
                      <w:color w:val="auto"/>
                      <w:szCs w:val="21"/>
                    </w:rPr>
                    <w:t>m、宽</w:t>
                  </w:r>
                  <w:r>
                    <w:rPr>
                      <w:rFonts w:hint="eastAsia"/>
                      <w:color w:val="auto"/>
                      <w:szCs w:val="21"/>
                    </w:rPr>
                    <w:t>2</w:t>
                  </w:r>
                  <w:r>
                    <w:rPr>
                      <w:color w:val="auto"/>
                      <w:szCs w:val="21"/>
                    </w:rPr>
                    <w:t>m、高3m，砖混结构、占地面积</w:t>
                  </w:r>
                  <w:r>
                    <w:rPr>
                      <w:rFonts w:hint="eastAsia"/>
                      <w:color w:val="auto"/>
                      <w:szCs w:val="21"/>
                    </w:rPr>
                    <w:t>4</w:t>
                  </w:r>
                  <w:r>
                    <w:rPr>
                      <w:color w:val="auto"/>
                      <w:szCs w:val="21"/>
                    </w:rPr>
                    <w:t>m</w:t>
                  </w:r>
                  <w:r>
                    <w:rPr>
                      <w:color w:val="auto"/>
                      <w:szCs w:val="21"/>
                      <w:vertAlign w:val="superscript"/>
                    </w:rPr>
                    <w:t>2</w:t>
                  </w:r>
                  <w:r>
                    <w:rPr>
                      <w:color w:val="auto"/>
                      <w:szCs w:val="21"/>
                    </w:rPr>
                    <w:t>，用于储存危险废物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6" w:type="pct"/>
                  <w:vMerge w:val="continue"/>
                  <w:tcBorders>
                    <w:tl2br w:val="nil"/>
                    <w:tr2bl w:val="nil"/>
                  </w:tcBorders>
                  <w:vAlign w:val="center"/>
                </w:tcPr>
                <w:p>
                  <w:pPr>
                    <w:autoSpaceDE w:val="0"/>
                    <w:autoSpaceDN w:val="0"/>
                    <w:jc w:val="center"/>
                    <w:rPr>
                      <w:bCs/>
                      <w:snapToGrid w:val="0"/>
                      <w:color w:val="auto"/>
                      <w:kern w:val="0"/>
                      <w:szCs w:val="21"/>
                      <w:lang w:val="zh-CN"/>
                    </w:rPr>
                  </w:pPr>
                </w:p>
              </w:tc>
              <w:tc>
                <w:tcPr>
                  <w:tcW w:w="297" w:type="pct"/>
                  <w:vMerge w:val="continue"/>
                  <w:tcBorders>
                    <w:tl2br w:val="nil"/>
                    <w:tr2bl w:val="nil"/>
                  </w:tcBorders>
                  <w:vAlign w:val="center"/>
                </w:tcPr>
                <w:p>
                  <w:pPr>
                    <w:jc w:val="center"/>
                    <w:rPr>
                      <w:color w:val="auto"/>
                      <w:szCs w:val="21"/>
                    </w:rPr>
                  </w:pPr>
                </w:p>
              </w:tc>
              <w:tc>
                <w:tcPr>
                  <w:tcW w:w="749" w:type="pct"/>
                  <w:tcBorders>
                    <w:tl2br w:val="nil"/>
                    <w:tr2bl w:val="nil"/>
                  </w:tcBorders>
                  <w:vAlign w:val="center"/>
                </w:tcPr>
                <w:p>
                  <w:pPr>
                    <w:jc w:val="center"/>
                    <w:rPr>
                      <w:color w:val="auto"/>
                      <w:szCs w:val="21"/>
                    </w:rPr>
                  </w:pPr>
                  <w:r>
                    <w:rPr>
                      <w:color w:val="auto"/>
                      <w:szCs w:val="21"/>
                    </w:rPr>
                    <w:t>一般固废</w:t>
                  </w:r>
                </w:p>
              </w:tc>
              <w:tc>
                <w:tcPr>
                  <w:tcW w:w="3606" w:type="pct"/>
                  <w:tcBorders>
                    <w:tl2br w:val="nil"/>
                    <w:tr2bl w:val="nil"/>
                  </w:tcBorders>
                  <w:vAlign w:val="center"/>
                </w:tcPr>
                <w:p>
                  <w:pPr>
                    <w:jc w:val="center"/>
                    <w:rPr>
                      <w:color w:val="auto"/>
                      <w:szCs w:val="21"/>
                    </w:rPr>
                  </w:pPr>
                  <w:r>
                    <w:rPr>
                      <w:rFonts w:hint="eastAsia"/>
                      <w:color w:val="auto"/>
                      <w:szCs w:val="21"/>
                    </w:rPr>
                    <w:t>除尘灰集中收集至吨包袋后外售综合利用、熔炼渣集中收集后外售综合利用，切冒口</w:t>
                  </w:r>
                  <w:r>
                    <w:rPr>
                      <w:rFonts w:hint="eastAsia"/>
                      <w:color w:val="auto"/>
                      <w:szCs w:val="21"/>
                      <w:lang w:val="en-US" w:eastAsia="zh-CN"/>
                    </w:rPr>
                    <w:t>产生的</w:t>
                  </w:r>
                  <w:r>
                    <w:rPr>
                      <w:rFonts w:hint="eastAsia"/>
                      <w:color w:val="auto"/>
                      <w:szCs w:val="21"/>
                    </w:rPr>
                    <w:t>废铁回用于生产，砂处理产生的废砂包装后作为原料外售于处理厂家，废布袋由厂家回收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6" w:type="pct"/>
                  <w:vMerge w:val="continue"/>
                  <w:tcBorders>
                    <w:tl2br w:val="nil"/>
                    <w:tr2bl w:val="nil"/>
                  </w:tcBorders>
                  <w:vAlign w:val="center"/>
                </w:tcPr>
                <w:p>
                  <w:pPr>
                    <w:autoSpaceDE w:val="0"/>
                    <w:autoSpaceDN w:val="0"/>
                    <w:jc w:val="center"/>
                    <w:rPr>
                      <w:bCs/>
                      <w:snapToGrid w:val="0"/>
                      <w:color w:val="auto"/>
                      <w:kern w:val="0"/>
                      <w:szCs w:val="21"/>
                      <w:lang w:val="zh-CN"/>
                    </w:rPr>
                  </w:pPr>
                </w:p>
              </w:tc>
              <w:tc>
                <w:tcPr>
                  <w:tcW w:w="297" w:type="pct"/>
                  <w:vMerge w:val="continue"/>
                  <w:tcBorders>
                    <w:tl2br w:val="nil"/>
                    <w:tr2bl w:val="nil"/>
                  </w:tcBorders>
                  <w:vAlign w:val="center"/>
                </w:tcPr>
                <w:p>
                  <w:pPr>
                    <w:jc w:val="center"/>
                    <w:rPr>
                      <w:color w:val="auto"/>
                      <w:szCs w:val="21"/>
                    </w:rPr>
                  </w:pPr>
                </w:p>
              </w:tc>
              <w:tc>
                <w:tcPr>
                  <w:tcW w:w="749" w:type="pct"/>
                  <w:tcBorders>
                    <w:tl2br w:val="nil"/>
                    <w:tr2bl w:val="nil"/>
                  </w:tcBorders>
                  <w:vAlign w:val="center"/>
                </w:tcPr>
                <w:p>
                  <w:pPr>
                    <w:jc w:val="center"/>
                    <w:rPr>
                      <w:color w:val="auto"/>
                      <w:szCs w:val="21"/>
                    </w:rPr>
                  </w:pPr>
                  <w:r>
                    <w:rPr>
                      <w:rFonts w:hint="eastAsia"/>
                      <w:color w:val="auto"/>
                      <w:szCs w:val="21"/>
                    </w:rPr>
                    <w:t>危险废物</w:t>
                  </w:r>
                </w:p>
              </w:tc>
              <w:tc>
                <w:tcPr>
                  <w:tcW w:w="3606" w:type="pct"/>
                  <w:tcBorders>
                    <w:tl2br w:val="nil"/>
                    <w:tr2bl w:val="nil"/>
                  </w:tcBorders>
                  <w:vAlign w:val="center"/>
                </w:tcPr>
                <w:p>
                  <w:pPr>
                    <w:jc w:val="center"/>
                    <w:rPr>
                      <w:color w:val="auto"/>
                      <w:szCs w:val="21"/>
                    </w:rPr>
                  </w:pPr>
                  <w:r>
                    <w:rPr>
                      <w:rFonts w:hint="eastAsia"/>
                      <w:color w:val="auto"/>
                      <w:szCs w:val="21"/>
                    </w:rPr>
                    <w:t>废</w:t>
                  </w:r>
                  <w:r>
                    <w:rPr>
                      <w:color w:val="auto"/>
                      <w:szCs w:val="21"/>
                    </w:rPr>
                    <w:t>矿物油</w:t>
                  </w:r>
                  <w:r>
                    <w:rPr>
                      <w:rFonts w:hint="eastAsia"/>
                      <w:color w:val="auto"/>
                      <w:szCs w:val="21"/>
                    </w:rPr>
                    <w:t>、废油桶暂存于危废间，委托有资质单位处置</w:t>
                  </w:r>
                </w:p>
              </w:tc>
            </w:tr>
          </w:tbl>
          <w:p>
            <w:pPr>
              <w:spacing w:line="460" w:lineRule="exact"/>
              <w:ind w:firstLine="480" w:firstLineChars="200"/>
              <w:rPr>
                <w:color w:val="auto"/>
                <w:sz w:val="24"/>
              </w:rPr>
            </w:pPr>
            <w:r>
              <w:rPr>
                <w:rFonts w:hint="eastAsia"/>
                <w:color w:val="auto"/>
                <w:sz w:val="24"/>
              </w:rPr>
              <w:t>（5）建构筑物</w:t>
            </w:r>
          </w:p>
          <w:p>
            <w:pPr>
              <w:spacing w:line="460" w:lineRule="exact"/>
              <w:ind w:firstLine="480" w:firstLineChars="200"/>
              <w:rPr>
                <w:color w:val="auto"/>
                <w:sz w:val="24"/>
              </w:rPr>
            </w:pPr>
            <w:r>
              <w:rPr>
                <w:rFonts w:hint="eastAsia"/>
                <w:color w:val="auto"/>
                <w:sz w:val="24"/>
              </w:rPr>
              <w:t>本项目主要利旧改新建设的生产车间。</w:t>
            </w:r>
          </w:p>
          <w:p>
            <w:pPr>
              <w:spacing w:line="460" w:lineRule="exact"/>
              <w:jc w:val="center"/>
              <w:rPr>
                <w:b/>
                <w:snapToGrid w:val="0"/>
                <w:color w:val="auto"/>
                <w:kern w:val="0"/>
                <w:sz w:val="24"/>
              </w:rPr>
            </w:pPr>
            <w:r>
              <w:rPr>
                <w:b/>
                <w:snapToGrid w:val="0"/>
                <w:color w:val="auto"/>
                <w:kern w:val="0"/>
                <w:sz w:val="24"/>
              </w:rPr>
              <w:t>表</w:t>
            </w:r>
            <w:r>
              <w:rPr>
                <w:rFonts w:hint="eastAsia"/>
                <w:b/>
                <w:snapToGrid w:val="0"/>
                <w:color w:val="auto"/>
                <w:kern w:val="0"/>
                <w:sz w:val="24"/>
              </w:rPr>
              <w:t>10</w:t>
            </w:r>
            <w:r>
              <w:rPr>
                <w:b/>
                <w:snapToGrid w:val="0"/>
                <w:color w:val="auto"/>
                <w:kern w:val="0"/>
                <w:sz w:val="24"/>
              </w:rPr>
              <w:t xml:space="preserve">      项目主要建构筑物一览表</w:t>
            </w:r>
          </w:p>
          <w:tbl>
            <w:tblPr>
              <w:tblStyle w:val="33"/>
              <w:tblW w:w="842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599"/>
              <w:gridCol w:w="612"/>
              <w:gridCol w:w="900"/>
              <w:gridCol w:w="922"/>
              <w:gridCol w:w="538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90" w:hRule="atLeast"/>
                <w:jc w:val="center"/>
              </w:trPr>
              <w:tc>
                <w:tcPr>
                  <w:tcW w:w="599" w:type="dxa"/>
                  <w:vAlign w:val="center"/>
                </w:tcPr>
                <w:p>
                  <w:pPr>
                    <w:widowControl/>
                    <w:adjustRightInd w:val="0"/>
                    <w:snapToGrid w:val="0"/>
                    <w:jc w:val="center"/>
                    <w:textAlignment w:val="center"/>
                    <w:rPr>
                      <w:color w:val="auto"/>
                      <w:szCs w:val="21"/>
                    </w:rPr>
                  </w:pPr>
                  <w:r>
                    <w:rPr>
                      <w:color w:val="auto"/>
                      <w:kern w:val="0"/>
                      <w:szCs w:val="21"/>
                    </w:rPr>
                    <w:t>序号</w:t>
                  </w:r>
                </w:p>
              </w:tc>
              <w:tc>
                <w:tcPr>
                  <w:tcW w:w="612" w:type="dxa"/>
                  <w:vAlign w:val="center"/>
                </w:tcPr>
                <w:p>
                  <w:pPr>
                    <w:widowControl/>
                    <w:adjustRightInd w:val="0"/>
                    <w:snapToGrid w:val="0"/>
                    <w:jc w:val="center"/>
                    <w:textAlignment w:val="center"/>
                    <w:rPr>
                      <w:color w:val="auto"/>
                      <w:szCs w:val="21"/>
                    </w:rPr>
                  </w:pPr>
                  <w:r>
                    <w:rPr>
                      <w:color w:val="auto"/>
                      <w:kern w:val="0"/>
                      <w:szCs w:val="21"/>
                    </w:rPr>
                    <w:t>名称</w:t>
                  </w:r>
                </w:p>
              </w:tc>
              <w:tc>
                <w:tcPr>
                  <w:tcW w:w="900" w:type="dxa"/>
                  <w:vAlign w:val="center"/>
                </w:tcPr>
                <w:p>
                  <w:pPr>
                    <w:widowControl/>
                    <w:adjustRightInd w:val="0"/>
                    <w:snapToGrid w:val="0"/>
                    <w:jc w:val="center"/>
                    <w:textAlignment w:val="center"/>
                    <w:rPr>
                      <w:color w:val="auto"/>
                      <w:szCs w:val="21"/>
                    </w:rPr>
                  </w:pPr>
                  <w:r>
                    <w:rPr>
                      <w:color w:val="auto"/>
                      <w:kern w:val="0"/>
                      <w:szCs w:val="21"/>
                    </w:rPr>
                    <w:t>占地面积</w:t>
                  </w:r>
                </w:p>
              </w:tc>
              <w:tc>
                <w:tcPr>
                  <w:tcW w:w="922" w:type="dxa"/>
                  <w:vAlign w:val="center"/>
                </w:tcPr>
                <w:p>
                  <w:pPr>
                    <w:widowControl/>
                    <w:adjustRightInd w:val="0"/>
                    <w:snapToGrid w:val="0"/>
                    <w:jc w:val="center"/>
                    <w:textAlignment w:val="center"/>
                    <w:rPr>
                      <w:color w:val="auto"/>
                      <w:szCs w:val="21"/>
                    </w:rPr>
                  </w:pPr>
                  <w:r>
                    <w:rPr>
                      <w:color w:val="auto"/>
                      <w:kern w:val="0"/>
                      <w:szCs w:val="21"/>
                    </w:rPr>
                    <w:t>建筑面积</w:t>
                  </w:r>
                </w:p>
              </w:tc>
              <w:tc>
                <w:tcPr>
                  <w:tcW w:w="5389" w:type="dxa"/>
                  <w:tcBorders>
                    <w:right w:val="nil"/>
                  </w:tcBorders>
                  <w:vAlign w:val="center"/>
                </w:tcPr>
                <w:p>
                  <w:pPr>
                    <w:widowControl/>
                    <w:adjustRightInd w:val="0"/>
                    <w:snapToGrid w:val="0"/>
                    <w:jc w:val="center"/>
                    <w:textAlignment w:val="center"/>
                    <w:rPr>
                      <w:color w:val="auto"/>
                      <w:kern w:val="0"/>
                      <w:szCs w:val="21"/>
                    </w:rPr>
                  </w:pPr>
                  <w:r>
                    <w:rPr>
                      <w:color w:val="auto"/>
                      <w:kern w:val="0"/>
                      <w:szCs w:val="21"/>
                    </w:rPr>
                    <w:t>结构形式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90" w:hRule="atLeast"/>
                <w:jc w:val="center"/>
              </w:trPr>
              <w:tc>
                <w:tcPr>
                  <w:tcW w:w="599" w:type="dxa"/>
                  <w:tcBorders>
                    <w:left w:val="nil"/>
                  </w:tcBorders>
                  <w:vAlign w:val="center"/>
                </w:tcPr>
                <w:p>
                  <w:pPr>
                    <w:widowControl/>
                    <w:adjustRightInd w:val="0"/>
                    <w:snapToGrid w:val="0"/>
                    <w:jc w:val="center"/>
                    <w:textAlignment w:val="center"/>
                    <w:rPr>
                      <w:color w:val="auto"/>
                      <w:szCs w:val="21"/>
                    </w:rPr>
                  </w:pPr>
                  <w:r>
                    <w:rPr>
                      <w:color w:val="auto"/>
                      <w:kern w:val="0"/>
                      <w:szCs w:val="21"/>
                    </w:rPr>
                    <w:t>1</w:t>
                  </w:r>
                </w:p>
              </w:tc>
              <w:tc>
                <w:tcPr>
                  <w:tcW w:w="612" w:type="dxa"/>
                  <w:vAlign w:val="center"/>
                </w:tcPr>
                <w:p>
                  <w:pPr>
                    <w:widowControl/>
                    <w:adjustRightInd w:val="0"/>
                    <w:snapToGrid w:val="0"/>
                    <w:jc w:val="center"/>
                    <w:textAlignment w:val="center"/>
                    <w:rPr>
                      <w:color w:val="auto"/>
                      <w:szCs w:val="21"/>
                    </w:rPr>
                  </w:pPr>
                  <w:r>
                    <w:rPr>
                      <w:snapToGrid w:val="0"/>
                      <w:color w:val="auto"/>
                      <w:kern w:val="0"/>
                      <w:szCs w:val="21"/>
                    </w:rPr>
                    <w:t>生产车间</w:t>
                  </w:r>
                </w:p>
              </w:tc>
              <w:tc>
                <w:tcPr>
                  <w:tcW w:w="900" w:type="dxa"/>
                  <w:vAlign w:val="center"/>
                </w:tcPr>
                <w:p>
                  <w:pPr>
                    <w:widowControl/>
                    <w:adjustRightInd w:val="0"/>
                    <w:snapToGrid w:val="0"/>
                    <w:jc w:val="center"/>
                    <w:textAlignment w:val="center"/>
                    <w:rPr>
                      <w:color w:val="auto"/>
                      <w:szCs w:val="21"/>
                    </w:rPr>
                  </w:pPr>
                  <w:r>
                    <w:rPr>
                      <w:rFonts w:hint="eastAsia"/>
                      <w:color w:val="auto"/>
                      <w:szCs w:val="21"/>
                    </w:rPr>
                    <w:t>20</w:t>
                  </w:r>
                  <w:r>
                    <w:rPr>
                      <w:color w:val="auto"/>
                      <w:szCs w:val="21"/>
                    </w:rPr>
                    <w:t>00</w:t>
                  </w:r>
                  <w:r>
                    <w:rPr>
                      <w:color w:val="auto"/>
                      <w:kern w:val="0"/>
                      <w:szCs w:val="21"/>
                    </w:rPr>
                    <w:t>m</w:t>
                  </w:r>
                  <w:r>
                    <w:rPr>
                      <w:color w:val="auto"/>
                      <w:kern w:val="0"/>
                      <w:szCs w:val="21"/>
                      <w:vertAlign w:val="superscript"/>
                    </w:rPr>
                    <w:t>2</w:t>
                  </w:r>
                </w:p>
              </w:tc>
              <w:tc>
                <w:tcPr>
                  <w:tcW w:w="922" w:type="dxa"/>
                  <w:vAlign w:val="center"/>
                </w:tcPr>
                <w:p>
                  <w:pPr>
                    <w:widowControl/>
                    <w:adjustRightInd w:val="0"/>
                    <w:snapToGrid w:val="0"/>
                    <w:jc w:val="center"/>
                    <w:textAlignment w:val="center"/>
                    <w:rPr>
                      <w:color w:val="auto"/>
                      <w:szCs w:val="21"/>
                    </w:rPr>
                  </w:pPr>
                  <w:r>
                    <w:rPr>
                      <w:rFonts w:hint="eastAsia"/>
                      <w:color w:val="auto"/>
                      <w:szCs w:val="21"/>
                    </w:rPr>
                    <w:t>20</w:t>
                  </w:r>
                  <w:r>
                    <w:rPr>
                      <w:color w:val="auto"/>
                      <w:szCs w:val="21"/>
                    </w:rPr>
                    <w:t>00</w:t>
                  </w:r>
                  <w:r>
                    <w:rPr>
                      <w:color w:val="auto"/>
                      <w:kern w:val="0"/>
                      <w:szCs w:val="21"/>
                    </w:rPr>
                    <w:t>m</w:t>
                  </w:r>
                  <w:r>
                    <w:rPr>
                      <w:color w:val="auto"/>
                      <w:kern w:val="0"/>
                      <w:szCs w:val="21"/>
                      <w:vertAlign w:val="superscript"/>
                    </w:rPr>
                    <w:t>2</w:t>
                  </w:r>
                </w:p>
              </w:tc>
              <w:tc>
                <w:tcPr>
                  <w:tcW w:w="5389" w:type="dxa"/>
                  <w:tcBorders>
                    <w:right w:val="nil"/>
                  </w:tcBorders>
                  <w:vAlign w:val="center"/>
                </w:tcPr>
                <w:p>
                  <w:pPr>
                    <w:widowControl/>
                    <w:adjustRightInd w:val="0"/>
                    <w:snapToGrid w:val="0"/>
                    <w:jc w:val="center"/>
                    <w:rPr>
                      <w:color w:val="auto"/>
                      <w:kern w:val="0"/>
                      <w:szCs w:val="21"/>
                    </w:rPr>
                  </w:pPr>
                  <w:r>
                    <w:rPr>
                      <w:rFonts w:hint="eastAsia"/>
                      <w:color w:val="auto"/>
                      <w:szCs w:val="21"/>
                    </w:rPr>
                    <w:t>1.5m高砖混结构墙体+单层彩钢结构，内部设置办公室、危险废物暂存间、一般固废暂存区、原料储存区、成品储存区</w:t>
                  </w:r>
                </w:p>
              </w:tc>
            </w:tr>
          </w:tbl>
          <w:p>
            <w:pPr>
              <w:spacing w:line="460" w:lineRule="exact"/>
              <w:ind w:firstLine="480" w:firstLineChars="200"/>
              <w:rPr>
                <w:color w:val="auto"/>
                <w:sz w:val="24"/>
              </w:rPr>
            </w:pPr>
            <w:r>
              <w:rPr>
                <w:rFonts w:hint="eastAsia"/>
                <w:color w:val="auto"/>
                <w:sz w:val="24"/>
              </w:rPr>
              <w:t>（6）产品方案</w:t>
            </w:r>
          </w:p>
          <w:p>
            <w:pPr>
              <w:spacing w:line="460" w:lineRule="exact"/>
              <w:ind w:firstLine="602" w:firstLineChars="250"/>
              <w:jc w:val="center"/>
              <w:rPr>
                <w:b/>
                <w:color w:val="auto"/>
                <w:sz w:val="24"/>
              </w:rPr>
            </w:pPr>
            <w:r>
              <w:rPr>
                <w:b/>
                <w:color w:val="auto"/>
                <w:sz w:val="24"/>
              </w:rPr>
              <w:t>表</w:t>
            </w:r>
            <w:r>
              <w:rPr>
                <w:rFonts w:hint="eastAsia"/>
                <w:b/>
                <w:color w:val="auto"/>
                <w:sz w:val="24"/>
              </w:rPr>
              <w:t>11</w:t>
            </w:r>
            <w:r>
              <w:rPr>
                <w:b/>
                <w:color w:val="auto"/>
                <w:sz w:val="24"/>
              </w:rPr>
              <w:t xml:space="preserve">     项目产品方案一览表</w:t>
            </w:r>
          </w:p>
          <w:tbl>
            <w:tblPr>
              <w:tblStyle w:val="33"/>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73"/>
              <w:gridCol w:w="1532"/>
              <w:gridCol w:w="640"/>
              <w:gridCol w:w="736"/>
              <w:gridCol w:w="477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02" w:type="pct"/>
                  <w:vAlign w:val="center"/>
                </w:tcPr>
                <w:p>
                  <w:pPr>
                    <w:jc w:val="center"/>
                    <w:rPr>
                      <w:color w:val="auto"/>
                      <w:szCs w:val="21"/>
                    </w:rPr>
                  </w:pPr>
                  <w:r>
                    <w:rPr>
                      <w:color w:val="auto"/>
                      <w:szCs w:val="21"/>
                    </w:rPr>
                    <w:t>序号</w:t>
                  </w:r>
                </w:p>
              </w:tc>
              <w:tc>
                <w:tcPr>
                  <w:tcW w:w="917" w:type="pct"/>
                  <w:vAlign w:val="center"/>
                </w:tcPr>
                <w:p>
                  <w:pPr>
                    <w:jc w:val="center"/>
                    <w:rPr>
                      <w:color w:val="auto"/>
                      <w:szCs w:val="21"/>
                    </w:rPr>
                  </w:pPr>
                  <w:r>
                    <w:rPr>
                      <w:color w:val="auto"/>
                      <w:szCs w:val="21"/>
                    </w:rPr>
                    <w:t>产品型号</w:t>
                  </w:r>
                </w:p>
              </w:tc>
              <w:tc>
                <w:tcPr>
                  <w:tcW w:w="383" w:type="pct"/>
                  <w:vAlign w:val="center"/>
                </w:tcPr>
                <w:p>
                  <w:pPr>
                    <w:jc w:val="center"/>
                    <w:rPr>
                      <w:color w:val="auto"/>
                      <w:szCs w:val="21"/>
                    </w:rPr>
                  </w:pPr>
                  <w:r>
                    <w:rPr>
                      <w:color w:val="auto"/>
                      <w:szCs w:val="21"/>
                    </w:rPr>
                    <w:t>单位</w:t>
                  </w:r>
                </w:p>
              </w:tc>
              <w:tc>
                <w:tcPr>
                  <w:tcW w:w="440" w:type="pct"/>
                  <w:vAlign w:val="center"/>
                </w:tcPr>
                <w:p>
                  <w:pPr>
                    <w:jc w:val="center"/>
                    <w:rPr>
                      <w:color w:val="auto"/>
                      <w:szCs w:val="21"/>
                    </w:rPr>
                  </w:pPr>
                  <w:r>
                    <w:rPr>
                      <w:color w:val="auto"/>
                      <w:szCs w:val="21"/>
                    </w:rPr>
                    <w:t>数量</w:t>
                  </w:r>
                </w:p>
              </w:tc>
              <w:tc>
                <w:tcPr>
                  <w:tcW w:w="2856" w:type="pct"/>
                  <w:tcBorders>
                    <w:right w:val="nil"/>
                  </w:tcBorders>
                  <w:vAlign w:val="center"/>
                </w:tcPr>
                <w:p>
                  <w:pPr>
                    <w:jc w:val="center"/>
                    <w:rPr>
                      <w:color w:val="auto"/>
                      <w:szCs w:val="21"/>
                    </w:rPr>
                  </w:pPr>
                  <w:r>
                    <w:rPr>
                      <w:rFonts w:hint="eastAsia"/>
                      <w:color w:val="auto"/>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02" w:type="pct"/>
                  <w:tcBorders>
                    <w:left w:val="nil"/>
                  </w:tcBorders>
                  <w:vAlign w:val="center"/>
                </w:tcPr>
                <w:p>
                  <w:pPr>
                    <w:jc w:val="center"/>
                    <w:rPr>
                      <w:color w:val="auto"/>
                      <w:szCs w:val="21"/>
                    </w:rPr>
                  </w:pPr>
                  <w:r>
                    <w:rPr>
                      <w:rFonts w:hint="eastAsia"/>
                      <w:color w:val="auto"/>
                      <w:szCs w:val="21"/>
                    </w:rPr>
                    <w:t>1</w:t>
                  </w:r>
                </w:p>
              </w:tc>
              <w:tc>
                <w:tcPr>
                  <w:tcW w:w="917" w:type="pct"/>
                  <w:vAlign w:val="center"/>
                </w:tcPr>
                <w:p>
                  <w:pPr>
                    <w:jc w:val="center"/>
                    <w:rPr>
                      <w:color w:val="auto"/>
                      <w:szCs w:val="21"/>
                    </w:rPr>
                  </w:pPr>
                  <w:r>
                    <w:rPr>
                      <w:rFonts w:hint="eastAsia"/>
                      <w:color w:val="auto"/>
                      <w:szCs w:val="21"/>
                    </w:rPr>
                    <w:t>数控机床配件</w:t>
                  </w:r>
                </w:p>
              </w:tc>
              <w:tc>
                <w:tcPr>
                  <w:tcW w:w="383" w:type="pct"/>
                  <w:vAlign w:val="center"/>
                </w:tcPr>
                <w:p>
                  <w:pPr>
                    <w:jc w:val="center"/>
                    <w:rPr>
                      <w:color w:val="auto"/>
                      <w:szCs w:val="21"/>
                    </w:rPr>
                  </w:pPr>
                  <w:r>
                    <w:rPr>
                      <w:rFonts w:hint="eastAsia"/>
                      <w:color w:val="auto"/>
                      <w:szCs w:val="21"/>
                    </w:rPr>
                    <w:t>t/a</w:t>
                  </w:r>
                </w:p>
              </w:tc>
              <w:tc>
                <w:tcPr>
                  <w:tcW w:w="440" w:type="pct"/>
                  <w:vAlign w:val="center"/>
                </w:tcPr>
                <w:p>
                  <w:pPr>
                    <w:jc w:val="center"/>
                    <w:rPr>
                      <w:color w:val="auto"/>
                      <w:szCs w:val="21"/>
                    </w:rPr>
                  </w:pPr>
                  <w:r>
                    <w:rPr>
                      <w:rFonts w:hint="eastAsia"/>
                      <w:color w:val="auto"/>
                      <w:szCs w:val="21"/>
                    </w:rPr>
                    <w:t>5500</w:t>
                  </w:r>
                </w:p>
              </w:tc>
              <w:tc>
                <w:tcPr>
                  <w:tcW w:w="2856" w:type="pct"/>
                  <w:tcBorders>
                    <w:right w:val="nil"/>
                  </w:tcBorders>
                  <w:vAlign w:val="center"/>
                </w:tcPr>
                <w:p>
                  <w:pPr>
                    <w:jc w:val="center"/>
                    <w:rPr>
                      <w:color w:val="auto"/>
                      <w:szCs w:val="21"/>
                    </w:rPr>
                  </w:pPr>
                  <w:r>
                    <w:rPr>
                      <w:rFonts w:hint="eastAsia"/>
                      <w:color w:val="auto"/>
                      <w:szCs w:val="21"/>
                    </w:rPr>
                    <w:t>主要产品尺寸在0.5-1m，成品暂存于成品储存区</w:t>
                  </w:r>
                </w:p>
              </w:tc>
            </w:tr>
          </w:tbl>
          <w:p>
            <w:pPr>
              <w:tabs>
                <w:tab w:val="left" w:pos="324"/>
              </w:tabs>
              <w:spacing w:line="500" w:lineRule="exact"/>
              <w:ind w:firstLine="480" w:firstLineChars="200"/>
              <w:rPr>
                <w:color w:val="auto"/>
                <w:sz w:val="24"/>
              </w:rPr>
            </w:pPr>
            <w:r>
              <w:rPr>
                <w:rFonts w:hint="eastAsia"/>
                <w:color w:val="auto"/>
                <w:sz w:val="24"/>
              </w:rPr>
              <w:t>（7）原辅材料</w:t>
            </w:r>
          </w:p>
          <w:p>
            <w:pPr>
              <w:spacing w:line="500" w:lineRule="exact"/>
              <w:ind w:firstLine="480" w:firstLineChars="200"/>
              <w:rPr>
                <w:color w:val="auto"/>
                <w:sz w:val="24"/>
              </w:rPr>
            </w:pPr>
            <w:r>
              <w:rPr>
                <w:rFonts w:hint="eastAsia"/>
                <w:color w:val="auto"/>
                <w:sz w:val="24"/>
              </w:rPr>
              <w:t>本项目原辅材料见下表。</w:t>
            </w:r>
          </w:p>
          <w:p>
            <w:pPr>
              <w:spacing w:line="500" w:lineRule="exact"/>
              <w:jc w:val="center"/>
              <w:rPr>
                <w:b/>
                <w:bCs/>
                <w:color w:val="auto"/>
                <w:sz w:val="24"/>
              </w:rPr>
            </w:pPr>
            <w:r>
              <w:rPr>
                <w:b/>
                <w:bCs/>
                <w:color w:val="auto"/>
                <w:sz w:val="24"/>
              </w:rPr>
              <w:t>表</w:t>
            </w:r>
            <w:r>
              <w:rPr>
                <w:rFonts w:hint="eastAsia"/>
                <w:b/>
                <w:bCs/>
                <w:color w:val="auto"/>
                <w:sz w:val="24"/>
              </w:rPr>
              <w:t>12</w:t>
            </w:r>
            <w:r>
              <w:rPr>
                <w:b/>
                <w:bCs/>
                <w:color w:val="auto"/>
                <w:sz w:val="24"/>
              </w:rPr>
              <w:t xml:space="preserve"> </w:t>
            </w:r>
            <w:r>
              <w:rPr>
                <w:rFonts w:hint="eastAsia"/>
                <w:b/>
                <w:bCs/>
                <w:color w:val="auto"/>
                <w:sz w:val="24"/>
              </w:rPr>
              <w:t xml:space="preserve">    本项目原辅材料清单</w:t>
            </w:r>
          </w:p>
          <w:tbl>
            <w:tblPr>
              <w:tblStyle w:val="33"/>
              <w:tblW w:w="848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0"/>
              <w:gridCol w:w="1284"/>
              <w:gridCol w:w="1503"/>
              <w:gridCol w:w="1364"/>
              <w:gridCol w:w="3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70" w:type="dxa"/>
                  <w:vAlign w:val="center"/>
                </w:tcPr>
                <w:p>
                  <w:pPr>
                    <w:snapToGrid w:val="0"/>
                    <w:jc w:val="center"/>
                    <w:rPr>
                      <w:color w:val="auto"/>
                      <w:szCs w:val="21"/>
                    </w:rPr>
                  </w:pPr>
                  <w:r>
                    <w:rPr>
                      <w:color w:val="auto"/>
                      <w:szCs w:val="21"/>
                    </w:rPr>
                    <w:t>序号</w:t>
                  </w:r>
                </w:p>
              </w:tc>
              <w:tc>
                <w:tcPr>
                  <w:tcW w:w="1284" w:type="dxa"/>
                  <w:vAlign w:val="center"/>
                </w:tcPr>
                <w:p>
                  <w:pPr>
                    <w:snapToGrid w:val="0"/>
                    <w:jc w:val="center"/>
                    <w:rPr>
                      <w:color w:val="auto"/>
                      <w:szCs w:val="21"/>
                    </w:rPr>
                  </w:pPr>
                  <w:r>
                    <w:rPr>
                      <w:color w:val="auto"/>
                      <w:szCs w:val="21"/>
                    </w:rPr>
                    <w:t>名称</w:t>
                  </w:r>
                </w:p>
              </w:tc>
              <w:tc>
                <w:tcPr>
                  <w:tcW w:w="1503" w:type="dxa"/>
                  <w:vAlign w:val="center"/>
                </w:tcPr>
                <w:p>
                  <w:pPr>
                    <w:snapToGrid w:val="0"/>
                    <w:jc w:val="center"/>
                    <w:rPr>
                      <w:color w:val="auto"/>
                      <w:szCs w:val="21"/>
                    </w:rPr>
                  </w:pPr>
                  <w:r>
                    <w:rPr>
                      <w:color w:val="auto"/>
                      <w:szCs w:val="21"/>
                    </w:rPr>
                    <w:t>单位</w:t>
                  </w:r>
                </w:p>
              </w:tc>
              <w:tc>
                <w:tcPr>
                  <w:tcW w:w="1364" w:type="dxa"/>
                  <w:vAlign w:val="center"/>
                </w:tcPr>
                <w:p>
                  <w:pPr>
                    <w:snapToGrid w:val="0"/>
                    <w:jc w:val="center"/>
                    <w:rPr>
                      <w:color w:val="auto"/>
                      <w:szCs w:val="21"/>
                    </w:rPr>
                  </w:pPr>
                  <w:r>
                    <w:rPr>
                      <w:color w:val="auto"/>
                      <w:szCs w:val="21"/>
                    </w:rPr>
                    <w:t>消耗量</w:t>
                  </w:r>
                </w:p>
              </w:tc>
              <w:tc>
                <w:tcPr>
                  <w:tcW w:w="3667" w:type="dxa"/>
                  <w:tcBorders>
                    <w:right w:val="nil"/>
                  </w:tcBorders>
                  <w:vAlign w:val="center"/>
                </w:tcPr>
                <w:p>
                  <w:pPr>
                    <w:snapToGrid w:val="0"/>
                    <w:jc w:val="center"/>
                    <w:rPr>
                      <w:color w:val="auto"/>
                      <w:szCs w:val="21"/>
                    </w:rPr>
                  </w:pPr>
                  <w:r>
                    <w:rPr>
                      <w:color w:val="auto"/>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70" w:type="dxa"/>
                  <w:tcBorders>
                    <w:left w:val="nil"/>
                  </w:tcBorders>
                  <w:vAlign w:val="center"/>
                </w:tcPr>
                <w:p>
                  <w:pPr>
                    <w:snapToGrid w:val="0"/>
                    <w:jc w:val="center"/>
                    <w:rPr>
                      <w:color w:val="auto"/>
                      <w:szCs w:val="21"/>
                    </w:rPr>
                  </w:pPr>
                  <w:r>
                    <w:rPr>
                      <w:rFonts w:hint="eastAsia"/>
                      <w:color w:val="auto"/>
                      <w:szCs w:val="21"/>
                    </w:rPr>
                    <w:t>1</w:t>
                  </w:r>
                </w:p>
              </w:tc>
              <w:tc>
                <w:tcPr>
                  <w:tcW w:w="1284" w:type="dxa"/>
                  <w:vAlign w:val="center"/>
                </w:tcPr>
                <w:p>
                  <w:pPr>
                    <w:snapToGrid w:val="0"/>
                    <w:jc w:val="center"/>
                    <w:rPr>
                      <w:color w:val="auto"/>
                      <w:szCs w:val="21"/>
                    </w:rPr>
                  </w:pPr>
                  <w:r>
                    <w:rPr>
                      <w:rFonts w:hint="eastAsia"/>
                      <w:color w:val="auto"/>
                      <w:szCs w:val="21"/>
                    </w:rPr>
                    <w:t>废钢</w:t>
                  </w:r>
                </w:p>
              </w:tc>
              <w:tc>
                <w:tcPr>
                  <w:tcW w:w="1503" w:type="dxa"/>
                  <w:vAlign w:val="center"/>
                </w:tcPr>
                <w:p>
                  <w:pPr>
                    <w:snapToGrid w:val="0"/>
                    <w:jc w:val="center"/>
                    <w:rPr>
                      <w:color w:val="auto"/>
                      <w:szCs w:val="21"/>
                    </w:rPr>
                  </w:pPr>
                  <w:r>
                    <w:rPr>
                      <w:rFonts w:hint="eastAsia"/>
                      <w:color w:val="auto"/>
                      <w:szCs w:val="21"/>
                    </w:rPr>
                    <w:t>t/a</w:t>
                  </w:r>
                </w:p>
              </w:tc>
              <w:tc>
                <w:tcPr>
                  <w:tcW w:w="1364" w:type="dxa"/>
                  <w:vAlign w:val="center"/>
                </w:tcPr>
                <w:p>
                  <w:pPr>
                    <w:snapToGrid w:val="0"/>
                    <w:jc w:val="center"/>
                    <w:rPr>
                      <w:color w:val="auto"/>
                      <w:szCs w:val="21"/>
                    </w:rPr>
                  </w:pPr>
                  <w:r>
                    <w:rPr>
                      <w:rFonts w:hint="eastAsia"/>
                      <w:color w:val="auto"/>
                      <w:szCs w:val="21"/>
                    </w:rPr>
                    <w:t>4602.4498</w:t>
                  </w:r>
                </w:p>
              </w:tc>
              <w:tc>
                <w:tcPr>
                  <w:tcW w:w="3667" w:type="dxa"/>
                  <w:tcBorders>
                    <w:right w:val="nil"/>
                  </w:tcBorders>
                  <w:vAlign w:val="center"/>
                </w:tcPr>
                <w:p>
                  <w:pPr>
                    <w:snapToGrid w:val="0"/>
                    <w:jc w:val="center"/>
                    <w:rPr>
                      <w:color w:val="auto"/>
                      <w:szCs w:val="21"/>
                    </w:rPr>
                  </w:pPr>
                  <w:r>
                    <w:rPr>
                      <w:rFonts w:hint="eastAsia"/>
                      <w:color w:val="auto"/>
                      <w:szCs w:val="21"/>
                    </w:rPr>
                    <w:t>进厂时进行放射性检测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70" w:type="dxa"/>
                  <w:tcBorders>
                    <w:left w:val="nil"/>
                  </w:tcBorders>
                  <w:vAlign w:val="center"/>
                </w:tcPr>
                <w:p>
                  <w:pPr>
                    <w:snapToGrid w:val="0"/>
                    <w:jc w:val="center"/>
                    <w:rPr>
                      <w:color w:val="auto"/>
                      <w:szCs w:val="21"/>
                    </w:rPr>
                  </w:pPr>
                  <w:r>
                    <w:rPr>
                      <w:rFonts w:hint="eastAsia"/>
                      <w:color w:val="auto"/>
                      <w:szCs w:val="21"/>
                    </w:rPr>
                    <w:t>2</w:t>
                  </w:r>
                </w:p>
              </w:tc>
              <w:tc>
                <w:tcPr>
                  <w:tcW w:w="1284" w:type="dxa"/>
                  <w:vAlign w:val="center"/>
                </w:tcPr>
                <w:p>
                  <w:pPr>
                    <w:snapToGrid w:val="0"/>
                    <w:jc w:val="center"/>
                    <w:rPr>
                      <w:color w:val="auto"/>
                      <w:szCs w:val="21"/>
                    </w:rPr>
                  </w:pPr>
                  <w:r>
                    <w:rPr>
                      <w:rFonts w:hint="eastAsia"/>
                      <w:color w:val="auto"/>
                      <w:szCs w:val="21"/>
                    </w:rPr>
                    <w:t>高锰钢</w:t>
                  </w:r>
                </w:p>
              </w:tc>
              <w:tc>
                <w:tcPr>
                  <w:tcW w:w="1503" w:type="dxa"/>
                  <w:vAlign w:val="center"/>
                </w:tcPr>
                <w:p>
                  <w:pPr>
                    <w:snapToGrid w:val="0"/>
                    <w:jc w:val="center"/>
                    <w:rPr>
                      <w:color w:val="auto"/>
                      <w:szCs w:val="21"/>
                    </w:rPr>
                  </w:pPr>
                  <w:r>
                    <w:rPr>
                      <w:rFonts w:hint="eastAsia"/>
                      <w:color w:val="auto"/>
                      <w:szCs w:val="21"/>
                    </w:rPr>
                    <w:t>t/a</w:t>
                  </w:r>
                </w:p>
              </w:tc>
              <w:tc>
                <w:tcPr>
                  <w:tcW w:w="1364" w:type="dxa"/>
                  <w:vAlign w:val="center"/>
                </w:tcPr>
                <w:p>
                  <w:pPr>
                    <w:snapToGrid w:val="0"/>
                    <w:jc w:val="center"/>
                    <w:rPr>
                      <w:color w:val="auto"/>
                      <w:szCs w:val="21"/>
                    </w:rPr>
                  </w:pPr>
                  <w:r>
                    <w:rPr>
                      <w:rFonts w:hint="eastAsia"/>
                      <w:color w:val="auto"/>
                      <w:szCs w:val="21"/>
                    </w:rPr>
                    <w:t>1000</w:t>
                  </w:r>
                </w:p>
              </w:tc>
              <w:tc>
                <w:tcPr>
                  <w:tcW w:w="3667" w:type="dxa"/>
                  <w:tcBorders>
                    <w:right w:val="nil"/>
                  </w:tcBorders>
                  <w:vAlign w:val="center"/>
                </w:tcPr>
                <w:p>
                  <w:pPr>
                    <w:snapToGrid w:val="0"/>
                    <w:jc w:val="center"/>
                    <w:rPr>
                      <w:color w:val="auto"/>
                      <w:szCs w:val="21"/>
                    </w:rPr>
                  </w:pPr>
                  <w:r>
                    <w:rPr>
                      <w:rFonts w:hint="eastAsia"/>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70" w:type="dxa"/>
                  <w:tcBorders>
                    <w:left w:val="nil"/>
                  </w:tcBorders>
                  <w:vAlign w:val="center"/>
                </w:tcPr>
                <w:p>
                  <w:pPr>
                    <w:snapToGrid w:val="0"/>
                    <w:jc w:val="center"/>
                    <w:rPr>
                      <w:color w:val="auto"/>
                      <w:szCs w:val="21"/>
                    </w:rPr>
                  </w:pPr>
                  <w:r>
                    <w:rPr>
                      <w:rFonts w:hint="eastAsia"/>
                      <w:color w:val="auto"/>
                      <w:szCs w:val="21"/>
                    </w:rPr>
                    <w:t>3</w:t>
                  </w:r>
                </w:p>
              </w:tc>
              <w:tc>
                <w:tcPr>
                  <w:tcW w:w="1284" w:type="dxa"/>
                  <w:vAlign w:val="center"/>
                </w:tcPr>
                <w:p>
                  <w:pPr>
                    <w:snapToGrid w:val="0"/>
                    <w:jc w:val="center"/>
                    <w:rPr>
                      <w:color w:val="auto"/>
                      <w:szCs w:val="21"/>
                    </w:rPr>
                  </w:pPr>
                  <w:r>
                    <w:rPr>
                      <w:rFonts w:hint="eastAsia"/>
                      <w:color w:val="auto"/>
                      <w:szCs w:val="21"/>
                    </w:rPr>
                    <w:t>石英砂</w:t>
                  </w:r>
                </w:p>
              </w:tc>
              <w:tc>
                <w:tcPr>
                  <w:tcW w:w="1503" w:type="dxa"/>
                  <w:vAlign w:val="center"/>
                </w:tcPr>
                <w:p>
                  <w:pPr>
                    <w:snapToGrid w:val="0"/>
                    <w:jc w:val="center"/>
                    <w:rPr>
                      <w:color w:val="auto"/>
                      <w:szCs w:val="21"/>
                    </w:rPr>
                  </w:pPr>
                  <w:r>
                    <w:rPr>
                      <w:rFonts w:hint="eastAsia"/>
                      <w:color w:val="auto"/>
                      <w:szCs w:val="21"/>
                    </w:rPr>
                    <w:t>t/a</w:t>
                  </w:r>
                </w:p>
              </w:tc>
              <w:tc>
                <w:tcPr>
                  <w:tcW w:w="1364" w:type="dxa"/>
                  <w:vAlign w:val="center"/>
                </w:tcPr>
                <w:p>
                  <w:pPr>
                    <w:snapToGrid w:val="0"/>
                    <w:jc w:val="center"/>
                    <w:rPr>
                      <w:color w:val="auto"/>
                      <w:szCs w:val="21"/>
                    </w:rPr>
                  </w:pPr>
                  <w:r>
                    <w:rPr>
                      <w:rFonts w:hint="eastAsia"/>
                      <w:color w:val="auto"/>
                      <w:szCs w:val="21"/>
                    </w:rPr>
                    <w:t>750</w:t>
                  </w:r>
                </w:p>
              </w:tc>
              <w:tc>
                <w:tcPr>
                  <w:tcW w:w="3667" w:type="dxa"/>
                  <w:tcBorders>
                    <w:right w:val="nil"/>
                  </w:tcBorders>
                  <w:vAlign w:val="center"/>
                </w:tcPr>
                <w:p>
                  <w:pPr>
                    <w:snapToGrid w:val="0"/>
                    <w:jc w:val="center"/>
                    <w:rPr>
                      <w:color w:val="auto"/>
                      <w:szCs w:val="21"/>
                    </w:rPr>
                  </w:pPr>
                  <w:r>
                    <w:rPr>
                      <w:rFonts w:hint="eastAsia"/>
                      <w:color w:val="auto"/>
                      <w:szCs w:val="21"/>
                    </w:rPr>
                    <w:t>袋装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70" w:type="dxa"/>
                  <w:tcBorders>
                    <w:left w:val="nil"/>
                  </w:tcBorders>
                  <w:vAlign w:val="center"/>
                </w:tcPr>
                <w:p>
                  <w:pPr>
                    <w:snapToGrid w:val="0"/>
                    <w:jc w:val="center"/>
                    <w:rPr>
                      <w:color w:val="auto"/>
                      <w:szCs w:val="21"/>
                    </w:rPr>
                  </w:pPr>
                  <w:r>
                    <w:rPr>
                      <w:rFonts w:hint="eastAsia"/>
                      <w:color w:val="auto"/>
                      <w:szCs w:val="21"/>
                    </w:rPr>
                    <w:t>4</w:t>
                  </w:r>
                </w:p>
              </w:tc>
              <w:tc>
                <w:tcPr>
                  <w:tcW w:w="1284" w:type="dxa"/>
                  <w:vAlign w:val="center"/>
                </w:tcPr>
                <w:p>
                  <w:pPr>
                    <w:snapToGrid w:val="0"/>
                    <w:jc w:val="center"/>
                    <w:rPr>
                      <w:color w:val="auto"/>
                      <w:szCs w:val="21"/>
                    </w:rPr>
                  </w:pPr>
                  <w:r>
                    <w:rPr>
                      <w:rFonts w:hint="eastAsia"/>
                      <w:color w:val="auto"/>
                      <w:szCs w:val="21"/>
                    </w:rPr>
                    <w:t>耐火材料</w:t>
                  </w:r>
                </w:p>
              </w:tc>
              <w:tc>
                <w:tcPr>
                  <w:tcW w:w="1503" w:type="dxa"/>
                  <w:vAlign w:val="center"/>
                </w:tcPr>
                <w:p>
                  <w:pPr>
                    <w:snapToGrid w:val="0"/>
                    <w:jc w:val="center"/>
                    <w:rPr>
                      <w:color w:val="auto"/>
                      <w:szCs w:val="21"/>
                    </w:rPr>
                  </w:pPr>
                  <w:r>
                    <w:rPr>
                      <w:rFonts w:hint="eastAsia"/>
                      <w:color w:val="auto"/>
                      <w:szCs w:val="21"/>
                    </w:rPr>
                    <w:t>t/a</w:t>
                  </w:r>
                </w:p>
              </w:tc>
              <w:tc>
                <w:tcPr>
                  <w:tcW w:w="1364" w:type="dxa"/>
                  <w:vAlign w:val="center"/>
                </w:tcPr>
                <w:p>
                  <w:pPr>
                    <w:snapToGrid w:val="0"/>
                    <w:jc w:val="center"/>
                    <w:rPr>
                      <w:color w:val="auto"/>
                      <w:szCs w:val="21"/>
                    </w:rPr>
                  </w:pPr>
                  <w:r>
                    <w:rPr>
                      <w:rFonts w:hint="eastAsia"/>
                      <w:color w:val="auto"/>
                      <w:szCs w:val="21"/>
                    </w:rPr>
                    <w:t>20</w:t>
                  </w:r>
                </w:p>
              </w:tc>
              <w:tc>
                <w:tcPr>
                  <w:tcW w:w="3667" w:type="dxa"/>
                  <w:tcBorders>
                    <w:right w:val="nil"/>
                  </w:tcBorders>
                  <w:vAlign w:val="center"/>
                </w:tcPr>
                <w:p>
                  <w:pPr>
                    <w:snapToGrid w:val="0"/>
                    <w:jc w:val="center"/>
                    <w:rPr>
                      <w:color w:val="auto"/>
                      <w:szCs w:val="21"/>
                    </w:rPr>
                  </w:pPr>
                  <w:r>
                    <w:rPr>
                      <w:rFonts w:hint="eastAsia"/>
                      <w:color w:val="auto"/>
                      <w:szCs w:val="21"/>
                    </w:rPr>
                    <w:t>袋装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70" w:type="dxa"/>
                  <w:tcBorders>
                    <w:left w:val="nil"/>
                  </w:tcBorders>
                  <w:vAlign w:val="center"/>
                </w:tcPr>
                <w:p>
                  <w:pPr>
                    <w:snapToGrid w:val="0"/>
                    <w:jc w:val="center"/>
                    <w:rPr>
                      <w:color w:val="auto"/>
                      <w:szCs w:val="21"/>
                    </w:rPr>
                  </w:pPr>
                  <w:r>
                    <w:rPr>
                      <w:rFonts w:hint="eastAsia"/>
                      <w:color w:val="auto"/>
                      <w:szCs w:val="21"/>
                    </w:rPr>
                    <w:t>5</w:t>
                  </w:r>
                </w:p>
              </w:tc>
              <w:tc>
                <w:tcPr>
                  <w:tcW w:w="1284" w:type="dxa"/>
                </w:tcPr>
                <w:p>
                  <w:pPr>
                    <w:snapToGrid w:val="0"/>
                    <w:jc w:val="center"/>
                    <w:rPr>
                      <w:color w:val="auto"/>
                      <w:szCs w:val="21"/>
                    </w:rPr>
                  </w:pPr>
                  <w:r>
                    <w:rPr>
                      <w:rFonts w:hint="eastAsia"/>
                      <w:color w:val="auto"/>
                      <w:szCs w:val="21"/>
                    </w:rPr>
                    <w:t>水玻璃</w:t>
                  </w:r>
                </w:p>
              </w:tc>
              <w:tc>
                <w:tcPr>
                  <w:tcW w:w="1503" w:type="dxa"/>
                  <w:vAlign w:val="center"/>
                </w:tcPr>
                <w:p>
                  <w:pPr>
                    <w:snapToGrid w:val="0"/>
                    <w:jc w:val="center"/>
                    <w:rPr>
                      <w:color w:val="auto"/>
                      <w:szCs w:val="21"/>
                    </w:rPr>
                  </w:pPr>
                  <w:r>
                    <w:rPr>
                      <w:rFonts w:hint="eastAsia"/>
                      <w:color w:val="auto"/>
                      <w:szCs w:val="21"/>
                    </w:rPr>
                    <w:t>t/a</w:t>
                  </w:r>
                </w:p>
              </w:tc>
              <w:tc>
                <w:tcPr>
                  <w:tcW w:w="1364" w:type="dxa"/>
                  <w:vAlign w:val="center"/>
                </w:tcPr>
                <w:p>
                  <w:pPr>
                    <w:snapToGrid w:val="0"/>
                    <w:jc w:val="center"/>
                    <w:rPr>
                      <w:color w:val="auto"/>
                      <w:szCs w:val="21"/>
                    </w:rPr>
                  </w:pPr>
                  <w:r>
                    <w:rPr>
                      <w:rFonts w:hint="eastAsia"/>
                      <w:color w:val="auto"/>
                      <w:szCs w:val="21"/>
                    </w:rPr>
                    <w:t>4.6</w:t>
                  </w:r>
                </w:p>
              </w:tc>
              <w:tc>
                <w:tcPr>
                  <w:tcW w:w="3667" w:type="dxa"/>
                  <w:tcBorders>
                    <w:right w:val="nil"/>
                  </w:tcBorders>
                  <w:vAlign w:val="center"/>
                </w:tcPr>
                <w:p>
                  <w:pPr>
                    <w:snapToGrid w:val="0"/>
                    <w:jc w:val="center"/>
                    <w:rPr>
                      <w:color w:val="auto"/>
                      <w:szCs w:val="21"/>
                    </w:rPr>
                  </w:pPr>
                  <w:r>
                    <w:rPr>
                      <w:rFonts w:hint="eastAsia"/>
                      <w:color w:val="auto"/>
                      <w:szCs w:val="21"/>
                    </w:rPr>
                    <w:t>桶装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70" w:type="dxa"/>
                  <w:tcBorders>
                    <w:left w:val="nil"/>
                  </w:tcBorders>
                  <w:vAlign w:val="center"/>
                </w:tcPr>
                <w:p>
                  <w:pPr>
                    <w:snapToGrid w:val="0"/>
                    <w:jc w:val="center"/>
                    <w:rPr>
                      <w:color w:val="auto"/>
                      <w:szCs w:val="21"/>
                    </w:rPr>
                  </w:pPr>
                  <w:r>
                    <w:rPr>
                      <w:rFonts w:hint="eastAsia"/>
                      <w:color w:val="auto"/>
                      <w:szCs w:val="21"/>
                    </w:rPr>
                    <w:t>6</w:t>
                  </w:r>
                </w:p>
              </w:tc>
              <w:tc>
                <w:tcPr>
                  <w:tcW w:w="1284" w:type="dxa"/>
                  <w:vAlign w:val="center"/>
                </w:tcPr>
                <w:p>
                  <w:pPr>
                    <w:snapToGrid w:val="0"/>
                    <w:jc w:val="center"/>
                    <w:rPr>
                      <w:color w:val="auto"/>
                      <w:szCs w:val="21"/>
                    </w:rPr>
                  </w:pPr>
                  <w:r>
                    <w:rPr>
                      <w:rFonts w:hint="eastAsia"/>
                      <w:color w:val="auto"/>
                      <w:szCs w:val="21"/>
                    </w:rPr>
                    <w:t>清渣剂</w:t>
                  </w:r>
                </w:p>
              </w:tc>
              <w:tc>
                <w:tcPr>
                  <w:tcW w:w="1503" w:type="dxa"/>
                  <w:vAlign w:val="center"/>
                </w:tcPr>
                <w:p>
                  <w:pPr>
                    <w:snapToGrid w:val="0"/>
                    <w:jc w:val="center"/>
                    <w:rPr>
                      <w:color w:val="auto"/>
                      <w:szCs w:val="21"/>
                    </w:rPr>
                  </w:pPr>
                  <w:r>
                    <w:rPr>
                      <w:rFonts w:hint="eastAsia"/>
                      <w:color w:val="auto"/>
                      <w:szCs w:val="21"/>
                    </w:rPr>
                    <w:t>t/a</w:t>
                  </w:r>
                </w:p>
              </w:tc>
              <w:tc>
                <w:tcPr>
                  <w:tcW w:w="1364" w:type="dxa"/>
                  <w:vAlign w:val="center"/>
                </w:tcPr>
                <w:p>
                  <w:pPr>
                    <w:snapToGrid w:val="0"/>
                    <w:jc w:val="center"/>
                    <w:rPr>
                      <w:color w:val="auto"/>
                      <w:szCs w:val="21"/>
                    </w:rPr>
                  </w:pPr>
                  <w:r>
                    <w:rPr>
                      <w:rFonts w:hint="eastAsia"/>
                      <w:color w:val="auto"/>
                      <w:szCs w:val="21"/>
                    </w:rPr>
                    <w:t>30</w:t>
                  </w:r>
                </w:p>
              </w:tc>
              <w:tc>
                <w:tcPr>
                  <w:tcW w:w="3667" w:type="dxa"/>
                  <w:tcBorders>
                    <w:right w:val="nil"/>
                  </w:tcBorders>
                  <w:vAlign w:val="center"/>
                </w:tcPr>
                <w:p>
                  <w:pPr>
                    <w:snapToGrid w:val="0"/>
                    <w:jc w:val="center"/>
                    <w:rPr>
                      <w:color w:val="auto"/>
                      <w:szCs w:val="21"/>
                    </w:rPr>
                  </w:pPr>
                  <w:r>
                    <w:rPr>
                      <w:rFonts w:hint="eastAsia"/>
                      <w:color w:val="auto"/>
                      <w:szCs w:val="21"/>
                    </w:rPr>
                    <w:t>袋装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70" w:type="dxa"/>
                  <w:tcBorders>
                    <w:left w:val="nil"/>
                  </w:tcBorders>
                  <w:vAlign w:val="center"/>
                </w:tcPr>
                <w:p>
                  <w:pPr>
                    <w:snapToGrid w:val="0"/>
                    <w:jc w:val="center"/>
                    <w:rPr>
                      <w:color w:val="auto"/>
                      <w:szCs w:val="21"/>
                    </w:rPr>
                  </w:pPr>
                  <w:r>
                    <w:rPr>
                      <w:rFonts w:hint="eastAsia"/>
                      <w:color w:val="auto"/>
                      <w:szCs w:val="21"/>
                    </w:rPr>
                    <w:t>7</w:t>
                  </w:r>
                </w:p>
              </w:tc>
              <w:tc>
                <w:tcPr>
                  <w:tcW w:w="1284" w:type="dxa"/>
                  <w:vAlign w:val="center"/>
                </w:tcPr>
                <w:p>
                  <w:pPr>
                    <w:snapToGrid w:val="0"/>
                    <w:jc w:val="center"/>
                    <w:rPr>
                      <w:color w:val="auto"/>
                      <w:szCs w:val="21"/>
                    </w:rPr>
                  </w:pPr>
                  <w:r>
                    <w:rPr>
                      <w:rFonts w:hint="eastAsia"/>
                      <w:color w:val="auto"/>
                      <w:szCs w:val="21"/>
                    </w:rPr>
                    <w:t>钢托</w:t>
                  </w:r>
                </w:p>
              </w:tc>
              <w:tc>
                <w:tcPr>
                  <w:tcW w:w="1503" w:type="dxa"/>
                  <w:vAlign w:val="center"/>
                </w:tcPr>
                <w:p>
                  <w:pPr>
                    <w:snapToGrid w:val="0"/>
                    <w:jc w:val="center"/>
                    <w:rPr>
                      <w:color w:val="auto"/>
                      <w:szCs w:val="21"/>
                    </w:rPr>
                  </w:pPr>
                  <w:r>
                    <w:rPr>
                      <w:rFonts w:hint="eastAsia"/>
                      <w:color w:val="auto"/>
                      <w:szCs w:val="21"/>
                    </w:rPr>
                    <w:t>套</w:t>
                  </w:r>
                </w:p>
              </w:tc>
              <w:tc>
                <w:tcPr>
                  <w:tcW w:w="1364" w:type="dxa"/>
                  <w:vAlign w:val="center"/>
                </w:tcPr>
                <w:p>
                  <w:pPr>
                    <w:snapToGrid w:val="0"/>
                    <w:jc w:val="center"/>
                    <w:rPr>
                      <w:color w:val="auto"/>
                      <w:szCs w:val="21"/>
                    </w:rPr>
                  </w:pPr>
                  <w:r>
                    <w:rPr>
                      <w:rFonts w:hint="eastAsia"/>
                      <w:color w:val="auto"/>
                      <w:szCs w:val="21"/>
                    </w:rPr>
                    <w:t>若干</w:t>
                  </w:r>
                </w:p>
              </w:tc>
              <w:tc>
                <w:tcPr>
                  <w:tcW w:w="3667" w:type="dxa"/>
                  <w:tcBorders>
                    <w:right w:val="nil"/>
                  </w:tcBorders>
                  <w:vAlign w:val="center"/>
                </w:tcPr>
                <w:p>
                  <w:pPr>
                    <w:snapToGrid w:val="0"/>
                    <w:jc w:val="center"/>
                    <w:rPr>
                      <w:color w:val="auto"/>
                      <w:szCs w:val="21"/>
                    </w:rPr>
                  </w:pPr>
                  <w:r>
                    <w:rPr>
                      <w:rFonts w:hint="eastAsia"/>
                      <w:color w:val="auto"/>
                      <w:szCs w:val="21"/>
                    </w:rPr>
                    <w:t>用于成品包装，循环利用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70" w:type="dxa"/>
                  <w:tcBorders>
                    <w:left w:val="nil"/>
                  </w:tcBorders>
                  <w:vAlign w:val="center"/>
                </w:tcPr>
                <w:p>
                  <w:pPr>
                    <w:snapToGrid w:val="0"/>
                    <w:jc w:val="center"/>
                    <w:rPr>
                      <w:color w:val="auto"/>
                      <w:szCs w:val="21"/>
                    </w:rPr>
                  </w:pPr>
                  <w:r>
                    <w:rPr>
                      <w:rFonts w:hint="eastAsia"/>
                      <w:color w:val="auto"/>
                      <w:szCs w:val="21"/>
                    </w:rPr>
                    <w:t>8</w:t>
                  </w:r>
                </w:p>
              </w:tc>
              <w:tc>
                <w:tcPr>
                  <w:tcW w:w="1284" w:type="dxa"/>
                  <w:vAlign w:val="center"/>
                </w:tcPr>
                <w:p>
                  <w:pPr>
                    <w:snapToGrid w:val="0"/>
                    <w:jc w:val="center"/>
                    <w:rPr>
                      <w:color w:val="auto"/>
                      <w:szCs w:val="21"/>
                    </w:rPr>
                  </w:pPr>
                  <w:r>
                    <w:rPr>
                      <w:rFonts w:hint="eastAsia"/>
                      <w:color w:val="auto"/>
                      <w:szCs w:val="21"/>
                    </w:rPr>
                    <w:t>水</w:t>
                  </w:r>
                </w:p>
              </w:tc>
              <w:tc>
                <w:tcPr>
                  <w:tcW w:w="1503" w:type="dxa"/>
                  <w:vAlign w:val="center"/>
                </w:tcPr>
                <w:p>
                  <w:pPr>
                    <w:snapToGrid w:val="0"/>
                    <w:jc w:val="center"/>
                    <w:rPr>
                      <w:color w:val="auto"/>
                      <w:szCs w:val="21"/>
                    </w:rPr>
                  </w:pPr>
                  <w:r>
                    <w:rPr>
                      <w:rFonts w:hint="eastAsia"/>
                      <w:color w:val="auto"/>
                      <w:szCs w:val="21"/>
                    </w:rPr>
                    <w:t>m</w:t>
                  </w:r>
                  <w:r>
                    <w:rPr>
                      <w:rFonts w:hint="eastAsia"/>
                      <w:color w:val="auto"/>
                      <w:szCs w:val="21"/>
                      <w:vertAlign w:val="superscript"/>
                    </w:rPr>
                    <w:t>3</w:t>
                  </w:r>
                  <w:r>
                    <w:rPr>
                      <w:rFonts w:hint="eastAsia"/>
                      <w:color w:val="auto"/>
                      <w:szCs w:val="21"/>
                    </w:rPr>
                    <w:t>/a</w:t>
                  </w:r>
                </w:p>
              </w:tc>
              <w:tc>
                <w:tcPr>
                  <w:tcW w:w="1364" w:type="dxa"/>
                  <w:vAlign w:val="center"/>
                </w:tcPr>
                <w:p>
                  <w:pPr>
                    <w:snapToGrid w:val="0"/>
                    <w:jc w:val="center"/>
                    <w:rPr>
                      <w:color w:val="auto"/>
                      <w:szCs w:val="21"/>
                    </w:rPr>
                  </w:pPr>
                  <w:r>
                    <w:rPr>
                      <w:rFonts w:hint="eastAsia"/>
                      <w:color w:val="auto"/>
                      <w:szCs w:val="21"/>
                    </w:rPr>
                    <w:t>13680</w:t>
                  </w:r>
                </w:p>
              </w:tc>
              <w:tc>
                <w:tcPr>
                  <w:tcW w:w="3667" w:type="dxa"/>
                  <w:tcBorders>
                    <w:right w:val="nil"/>
                  </w:tcBorders>
                  <w:vAlign w:val="center"/>
                </w:tcPr>
                <w:p>
                  <w:pPr>
                    <w:snapToGrid w:val="0"/>
                    <w:jc w:val="center"/>
                    <w:rPr>
                      <w:color w:val="auto"/>
                      <w:szCs w:val="21"/>
                    </w:rPr>
                  </w:pPr>
                  <w:r>
                    <w:rPr>
                      <w:rFonts w:hint="eastAsia"/>
                      <w:color w:val="auto"/>
                      <w:szCs w:val="21"/>
                    </w:rPr>
                    <w:t>团练屯村供水管网供给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70" w:type="dxa"/>
                  <w:tcBorders>
                    <w:left w:val="nil"/>
                  </w:tcBorders>
                </w:tcPr>
                <w:p>
                  <w:pPr>
                    <w:snapToGrid w:val="0"/>
                    <w:jc w:val="center"/>
                    <w:rPr>
                      <w:color w:val="auto"/>
                      <w:szCs w:val="21"/>
                    </w:rPr>
                  </w:pPr>
                  <w:r>
                    <w:rPr>
                      <w:rFonts w:hint="eastAsia"/>
                      <w:color w:val="auto"/>
                      <w:szCs w:val="21"/>
                    </w:rPr>
                    <w:t>9</w:t>
                  </w:r>
                </w:p>
              </w:tc>
              <w:tc>
                <w:tcPr>
                  <w:tcW w:w="1284" w:type="dxa"/>
                  <w:vAlign w:val="center"/>
                </w:tcPr>
                <w:p>
                  <w:pPr>
                    <w:snapToGrid w:val="0"/>
                    <w:jc w:val="center"/>
                    <w:rPr>
                      <w:color w:val="auto"/>
                      <w:szCs w:val="21"/>
                    </w:rPr>
                  </w:pPr>
                  <w:r>
                    <w:rPr>
                      <w:rFonts w:hint="eastAsia"/>
                      <w:color w:val="auto"/>
                      <w:szCs w:val="21"/>
                    </w:rPr>
                    <w:t>电</w:t>
                  </w:r>
                </w:p>
              </w:tc>
              <w:tc>
                <w:tcPr>
                  <w:tcW w:w="1503" w:type="dxa"/>
                  <w:vAlign w:val="center"/>
                </w:tcPr>
                <w:p>
                  <w:pPr>
                    <w:snapToGrid w:val="0"/>
                    <w:jc w:val="center"/>
                    <w:rPr>
                      <w:color w:val="auto"/>
                      <w:szCs w:val="21"/>
                    </w:rPr>
                  </w:pPr>
                  <w:r>
                    <w:rPr>
                      <w:rFonts w:hint="eastAsia"/>
                      <w:color w:val="auto"/>
                      <w:szCs w:val="21"/>
                    </w:rPr>
                    <w:t>万kwh/a</w:t>
                  </w:r>
                </w:p>
              </w:tc>
              <w:tc>
                <w:tcPr>
                  <w:tcW w:w="1364" w:type="dxa"/>
                  <w:vAlign w:val="center"/>
                </w:tcPr>
                <w:p>
                  <w:pPr>
                    <w:snapToGrid w:val="0"/>
                    <w:jc w:val="center"/>
                    <w:rPr>
                      <w:color w:val="auto"/>
                      <w:szCs w:val="21"/>
                    </w:rPr>
                  </w:pPr>
                  <w:r>
                    <w:rPr>
                      <w:rFonts w:hint="eastAsia"/>
                      <w:color w:val="auto"/>
                      <w:szCs w:val="21"/>
                    </w:rPr>
                    <w:t>51.2</w:t>
                  </w:r>
                </w:p>
              </w:tc>
              <w:tc>
                <w:tcPr>
                  <w:tcW w:w="3667" w:type="dxa"/>
                  <w:tcBorders>
                    <w:right w:val="nil"/>
                  </w:tcBorders>
                  <w:vAlign w:val="center"/>
                </w:tcPr>
                <w:p>
                  <w:pPr>
                    <w:snapToGrid w:val="0"/>
                    <w:jc w:val="center"/>
                    <w:rPr>
                      <w:color w:val="auto"/>
                      <w:szCs w:val="21"/>
                    </w:rPr>
                  </w:pPr>
                  <w:r>
                    <w:rPr>
                      <w:rFonts w:hint="eastAsia"/>
                      <w:color w:val="auto"/>
                      <w:szCs w:val="21"/>
                    </w:rPr>
                    <w:t>园区电网提供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70" w:type="dxa"/>
                  <w:tcBorders>
                    <w:left w:val="nil"/>
                  </w:tcBorders>
                </w:tcPr>
                <w:p>
                  <w:pPr>
                    <w:snapToGrid w:val="0"/>
                    <w:jc w:val="center"/>
                    <w:rPr>
                      <w:color w:val="auto"/>
                      <w:szCs w:val="21"/>
                    </w:rPr>
                  </w:pPr>
                  <w:r>
                    <w:rPr>
                      <w:rFonts w:hint="eastAsia"/>
                      <w:color w:val="auto"/>
                      <w:szCs w:val="21"/>
                    </w:rPr>
                    <w:t>10</w:t>
                  </w:r>
                </w:p>
              </w:tc>
              <w:tc>
                <w:tcPr>
                  <w:tcW w:w="1284" w:type="dxa"/>
                  <w:vAlign w:val="center"/>
                </w:tcPr>
                <w:p>
                  <w:pPr>
                    <w:snapToGrid w:val="0"/>
                    <w:jc w:val="center"/>
                    <w:rPr>
                      <w:color w:val="auto"/>
                      <w:szCs w:val="21"/>
                    </w:rPr>
                  </w:pPr>
                  <w:r>
                    <w:rPr>
                      <w:rFonts w:hint="eastAsia"/>
                      <w:color w:val="auto"/>
                      <w:szCs w:val="21"/>
                    </w:rPr>
                    <w:t>矿物油</w:t>
                  </w:r>
                </w:p>
              </w:tc>
              <w:tc>
                <w:tcPr>
                  <w:tcW w:w="1503" w:type="dxa"/>
                  <w:vAlign w:val="center"/>
                </w:tcPr>
                <w:p>
                  <w:pPr>
                    <w:snapToGrid w:val="0"/>
                    <w:jc w:val="center"/>
                    <w:rPr>
                      <w:color w:val="auto"/>
                      <w:szCs w:val="21"/>
                    </w:rPr>
                  </w:pPr>
                  <w:r>
                    <w:rPr>
                      <w:rFonts w:hint="eastAsia"/>
                      <w:color w:val="auto"/>
                      <w:szCs w:val="21"/>
                    </w:rPr>
                    <w:t>t/a</w:t>
                  </w:r>
                </w:p>
              </w:tc>
              <w:tc>
                <w:tcPr>
                  <w:tcW w:w="1364" w:type="dxa"/>
                  <w:vAlign w:val="center"/>
                </w:tcPr>
                <w:p>
                  <w:pPr>
                    <w:snapToGrid w:val="0"/>
                    <w:jc w:val="center"/>
                    <w:rPr>
                      <w:color w:val="auto"/>
                      <w:szCs w:val="21"/>
                    </w:rPr>
                  </w:pPr>
                  <w:r>
                    <w:rPr>
                      <w:rFonts w:hint="eastAsia"/>
                      <w:color w:val="auto"/>
                      <w:szCs w:val="21"/>
                    </w:rPr>
                    <w:t>1</w:t>
                  </w:r>
                </w:p>
              </w:tc>
              <w:tc>
                <w:tcPr>
                  <w:tcW w:w="3667" w:type="dxa"/>
                  <w:tcBorders>
                    <w:right w:val="nil"/>
                  </w:tcBorders>
                  <w:vAlign w:val="center"/>
                </w:tcPr>
                <w:p>
                  <w:pPr>
                    <w:snapToGrid w:val="0"/>
                    <w:jc w:val="center"/>
                    <w:rPr>
                      <w:color w:val="auto"/>
                      <w:szCs w:val="21"/>
                    </w:rPr>
                  </w:pPr>
                  <w:r>
                    <w:rPr>
                      <w:rFonts w:hint="eastAsia"/>
                      <w:color w:val="auto"/>
                      <w:szCs w:val="21"/>
                    </w:rPr>
                    <w:t>需要时外购，不在厂区内储存</w:t>
                  </w:r>
                </w:p>
              </w:tc>
            </w:tr>
          </w:tbl>
          <w:p>
            <w:pPr>
              <w:spacing w:line="480" w:lineRule="exact"/>
              <w:ind w:firstLine="472" w:firstLineChars="200"/>
              <w:rPr>
                <w:bCs/>
                <w:color w:val="auto"/>
                <w:sz w:val="24"/>
              </w:rPr>
            </w:pPr>
            <w:r>
              <w:rPr>
                <w:rFonts w:hint="eastAsia" w:ascii="宋体" w:hAnsi="宋体" w:cs="宋体"/>
                <w:color w:val="auto"/>
                <w:spacing w:val="-2"/>
                <w:sz w:val="24"/>
              </w:rPr>
              <w:t>本项目主要</w:t>
            </w:r>
            <w:r>
              <w:rPr>
                <w:bCs/>
                <w:color w:val="auto"/>
                <w:sz w:val="24"/>
              </w:rPr>
              <w:t>原辅材料理化性质见表</w:t>
            </w:r>
            <w:r>
              <w:rPr>
                <w:rFonts w:hint="eastAsia"/>
                <w:bCs/>
                <w:color w:val="auto"/>
                <w:sz w:val="24"/>
              </w:rPr>
              <w:t>13</w:t>
            </w:r>
            <w:r>
              <w:rPr>
                <w:bCs/>
                <w:color w:val="auto"/>
                <w:sz w:val="24"/>
              </w:rPr>
              <w:t>。</w:t>
            </w:r>
          </w:p>
          <w:p>
            <w:pPr>
              <w:spacing w:line="480" w:lineRule="exact"/>
              <w:jc w:val="center"/>
              <w:rPr>
                <w:b/>
                <w:bCs/>
                <w:snapToGrid w:val="0"/>
                <w:color w:val="auto"/>
                <w:sz w:val="24"/>
              </w:rPr>
            </w:pPr>
            <w:r>
              <w:rPr>
                <w:b/>
                <w:bCs/>
                <w:snapToGrid w:val="0"/>
                <w:color w:val="auto"/>
                <w:sz w:val="24"/>
              </w:rPr>
              <w:t>表</w:t>
            </w:r>
            <w:r>
              <w:rPr>
                <w:rFonts w:hint="eastAsia"/>
                <w:b/>
                <w:bCs/>
                <w:snapToGrid w:val="0"/>
                <w:color w:val="auto"/>
                <w:sz w:val="24"/>
              </w:rPr>
              <w:t>13</w:t>
            </w:r>
            <w:r>
              <w:rPr>
                <w:b/>
                <w:bCs/>
                <w:snapToGrid w:val="0"/>
                <w:color w:val="auto"/>
                <w:sz w:val="24"/>
              </w:rPr>
              <w:t xml:space="preserve"> </w:t>
            </w:r>
            <w:r>
              <w:rPr>
                <w:rFonts w:hint="eastAsia"/>
                <w:b/>
                <w:bCs/>
                <w:snapToGrid w:val="0"/>
                <w:color w:val="auto"/>
                <w:sz w:val="24"/>
              </w:rPr>
              <w:t xml:space="preserve">  本</w:t>
            </w:r>
            <w:r>
              <w:rPr>
                <w:b/>
                <w:bCs/>
                <w:snapToGrid w:val="0"/>
                <w:color w:val="auto"/>
                <w:sz w:val="24"/>
              </w:rPr>
              <w:t>项目原材料理化性质一览表</w:t>
            </w:r>
          </w:p>
          <w:tbl>
            <w:tblPr>
              <w:tblStyle w:val="34"/>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21"/>
              <w:gridCol w:w="766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tcBorders>
                    <w:tl2br w:val="nil"/>
                    <w:tr2bl w:val="nil"/>
                  </w:tcBorders>
                  <w:vAlign w:val="center"/>
                </w:tcPr>
                <w:p>
                  <w:pPr>
                    <w:snapToGrid w:val="0"/>
                    <w:jc w:val="center"/>
                    <w:rPr>
                      <w:color w:val="auto"/>
                      <w:szCs w:val="21"/>
                    </w:rPr>
                  </w:pPr>
                  <w:r>
                    <w:rPr>
                      <w:color w:val="auto"/>
                      <w:szCs w:val="21"/>
                    </w:rPr>
                    <w:t>名称</w:t>
                  </w:r>
                </w:p>
              </w:tc>
              <w:tc>
                <w:tcPr>
                  <w:tcW w:w="7667" w:type="dxa"/>
                  <w:tcBorders>
                    <w:tl2br w:val="nil"/>
                    <w:tr2bl w:val="nil"/>
                  </w:tcBorders>
                  <w:vAlign w:val="center"/>
                </w:tcPr>
                <w:p>
                  <w:pPr>
                    <w:snapToGrid w:val="0"/>
                    <w:jc w:val="center"/>
                    <w:rPr>
                      <w:color w:val="auto"/>
                      <w:szCs w:val="21"/>
                    </w:rPr>
                  </w:pPr>
                  <w:r>
                    <w:rPr>
                      <w:color w:val="auto"/>
                      <w:szCs w:val="21"/>
                    </w:rPr>
                    <w:t>理化性质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721" w:type="dxa"/>
                  <w:tcBorders>
                    <w:tl2br w:val="nil"/>
                    <w:tr2bl w:val="nil"/>
                  </w:tcBorders>
                  <w:vAlign w:val="center"/>
                </w:tcPr>
                <w:p>
                  <w:pPr>
                    <w:snapToGrid w:val="0"/>
                    <w:jc w:val="center"/>
                    <w:rPr>
                      <w:color w:val="auto"/>
                      <w:szCs w:val="21"/>
                    </w:rPr>
                  </w:pPr>
                  <w:r>
                    <w:rPr>
                      <w:rFonts w:hint="eastAsia"/>
                      <w:color w:val="auto"/>
                      <w:szCs w:val="21"/>
                    </w:rPr>
                    <w:t>清渣剂</w:t>
                  </w:r>
                </w:p>
              </w:tc>
              <w:tc>
                <w:tcPr>
                  <w:tcW w:w="7667" w:type="dxa"/>
                  <w:tcBorders>
                    <w:tl2br w:val="nil"/>
                    <w:tr2bl w:val="nil"/>
                  </w:tcBorders>
                  <w:vAlign w:val="center"/>
                </w:tcPr>
                <w:p>
                  <w:pPr>
                    <w:snapToGrid w:val="0"/>
                    <w:jc w:val="center"/>
                    <w:rPr>
                      <w:color w:val="auto"/>
                      <w:szCs w:val="21"/>
                    </w:rPr>
                  </w:pPr>
                  <w:r>
                    <w:rPr>
                      <w:rFonts w:hint="eastAsia"/>
                      <w:color w:val="auto"/>
                      <w:szCs w:val="21"/>
                    </w:rPr>
                    <w:t>清渣剂是一种中性物质，在高温作用下会膨胀或熔融，膨胀后形成比重低、中空气孔，熔融后具有一定的粘结性，主要是有由加工工艺决定。除渣剂在钢铁冶炼及铸造中使用正是由于其在1200以上的高温作业下熔融，并具有粘结性，能有效聚集和吸附金属溶液表面的浮渣和夹渣，并且其化学性质稳定，不会对金属熔液产生二次污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721" w:type="dxa"/>
                  <w:tcBorders>
                    <w:tl2br w:val="nil"/>
                    <w:tr2bl w:val="nil"/>
                  </w:tcBorders>
                  <w:vAlign w:val="center"/>
                </w:tcPr>
                <w:p>
                  <w:pPr>
                    <w:snapToGrid w:val="0"/>
                    <w:jc w:val="center"/>
                    <w:rPr>
                      <w:color w:val="auto"/>
                      <w:szCs w:val="21"/>
                    </w:rPr>
                  </w:pPr>
                  <w:r>
                    <w:rPr>
                      <w:rFonts w:hint="eastAsia"/>
                      <w:color w:val="auto"/>
                      <w:szCs w:val="21"/>
                    </w:rPr>
                    <w:t>水玻璃</w:t>
                  </w:r>
                </w:p>
              </w:tc>
              <w:tc>
                <w:tcPr>
                  <w:tcW w:w="7667" w:type="dxa"/>
                  <w:tcBorders>
                    <w:tl2br w:val="nil"/>
                    <w:tr2bl w:val="nil"/>
                  </w:tcBorders>
                  <w:vAlign w:val="center"/>
                </w:tcPr>
                <w:p>
                  <w:pPr>
                    <w:snapToGrid w:val="0"/>
                    <w:jc w:val="center"/>
                    <w:rPr>
                      <w:color w:val="auto"/>
                      <w:szCs w:val="21"/>
                    </w:rPr>
                  </w:pPr>
                  <w:r>
                    <w:rPr>
                      <w:rFonts w:hint="eastAsia"/>
                      <w:color w:val="auto"/>
                      <w:szCs w:val="21"/>
                    </w:rPr>
                    <w:t>硅酸钠，俗称泡花碱，是一种无机物，化学式为Na</w:t>
                  </w:r>
                  <w:r>
                    <w:rPr>
                      <w:rFonts w:hint="eastAsia"/>
                      <w:color w:val="auto"/>
                      <w:szCs w:val="21"/>
                      <w:vertAlign w:val="subscript"/>
                    </w:rPr>
                    <w:t>2</w:t>
                  </w:r>
                  <w:r>
                    <w:rPr>
                      <w:rFonts w:hint="eastAsia"/>
                      <w:color w:val="auto"/>
                      <w:szCs w:val="21"/>
                    </w:rPr>
                    <w:t>O·nSiO</w:t>
                  </w:r>
                  <w:r>
                    <w:rPr>
                      <w:rFonts w:hint="eastAsia"/>
                      <w:color w:val="auto"/>
                      <w:szCs w:val="21"/>
                      <w:vertAlign w:val="subscript"/>
                    </w:rPr>
                    <w:t>2</w:t>
                  </w:r>
                  <w:r>
                    <w:rPr>
                      <w:rFonts w:hint="eastAsia"/>
                      <w:color w:val="auto"/>
                      <w:szCs w:val="21"/>
                    </w:rPr>
                    <w:t>，其水溶液俗称水玻璃，是一种矿黏合剂。它是一种可溶性的无机硅酸盐，是无色、略带颜色的半透明或透明块状玻璃体，具有广泛的用途。</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tcBorders>
                    <w:tl2br w:val="nil"/>
                    <w:tr2bl w:val="nil"/>
                  </w:tcBorders>
                  <w:vAlign w:val="center"/>
                </w:tcPr>
                <w:p>
                  <w:pPr>
                    <w:snapToGrid w:val="0"/>
                    <w:jc w:val="center"/>
                    <w:rPr>
                      <w:color w:val="auto"/>
                      <w:szCs w:val="21"/>
                    </w:rPr>
                  </w:pPr>
                  <w:r>
                    <w:rPr>
                      <w:rFonts w:hint="eastAsia"/>
                      <w:color w:val="auto"/>
                      <w:szCs w:val="21"/>
                    </w:rPr>
                    <w:t>耐火</w:t>
                  </w:r>
                </w:p>
                <w:p>
                  <w:pPr>
                    <w:snapToGrid w:val="0"/>
                    <w:jc w:val="center"/>
                    <w:rPr>
                      <w:color w:val="auto"/>
                      <w:szCs w:val="21"/>
                    </w:rPr>
                  </w:pPr>
                  <w:r>
                    <w:rPr>
                      <w:rFonts w:hint="eastAsia"/>
                      <w:color w:val="auto"/>
                      <w:szCs w:val="21"/>
                    </w:rPr>
                    <w:t>材料</w:t>
                  </w:r>
                </w:p>
              </w:tc>
              <w:tc>
                <w:tcPr>
                  <w:tcW w:w="7667" w:type="dxa"/>
                  <w:tcBorders>
                    <w:tl2br w:val="nil"/>
                    <w:tr2bl w:val="nil"/>
                  </w:tcBorders>
                  <w:vAlign w:val="center"/>
                </w:tcPr>
                <w:p>
                  <w:pPr>
                    <w:snapToGrid w:val="0"/>
                    <w:jc w:val="center"/>
                    <w:rPr>
                      <w:color w:val="auto"/>
                      <w:szCs w:val="21"/>
                    </w:rPr>
                  </w:pPr>
                  <w:r>
                    <w:rPr>
                      <w:rFonts w:hint="eastAsia"/>
                      <w:color w:val="auto"/>
                      <w:szCs w:val="21"/>
                    </w:rPr>
                    <w:t>主要成分为铝矾土与石英粉。其中铝矾土主要成分为氧化铝，耐火度超过 1700℃，石英粉主要成分为二氧化硅，耐火度达到1700℃；氧化铝和二氧化硅均为无机物，浇注过程不会释放有机废气。耐火材料每月进货一次，为袋装储存。</w:t>
                  </w:r>
                </w:p>
              </w:tc>
            </w:tr>
          </w:tbl>
          <w:p>
            <w:pPr>
              <w:spacing w:line="480" w:lineRule="exact"/>
              <w:ind w:firstLine="480" w:firstLineChars="200"/>
              <w:rPr>
                <w:color w:val="auto"/>
                <w:sz w:val="24"/>
              </w:rPr>
            </w:pPr>
            <w:r>
              <w:rPr>
                <w:rFonts w:hint="eastAsia"/>
                <w:color w:val="auto"/>
                <w:sz w:val="24"/>
              </w:rPr>
              <w:t>（8）物料平衡</w:t>
            </w:r>
          </w:p>
          <w:p>
            <w:pPr>
              <w:pStyle w:val="40"/>
              <w:ind w:firstLine="480"/>
              <w:rPr>
                <w:color w:val="auto"/>
              </w:rPr>
            </w:pPr>
            <w:r>
              <w:rPr>
                <w:rFonts w:hint="eastAsia"/>
                <w:color w:val="auto"/>
              </w:rPr>
              <w:t>本项目物料平衡情况见表14。</w:t>
            </w:r>
          </w:p>
          <w:p>
            <w:pPr>
              <w:spacing w:line="480" w:lineRule="exact"/>
              <w:jc w:val="center"/>
              <w:rPr>
                <w:b/>
                <w:bCs/>
                <w:snapToGrid w:val="0"/>
                <w:color w:val="auto"/>
                <w:sz w:val="24"/>
              </w:rPr>
            </w:pPr>
            <w:r>
              <w:rPr>
                <w:rFonts w:hint="eastAsia"/>
                <w:b/>
                <w:bCs/>
                <w:snapToGrid w:val="0"/>
                <w:color w:val="auto"/>
                <w:sz w:val="24"/>
              </w:rPr>
              <w:t>表14    物料平衡一览表    单位t/a</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984"/>
              <w:gridCol w:w="1241"/>
              <w:gridCol w:w="846"/>
              <w:gridCol w:w="1963"/>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9" w:type="dxa"/>
                  <w:tcBorders>
                    <w:top w:val="single" w:color="auto" w:sz="12" w:space="0"/>
                  </w:tcBorders>
                  <w:vAlign w:val="center"/>
                </w:tcPr>
                <w:p>
                  <w:pPr>
                    <w:snapToGrid w:val="0"/>
                    <w:jc w:val="center"/>
                    <w:rPr>
                      <w:color w:val="auto"/>
                      <w:szCs w:val="21"/>
                    </w:rPr>
                  </w:pPr>
                  <w:r>
                    <w:rPr>
                      <w:rFonts w:hint="eastAsia"/>
                      <w:color w:val="auto"/>
                      <w:szCs w:val="21"/>
                    </w:rPr>
                    <w:t>序号</w:t>
                  </w:r>
                </w:p>
              </w:tc>
              <w:tc>
                <w:tcPr>
                  <w:tcW w:w="3225" w:type="dxa"/>
                  <w:gridSpan w:val="2"/>
                  <w:tcBorders>
                    <w:top w:val="single" w:color="auto" w:sz="12" w:space="0"/>
                  </w:tcBorders>
                  <w:vAlign w:val="center"/>
                </w:tcPr>
                <w:p>
                  <w:pPr>
                    <w:snapToGrid w:val="0"/>
                    <w:jc w:val="center"/>
                    <w:rPr>
                      <w:color w:val="auto"/>
                      <w:szCs w:val="21"/>
                    </w:rPr>
                  </w:pPr>
                  <w:r>
                    <w:rPr>
                      <w:rFonts w:hint="eastAsia"/>
                      <w:color w:val="auto"/>
                      <w:szCs w:val="21"/>
                    </w:rPr>
                    <w:t>投入</w:t>
                  </w:r>
                </w:p>
              </w:tc>
              <w:tc>
                <w:tcPr>
                  <w:tcW w:w="846" w:type="dxa"/>
                  <w:tcBorders>
                    <w:top w:val="single" w:color="auto" w:sz="12" w:space="0"/>
                  </w:tcBorders>
                  <w:vAlign w:val="center"/>
                </w:tcPr>
                <w:p>
                  <w:pPr>
                    <w:snapToGrid w:val="0"/>
                    <w:jc w:val="center"/>
                    <w:rPr>
                      <w:color w:val="auto"/>
                      <w:szCs w:val="21"/>
                    </w:rPr>
                  </w:pPr>
                  <w:r>
                    <w:rPr>
                      <w:rFonts w:hint="eastAsia"/>
                      <w:color w:val="auto"/>
                      <w:szCs w:val="21"/>
                    </w:rPr>
                    <w:t>序号</w:t>
                  </w:r>
                </w:p>
              </w:tc>
              <w:tc>
                <w:tcPr>
                  <w:tcW w:w="3416" w:type="dxa"/>
                  <w:gridSpan w:val="2"/>
                  <w:tcBorders>
                    <w:top w:val="single" w:color="auto" w:sz="12" w:space="0"/>
                    <w:right w:val="nil"/>
                  </w:tcBorders>
                  <w:vAlign w:val="center"/>
                </w:tcPr>
                <w:p>
                  <w:pPr>
                    <w:snapToGrid w:val="0"/>
                    <w:jc w:val="center"/>
                    <w:rPr>
                      <w:color w:val="auto"/>
                      <w:szCs w:val="21"/>
                    </w:rPr>
                  </w:pPr>
                  <w:r>
                    <w:rPr>
                      <w:rFonts w:hint="eastAsia"/>
                      <w:color w:val="auto"/>
                      <w:szCs w:val="21"/>
                    </w:rPr>
                    <w:t>产出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9" w:type="dxa"/>
                  <w:tcBorders>
                    <w:left w:val="nil"/>
                  </w:tcBorders>
                  <w:vAlign w:val="center"/>
                </w:tcPr>
                <w:p>
                  <w:pPr>
                    <w:snapToGrid w:val="0"/>
                    <w:jc w:val="center"/>
                    <w:rPr>
                      <w:color w:val="auto"/>
                      <w:szCs w:val="21"/>
                    </w:rPr>
                  </w:pPr>
                  <w:r>
                    <w:rPr>
                      <w:rFonts w:hint="eastAsia"/>
                      <w:color w:val="auto"/>
                      <w:szCs w:val="21"/>
                    </w:rPr>
                    <w:t>1</w:t>
                  </w:r>
                </w:p>
              </w:tc>
              <w:tc>
                <w:tcPr>
                  <w:tcW w:w="1984" w:type="dxa"/>
                  <w:vAlign w:val="center"/>
                </w:tcPr>
                <w:p>
                  <w:pPr>
                    <w:snapToGrid w:val="0"/>
                    <w:jc w:val="center"/>
                    <w:rPr>
                      <w:color w:val="auto"/>
                      <w:szCs w:val="21"/>
                    </w:rPr>
                  </w:pPr>
                  <w:r>
                    <w:rPr>
                      <w:rFonts w:hint="eastAsia"/>
                      <w:color w:val="auto"/>
                      <w:szCs w:val="21"/>
                    </w:rPr>
                    <w:t>废钢</w:t>
                  </w:r>
                </w:p>
              </w:tc>
              <w:tc>
                <w:tcPr>
                  <w:tcW w:w="1241" w:type="dxa"/>
                  <w:vAlign w:val="center"/>
                </w:tcPr>
                <w:p>
                  <w:pPr>
                    <w:snapToGrid w:val="0"/>
                    <w:jc w:val="center"/>
                    <w:rPr>
                      <w:color w:val="auto"/>
                      <w:szCs w:val="21"/>
                    </w:rPr>
                  </w:pPr>
                  <w:r>
                    <w:rPr>
                      <w:rFonts w:hint="eastAsia"/>
                      <w:color w:val="auto"/>
                      <w:szCs w:val="21"/>
                    </w:rPr>
                    <w:t>4602.4498</w:t>
                  </w:r>
                </w:p>
              </w:tc>
              <w:tc>
                <w:tcPr>
                  <w:tcW w:w="846" w:type="dxa"/>
                  <w:vAlign w:val="center"/>
                </w:tcPr>
                <w:p>
                  <w:pPr>
                    <w:snapToGrid w:val="0"/>
                    <w:jc w:val="center"/>
                    <w:rPr>
                      <w:color w:val="auto"/>
                      <w:szCs w:val="21"/>
                    </w:rPr>
                  </w:pPr>
                  <w:r>
                    <w:rPr>
                      <w:rFonts w:hint="eastAsia"/>
                      <w:color w:val="auto"/>
                      <w:szCs w:val="21"/>
                    </w:rPr>
                    <w:t>1</w:t>
                  </w:r>
                </w:p>
              </w:tc>
              <w:tc>
                <w:tcPr>
                  <w:tcW w:w="1963" w:type="dxa"/>
                  <w:vAlign w:val="center"/>
                </w:tcPr>
                <w:p>
                  <w:pPr>
                    <w:snapToGrid w:val="0"/>
                    <w:jc w:val="center"/>
                    <w:rPr>
                      <w:color w:val="auto"/>
                      <w:szCs w:val="21"/>
                    </w:rPr>
                  </w:pPr>
                  <w:r>
                    <w:rPr>
                      <w:rFonts w:hint="eastAsia"/>
                      <w:color w:val="auto"/>
                      <w:szCs w:val="21"/>
                    </w:rPr>
                    <w:t>产品</w:t>
                  </w:r>
                </w:p>
              </w:tc>
              <w:tc>
                <w:tcPr>
                  <w:tcW w:w="1453" w:type="dxa"/>
                  <w:tcBorders>
                    <w:right w:val="nil"/>
                  </w:tcBorders>
                  <w:vAlign w:val="center"/>
                </w:tcPr>
                <w:p>
                  <w:pPr>
                    <w:widowControl/>
                    <w:jc w:val="center"/>
                    <w:textAlignment w:val="center"/>
                    <w:rPr>
                      <w:color w:val="auto"/>
                      <w:szCs w:val="21"/>
                    </w:rPr>
                  </w:pPr>
                  <w:r>
                    <w:rPr>
                      <w:color w:val="auto"/>
                      <w:kern w:val="0"/>
                      <w:szCs w:val="21"/>
                      <w:lang w:bidi="ar"/>
                    </w:rPr>
                    <w:t>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9" w:type="dxa"/>
                  <w:tcBorders>
                    <w:left w:val="nil"/>
                  </w:tcBorders>
                  <w:vAlign w:val="center"/>
                </w:tcPr>
                <w:p>
                  <w:pPr>
                    <w:snapToGrid w:val="0"/>
                    <w:jc w:val="center"/>
                    <w:rPr>
                      <w:color w:val="auto"/>
                      <w:szCs w:val="21"/>
                    </w:rPr>
                  </w:pPr>
                  <w:r>
                    <w:rPr>
                      <w:rFonts w:hint="eastAsia"/>
                      <w:color w:val="auto"/>
                      <w:szCs w:val="21"/>
                    </w:rPr>
                    <w:t>2</w:t>
                  </w:r>
                </w:p>
              </w:tc>
              <w:tc>
                <w:tcPr>
                  <w:tcW w:w="1984" w:type="dxa"/>
                  <w:vAlign w:val="center"/>
                </w:tcPr>
                <w:p>
                  <w:pPr>
                    <w:snapToGrid w:val="0"/>
                    <w:jc w:val="center"/>
                    <w:rPr>
                      <w:color w:val="auto"/>
                      <w:szCs w:val="21"/>
                    </w:rPr>
                  </w:pPr>
                  <w:r>
                    <w:rPr>
                      <w:rFonts w:hint="eastAsia"/>
                      <w:color w:val="auto"/>
                      <w:szCs w:val="21"/>
                    </w:rPr>
                    <w:t>高锰钢</w:t>
                  </w:r>
                </w:p>
              </w:tc>
              <w:tc>
                <w:tcPr>
                  <w:tcW w:w="1241" w:type="dxa"/>
                  <w:vAlign w:val="center"/>
                </w:tcPr>
                <w:p>
                  <w:pPr>
                    <w:snapToGrid w:val="0"/>
                    <w:jc w:val="center"/>
                    <w:rPr>
                      <w:color w:val="auto"/>
                      <w:szCs w:val="21"/>
                    </w:rPr>
                  </w:pPr>
                  <w:r>
                    <w:rPr>
                      <w:rFonts w:hint="eastAsia"/>
                      <w:color w:val="auto"/>
                      <w:szCs w:val="21"/>
                    </w:rPr>
                    <w:t>1000</w:t>
                  </w:r>
                </w:p>
              </w:tc>
              <w:tc>
                <w:tcPr>
                  <w:tcW w:w="846" w:type="dxa"/>
                  <w:vAlign w:val="center"/>
                </w:tcPr>
                <w:p>
                  <w:pPr>
                    <w:snapToGrid w:val="0"/>
                    <w:jc w:val="center"/>
                    <w:rPr>
                      <w:color w:val="auto"/>
                      <w:szCs w:val="21"/>
                    </w:rPr>
                  </w:pPr>
                  <w:r>
                    <w:rPr>
                      <w:rFonts w:hint="eastAsia"/>
                      <w:color w:val="auto"/>
                      <w:szCs w:val="21"/>
                    </w:rPr>
                    <w:t>2</w:t>
                  </w:r>
                </w:p>
              </w:tc>
              <w:tc>
                <w:tcPr>
                  <w:tcW w:w="1963" w:type="dxa"/>
                  <w:vAlign w:val="center"/>
                </w:tcPr>
                <w:p>
                  <w:pPr>
                    <w:snapToGrid w:val="0"/>
                    <w:jc w:val="center"/>
                    <w:rPr>
                      <w:color w:val="auto"/>
                      <w:szCs w:val="21"/>
                    </w:rPr>
                  </w:pPr>
                  <w:r>
                    <w:rPr>
                      <w:rFonts w:hint="eastAsia"/>
                      <w:color w:val="auto"/>
                      <w:szCs w:val="21"/>
                    </w:rPr>
                    <w:t>熔炼渣</w:t>
                  </w:r>
                </w:p>
              </w:tc>
              <w:tc>
                <w:tcPr>
                  <w:tcW w:w="1453" w:type="dxa"/>
                  <w:tcBorders>
                    <w:right w:val="nil"/>
                  </w:tcBorders>
                  <w:vAlign w:val="center"/>
                </w:tcPr>
                <w:p>
                  <w:pPr>
                    <w:widowControl/>
                    <w:jc w:val="center"/>
                    <w:textAlignment w:val="center"/>
                    <w:rPr>
                      <w:color w:val="auto"/>
                      <w:szCs w:val="21"/>
                    </w:rPr>
                  </w:pPr>
                  <w:r>
                    <w:rPr>
                      <w:color w:val="auto"/>
                      <w:kern w:val="0"/>
                      <w:szCs w:val="21"/>
                      <w:lang w:bidi="ar"/>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9" w:type="dxa"/>
                  <w:tcBorders>
                    <w:left w:val="nil"/>
                  </w:tcBorders>
                  <w:vAlign w:val="center"/>
                </w:tcPr>
                <w:p>
                  <w:pPr>
                    <w:snapToGrid w:val="0"/>
                    <w:jc w:val="center"/>
                    <w:rPr>
                      <w:color w:val="auto"/>
                      <w:szCs w:val="21"/>
                    </w:rPr>
                  </w:pPr>
                  <w:r>
                    <w:rPr>
                      <w:rFonts w:hint="eastAsia"/>
                      <w:color w:val="auto"/>
                      <w:szCs w:val="21"/>
                    </w:rPr>
                    <w:t>3</w:t>
                  </w:r>
                </w:p>
              </w:tc>
              <w:tc>
                <w:tcPr>
                  <w:tcW w:w="1984" w:type="dxa"/>
                  <w:vAlign w:val="center"/>
                </w:tcPr>
                <w:p>
                  <w:pPr>
                    <w:snapToGrid w:val="0"/>
                    <w:jc w:val="center"/>
                    <w:rPr>
                      <w:color w:val="auto"/>
                      <w:szCs w:val="21"/>
                    </w:rPr>
                  </w:pPr>
                  <w:r>
                    <w:rPr>
                      <w:rFonts w:hint="eastAsia"/>
                      <w:color w:val="auto"/>
                      <w:szCs w:val="21"/>
                    </w:rPr>
                    <w:t>石英砂</w:t>
                  </w:r>
                </w:p>
              </w:tc>
              <w:tc>
                <w:tcPr>
                  <w:tcW w:w="1241" w:type="dxa"/>
                  <w:vAlign w:val="center"/>
                </w:tcPr>
                <w:p>
                  <w:pPr>
                    <w:snapToGrid w:val="0"/>
                    <w:jc w:val="center"/>
                    <w:rPr>
                      <w:color w:val="auto"/>
                      <w:szCs w:val="21"/>
                    </w:rPr>
                  </w:pPr>
                  <w:r>
                    <w:rPr>
                      <w:rFonts w:hint="eastAsia"/>
                      <w:color w:val="auto"/>
                      <w:szCs w:val="21"/>
                    </w:rPr>
                    <w:t>750</w:t>
                  </w:r>
                </w:p>
              </w:tc>
              <w:tc>
                <w:tcPr>
                  <w:tcW w:w="846" w:type="dxa"/>
                  <w:vAlign w:val="center"/>
                </w:tcPr>
                <w:p>
                  <w:pPr>
                    <w:snapToGrid w:val="0"/>
                    <w:jc w:val="center"/>
                    <w:rPr>
                      <w:color w:val="auto"/>
                      <w:szCs w:val="21"/>
                    </w:rPr>
                  </w:pPr>
                  <w:r>
                    <w:rPr>
                      <w:rFonts w:hint="eastAsia"/>
                      <w:color w:val="auto"/>
                      <w:szCs w:val="21"/>
                    </w:rPr>
                    <w:t>3</w:t>
                  </w:r>
                </w:p>
              </w:tc>
              <w:tc>
                <w:tcPr>
                  <w:tcW w:w="1963" w:type="dxa"/>
                  <w:vAlign w:val="center"/>
                </w:tcPr>
                <w:p>
                  <w:pPr>
                    <w:snapToGrid w:val="0"/>
                    <w:jc w:val="center"/>
                    <w:rPr>
                      <w:rFonts w:hint="eastAsia" w:eastAsia="宋体"/>
                      <w:color w:val="auto"/>
                      <w:szCs w:val="21"/>
                      <w:lang w:val="en-US" w:eastAsia="zh-CN"/>
                    </w:rPr>
                  </w:pPr>
                  <w:r>
                    <w:rPr>
                      <w:rFonts w:hint="eastAsia"/>
                      <w:color w:val="auto"/>
                      <w:szCs w:val="21"/>
                    </w:rPr>
                    <w:t>切冒口</w:t>
                  </w:r>
                  <w:r>
                    <w:rPr>
                      <w:rFonts w:hint="eastAsia"/>
                      <w:color w:val="auto"/>
                      <w:szCs w:val="21"/>
                      <w:lang w:val="en-US" w:eastAsia="zh-CN"/>
                    </w:rPr>
                    <w:t>产生的废铁</w:t>
                  </w:r>
                </w:p>
              </w:tc>
              <w:tc>
                <w:tcPr>
                  <w:tcW w:w="1453" w:type="dxa"/>
                  <w:tcBorders>
                    <w:right w:val="nil"/>
                  </w:tcBorders>
                  <w:vAlign w:val="center"/>
                </w:tcPr>
                <w:p>
                  <w:pPr>
                    <w:widowControl/>
                    <w:jc w:val="center"/>
                    <w:textAlignment w:val="center"/>
                    <w:rPr>
                      <w:color w:val="auto"/>
                      <w:szCs w:val="21"/>
                    </w:rPr>
                  </w:pPr>
                  <w:r>
                    <w:rPr>
                      <w:color w:val="auto"/>
                      <w:kern w:val="0"/>
                      <w:szCs w:val="21"/>
                      <w:lang w:bidi="ar"/>
                    </w:rPr>
                    <w:t>40</w:t>
                  </w:r>
                  <w:r>
                    <w:rPr>
                      <w:rFonts w:hint="eastAsia"/>
                      <w:color w:val="auto"/>
                      <w:kern w:val="0"/>
                      <w:szCs w:val="21"/>
                      <w:lang w:bidi="ar"/>
                    </w:rPr>
                    <w:t>（回用）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9" w:type="dxa"/>
                  <w:tcBorders>
                    <w:left w:val="nil"/>
                  </w:tcBorders>
                  <w:vAlign w:val="center"/>
                </w:tcPr>
                <w:p>
                  <w:pPr>
                    <w:snapToGrid w:val="0"/>
                    <w:jc w:val="center"/>
                    <w:rPr>
                      <w:color w:val="auto"/>
                      <w:szCs w:val="21"/>
                    </w:rPr>
                  </w:pPr>
                  <w:r>
                    <w:rPr>
                      <w:rFonts w:hint="eastAsia"/>
                      <w:color w:val="auto"/>
                      <w:szCs w:val="21"/>
                    </w:rPr>
                    <w:t>4</w:t>
                  </w:r>
                </w:p>
              </w:tc>
              <w:tc>
                <w:tcPr>
                  <w:tcW w:w="1984" w:type="dxa"/>
                  <w:vAlign w:val="center"/>
                </w:tcPr>
                <w:p>
                  <w:pPr>
                    <w:snapToGrid w:val="0"/>
                    <w:jc w:val="center"/>
                    <w:rPr>
                      <w:color w:val="auto"/>
                      <w:szCs w:val="21"/>
                    </w:rPr>
                  </w:pPr>
                  <w:r>
                    <w:rPr>
                      <w:rFonts w:hint="eastAsia"/>
                      <w:color w:val="auto"/>
                      <w:szCs w:val="21"/>
                    </w:rPr>
                    <w:t>耐火材料</w:t>
                  </w:r>
                </w:p>
              </w:tc>
              <w:tc>
                <w:tcPr>
                  <w:tcW w:w="1241" w:type="dxa"/>
                  <w:vAlign w:val="center"/>
                </w:tcPr>
                <w:p>
                  <w:pPr>
                    <w:snapToGrid w:val="0"/>
                    <w:jc w:val="center"/>
                    <w:rPr>
                      <w:color w:val="auto"/>
                      <w:szCs w:val="21"/>
                    </w:rPr>
                  </w:pPr>
                  <w:r>
                    <w:rPr>
                      <w:rFonts w:hint="eastAsia"/>
                      <w:color w:val="auto"/>
                      <w:szCs w:val="21"/>
                    </w:rPr>
                    <w:t>20</w:t>
                  </w:r>
                </w:p>
              </w:tc>
              <w:tc>
                <w:tcPr>
                  <w:tcW w:w="846" w:type="dxa"/>
                  <w:vAlign w:val="center"/>
                </w:tcPr>
                <w:p>
                  <w:pPr>
                    <w:snapToGrid w:val="0"/>
                    <w:jc w:val="center"/>
                    <w:rPr>
                      <w:color w:val="auto"/>
                      <w:szCs w:val="21"/>
                    </w:rPr>
                  </w:pPr>
                  <w:r>
                    <w:rPr>
                      <w:rFonts w:hint="eastAsia"/>
                      <w:color w:val="auto"/>
                      <w:szCs w:val="21"/>
                    </w:rPr>
                    <w:t>4</w:t>
                  </w:r>
                </w:p>
              </w:tc>
              <w:tc>
                <w:tcPr>
                  <w:tcW w:w="1963" w:type="dxa"/>
                  <w:vAlign w:val="center"/>
                </w:tcPr>
                <w:p>
                  <w:pPr>
                    <w:snapToGrid w:val="0"/>
                    <w:jc w:val="center"/>
                    <w:rPr>
                      <w:color w:val="auto"/>
                      <w:szCs w:val="21"/>
                    </w:rPr>
                  </w:pPr>
                  <w:r>
                    <w:rPr>
                      <w:rFonts w:hint="eastAsia"/>
                      <w:color w:val="auto"/>
                      <w:szCs w:val="21"/>
                    </w:rPr>
                    <w:t>再生砂</w:t>
                  </w:r>
                </w:p>
              </w:tc>
              <w:tc>
                <w:tcPr>
                  <w:tcW w:w="1453" w:type="dxa"/>
                  <w:tcBorders>
                    <w:right w:val="nil"/>
                  </w:tcBorders>
                  <w:vAlign w:val="center"/>
                </w:tcPr>
                <w:p>
                  <w:pPr>
                    <w:widowControl/>
                    <w:jc w:val="center"/>
                    <w:textAlignment w:val="center"/>
                    <w:rPr>
                      <w:color w:val="auto"/>
                      <w:szCs w:val="21"/>
                    </w:rPr>
                  </w:pPr>
                  <w:r>
                    <w:rPr>
                      <w:color w:val="auto"/>
                      <w:kern w:val="0"/>
                      <w:szCs w:val="21"/>
                      <w:lang w:bidi="ar"/>
                    </w:rPr>
                    <w:t>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9" w:type="dxa"/>
                  <w:tcBorders>
                    <w:left w:val="nil"/>
                  </w:tcBorders>
                  <w:vAlign w:val="center"/>
                </w:tcPr>
                <w:p>
                  <w:pPr>
                    <w:snapToGrid w:val="0"/>
                    <w:jc w:val="center"/>
                    <w:rPr>
                      <w:color w:val="auto"/>
                      <w:szCs w:val="21"/>
                    </w:rPr>
                  </w:pPr>
                  <w:r>
                    <w:rPr>
                      <w:rFonts w:hint="eastAsia"/>
                      <w:color w:val="auto"/>
                      <w:szCs w:val="21"/>
                    </w:rPr>
                    <w:t>5</w:t>
                  </w:r>
                </w:p>
              </w:tc>
              <w:tc>
                <w:tcPr>
                  <w:tcW w:w="1984" w:type="dxa"/>
                  <w:vAlign w:val="center"/>
                </w:tcPr>
                <w:p>
                  <w:pPr>
                    <w:snapToGrid w:val="0"/>
                    <w:jc w:val="center"/>
                    <w:rPr>
                      <w:color w:val="auto"/>
                      <w:szCs w:val="21"/>
                    </w:rPr>
                  </w:pPr>
                  <w:r>
                    <w:rPr>
                      <w:rFonts w:hint="eastAsia"/>
                      <w:color w:val="auto"/>
                      <w:szCs w:val="21"/>
                    </w:rPr>
                    <w:t>清渣剂</w:t>
                  </w:r>
                </w:p>
              </w:tc>
              <w:tc>
                <w:tcPr>
                  <w:tcW w:w="1241" w:type="dxa"/>
                  <w:vAlign w:val="center"/>
                </w:tcPr>
                <w:p>
                  <w:pPr>
                    <w:snapToGrid w:val="0"/>
                    <w:jc w:val="center"/>
                    <w:rPr>
                      <w:color w:val="auto"/>
                      <w:szCs w:val="21"/>
                    </w:rPr>
                  </w:pPr>
                  <w:r>
                    <w:rPr>
                      <w:rFonts w:hint="eastAsia"/>
                      <w:color w:val="auto"/>
                      <w:szCs w:val="21"/>
                    </w:rPr>
                    <w:t>30</w:t>
                  </w:r>
                </w:p>
              </w:tc>
              <w:tc>
                <w:tcPr>
                  <w:tcW w:w="846" w:type="dxa"/>
                  <w:vAlign w:val="center"/>
                </w:tcPr>
                <w:p>
                  <w:pPr>
                    <w:snapToGrid w:val="0"/>
                    <w:jc w:val="center"/>
                    <w:rPr>
                      <w:color w:val="auto"/>
                      <w:szCs w:val="21"/>
                    </w:rPr>
                  </w:pPr>
                  <w:r>
                    <w:rPr>
                      <w:rFonts w:hint="eastAsia"/>
                      <w:color w:val="auto"/>
                      <w:szCs w:val="21"/>
                    </w:rPr>
                    <w:t>5</w:t>
                  </w:r>
                </w:p>
              </w:tc>
              <w:tc>
                <w:tcPr>
                  <w:tcW w:w="1963" w:type="dxa"/>
                  <w:vAlign w:val="center"/>
                </w:tcPr>
                <w:p>
                  <w:pPr>
                    <w:snapToGrid w:val="0"/>
                    <w:jc w:val="center"/>
                    <w:rPr>
                      <w:color w:val="auto"/>
                      <w:szCs w:val="21"/>
                    </w:rPr>
                  </w:pPr>
                  <w:r>
                    <w:rPr>
                      <w:rFonts w:hint="eastAsia"/>
                      <w:color w:val="auto"/>
                      <w:szCs w:val="21"/>
                    </w:rPr>
                    <w:t>废砂</w:t>
                  </w:r>
                </w:p>
              </w:tc>
              <w:tc>
                <w:tcPr>
                  <w:tcW w:w="1453" w:type="dxa"/>
                  <w:tcBorders>
                    <w:right w:val="nil"/>
                  </w:tcBorders>
                  <w:vAlign w:val="center"/>
                </w:tcPr>
                <w:p>
                  <w:pPr>
                    <w:widowControl/>
                    <w:jc w:val="center"/>
                    <w:textAlignment w:val="center"/>
                    <w:rPr>
                      <w:color w:val="auto"/>
                      <w:szCs w:val="21"/>
                    </w:rPr>
                  </w:pPr>
                  <w:r>
                    <w:rPr>
                      <w:color w:val="auto"/>
                      <w:kern w:val="0"/>
                      <w:szCs w:val="21"/>
                      <w:lang w:bidi="ar"/>
                    </w:rPr>
                    <w:t>1</w:t>
                  </w:r>
                  <w:r>
                    <w:rPr>
                      <w:rFonts w:hint="eastAsia"/>
                      <w:color w:val="auto"/>
                      <w:kern w:val="0"/>
                      <w:szCs w:val="21"/>
                      <w:lang w:bidi="ar"/>
                    </w:rPr>
                    <w:t>8</w:t>
                  </w:r>
                  <w:r>
                    <w:rPr>
                      <w:color w:val="auto"/>
                      <w:kern w:val="0"/>
                      <w:szCs w:val="21"/>
                      <w:lang w:bidi="ar"/>
                    </w:rPr>
                    <w:t>7.1688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9" w:type="dxa"/>
                  <w:tcBorders>
                    <w:left w:val="nil"/>
                  </w:tcBorders>
                  <w:vAlign w:val="center"/>
                </w:tcPr>
                <w:p>
                  <w:pPr>
                    <w:snapToGrid w:val="0"/>
                    <w:jc w:val="center"/>
                    <w:rPr>
                      <w:color w:val="auto"/>
                      <w:szCs w:val="21"/>
                    </w:rPr>
                  </w:pPr>
                  <w:r>
                    <w:rPr>
                      <w:rFonts w:hint="eastAsia"/>
                      <w:color w:val="auto"/>
                      <w:szCs w:val="21"/>
                    </w:rPr>
                    <w:t>6</w:t>
                  </w:r>
                </w:p>
              </w:tc>
              <w:tc>
                <w:tcPr>
                  <w:tcW w:w="1984" w:type="dxa"/>
                  <w:vAlign w:val="center"/>
                </w:tcPr>
                <w:p>
                  <w:pPr>
                    <w:snapToGrid w:val="0"/>
                    <w:jc w:val="center"/>
                    <w:rPr>
                      <w:color w:val="auto"/>
                      <w:szCs w:val="21"/>
                    </w:rPr>
                  </w:pPr>
                  <w:r>
                    <w:rPr>
                      <w:rFonts w:hint="eastAsia"/>
                      <w:color w:val="auto"/>
                      <w:szCs w:val="21"/>
                    </w:rPr>
                    <w:t>水玻璃</w:t>
                  </w:r>
                </w:p>
              </w:tc>
              <w:tc>
                <w:tcPr>
                  <w:tcW w:w="1241" w:type="dxa"/>
                  <w:vAlign w:val="center"/>
                </w:tcPr>
                <w:p>
                  <w:pPr>
                    <w:snapToGrid w:val="0"/>
                    <w:jc w:val="center"/>
                    <w:rPr>
                      <w:color w:val="auto"/>
                      <w:szCs w:val="21"/>
                    </w:rPr>
                  </w:pPr>
                  <w:r>
                    <w:rPr>
                      <w:rFonts w:hint="eastAsia"/>
                      <w:color w:val="auto"/>
                      <w:szCs w:val="21"/>
                    </w:rPr>
                    <w:t>4.6</w:t>
                  </w:r>
                </w:p>
              </w:tc>
              <w:tc>
                <w:tcPr>
                  <w:tcW w:w="846" w:type="dxa"/>
                  <w:vAlign w:val="center"/>
                </w:tcPr>
                <w:p>
                  <w:pPr>
                    <w:snapToGrid w:val="0"/>
                    <w:jc w:val="center"/>
                    <w:rPr>
                      <w:color w:val="auto"/>
                      <w:szCs w:val="21"/>
                    </w:rPr>
                  </w:pPr>
                  <w:r>
                    <w:rPr>
                      <w:rFonts w:hint="eastAsia"/>
                      <w:color w:val="auto"/>
                      <w:szCs w:val="21"/>
                    </w:rPr>
                    <w:t>6</w:t>
                  </w:r>
                </w:p>
              </w:tc>
              <w:tc>
                <w:tcPr>
                  <w:tcW w:w="1963" w:type="dxa"/>
                  <w:vAlign w:val="center"/>
                </w:tcPr>
                <w:p>
                  <w:pPr>
                    <w:snapToGrid w:val="0"/>
                    <w:jc w:val="center"/>
                    <w:rPr>
                      <w:color w:val="auto"/>
                      <w:szCs w:val="21"/>
                    </w:rPr>
                  </w:pPr>
                  <w:r>
                    <w:rPr>
                      <w:rFonts w:hint="eastAsia"/>
                      <w:color w:val="auto"/>
                      <w:szCs w:val="21"/>
                    </w:rPr>
                    <w:t>除尘灰</w:t>
                  </w:r>
                </w:p>
              </w:tc>
              <w:tc>
                <w:tcPr>
                  <w:tcW w:w="1453" w:type="dxa"/>
                  <w:tcBorders>
                    <w:right w:val="nil"/>
                  </w:tcBorders>
                  <w:vAlign w:val="center"/>
                </w:tcPr>
                <w:p>
                  <w:pPr>
                    <w:widowControl/>
                    <w:jc w:val="center"/>
                    <w:textAlignment w:val="center"/>
                    <w:rPr>
                      <w:color w:val="auto"/>
                      <w:szCs w:val="21"/>
                    </w:rPr>
                  </w:pPr>
                  <w:r>
                    <w:rPr>
                      <w:color w:val="auto"/>
                      <w:kern w:val="0"/>
                      <w:szCs w:val="21"/>
                      <w:lang w:bidi="ar"/>
                    </w:rPr>
                    <w:t>39.482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9" w:type="dxa"/>
                  <w:tcBorders>
                    <w:left w:val="nil"/>
                  </w:tcBorders>
                  <w:vAlign w:val="center"/>
                </w:tcPr>
                <w:p>
                  <w:pPr>
                    <w:snapToGrid w:val="0"/>
                    <w:jc w:val="center"/>
                    <w:rPr>
                      <w:color w:val="auto"/>
                      <w:szCs w:val="21"/>
                    </w:rPr>
                  </w:pPr>
                  <w:r>
                    <w:rPr>
                      <w:rFonts w:hint="eastAsia"/>
                      <w:color w:val="auto"/>
                      <w:szCs w:val="21"/>
                    </w:rPr>
                    <w:t>7</w:t>
                  </w:r>
                </w:p>
              </w:tc>
              <w:tc>
                <w:tcPr>
                  <w:tcW w:w="1984" w:type="dxa"/>
                  <w:vAlign w:val="center"/>
                </w:tcPr>
                <w:p>
                  <w:pPr>
                    <w:snapToGrid w:val="0"/>
                    <w:jc w:val="center"/>
                    <w:rPr>
                      <w:rFonts w:hint="eastAsia" w:eastAsia="宋体"/>
                      <w:color w:val="auto"/>
                      <w:szCs w:val="21"/>
                      <w:lang w:val="en-US" w:eastAsia="zh-CN"/>
                    </w:rPr>
                  </w:pPr>
                  <w:r>
                    <w:rPr>
                      <w:rFonts w:hint="eastAsia"/>
                      <w:color w:val="auto"/>
                      <w:szCs w:val="21"/>
                    </w:rPr>
                    <w:t>切冒口</w:t>
                  </w:r>
                  <w:r>
                    <w:rPr>
                      <w:rFonts w:hint="eastAsia"/>
                      <w:color w:val="auto"/>
                      <w:szCs w:val="21"/>
                      <w:lang w:val="en-US" w:eastAsia="zh-CN"/>
                    </w:rPr>
                    <w:t>产生的废铁</w:t>
                  </w:r>
                </w:p>
              </w:tc>
              <w:tc>
                <w:tcPr>
                  <w:tcW w:w="1241" w:type="dxa"/>
                  <w:vAlign w:val="center"/>
                </w:tcPr>
                <w:p>
                  <w:pPr>
                    <w:widowControl/>
                    <w:jc w:val="center"/>
                    <w:textAlignment w:val="center"/>
                    <w:rPr>
                      <w:color w:val="auto"/>
                      <w:szCs w:val="21"/>
                    </w:rPr>
                  </w:pPr>
                  <w:r>
                    <w:rPr>
                      <w:color w:val="auto"/>
                      <w:kern w:val="0"/>
                      <w:szCs w:val="21"/>
                      <w:lang w:bidi="ar"/>
                    </w:rPr>
                    <w:t>40</w:t>
                  </w:r>
                </w:p>
              </w:tc>
              <w:tc>
                <w:tcPr>
                  <w:tcW w:w="846" w:type="dxa"/>
                  <w:vAlign w:val="center"/>
                </w:tcPr>
                <w:p>
                  <w:pPr>
                    <w:snapToGrid w:val="0"/>
                    <w:jc w:val="center"/>
                    <w:rPr>
                      <w:color w:val="auto"/>
                      <w:szCs w:val="21"/>
                    </w:rPr>
                  </w:pPr>
                  <w:r>
                    <w:rPr>
                      <w:rFonts w:hint="eastAsia"/>
                      <w:color w:val="auto"/>
                      <w:szCs w:val="21"/>
                    </w:rPr>
                    <w:t>7</w:t>
                  </w:r>
                </w:p>
              </w:tc>
              <w:tc>
                <w:tcPr>
                  <w:tcW w:w="1963" w:type="dxa"/>
                  <w:vAlign w:val="center"/>
                </w:tcPr>
                <w:p>
                  <w:pPr>
                    <w:snapToGrid w:val="0"/>
                    <w:jc w:val="center"/>
                    <w:rPr>
                      <w:color w:val="auto"/>
                      <w:szCs w:val="21"/>
                    </w:rPr>
                  </w:pPr>
                  <w:r>
                    <w:rPr>
                      <w:rFonts w:hint="eastAsia"/>
                      <w:color w:val="auto"/>
                      <w:szCs w:val="21"/>
                    </w:rPr>
                    <w:t>外排粉尘</w:t>
                  </w:r>
                </w:p>
              </w:tc>
              <w:tc>
                <w:tcPr>
                  <w:tcW w:w="1453" w:type="dxa"/>
                  <w:tcBorders>
                    <w:right w:val="nil"/>
                  </w:tcBorders>
                  <w:vAlign w:val="center"/>
                </w:tcPr>
                <w:p>
                  <w:pPr>
                    <w:widowControl/>
                    <w:jc w:val="center"/>
                    <w:textAlignment w:val="center"/>
                    <w:rPr>
                      <w:color w:val="auto"/>
                      <w:szCs w:val="21"/>
                    </w:rPr>
                  </w:pPr>
                  <w:r>
                    <w:rPr>
                      <w:color w:val="auto"/>
                      <w:kern w:val="0"/>
                      <w:szCs w:val="21"/>
                      <w:lang w:bidi="ar"/>
                    </w:rPr>
                    <w:t>0.399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63" w:type="dxa"/>
                  <w:gridSpan w:val="2"/>
                  <w:tcBorders>
                    <w:left w:val="nil"/>
                    <w:bottom w:val="single" w:color="auto" w:sz="12" w:space="0"/>
                  </w:tcBorders>
                  <w:vAlign w:val="center"/>
                </w:tcPr>
                <w:p>
                  <w:pPr>
                    <w:snapToGrid w:val="0"/>
                    <w:jc w:val="center"/>
                    <w:rPr>
                      <w:color w:val="auto"/>
                      <w:szCs w:val="21"/>
                    </w:rPr>
                  </w:pPr>
                  <w:r>
                    <w:rPr>
                      <w:rFonts w:hint="eastAsia"/>
                      <w:color w:val="auto"/>
                      <w:szCs w:val="21"/>
                    </w:rPr>
                    <w:t>总计</w:t>
                  </w:r>
                </w:p>
              </w:tc>
              <w:tc>
                <w:tcPr>
                  <w:tcW w:w="1241" w:type="dxa"/>
                  <w:tcBorders>
                    <w:bottom w:val="single" w:color="auto" w:sz="12" w:space="0"/>
                  </w:tcBorders>
                  <w:vAlign w:val="center"/>
                </w:tcPr>
                <w:p>
                  <w:pPr>
                    <w:snapToGrid w:val="0"/>
                    <w:jc w:val="center"/>
                    <w:rPr>
                      <w:color w:val="auto"/>
                      <w:szCs w:val="21"/>
                    </w:rPr>
                  </w:pPr>
                  <w:r>
                    <w:rPr>
                      <w:rFonts w:hint="eastAsia"/>
                      <w:color w:val="auto"/>
                      <w:szCs w:val="21"/>
                    </w:rPr>
                    <w:t>6447.0498</w:t>
                  </w:r>
                </w:p>
              </w:tc>
              <w:tc>
                <w:tcPr>
                  <w:tcW w:w="2809" w:type="dxa"/>
                  <w:gridSpan w:val="2"/>
                  <w:tcBorders>
                    <w:bottom w:val="single" w:color="auto" w:sz="12" w:space="0"/>
                  </w:tcBorders>
                  <w:vAlign w:val="center"/>
                </w:tcPr>
                <w:p>
                  <w:pPr>
                    <w:snapToGrid w:val="0"/>
                    <w:jc w:val="center"/>
                    <w:rPr>
                      <w:color w:val="auto"/>
                      <w:szCs w:val="21"/>
                    </w:rPr>
                  </w:pPr>
                  <w:r>
                    <w:rPr>
                      <w:rFonts w:hint="eastAsia"/>
                      <w:color w:val="auto"/>
                      <w:szCs w:val="21"/>
                    </w:rPr>
                    <w:t>合计</w:t>
                  </w:r>
                </w:p>
              </w:tc>
              <w:tc>
                <w:tcPr>
                  <w:tcW w:w="1453" w:type="dxa"/>
                  <w:tcBorders>
                    <w:bottom w:val="single" w:color="auto" w:sz="12" w:space="0"/>
                    <w:right w:val="nil"/>
                  </w:tcBorders>
                  <w:vAlign w:val="center"/>
                </w:tcPr>
                <w:p>
                  <w:pPr>
                    <w:widowControl/>
                    <w:jc w:val="center"/>
                    <w:textAlignment w:val="center"/>
                    <w:rPr>
                      <w:color w:val="auto"/>
                      <w:szCs w:val="21"/>
                    </w:rPr>
                  </w:pPr>
                  <w:r>
                    <w:rPr>
                      <w:color w:val="auto"/>
                      <w:kern w:val="0"/>
                      <w:szCs w:val="21"/>
                      <w:lang w:bidi="ar"/>
                    </w:rPr>
                    <w:t>64</w:t>
                  </w:r>
                  <w:r>
                    <w:rPr>
                      <w:rFonts w:hint="eastAsia"/>
                      <w:color w:val="auto"/>
                      <w:kern w:val="0"/>
                      <w:szCs w:val="21"/>
                      <w:lang w:bidi="ar"/>
                    </w:rPr>
                    <w:t>4</w:t>
                  </w:r>
                  <w:r>
                    <w:rPr>
                      <w:color w:val="auto"/>
                      <w:kern w:val="0"/>
                      <w:szCs w:val="21"/>
                      <w:lang w:bidi="ar"/>
                    </w:rPr>
                    <w:t>7.0498</w:t>
                  </w:r>
                </w:p>
              </w:tc>
            </w:tr>
          </w:tbl>
          <w:p>
            <w:pPr>
              <w:spacing w:line="500" w:lineRule="exact"/>
              <w:ind w:firstLine="480" w:firstLineChars="200"/>
              <w:rPr>
                <w:color w:val="auto"/>
                <w:sz w:val="24"/>
              </w:rPr>
            </w:pPr>
            <w:r>
              <w:rPr>
                <w:rFonts w:hint="eastAsia"/>
                <w:color w:val="auto"/>
                <w:sz w:val="24"/>
              </w:rPr>
              <w:t>（9）设备设施</w:t>
            </w:r>
          </w:p>
          <w:p>
            <w:pPr>
              <w:spacing w:line="500" w:lineRule="exact"/>
              <w:ind w:firstLine="480" w:firstLineChars="200"/>
              <w:rPr>
                <w:color w:val="auto"/>
                <w:sz w:val="24"/>
              </w:rPr>
            </w:pPr>
            <w:r>
              <w:rPr>
                <w:rFonts w:hint="eastAsia"/>
                <w:color w:val="auto"/>
                <w:sz w:val="24"/>
              </w:rPr>
              <w:t>本项目生产所需设备如下表所示。</w:t>
            </w:r>
          </w:p>
          <w:p>
            <w:pPr>
              <w:spacing w:line="500" w:lineRule="exact"/>
              <w:ind w:firstLine="723" w:firstLineChars="300"/>
              <w:jc w:val="center"/>
              <w:rPr>
                <w:b/>
                <w:snapToGrid w:val="0"/>
                <w:color w:val="auto"/>
                <w:kern w:val="0"/>
                <w:sz w:val="24"/>
                <w:szCs w:val="22"/>
                <w:lang w:val="zh-CN"/>
              </w:rPr>
            </w:pPr>
            <w:r>
              <w:rPr>
                <w:b/>
                <w:snapToGrid w:val="0"/>
                <w:color w:val="auto"/>
                <w:kern w:val="0"/>
                <w:sz w:val="24"/>
                <w:szCs w:val="22"/>
                <w:lang w:val="zh-CN"/>
              </w:rPr>
              <w:t>表</w:t>
            </w:r>
            <w:r>
              <w:rPr>
                <w:rFonts w:hint="eastAsia"/>
                <w:b/>
                <w:snapToGrid w:val="0"/>
                <w:color w:val="auto"/>
                <w:kern w:val="0"/>
                <w:sz w:val="24"/>
                <w:szCs w:val="22"/>
              </w:rPr>
              <w:t>15</w:t>
            </w:r>
            <w:r>
              <w:rPr>
                <w:b/>
                <w:snapToGrid w:val="0"/>
                <w:color w:val="auto"/>
                <w:kern w:val="0"/>
                <w:sz w:val="24"/>
                <w:szCs w:val="22"/>
                <w:lang w:val="zh-CN"/>
              </w:rPr>
              <w:t xml:space="preserve">     项目生产设备、设施一览表</w:t>
            </w:r>
          </w:p>
          <w:tbl>
            <w:tblPr>
              <w:tblStyle w:val="33"/>
              <w:tblW w:w="507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967"/>
              <w:gridCol w:w="2628"/>
              <w:gridCol w:w="681"/>
              <w:gridCol w:w="668"/>
              <w:gridCol w:w="180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08" w:hRule="atLeast"/>
                <w:jc w:val="center"/>
              </w:trPr>
              <w:tc>
                <w:tcPr>
                  <w:tcW w:w="448" w:type="pct"/>
                  <w:tcBorders>
                    <w:tl2br w:val="nil"/>
                    <w:tr2bl w:val="nil"/>
                  </w:tcBorders>
                  <w:vAlign w:val="center"/>
                </w:tcPr>
                <w:p>
                  <w:pPr>
                    <w:snapToGrid w:val="0"/>
                    <w:jc w:val="center"/>
                    <w:rPr>
                      <w:color w:val="auto"/>
                      <w:szCs w:val="21"/>
                    </w:rPr>
                  </w:pPr>
                  <w:r>
                    <w:rPr>
                      <w:color w:val="auto"/>
                      <w:szCs w:val="21"/>
                    </w:rPr>
                    <w:t>序号</w:t>
                  </w:r>
                </w:p>
              </w:tc>
              <w:tc>
                <w:tcPr>
                  <w:tcW w:w="1154" w:type="pct"/>
                  <w:tcBorders>
                    <w:tl2br w:val="nil"/>
                    <w:tr2bl w:val="nil"/>
                  </w:tcBorders>
                  <w:vAlign w:val="center"/>
                </w:tcPr>
                <w:p>
                  <w:pPr>
                    <w:snapToGrid w:val="0"/>
                    <w:jc w:val="center"/>
                    <w:rPr>
                      <w:color w:val="auto"/>
                      <w:szCs w:val="21"/>
                    </w:rPr>
                  </w:pPr>
                  <w:r>
                    <w:rPr>
                      <w:color w:val="auto"/>
                      <w:szCs w:val="21"/>
                    </w:rPr>
                    <w:t>设备名称</w:t>
                  </w:r>
                </w:p>
              </w:tc>
              <w:tc>
                <w:tcPr>
                  <w:tcW w:w="1542" w:type="pct"/>
                  <w:tcBorders>
                    <w:tl2br w:val="nil"/>
                    <w:tr2bl w:val="nil"/>
                  </w:tcBorders>
                  <w:vAlign w:val="center"/>
                </w:tcPr>
                <w:p>
                  <w:pPr>
                    <w:snapToGrid w:val="0"/>
                    <w:jc w:val="center"/>
                    <w:rPr>
                      <w:color w:val="auto"/>
                      <w:szCs w:val="21"/>
                    </w:rPr>
                  </w:pPr>
                  <w:r>
                    <w:rPr>
                      <w:color w:val="auto"/>
                      <w:szCs w:val="21"/>
                    </w:rPr>
                    <w:t>型号与规格</w:t>
                  </w:r>
                </w:p>
              </w:tc>
              <w:tc>
                <w:tcPr>
                  <w:tcW w:w="400" w:type="pct"/>
                  <w:tcBorders>
                    <w:tl2br w:val="nil"/>
                    <w:tr2bl w:val="nil"/>
                  </w:tcBorders>
                  <w:vAlign w:val="center"/>
                </w:tcPr>
                <w:p>
                  <w:pPr>
                    <w:snapToGrid w:val="0"/>
                    <w:jc w:val="center"/>
                    <w:rPr>
                      <w:color w:val="auto"/>
                      <w:szCs w:val="21"/>
                    </w:rPr>
                  </w:pPr>
                  <w:r>
                    <w:rPr>
                      <w:color w:val="auto"/>
                      <w:szCs w:val="21"/>
                    </w:rPr>
                    <w:t>单位</w:t>
                  </w:r>
                </w:p>
              </w:tc>
              <w:tc>
                <w:tcPr>
                  <w:tcW w:w="392" w:type="pct"/>
                  <w:tcBorders>
                    <w:tl2br w:val="nil"/>
                    <w:tr2bl w:val="nil"/>
                  </w:tcBorders>
                  <w:vAlign w:val="center"/>
                </w:tcPr>
                <w:p>
                  <w:pPr>
                    <w:snapToGrid w:val="0"/>
                    <w:jc w:val="center"/>
                    <w:rPr>
                      <w:color w:val="auto"/>
                      <w:szCs w:val="21"/>
                    </w:rPr>
                  </w:pPr>
                  <w:r>
                    <w:rPr>
                      <w:color w:val="auto"/>
                      <w:szCs w:val="21"/>
                    </w:rPr>
                    <w:t>数量</w:t>
                  </w:r>
                </w:p>
              </w:tc>
              <w:tc>
                <w:tcPr>
                  <w:tcW w:w="1061" w:type="pct"/>
                  <w:tcBorders>
                    <w:tl2br w:val="nil"/>
                    <w:tr2bl w:val="nil"/>
                  </w:tcBorders>
                  <w:vAlign w:val="center"/>
                </w:tcPr>
                <w:p>
                  <w:pPr>
                    <w:snapToGrid w:val="0"/>
                    <w:jc w:val="center"/>
                    <w:rPr>
                      <w:color w:val="auto"/>
                      <w:szCs w:val="21"/>
                    </w:rPr>
                  </w:pPr>
                  <w:r>
                    <w:rPr>
                      <w:color w:val="auto"/>
                      <w:szCs w:val="21"/>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8" w:type="pct"/>
                  <w:tcBorders>
                    <w:tl2br w:val="nil"/>
                    <w:tr2bl w:val="nil"/>
                  </w:tcBorders>
                  <w:vAlign w:val="center"/>
                </w:tcPr>
                <w:p>
                  <w:pPr>
                    <w:snapToGrid w:val="0"/>
                    <w:jc w:val="center"/>
                    <w:rPr>
                      <w:color w:val="auto"/>
                      <w:szCs w:val="21"/>
                    </w:rPr>
                  </w:pPr>
                  <w:r>
                    <w:rPr>
                      <w:color w:val="auto"/>
                      <w:szCs w:val="21"/>
                    </w:rPr>
                    <w:t>1</w:t>
                  </w:r>
                </w:p>
              </w:tc>
              <w:tc>
                <w:tcPr>
                  <w:tcW w:w="1154" w:type="pct"/>
                  <w:tcBorders>
                    <w:tl2br w:val="nil"/>
                    <w:tr2bl w:val="nil"/>
                  </w:tcBorders>
                  <w:vAlign w:val="center"/>
                </w:tcPr>
                <w:p>
                  <w:pPr>
                    <w:snapToGrid w:val="0"/>
                    <w:jc w:val="center"/>
                    <w:rPr>
                      <w:color w:val="auto"/>
                      <w:szCs w:val="21"/>
                    </w:rPr>
                  </w:pPr>
                  <w:r>
                    <w:rPr>
                      <w:rFonts w:hint="eastAsia"/>
                      <w:color w:val="auto"/>
                      <w:szCs w:val="21"/>
                    </w:rPr>
                    <w:t>磁</w:t>
                  </w:r>
                  <w:r>
                    <w:rPr>
                      <w:color w:val="auto"/>
                      <w:szCs w:val="21"/>
                    </w:rPr>
                    <w:t>轭钢壳感应电炉</w:t>
                  </w:r>
                </w:p>
              </w:tc>
              <w:tc>
                <w:tcPr>
                  <w:tcW w:w="1542" w:type="pct"/>
                  <w:tcBorders>
                    <w:tl2br w:val="nil"/>
                    <w:tr2bl w:val="nil"/>
                  </w:tcBorders>
                  <w:vAlign w:val="center"/>
                </w:tcPr>
                <w:p>
                  <w:pPr>
                    <w:snapToGrid w:val="0"/>
                    <w:jc w:val="center"/>
                    <w:rPr>
                      <w:color w:val="auto"/>
                      <w:szCs w:val="21"/>
                    </w:rPr>
                  </w:pPr>
                  <w:r>
                    <w:rPr>
                      <w:rFonts w:hint="eastAsia"/>
                      <w:color w:val="auto"/>
                      <w:szCs w:val="21"/>
                    </w:rPr>
                    <w:t>2t</w:t>
                  </w:r>
                </w:p>
              </w:tc>
              <w:tc>
                <w:tcPr>
                  <w:tcW w:w="400" w:type="pct"/>
                  <w:tcBorders>
                    <w:tl2br w:val="nil"/>
                    <w:tr2bl w:val="nil"/>
                  </w:tcBorders>
                  <w:vAlign w:val="center"/>
                </w:tcPr>
                <w:p>
                  <w:pPr>
                    <w:snapToGrid w:val="0"/>
                    <w:jc w:val="center"/>
                    <w:rPr>
                      <w:color w:val="auto"/>
                      <w:szCs w:val="21"/>
                    </w:rPr>
                  </w:pPr>
                  <w:r>
                    <w:rPr>
                      <w:color w:val="auto"/>
                      <w:szCs w:val="21"/>
                    </w:rPr>
                    <w:t>台</w:t>
                  </w:r>
                </w:p>
              </w:tc>
              <w:tc>
                <w:tcPr>
                  <w:tcW w:w="392" w:type="pct"/>
                  <w:tcBorders>
                    <w:tl2br w:val="nil"/>
                    <w:tr2bl w:val="nil"/>
                  </w:tcBorders>
                  <w:vAlign w:val="center"/>
                </w:tcPr>
                <w:p>
                  <w:pPr>
                    <w:snapToGrid w:val="0"/>
                    <w:jc w:val="center"/>
                    <w:rPr>
                      <w:color w:val="auto"/>
                      <w:szCs w:val="21"/>
                    </w:rPr>
                  </w:pPr>
                  <w:r>
                    <w:rPr>
                      <w:rFonts w:hint="eastAsia"/>
                      <w:color w:val="auto"/>
                      <w:szCs w:val="21"/>
                    </w:rPr>
                    <w:t>2</w:t>
                  </w:r>
                </w:p>
              </w:tc>
              <w:tc>
                <w:tcPr>
                  <w:tcW w:w="1061" w:type="pct"/>
                  <w:tcBorders>
                    <w:tl2br w:val="nil"/>
                    <w:tr2bl w:val="nil"/>
                  </w:tcBorders>
                  <w:vAlign w:val="center"/>
                </w:tcPr>
                <w:p>
                  <w:pPr>
                    <w:snapToGrid w:val="0"/>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8" w:type="pct"/>
                  <w:tcBorders>
                    <w:tl2br w:val="nil"/>
                    <w:tr2bl w:val="nil"/>
                  </w:tcBorders>
                  <w:vAlign w:val="center"/>
                </w:tcPr>
                <w:p>
                  <w:pPr>
                    <w:snapToGrid w:val="0"/>
                    <w:jc w:val="center"/>
                    <w:rPr>
                      <w:color w:val="auto"/>
                      <w:szCs w:val="21"/>
                    </w:rPr>
                  </w:pPr>
                  <w:r>
                    <w:rPr>
                      <w:rFonts w:hint="eastAsia"/>
                      <w:color w:val="auto"/>
                      <w:szCs w:val="21"/>
                    </w:rPr>
                    <w:t>2</w:t>
                  </w:r>
                </w:p>
              </w:tc>
              <w:tc>
                <w:tcPr>
                  <w:tcW w:w="1154" w:type="pct"/>
                  <w:tcBorders>
                    <w:tl2br w:val="nil"/>
                    <w:tr2bl w:val="nil"/>
                  </w:tcBorders>
                  <w:vAlign w:val="center"/>
                </w:tcPr>
                <w:p>
                  <w:pPr>
                    <w:snapToGrid w:val="0"/>
                    <w:jc w:val="center"/>
                    <w:rPr>
                      <w:color w:val="auto"/>
                      <w:szCs w:val="21"/>
                    </w:rPr>
                  </w:pPr>
                  <w:r>
                    <w:rPr>
                      <w:rFonts w:hint="eastAsia"/>
                      <w:color w:val="auto"/>
                      <w:szCs w:val="21"/>
                    </w:rPr>
                    <w:t>砂处理设备</w:t>
                  </w:r>
                </w:p>
              </w:tc>
              <w:tc>
                <w:tcPr>
                  <w:tcW w:w="1542" w:type="pct"/>
                  <w:tcBorders>
                    <w:tl2br w:val="nil"/>
                    <w:tr2bl w:val="nil"/>
                  </w:tcBorders>
                  <w:vAlign w:val="center"/>
                </w:tcPr>
                <w:p>
                  <w:pPr>
                    <w:snapToGrid w:val="0"/>
                    <w:jc w:val="center"/>
                    <w:rPr>
                      <w:color w:val="auto"/>
                      <w:szCs w:val="21"/>
                    </w:rPr>
                  </w:pPr>
                  <w:r>
                    <w:rPr>
                      <w:rFonts w:hint="eastAsia"/>
                      <w:color w:val="auto"/>
                      <w:szCs w:val="21"/>
                    </w:rPr>
                    <w:t>HPX1</w:t>
                  </w:r>
                </w:p>
              </w:tc>
              <w:tc>
                <w:tcPr>
                  <w:tcW w:w="400" w:type="pct"/>
                  <w:tcBorders>
                    <w:tl2br w:val="nil"/>
                    <w:tr2bl w:val="nil"/>
                  </w:tcBorders>
                  <w:vAlign w:val="center"/>
                </w:tcPr>
                <w:p>
                  <w:pPr>
                    <w:snapToGrid w:val="0"/>
                    <w:jc w:val="center"/>
                    <w:rPr>
                      <w:color w:val="auto"/>
                      <w:szCs w:val="21"/>
                    </w:rPr>
                  </w:pPr>
                  <w:r>
                    <w:rPr>
                      <w:rFonts w:hint="eastAsia"/>
                      <w:color w:val="auto"/>
                      <w:szCs w:val="21"/>
                    </w:rPr>
                    <w:t>套</w:t>
                  </w:r>
                </w:p>
              </w:tc>
              <w:tc>
                <w:tcPr>
                  <w:tcW w:w="392" w:type="pct"/>
                  <w:tcBorders>
                    <w:tl2br w:val="nil"/>
                    <w:tr2bl w:val="nil"/>
                  </w:tcBorders>
                  <w:vAlign w:val="center"/>
                </w:tcPr>
                <w:p>
                  <w:pPr>
                    <w:snapToGrid w:val="0"/>
                    <w:jc w:val="center"/>
                    <w:rPr>
                      <w:color w:val="auto"/>
                      <w:szCs w:val="21"/>
                    </w:rPr>
                  </w:pPr>
                  <w:r>
                    <w:rPr>
                      <w:rFonts w:hint="eastAsia"/>
                      <w:color w:val="auto"/>
                      <w:szCs w:val="21"/>
                    </w:rPr>
                    <w:t>1</w:t>
                  </w:r>
                </w:p>
              </w:tc>
              <w:tc>
                <w:tcPr>
                  <w:tcW w:w="1061" w:type="pct"/>
                  <w:tcBorders>
                    <w:tl2br w:val="nil"/>
                    <w:tr2bl w:val="nil"/>
                  </w:tcBorders>
                  <w:vAlign w:val="center"/>
                </w:tcPr>
                <w:p>
                  <w:pPr>
                    <w:snapToGrid w:val="0"/>
                    <w:jc w:val="center"/>
                    <w:rPr>
                      <w:color w:val="auto"/>
                      <w:szCs w:val="21"/>
                    </w:rPr>
                  </w:pPr>
                  <w:r>
                    <w:rPr>
                      <w:rFonts w:hint="eastAsia"/>
                      <w:color w:val="auto"/>
                      <w:szCs w:val="21"/>
                    </w:rPr>
                    <w:t>包括上料仓、振筛</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8" w:type="pct"/>
                  <w:tcBorders>
                    <w:tl2br w:val="nil"/>
                    <w:tr2bl w:val="nil"/>
                  </w:tcBorders>
                  <w:vAlign w:val="center"/>
                </w:tcPr>
                <w:p>
                  <w:pPr>
                    <w:snapToGrid w:val="0"/>
                    <w:jc w:val="center"/>
                    <w:rPr>
                      <w:color w:val="auto"/>
                      <w:szCs w:val="21"/>
                    </w:rPr>
                  </w:pPr>
                  <w:r>
                    <w:rPr>
                      <w:rFonts w:hint="eastAsia"/>
                      <w:color w:val="auto"/>
                      <w:szCs w:val="21"/>
                    </w:rPr>
                    <w:t>3</w:t>
                  </w:r>
                </w:p>
              </w:tc>
              <w:tc>
                <w:tcPr>
                  <w:tcW w:w="1154" w:type="pct"/>
                  <w:tcBorders>
                    <w:tl2br w:val="nil"/>
                    <w:tr2bl w:val="nil"/>
                  </w:tcBorders>
                  <w:vAlign w:val="center"/>
                </w:tcPr>
                <w:p>
                  <w:pPr>
                    <w:snapToGrid w:val="0"/>
                    <w:jc w:val="center"/>
                    <w:rPr>
                      <w:color w:val="auto"/>
                      <w:szCs w:val="21"/>
                    </w:rPr>
                  </w:pPr>
                  <w:r>
                    <w:rPr>
                      <w:rFonts w:hint="eastAsia"/>
                      <w:color w:val="auto"/>
                      <w:szCs w:val="21"/>
                    </w:rPr>
                    <w:t>斗式提升机</w:t>
                  </w:r>
                </w:p>
              </w:tc>
              <w:tc>
                <w:tcPr>
                  <w:tcW w:w="1542" w:type="pct"/>
                  <w:tcBorders>
                    <w:tl2br w:val="nil"/>
                    <w:tr2bl w:val="nil"/>
                  </w:tcBorders>
                  <w:vAlign w:val="center"/>
                </w:tcPr>
                <w:p>
                  <w:pPr>
                    <w:snapToGrid w:val="0"/>
                    <w:jc w:val="center"/>
                    <w:rPr>
                      <w:color w:val="auto"/>
                      <w:szCs w:val="21"/>
                    </w:rPr>
                  </w:pPr>
                </w:p>
              </w:tc>
              <w:tc>
                <w:tcPr>
                  <w:tcW w:w="400" w:type="pct"/>
                  <w:tcBorders>
                    <w:tl2br w:val="nil"/>
                    <w:tr2bl w:val="nil"/>
                  </w:tcBorders>
                  <w:vAlign w:val="center"/>
                </w:tcPr>
                <w:p>
                  <w:pPr>
                    <w:snapToGrid w:val="0"/>
                    <w:jc w:val="center"/>
                    <w:rPr>
                      <w:color w:val="auto"/>
                      <w:szCs w:val="21"/>
                    </w:rPr>
                  </w:pPr>
                  <w:r>
                    <w:rPr>
                      <w:rFonts w:hint="eastAsia"/>
                      <w:color w:val="auto"/>
                      <w:szCs w:val="21"/>
                    </w:rPr>
                    <w:t>台</w:t>
                  </w:r>
                </w:p>
              </w:tc>
              <w:tc>
                <w:tcPr>
                  <w:tcW w:w="392" w:type="pct"/>
                  <w:tcBorders>
                    <w:tl2br w:val="nil"/>
                    <w:tr2bl w:val="nil"/>
                  </w:tcBorders>
                  <w:vAlign w:val="center"/>
                </w:tcPr>
                <w:p>
                  <w:pPr>
                    <w:snapToGrid w:val="0"/>
                    <w:jc w:val="center"/>
                    <w:rPr>
                      <w:color w:val="auto"/>
                      <w:szCs w:val="21"/>
                    </w:rPr>
                  </w:pPr>
                  <w:r>
                    <w:rPr>
                      <w:rFonts w:hint="eastAsia"/>
                      <w:color w:val="auto"/>
                      <w:szCs w:val="21"/>
                    </w:rPr>
                    <w:t>2</w:t>
                  </w:r>
                </w:p>
              </w:tc>
              <w:tc>
                <w:tcPr>
                  <w:tcW w:w="1061" w:type="pct"/>
                  <w:tcBorders>
                    <w:tl2br w:val="nil"/>
                    <w:tr2bl w:val="nil"/>
                  </w:tcBorders>
                  <w:vAlign w:val="center"/>
                </w:tcPr>
                <w:p>
                  <w:pPr>
                    <w:snapToGrid w:val="0"/>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8" w:type="pct"/>
                  <w:tcBorders>
                    <w:tl2br w:val="nil"/>
                    <w:tr2bl w:val="nil"/>
                  </w:tcBorders>
                  <w:vAlign w:val="center"/>
                </w:tcPr>
                <w:p>
                  <w:pPr>
                    <w:snapToGrid w:val="0"/>
                    <w:jc w:val="center"/>
                    <w:rPr>
                      <w:color w:val="auto"/>
                      <w:szCs w:val="21"/>
                    </w:rPr>
                  </w:pPr>
                  <w:r>
                    <w:rPr>
                      <w:rFonts w:hint="eastAsia"/>
                      <w:color w:val="auto"/>
                      <w:szCs w:val="21"/>
                    </w:rPr>
                    <w:t>4</w:t>
                  </w:r>
                </w:p>
              </w:tc>
              <w:tc>
                <w:tcPr>
                  <w:tcW w:w="1154" w:type="pct"/>
                  <w:tcBorders>
                    <w:tl2br w:val="nil"/>
                    <w:tr2bl w:val="nil"/>
                  </w:tcBorders>
                  <w:vAlign w:val="center"/>
                </w:tcPr>
                <w:p>
                  <w:pPr>
                    <w:snapToGrid w:val="0"/>
                    <w:jc w:val="center"/>
                    <w:rPr>
                      <w:color w:val="auto"/>
                      <w:szCs w:val="21"/>
                    </w:rPr>
                  </w:pPr>
                  <w:r>
                    <w:rPr>
                      <w:rFonts w:hint="eastAsia"/>
                      <w:color w:val="auto"/>
                      <w:szCs w:val="21"/>
                    </w:rPr>
                    <w:t>滚砂机</w:t>
                  </w:r>
                </w:p>
              </w:tc>
              <w:tc>
                <w:tcPr>
                  <w:tcW w:w="1542" w:type="pct"/>
                  <w:tcBorders>
                    <w:tl2br w:val="nil"/>
                    <w:tr2bl w:val="nil"/>
                  </w:tcBorders>
                  <w:vAlign w:val="center"/>
                </w:tcPr>
                <w:p>
                  <w:pPr>
                    <w:snapToGrid w:val="0"/>
                    <w:jc w:val="center"/>
                    <w:rPr>
                      <w:color w:val="auto"/>
                      <w:szCs w:val="21"/>
                    </w:rPr>
                  </w:pPr>
                </w:p>
              </w:tc>
              <w:tc>
                <w:tcPr>
                  <w:tcW w:w="400" w:type="pct"/>
                  <w:tcBorders>
                    <w:tl2br w:val="nil"/>
                    <w:tr2bl w:val="nil"/>
                  </w:tcBorders>
                  <w:vAlign w:val="center"/>
                </w:tcPr>
                <w:p>
                  <w:pPr>
                    <w:snapToGrid w:val="0"/>
                    <w:jc w:val="center"/>
                    <w:rPr>
                      <w:color w:val="auto"/>
                      <w:szCs w:val="21"/>
                    </w:rPr>
                  </w:pPr>
                  <w:r>
                    <w:rPr>
                      <w:color w:val="auto"/>
                      <w:szCs w:val="21"/>
                    </w:rPr>
                    <w:t>台</w:t>
                  </w:r>
                </w:p>
              </w:tc>
              <w:tc>
                <w:tcPr>
                  <w:tcW w:w="392" w:type="pct"/>
                  <w:tcBorders>
                    <w:tl2br w:val="nil"/>
                    <w:tr2bl w:val="nil"/>
                  </w:tcBorders>
                  <w:vAlign w:val="center"/>
                </w:tcPr>
                <w:p>
                  <w:pPr>
                    <w:snapToGrid w:val="0"/>
                    <w:jc w:val="center"/>
                    <w:rPr>
                      <w:color w:val="auto"/>
                      <w:szCs w:val="21"/>
                    </w:rPr>
                  </w:pPr>
                  <w:r>
                    <w:rPr>
                      <w:rFonts w:hint="eastAsia"/>
                      <w:color w:val="auto"/>
                      <w:szCs w:val="21"/>
                    </w:rPr>
                    <w:t>1</w:t>
                  </w:r>
                </w:p>
              </w:tc>
              <w:tc>
                <w:tcPr>
                  <w:tcW w:w="1061" w:type="pct"/>
                  <w:tcBorders>
                    <w:tl2br w:val="nil"/>
                    <w:tr2bl w:val="nil"/>
                  </w:tcBorders>
                  <w:vAlign w:val="center"/>
                </w:tcPr>
                <w:p>
                  <w:pPr>
                    <w:snapToGrid w:val="0"/>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8" w:type="pct"/>
                  <w:tcBorders>
                    <w:tl2br w:val="nil"/>
                    <w:tr2bl w:val="nil"/>
                  </w:tcBorders>
                  <w:vAlign w:val="center"/>
                </w:tcPr>
                <w:p>
                  <w:pPr>
                    <w:snapToGrid w:val="0"/>
                    <w:jc w:val="center"/>
                    <w:rPr>
                      <w:color w:val="auto"/>
                      <w:szCs w:val="21"/>
                    </w:rPr>
                  </w:pPr>
                  <w:r>
                    <w:rPr>
                      <w:rFonts w:hint="eastAsia"/>
                      <w:color w:val="auto"/>
                      <w:szCs w:val="21"/>
                    </w:rPr>
                    <w:t>5</w:t>
                  </w:r>
                </w:p>
              </w:tc>
              <w:tc>
                <w:tcPr>
                  <w:tcW w:w="1154" w:type="pct"/>
                  <w:tcBorders>
                    <w:tl2br w:val="nil"/>
                    <w:tr2bl w:val="nil"/>
                  </w:tcBorders>
                  <w:vAlign w:val="center"/>
                </w:tcPr>
                <w:p>
                  <w:pPr>
                    <w:snapToGrid w:val="0"/>
                    <w:jc w:val="center"/>
                    <w:rPr>
                      <w:color w:val="auto"/>
                      <w:szCs w:val="21"/>
                    </w:rPr>
                  </w:pPr>
                  <w:r>
                    <w:rPr>
                      <w:rFonts w:hint="eastAsia"/>
                      <w:color w:val="auto"/>
                      <w:szCs w:val="21"/>
                    </w:rPr>
                    <w:t>皮带输送机</w:t>
                  </w:r>
                </w:p>
              </w:tc>
              <w:tc>
                <w:tcPr>
                  <w:tcW w:w="1542" w:type="pct"/>
                  <w:tcBorders>
                    <w:tl2br w:val="nil"/>
                    <w:tr2bl w:val="nil"/>
                  </w:tcBorders>
                  <w:vAlign w:val="center"/>
                </w:tcPr>
                <w:p>
                  <w:pPr>
                    <w:snapToGrid w:val="0"/>
                    <w:jc w:val="center"/>
                    <w:rPr>
                      <w:color w:val="auto"/>
                      <w:szCs w:val="21"/>
                    </w:rPr>
                  </w:pPr>
                </w:p>
              </w:tc>
              <w:tc>
                <w:tcPr>
                  <w:tcW w:w="400" w:type="pct"/>
                  <w:tcBorders>
                    <w:tl2br w:val="nil"/>
                    <w:tr2bl w:val="nil"/>
                  </w:tcBorders>
                  <w:vAlign w:val="center"/>
                </w:tcPr>
                <w:p>
                  <w:pPr>
                    <w:snapToGrid w:val="0"/>
                    <w:jc w:val="center"/>
                    <w:rPr>
                      <w:color w:val="auto"/>
                      <w:szCs w:val="21"/>
                    </w:rPr>
                  </w:pPr>
                  <w:r>
                    <w:rPr>
                      <w:rFonts w:hint="eastAsia"/>
                      <w:color w:val="auto"/>
                      <w:szCs w:val="21"/>
                    </w:rPr>
                    <w:t>台</w:t>
                  </w:r>
                </w:p>
              </w:tc>
              <w:tc>
                <w:tcPr>
                  <w:tcW w:w="392" w:type="pct"/>
                  <w:tcBorders>
                    <w:tl2br w:val="nil"/>
                    <w:tr2bl w:val="nil"/>
                  </w:tcBorders>
                  <w:vAlign w:val="center"/>
                </w:tcPr>
                <w:p>
                  <w:pPr>
                    <w:snapToGrid w:val="0"/>
                    <w:jc w:val="center"/>
                    <w:rPr>
                      <w:color w:val="auto"/>
                      <w:szCs w:val="21"/>
                    </w:rPr>
                  </w:pPr>
                  <w:r>
                    <w:rPr>
                      <w:rFonts w:hint="eastAsia"/>
                      <w:color w:val="auto"/>
                      <w:szCs w:val="21"/>
                    </w:rPr>
                    <w:t>1</w:t>
                  </w:r>
                </w:p>
              </w:tc>
              <w:tc>
                <w:tcPr>
                  <w:tcW w:w="1061" w:type="pct"/>
                  <w:tcBorders>
                    <w:tl2br w:val="nil"/>
                    <w:tr2bl w:val="nil"/>
                  </w:tcBorders>
                  <w:vAlign w:val="center"/>
                </w:tcPr>
                <w:p>
                  <w:pPr>
                    <w:snapToGrid w:val="0"/>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8" w:type="pct"/>
                  <w:tcBorders>
                    <w:tl2br w:val="nil"/>
                    <w:tr2bl w:val="nil"/>
                  </w:tcBorders>
                  <w:vAlign w:val="center"/>
                </w:tcPr>
                <w:p>
                  <w:pPr>
                    <w:snapToGrid w:val="0"/>
                    <w:jc w:val="center"/>
                    <w:rPr>
                      <w:color w:val="auto"/>
                      <w:szCs w:val="21"/>
                    </w:rPr>
                  </w:pPr>
                  <w:r>
                    <w:rPr>
                      <w:rFonts w:hint="eastAsia"/>
                      <w:color w:val="auto"/>
                      <w:szCs w:val="21"/>
                    </w:rPr>
                    <w:t>6</w:t>
                  </w:r>
                </w:p>
              </w:tc>
              <w:tc>
                <w:tcPr>
                  <w:tcW w:w="1154" w:type="pct"/>
                  <w:tcBorders>
                    <w:tl2br w:val="nil"/>
                    <w:tr2bl w:val="nil"/>
                  </w:tcBorders>
                  <w:vAlign w:val="center"/>
                </w:tcPr>
                <w:p>
                  <w:pPr>
                    <w:snapToGrid w:val="0"/>
                    <w:jc w:val="center"/>
                    <w:rPr>
                      <w:color w:val="auto"/>
                      <w:szCs w:val="21"/>
                    </w:rPr>
                  </w:pPr>
                  <w:r>
                    <w:rPr>
                      <w:rFonts w:hint="eastAsia"/>
                      <w:color w:val="auto"/>
                      <w:szCs w:val="21"/>
                    </w:rPr>
                    <w:t>钢水包</w:t>
                  </w:r>
                </w:p>
              </w:tc>
              <w:tc>
                <w:tcPr>
                  <w:tcW w:w="1542" w:type="pct"/>
                  <w:tcBorders>
                    <w:tl2br w:val="nil"/>
                    <w:tr2bl w:val="nil"/>
                  </w:tcBorders>
                  <w:vAlign w:val="center"/>
                </w:tcPr>
                <w:p>
                  <w:pPr>
                    <w:snapToGrid w:val="0"/>
                    <w:jc w:val="center"/>
                    <w:rPr>
                      <w:color w:val="auto"/>
                      <w:szCs w:val="21"/>
                    </w:rPr>
                  </w:pPr>
                </w:p>
              </w:tc>
              <w:tc>
                <w:tcPr>
                  <w:tcW w:w="400" w:type="pct"/>
                  <w:tcBorders>
                    <w:tl2br w:val="nil"/>
                    <w:tr2bl w:val="nil"/>
                  </w:tcBorders>
                  <w:vAlign w:val="center"/>
                </w:tcPr>
                <w:p>
                  <w:pPr>
                    <w:snapToGrid w:val="0"/>
                    <w:jc w:val="center"/>
                    <w:rPr>
                      <w:color w:val="auto"/>
                      <w:szCs w:val="21"/>
                    </w:rPr>
                  </w:pPr>
                  <w:r>
                    <w:rPr>
                      <w:rFonts w:hint="eastAsia"/>
                      <w:color w:val="auto"/>
                      <w:szCs w:val="21"/>
                    </w:rPr>
                    <w:t>个</w:t>
                  </w:r>
                </w:p>
              </w:tc>
              <w:tc>
                <w:tcPr>
                  <w:tcW w:w="392" w:type="pct"/>
                  <w:tcBorders>
                    <w:tl2br w:val="nil"/>
                    <w:tr2bl w:val="nil"/>
                  </w:tcBorders>
                  <w:vAlign w:val="center"/>
                </w:tcPr>
                <w:p>
                  <w:pPr>
                    <w:snapToGrid w:val="0"/>
                    <w:jc w:val="center"/>
                    <w:rPr>
                      <w:color w:val="auto"/>
                      <w:szCs w:val="21"/>
                    </w:rPr>
                  </w:pPr>
                  <w:r>
                    <w:rPr>
                      <w:rFonts w:hint="eastAsia"/>
                      <w:color w:val="auto"/>
                      <w:szCs w:val="21"/>
                    </w:rPr>
                    <w:t>10</w:t>
                  </w:r>
                </w:p>
              </w:tc>
              <w:tc>
                <w:tcPr>
                  <w:tcW w:w="1061" w:type="pct"/>
                  <w:tcBorders>
                    <w:tl2br w:val="nil"/>
                    <w:tr2bl w:val="nil"/>
                  </w:tcBorders>
                  <w:vAlign w:val="center"/>
                </w:tcPr>
                <w:p>
                  <w:pPr>
                    <w:snapToGrid w:val="0"/>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8" w:type="pct"/>
                  <w:tcBorders>
                    <w:tl2br w:val="nil"/>
                    <w:tr2bl w:val="nil"/>
                  </w:tcBorders>
                  <w:vAlign w:val="center"/>
                </w:tcPr>
                <w:p>
                  <w:pPr>
                    <w:snapToGrid w:val="0"/>
                    <w:jc w:val="center"/>
                    <w:rPr>
                      <w:color w:val="auto"/>
                      <w:szCs w:val="21"/>
                    </w:rPr>
                  </w:pPr>
                  <w:r>
                    <w:rPr>
                      <w:rFonts w:hint="eastAsia"/>
                      <w:color w:val="auto"/>
                      <w:szCs w:val="21"/>
                    </w:rPr>
                    <w:t>7</w:t>
                  </w:r>
                </w:p>
              </w:tc>
              <w:tc>
                <w:tcPr>
                  <w:tcW w:w="1154" w:type="pct"/>
                  <w:tcBorders>
                    <w:tl2br w:val="nil"/>
                    <w:tr2bl w:val="nil"/>
                  </w:tcBorders>
                  <w:vAlign w:val="center"/>
                </w:tcPr>
                <w:p>
                  <w:pPr>
                    <w:snapToGrid w:val="0"/>
                    <w:jc w:val="center"/>
                    <w:rPr>
                      <w:color w:val="auto"/>
                      <w:szCs w:val="21"/>
                    </w:rPr>
                  </w:pPr>
                  <w:r>
                    <w:rPr>
                      <w:rFonts w:hint="eastAsia"/>
                      <w:color w:val="auto"/>
                      <w:szCs w:val="21"/>
                    </w:rPr>
                    <w:t>铁模具</w:t>
                  </w:r>
                </w:p>
              </w:tc>
              <w:tc>
                <w:tcPr>
                  <w:tcW w:w="1542" w:type="pct"/>
                  <w:tcBorders>
                    <w:tl2br w:val="nil"/>
                    <w:tr2bl w:val="nil"/>
                  </w:tcBorders>
                  <w:vAlign w:val="center"/>
                </w:tcPr>
                <w:p>
                  <w:pPr>
                    <w:snapToGrid w:val="0"/>
                    <w:jc w:val="center"/>
                    <w:rPr>
                      <w:color w:val="auto"/>
                      <w:szCs w:val="21"/>
                    </w:rPr>
                  </w:pPr>
                </w:p>
              </w:tc>
              <w:tc>
                <w:tcPr>
                  <w:tcW w:w="400" w:type="pct"/>
                  <w:tcBorders>
                    <w:tl2br w:val="nil"/>
                    <w:tr2bl w:val="nil"/>
                  </w:tcBorders>
                  <w:vAlign w:val="center"/>
                </w:tcPr>
                <w:p>
                  <w:pPr>
                    <w:snapToGrid w:val="0"/>
                    <w:jc w:val="center"/>
                    <w:rPr>
                      <w:color w:val="auto"/>
                      <w:szCs w:val="21"/>
                    </w:rPr>
                  </w:pPr>
                  <w:r>
                    <w:rPr>
                      <w:rFonts w:hint="eastAsia"/>
                      <w:color w:val="auto"/>
                      <w:szCs w:val="21"/>
                    </w:rPr>
                    <w:t>个</w:t>
                  </w:r>
                </w:p>
              </w:tc>
              <w:tc>
                <w:tcPr>
                  <w:tcW w:w="392" w:type="pct"/>
                  <w:tcBorders>
                    <w:tl2br w:val="nil"/>
                    <w:tr2bl w:val="nil"/>
                  </w:tcBorders>
                  <w:vAlign w:val="center"/>
                </w:tcPr>
                <w:p>
                  <w:pPr>
                    <w:snapToGrid w:val="0"/>
                    <w:jc w:val="center"/>
                    <w:rPr>
                      <w:color w:val="auto"/>
                      <w:szCs w:val="21"/>
                    </w:rPr>
                  </w:pPr>
                  <w:r>
                    <w:rPr>
                      <w:rFonts w:hint="eastAsia"/>
                      <w:color w:val="auto"/>
                      <w:szCs w:val="21"/>
                    </w:rPr>
                    <w:t>30</w:t>
                  </w:r>
                </w:p>
              </w:tc>
              <w:tc>
                <w:tcPr>
                  <w:tcW w:w="1061" w:type="pct"/>
                  <w:tcBorders>
                    <w:tl2br w:val="nil"/>
                    <w:tr2bl w:val="nil"/>
                  </w:tcBorders>
                  <w:vAlign w:val="center"/>
                </w:tcPr>
                <w:p>
                  <w:pPr>
                    <w:snapToGrid w:val="0"/>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6" w:hRule="atLeast"/>
                <w:jc w:val="center"/>
              </w:trPr>
              <w:tc>
                <w:tcPr>
                  <w:tcW w:w="448" w:type="pct"/>
                  <w:tcBorders>
                    <w:tl2br w:val="nil"/>
                    <w:tr2bl w:val="nil"/>
                  </w:tcBorders>
                  <w:vAlign w:val="center"/>
                </w:tcPr>
                <w:p>
                  <w:pPr>
                    <w:snapToGrid w:val="0"/>
                    <w:jc w:val="center"/>
                    <w:rPr>
                      <w:color w:val="auto"/>
                      <w:szCs w:val="21"/>
                    </w:rPr>
                  </w:pPr>
                  <w:r>
                    <w:rPr>
                      <w:rFonts w:hint="eastAsia"/>
                      <w:color w:val="auto"/>
                      <w:szCs w:val="21"/>
                    </w:rPr>
                    <w:t>8</w:t>
                  </w:r>
                </w:p>
              </w:tc>
              <w:tc>
                <w:tcPr>
                  <w:tcW w:w="1154" w:type="pct"/>
                  <w:tcBorders>
                    <w:tl2br w:val="nil"/>
                    <w:tr2bl w:val="nil"/>
                  </w:tcBorders>
                  <w:vAlign w:val="center"/>
                </w:tcPr>
                <w:p>
                  <w:pPr>
                    <w:snapToGrid w:val="0"/>
                    <w:jc w:val="center"/>
                    <w:rPr>
                      <w:color w:val="auto"/>
                      <w:szCs w:val="21"/>
                    </w:rPr>
                  </w:pPr>
                  <w:r>
                    <w:rPr>
                      <w:rFonts w:hint="eastAsia"/>
                      <w:color w:val="auto"/>
                      <w:szCs w:val="21"/>
                    </w:rPr>
                    <w:t>碾轮式混砂机</w:t>
                  </w:r>
                </w:p>
              </w:tc>
              <w:tc>
                <w:tcPr>
                  <w:tcW w:w="1542" w:type="pct"/>
                  <w:tcBorders>
                    <w:tl2br w:val="nil"/>
                    <w:tr2bl w:val="nil"/>
                  </w:tcBorders>
                  <w:vAlign w:val="center"/>
                </w:tcPr>
                <w:p>
                  <w:pPr>
                    <w:snapToGrid w:val="0"/>
                    <w:jc w:val="center"/>
                    <w:rPr>
                      <w:color w:val="auto"/>
                      <w:szCs w:val="21"/>
                    </w:rPr>
                  </w:pPr>
                </w:p>
              </w:tc>
              <w:tc>
                <w:tcPr>
                  <w:tcW w:w="400" w:type="pct"/>
                  <w:tcBorders>
                    <w:tl2br w:val="nil"/>
                    <w:tr2bl w:val="nil"/>
                  </w:tcBorders>
                  <w:vAlign w:val="center"/>
                </w:tcPr>
                <w:p>
                  <w:pPr>
                    <w:snapToGrid w:val="0"/>
                    <w:jc w:val="center"/>
                    <w:rPr>
                      <w:color w:val="auto"/>
                      <w:szCs w:val="21"/>
                    </w:rPr>
                  </w:pPr>
                  <w:r>
                    <w:rPr>
                      <w:color w:val="auto"/>
                      <w:szCs w:val="21"/>
                    </w:rPr>
                    <w:t>台</w:t>
                  </w:r>
                </w:p>
              </w:tc>
              <w:tc>
                <w:tcPr>
                  <w:tcW w:w="392" w:type="pct"/>
                  <w:tcBorders>
                    <w:tl2br w:val="nil"/>
                    <w:tr2bl w:val="nil"/>
                  </w:tcBorders>
                  <w:vAlign w:val="center"/>
                </w:tcPr>
                <w:p>
                  <w:pPr>
                    <w:snapToGrid w:val="0"/>
                    <w:jc w:val="center"/>
                    <w:rPr>
                      <w:color w:val="auto"/>
                      <w:szCs w:val="21"/>
                    </w:rPr>
                  </w:pPr>
                  <w:r>
                    <w:rPr>
                      <w:rFonts w:hint="eastAsia"/>
                      <w:color w:val="auto"/>
                      <w:szCs w:val="21"/>
                    </w:rPr>
                    <w:t>1</w:t>
                  </w:r>
                </w:p>
              </w:tc>
              <w:tc>
                <w:tcPr>
                  <w:tcW w:w="1061" w:type="pct"/>
                  <w:tcBorders>
                    <w:tl2br w:val="nil"/>
                    <w:tr2bl w:val="nil"/>
                  </w:tcBorders>
                  <w:vAlign w:val="center"/>
                </w:tcPr>
                <w:p>
                  <w:pPr>
                    <w:snapToGrid w:val="0"/>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8" w:type="pct"/>
                  <w:tcBorders>
                    <w:tl2br w:val="nil"/>
                    <w:tr2bl w:val="nil"/>
                  </w:tcBorders>
                  <w:vAlign w:val="center"/>
                </w:tcPr>
                <w:p>
                  <w:pPr>
                    <w:snapToGrid w:val="0"/>
                    <w:jc w:val="center"/>
                    <w:rPr>
                      <w:color w:val="auto"/>
                      <w:szCs w:val="21"/>
                    </w:rPr>
                  </w:pPr>
                  <w:r>
                    <w:rPr>
                      <w:rFonts w:hint="eastAsia"/>
                      <w:color w:val="auto"/>
                      <w:szCs w:val="21"/>
                    </w:rPr>
                    <w:t>9</w:t>
                  </w:r>
                </w:p>
              </w:tc>
              <w:tc>
                <w:tcPr>
                  <w:tcW w:w="1154" w:type="pct"/>
                  <w:tcBorders>
                    <w:tl2br w:val="nil"/>
                    <w:tr2bl w:val="nil"/>
                  </w:tcBorders>
                  <w:vAlign w:val="center"/>
                </w:tcPr>
                <w:p>
                  <w:pPr>
                    <w:snapToGrid w:val="0"/>
                    <w:jc w:val="center"/>
                    <w:rPr>
                      <w:color w:val="auto"/>
                      <w:szCs w:val="21"/>
                    </w:rPr>
                  </w:pPr>
                  <w:r>
                    <w:rPr>
                      <w:rFonts w:hint="eastAsia"/>
                      <w:color w:val="auto"/>
                      <w:szCs w:val="21"/>
                    </w:rPr>
                    <w:t>震击式造型机</w:t>
                  </w:r>
                </w:p>
              </w:tc>
              <w:tc>
                <w:tcPr>
                  <w:tcW w:w="1542" w:type="pct"/>
                  <w:tcBorders>
                    <w:tl2br w:val="nil"/>
                    <w:tr2bl w:val="nil"/>
                  </w:tcBorders>
                  <w:vAlign w:val="center"/>
                </w:tcPr>
                <w:p>
                  <w:pPr>
                    <w:snapToGrid w:val="0"/>
                    <w:jc w:val="center"/>
                    <w:rPr>
                      <w:color w:val="auto"/>
                      <w:szCs w:val="21"/>
                    </w:rPr>
                  </w:pPr>
                </w:p>
              </w:tc>
              <w:tc>
                <w:tcPr>
                  <w:tcW w:w="400" w:type="pct"/>
                  <w:tcBorders>
                    <w:tl2br w:val="nil"/>
                    <w:tr2bl w:val="nil"/>
                  </w:tcBorders>
                  <w:vAlign w:val="center"/>
                </w:tcPr>
                <w:p>
                  <w:pPr>
                    <w:snapToGrid w:val="0"/>
                    <w:jc w:val="center"/>
                    <w:rPr>
                      <w:color w:val="auto"/>
                      <w:szCs w:val="21"/>
                    </w:rPr>
                  </w:pPr>
                  <w:r>
                    <w:rPr>
                      <w:color w:val="auto"/>
                      <w:szCs w:val="21"/>
                    </w:rPr>
                    <w:t>台</w:t>
                  </w:r>
                </w:p>
              </w:tc>
              <w:tc>
                <w:tcPr>
                  <w:tcW w:w="392" w:type="pct"/>
                  <w:tcBorders>
                    <w:tl2br w:val="nil"/>
                    <w:tr2bl w:val="nil"/>
                  </w:tcBorders>
                  <w:vAlign w:val="center"/>
                </w:tcPr>
                <w:p>
                  <w:pPr>
                    <w:snapToGrid w:val="0"/>
                    <w:jc w:val="center"/>
                    <w:rPr>
                      <w:color w:val="auto"/>
                      <w:szCs w:val="21"/>
                    </w:rPr>
                  </w:pPr>
                  <w:r>
                    <w:rPr>
                      <w:rFonts w:hint="eastAsia"/>
                      <w:color w:val="auto"/>
                      <w:szCs w:val="21"/>
                    </w:rPr>
                    <w:t>1</w:t>
                  </w:r>
                </w:p>
              </w:tc>
              <w:tc>
                <w:tcPr>
                  <w:tcW w:w="1061" w:type="pct"/>
                  <w:tcBorders>
                    <w:tl2br w:val="nil"/>
                    <w:tr2bl w:val="nil"/>
                  </w:tcBorders>
                  <w:vAlign w:val="center"/>
                </w:tcPr>
                <w:p>
                  <w:pPr>
                    <w:snapToGrid w:val="0"/>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8" w:type="pct"/>
                  <w:tcBorders>
                    <w:tl2br w:val="nil"/>
                    <w:tr2bl w:val="nil"/>
                  </w:tcBorders>
                  <w:vAlign w:val="center"/>
                </w:tcPr>
                <w:p>
                  <w:pPr>
                    <w:snapToGrid w:val="0"/>
                    <w:jc w:val="center"/>
                    <w:rPr>
                      <w:color w:val="auto"/>
                      <w:szCs w:val="21"/>
                    </w:rPr>
                  </w:pPr>
                  <w:r>
                    <w:rPr>
                      <w:rFonts w:hint="eastAsia"/>
                      <w:color w:val="auto"/>
                      <w:szCs w:val="21"/>
                    </w:rPr>
                    <w:t>10</w:t>
                  </w:r>
                </w:p>
              </w:tc>
              <w:tc>
                <w:tcPr>
                  <w:tcW w:w="1154" w:type="pct"/>
                  <w:tcBorders>
                    <w:tl2br w:val="nil"/>
                    <w:tr2bl w:val="nil"/>
                  </w:tcBorders>
                  <w:vAlign w:val="center"/>
                </w:tcPr>
                <w:p>
                  <w:pPr>
                    <w:snapToGrid w:val="0"/>
                    <w:jc w:val="center"/>
                    <w:rPr>
                      <w:color w:val="auto"/>
                      <w:szCs w:val="21"/>
                    </w:rPr>
                  </w:pPr>
                  <w:r>
                    <w:rPr>
                      <w:rFonts w:hint="eastAsia"/>
                      <w:color w:val="auto"/>
                      <w:szCs w:val="21"/>
                    </w:rPr>
                    <w:t>天车</w:t>
                  </w:r>
                </w:p>
              </w:tc>
              <w:tc>
                <w:tcPr>
                  <w:tcW w:w="1542" w:type="pct"/>
                  <w:tcBorders>
                    <w:tl2br w:val="nil"/>
                    <w:tr2bl w:val="nil"/>
                  </w:tcBorders>
                  <w:vAlign w:val="center"/>
                </w:tcPr>
                <w:p>
                  <w:pPr>
                    <w:snapToGrid w:val="0"/>
                    <w:jc w:val="center"/>
                    <w:rPr>
                      <w:color w:val="auto"/>
                      <w:szCs w:val="21"/>
                    </w:rPr>
                  </w:pPr>
                </w:p>
              </w:tc>
              <w:tc>
                <w:tcPr>
                  <w:tcW w:w="400" w:type="pct"/>
                  <w:tcBorders>
                    <w:tl2br w:val="nil"/>
                    <w:tr2bl w:val="nil"/>
                  </w:tcBorders>
                  <w:vAlign w:val="center"/>
                </w:tcPr>
                <w:p>
                  <w:pPr>
                    <w:snapToGrid w:val="0"/>
                    <w:jc w:val="center"/>
                    <w:rPr>
                      <w:color w:val="auto"/>
                      <w:szCs w:val="21"/>
                    </w:rPr>
                  </w:pPr>
                  <w:r>
                    <w:rPr>
                      <w:color w:val="auto"/>
                      <w:szCs w:val="21"/>
                    </w:rPr>
                    <w:t>台</w:t>
                  </w:r>
                </w:p>
              </w:tc>
              <w:tc>
                <w:tcPr>
                  <w:tcW w:w="392" w:type="pct"/>
                  <w:tcBorders>
                    <w:tl2br w:val="nil"/>
                    <w:tr2bl w:val="nil"/>
                  </w:tcBorders>
                  <w:vAlign w:val="center"/>
                </w:tcPr>
                <w:p>
                  <w:pPr>
                    <w:snapToGrid w:val="0"/>
                    <w:jc w:val="center"/>
                    <w:rPr>
                      <w:color w:val="auto"/>
                      <w:szCs w:val="21"/>
                    </w:rPr>
                  </w:pPr>
                  <w:r>
                    <w:rPr>
                      <w:rFonts w:hint="eastAsia"/>
                      <w:color w:val="auto"/>
                      <w:szCs w:val="21"/>
                    </w:rPr>
                    <w:t>6</w:t>
                  </w:r>
                </w:p>
              </w:tc>
              <w:tc>
                <w:tcPr>
                  <w:tcW w:w="1061" w:type="pct"/>
                  <w:tcBorders>
                    <w:tl2br w:val="nil"/>
                    <w:tr2bl w:val="nil"/>
                  </w:tcBorders>
                  <w:vAlign w:val="center"/>
                </w:tcPr>
                <w:p>
                  <w:pPr>
                    <w:snapToGrid w:val="0"/>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90" w:hRule="atLeast"/>
                <w:jc w:val="center"/>
              </w:trPr>
              <w:tc>
                <w:tcPr>
                  <w:tcW w:w="448" w:type="pct"/>
                  <w:tcBorders>
                    <w:tl2br w:val="nil"/>
                    <w:tr2bl w:val="nil"/>
                  </w:tcBorders>
                  <w:vAlign w:val="center"/>
                </w:tcPr>
                <w:p>
                  <w:pPr>
                    <w:snapToGrid w:val="0"/>
                    <w:jc w:val="center"/>
                    <w:rPr>
                      <w:color w:val="auto"/>
                      <w:szCs w:val="21"/>
                    </w:rPr>
                  </w:pPr>
                  <w:r>
                    <w:rPr>
                      <w:rFonts w:hint="eastAsia"/>
                      <w:color w:val="auto"/>
                      <w:szCs w:val="21"/>
                    </w:rPr>
                    <w:t>11</w:t>
                  </w:r>
                </w:p>
              </w:tc>
              <w:tc>
                <w:tcPr>
                  <w:tcW w:w="1154" w:type="pct"/>
                  <w:tcBorders>
                    <w:tl2br w:val="nil"/>
                    <w:tr2bl w:val="nil"/>
                  </w:tcBorders>
                  <w:vAlign w:val="center"/>
                </w:tcPr>
                <w:p>
                  <w:pPr>
                    <w:snapToGrid w:val="0"/>
                    <w:jc w:val="center"/>
                    <w:rPr>
                      <w:color w:val="auto"/>
                      <w:szCs w:val="21"/>
                    </w:rPr>
                  </w:pPr>
                  <w:r>
                    <w:rPr>
                      <w:rFonts w:hint="eastAsia"/>
                      <w:color w:val="auto"/>
                      <w:szCs w:val="21"/>
                    </w:rPr>
                    <w:t>角磨机</w:t>
                  </w:r>
                </w:p>
              </w:tc>
              <w:tc>
                <w:tcPr>
                  <w:tcW w:w="1542" w:type="pct"/>
                  <w:tcBorders>
                    <w:tl2br w:val="nil"/>
                    <w:tr2bl w:val="nil"/>
                  </w:tcBorders>
                  <w:vAlign w:val="center"/>
                </w:tcPr>
                <w:p>
                  <w:pPr>
                    <w:snapToGrid w:val="0"/>
                    <w:jc w:val="center"/>
                    <w:rPr>
                      <w:color w:val="auto"/>
                      <w:szCs w:val="21"/>
                    </w:rPr>
                  </w:pPr>
                </w:p>
              </w:tc>
              <w:tc>
                <w:tcPr>
                  <w:tcW w:w="400" w:type="pct"/>
                  <w:tcBorders>
                    <w:tl2br w:val="nil"/>
                    <w:tr2bl w:val="nil"/>
                  </w:tcBorders>
                  <w:vAlign w:val="center"/>
                </w:tcPr>
                <w:p>
                  <w:pPr>
                    <w:snapToGrid w:val="0"/>
                    <w:jc w:val="center"/>
                    <w:rPr>
                      <w:color w:val="auto"/>
                      <w:szCs w:val="21"/>
                    </w:rPr>
                  </w:pPr>
                  <w:r>
                    <w:rPr>
                      <w:color w:val="auto"/>
                      <w:szCs w:val="21"/>
                    </w:rPr>
                    <w:t>台</w:t>
                  </w:r>
                </w:p>
              </w:tc>
              <w:tc>
                <w:tcPr>
                  <w:tcW w:w="392" w:type="pct"/>
                  <w:tcBorders>
                    <w:tl2br w:val="nil"/>
                    <w:tr2bl w:val="nil"/>
                  </w:tcBorders>
                  <w:vAlign w:val="center"/>
                </w:tcPr>
                <w:p>
                  <w:pPr>
                    <w:snapToGrid w:val="0"/>
                    <w:jc w:val="center"/>
                    <w:rPr>
                      <w:color w:val="auto"/>
                      <w:szCs w:val="21"/>
                    </w:rPr>
                  </w:pPr>
                  <w:r>
                    <w:rPr>
                      <w:rFonts w:hint="eastAsia"/>
                      <w:color w:val="auto"/>
                      <w:szCs w:val="21"/>
                    </w:rPr>
                    <w:t>5</w:t>
                  </w:r>
                </w:p>
              </w:tc>
              <w:tc>
                <w:tcPr>
                  <w:tcW w:w="1061" w:type="pct"/>
                  <w:tcBorders>
                    <w:tl2br w:val="nil"/>
                    <w:tr2bl w:val="nil"/>
                  </w:tcBorders>
                  <w:vAlign w:val="center"/>
                </w:tcPr>
                <w:p>
                  <w:pPr>
                    <w:snapToGrid w:val="0"/>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8" w:type="pct"/>
                  <w:tcBorders>
                    <w:tl2br w:val="nil"/>
                    <w:tr2bl w:val="nil"/>
                  </w:tcBorders>
                  <w:vAlign w:val="center"/>
                </w:tcPr>
                <w:p>
                  <w:pPr>
                    <w:snapToGrid w:val="0"/>
                    <w:jc w:val="center"/>
                    <w:rPr>
                      <w:color w:val="auto"/>
                      <w:szCs w:val="21"/>
                    </w:rPr>
                  </w:pPr>
                  <w:r>
                    <w:rPr>
                      <w:rFonts w:hint="eastAsia"/>
                      <w:color w:val="auto"/>
                      <w:szCs w:val="21"/>
                    </w:rPr>
                    <w:t>12</w:t>
                  </w:r>
                </w:p>
              </w:tc>
              <w:tc>
                <w:tcPr>
                  <w:tcW w:w="1154" w:type="pct"/>
                  <w:tcBorders>
                    <w:tl2br w:val="nil"/>
                    <w:tr2bl w:val="nil"/>
                  </w:tcBorders>
                  <w:vAlign w:val="center"/>
                </w:tcPr>
                <w:p>
                  <w:pPr>
                    <w:snapToGrid w:val="0"/>
                    <w:jc w:val="center"/>
                    <w:rPr>
                      <w:color w:val="auto"/>
                      <w:szCs w:val="21"/>
                    </w:rPr>
                  </w:pPr>
                  <w:r>
                    <w:rPr>
                      <w:rFonts w:hint="eastAsia"/>
                      <w:color w:val="auto"/>
                      <w:szCs w:val="21"/>
                    </w:rPr>
                    <w:t>退火炉</w:t>
                  </w:r>
                </w:p>
              </w:tc>
              <w:tc>
                <w:tcPr>
                  <w:tcW w:w="1542" w:type="pct"/>
                  <w:tcBorders>
                    <w:tl2br w:val="nil"/>
                    <w:tr2bl w:val="nil"/>
                  </w:tcBorders>
                  <w:vAlign w:val="center"/>
                </w:tcPr>
                <w:p>
                  <w:pPr>
                    <w:snapToGrid w:val="0"/>
                    <w:jc w:val="center"/>
                    <w:rPr>
                      <w:color w:val="auto"/>
                      <w:szCs w:val="21"/>
                    </w:rPr>
                  </w:pPr>
                  <w:r>
                    <w:rPr>
                      <w:rFonts w:hint="eastAsia"/>
                      <w:color w:val="auto"/>
                      <w:szCs w:val="21"/>
                    </w:rPr>
                    <w:t>RTP001</w:t>
                  </w:r>
                </w:p>
              </w:tc>
              <w:tc>
                <w:tcPr>
                  <w:tcW w:w="400" w:type="pct"/>
                  <w:tcBorders>
                    <w:tl2br w:val="nil"/>
                    <w:tr2bl w:val="nil"/>
                  </w:tcBorders>
                  <w:vAlign w:val="center"/>
                </w:tcPr>
                <w:p>
                  <w:pPr>
                    <w:snapToGrid w:val="0"/>
                    <w:jc w:val="center"/>
                    <w:rPr>
                      <w:color w:val="auto"/>
                      <w:szCs w:val="21"/>
                    </w:rPr>
                  </w:pPr>
                  <w:r>
                    <w:rPr>
                      <w:color w:val="auto"/>
                      <w:szCs w:val="21"/>
                    </w:rPr>
                    <w:t>台</w:t>
                  </w:r>
                </w:p>
              </w:tc>
              <w:tc>
                <w:tcPr>
                  <w:tcW w:w="392" w:type="pct"/>
                  <w:tcBorders>
                    <w:tl2br w:val="nil"/>
                    <w:tr2bl w:val="nil"/>
                  </w:tcBorders>
                  <w:vAlign w:val="center"/>
                </w:tcPr>
                <w:p>
                  <w:pPr>
                    <w:snapToGrid w:val="0"/>
                    <w:jc w:val="center"/>
                    <w:rPr>
                      <w:color w:val="auto"/>
                      <w:szCs w:val="21"/>
                    </w:rPr>
                  </w:pPr>
                  <w:r>
                    <w:rPr>
                      <w:rFonts w:hint="eastAsia"/>
                      <w:color w:val="auto"/>
                      <w:szCs w:val="21"/>
                    </w:rPr>
                    <w:t>2</w:t>
                  </w:r>
                </w:p>
              </w:tc>
              <w:tc>
                <w:tcPr>
                  <w:tcW w:w="1061" w:type="pct"/>
                  <w:tcBorders>
                    <w:tl2br w:val="nil"/>
                    <w:tr2bl w:val="nil"/>
                  </w:tcBorders>
                  <w:vAlign w:val="center"/>
                </w:tcPr>
                <w:p>
                  <w:pPr>
                    <w:snapToGrid w:val="0"/>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8" w:type="pct"/>
                  <w:tcBorders>
                    <w:tl2br w:val="nil"/>
                    <w:tr2bl w:val="nil"/>
                  </w:tcBorders>
                  <w:vAlign w:val="center"/>
                </w:tcPr>
                <w:p>
                  <w:pPr>
                    <w:snapToGrid w:val="0"/>
                    <w:jc w:val="center"/>
                    <w:rPr>
                      <w:color w:val="auto"/>
                      <w:szCs w:val="21"/>
                    </w:rPr>
                  </w:pPr>
                  <w:r>
                    <w:rPr>
                      <w:rFonts w:hint="eastAsia"/>
                      <w:color w:val="auto"/>
                      <w:szCs w:val="21"/>
                    </w:rPr>
                    <w:t>13</w:t>
                  </w:r>
                </w:p>
              </w:tc>
              <w:tc>
                <w:tcPr>
                  <w:tcW w:w="1154" w:type="pct"/>
                  <w:tcBorders>
                    <w:tl2br w:val="nil"/>
                    <w:tr2bl w:val="nil"/>
                  </w:tcBorders>
                  <w:vAlign w:val="center"/>
                </w:tcPr>
                <w:p>
                  <w:pPr>
                    <w:snapToGrid w:val="0"/>
                    <w:jc w:val="center"/>
                    <w:rPr>
                      <w:color w:val="auto"/>
                      <w:szCs w:val="21"/>
                    </w:rPr>
                  </w:pPr>
                  <w:r>
                    <w:rPr>
                      <w:rFonts w:hint="eastAsia"/>
                      <w:color w:val="auto"/>
                      <w:szCs w:val="21"/>
                    </w:rPr>
                    <w:t>脉冲袋式除尘器</w:t>
                  </w:r>
                </w:p>
              </w:tc>
              <w:tc>
                <w:tcPr>
                  <w:tcW w:w="1542" w:type="pct"/>
                  <w:tcBorders>
                    <w:tl2br w:val="nil"/>
                    <w:tr2bl w:val="nil"/>
                  </w:tcBorders>
                  <w:vAlign w:val="center"/>
                </w:tcPr>
                <w:p>
                  <w:pPr>
                    <w:snapToGrid w:val="0"/>
                    <w:jc w:val="center"/>
                    <w:rPr>
                      <w:color w:val="auto"/>
                      <w:szCs w:val="21"/>
                    </w:rPr>
                  </w:pPr>
                  <w:r>
                    <w:rPr>
                      <w:rFonts w:hint="eastAsia"/>
                      <w:color w:val="auto"/>
                      <w:szCs w:val="21"/>
                    </w:rPr>
                    <w:t>48000m</w:t>
                  </w:r>
                  <w:r>
                    <w:rPr>
                      <w:rFonts w:hint="eastAsia"/>
                      <w:color w:val="auto"/>
                      <w:szCs w:val="21"/>
                      <w:vertAlign w:val="superscript"/>
                    </w:rPr>
                    <w:t>3</w:t>
                  </w:r>
                  <w:r>
                    <w:rPr>
                      <w:rFonts w:hint="eastAsia"/>
                      <w:color w:val="auto"/>
                      <w:szCs w:val="21"/>
                    </w:rPr>
                    <w:t>/h，过滤风速为0.8m/min，过滤面积1000m</w:t>
                  </w:r>
                  <w:r>
                    <w:rPr>
                      <w:rFonts w:hint="eastAsia"/>
                      <w:color w:val="auto"/>
                      <w:szCs w:val="21"/>
                      <w:vertAlign w:val="superscript"/>
                    </w:rPr>
                    <w:t>2</w:t>
                  </w:r>
                </w:p>
              </w:tc>
              <w:tc>
                <w:tcPr>
                  <w:tcW w:w="400" w:type="pct"/>
                  <w:tcBorders>
                    <w:tl2br w:val="nil"/>
                    <w:tr2bl w:val="nil"/>
                  </w:tcBorders>
                  <w:vAlign w:val="center"/>
                </w:tcPr>
                <w:p>
                  <w:pPr>
                    <w:snapToGrid w:val="0"/>
                    <w:jc w:val="center"/>
                    <w:rPr>
                      <w:color w:val="auto"/>
                      <w:szCs w:val="21"/>
                    </w:rPr>
                  </w:pPr>
                  <w:r>
                    <w:rPr>
                      <w:rFonts w:hint="eastAsia"/>
                      <w:color w:val="auto"/>
                      <w:szCs w:val="21"/>
                    </w:rPr>
                    <w:t>套</w:t>
                  </w:r>
                </w:p>
              </w:tc>
              <w:tc>
                <w:tcPr>
                  <w:tcW w:w="392" w:type="pct"/>
                  <w:tcBorders>
                    <w:tl2br w:val="nil"/>
                    <w:tr2bl w:val="nil"/>
                  </w:tcBorders>
                  <w:vAlign w:val="center"/>
                </w:tcPr>
                <w:p>
                  <w:pPr>
                    <w:snapToGrid w:val="0"/>
                    <w:jc w:val="center"/>
                    <w:rPr>
                      <w:color w:val="auto"/>
                      <w:szCs w:val="21"/>
                    </w:rPr>
                  </w:pPr>
                  <w:r>
                    <w:rPr>
                      <w:rFonts w:hint="eastAsia"/>
                      <w:color w:val="auto"/>
                      <w:szCs w:val="21"/>
                    </w:rPr>
                    <w:t>1</w:t>
                  </w:r>
                </w:p>
              </w:tc>
              <w:tc>
                <w:tcPr>
                  <w:tcW w:w="1061" w:type="pct"/>
                  <w:tcBorders>
                    <w:tl2br w:val="nil"/>
                    <w:tr2bl w:val="nil"/>
                  </w:tcBorders>
                  <w:vAlign w:val="center"/>
                </w:tcPr>
                <w:p>
                  <w:pPr>
                    <w:snapToGrid w:val="0"/>
                    <w:jc w:val="center"/>
                    <w:rPr>
                      <w:color w:val="auto"/>
                      <w:szCs w:val="21"/>
                    </w:rPr>
                  </w:pPr>
                  <w:r>
                    <w:rPr>
                      <w:rFonts w:hint="eastAsia"/>
                      <w:color w:val="auto"/>
                      <w:szCs w:val="21"/>
                    </w:rPr>
                    <w:t>用于顶吸+砂再生+二次除尘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8" w:type="pct"/>
                  <w:tcBorders>
                    <w:tl2br w:val="nil"/>
                    <w:tr2bl w:val="nil"/>
                  </w:tcBorders>
                  <w:vAlign w:val="center"/>
                </w:tcPr>
                <w:p>
                  <w:pPr>
                    <w:snapToGrid w:val="0"/>
                    <w:jc w:val="center"/>
                    <w:rPr>
                      <w:color w:val="auto"/>
                      <w:szCs w:val="21"/>
                    </w:rPr>
                  </w:pPr>
                  <w:r>
                    <w:rPr>
                      <w:rFonts w:hint="eastAsia"/>
                      <w:color w:val="auto"/>
                      <w:szCs w:val="21"/>
                    </w:rPr>
                    <w:t>14</w:t>
                  </w:r>
                </w:p>
              </w:tc>
              <w:tc>
                <w:tcPr>
                  <w:tcW w:w="1154" w:type="pct"/>
                  <w:tcBorders>
                    <w:tl2br w:val="nil"/>
                    <w:tr2bl w:val="nil"/>
                  </w:tcBorders>
                  <w:vAlign w:val="center"/>
                </w:tcPr>
                <w:p>
                  <w:pPr>
                    <w:snapToGrid w:val="0"/>
                    <w:jc w:val="center"/>
                    <w:rPr>
                      <w:color w:val="auto"/>
                      <w:szCs w:val="21"/>
                    </w:rPr>
                  </w:pPr>
                  <w:r>
                    <w:rPr>
                      <w:rFonts w:hint="eastAsia"/>
                      <w:color w:val="auto"/>
                      <w:szCs w:val="21"/>
                    </w:rPr>
                    <w:t>脉冲袋式除尘器</w:t>
                  </w:r>
                </w:p>
              </w:tc>
              <w:tc>
                <w:tcPr>
                  <w:tcW w:w="1542" w:type="pct"/>
                  <w:tcBorders>
                    <w:tl2br w:val="nil"/>
                    <w:tr2bl w:val="nil"/>
                  </w:tcBorders>
                  <w:vAlign w:val="center"/>
                </w:tcPr>
                <w:p>
                  <w:pPr>
                    <w:snapToGrid w:val="0"/>
                    <w:jc w:val="center"/>
                    <w:rPr>
                      <w:color w:val="auto"/>
                      <w:szCs w:val="21"/>
                    </w:rPr>
                  </w:pPr>
                  <w:r>
                    <w:rPr>
                      <w:rFonts w:hint="eastAsia"/>
                      <w:color w:val="auto"/>
                      <w:szCs w:val="21"/>
                    </w:rPr>
                    <w:t>10000m</w:t>
                  </w:r>
                  <w:r>
                    <w:rPr>
                      <w:rFonts w:hint="eastAsia"/>
                      <w:color w:val="auto"/>
                      <w:szCs w:val="21"/>
                      <w:vertAlign w:val="superscript"/>
                    </w:rPr>
                    <w:t>3</w:t>
                  </w:r>
                  <w:r>
                    <w:rPr>
                      <w:rFonts w:hint="eastAsia"/>
                      <w:color w:val="auto"/>
                      <w:szCs w:val="21"/>
                    </w:rPr>
                    <w:t>/h，过滤风速为0.8m/min，过滤面积208m</w:t>
                  </w:r>
                  <w:r>
                    <w:rPr>
                      <w:rFonts w:hint="eastAsia"/>
                      <w:color w:val="auto"/>
                      <w:szCs w:val="21"/>
                      <w:vertAlign w:val="superscript"/>
                    </w:rPr>
                    <w:t>2</w:t>
                  </w:r>
                </w:p>
              </w:tc>
              <w:tc>
                <w:tcPr>
                  <w:tcW w:w="400" w:type="pct"/>
                  <w:tcBorders>
                    <w:tl2br w:val="nil"/>
                    <w:tr2bl w:val="nil"/>
                  </w:tcBorders>
                  <w:vAlign w:val="center"/>
                </w:tcPr>
                <w:p>
                  <w:pPr>
                    <w:snapToGrid w:val="0"/>
                    <w:jc w:val="center"/>
                    <w:rPr>
                      <w:color w:val="auto"/>
                      <w:szCs w:val="21"/>
                    </w:rPr>
                  </w:pPr>
                  <w:r>
                    <w:rPr>
                      <w:rFonts w:hint="eastAsia"/>
                      <w:color w:val="auto"/>
                      <w:szCs w:val="21"/>
                    </w:rPr>
                    <w:t>套</w:t>
                  </w:r>
                </w:p>
              </w:tc>
              <w:tc>
                <w:tcPr>
                  <w:tcW w:w="392" w:type="pct"/>
                  <w:tcBorders>
                    <w:tl2br w:val="nil"/>
                    <w:tr2bl w:val="nil"/>
                  </w:tcBorders>
                  <w:vAlign w:val="center"/>
                </w:tcPr>
                <w:p>
                  <w:pPr>
                    <w:snapToGrid w:val="0"/>
                    <w:jc w:val="center"/>
                    <w:rPr>
                      <w:color w:val="auto"/>
                      <w:szCs w:val="21"/>
                    </w:rPr>
                  </w:pPr>
                  <w:r>
                    <w:rPr>
                      <w:rFonts w:hint="eastAsia"/>
                      <w:color w:val="auto"/>
                      <w:szCs w:val="21"/>
                    </w:rPr>
                    <w:t>1</w:t>
                  </w:r>
                </w:p>
              </w:tc>
              <w:tc>
                <w:tcPr>
                  <w:tcW w:w="1061" w:type="pct"/>
                  <w:tcBorders>
                    <w:tl2br w:val="nil"/>
                    <w:tr2bl w:val="nil"/>
                  </w:tcBorders>
                  <w:vAlign w:val="center"/>
                </w:tcPr>
                <w:p>
                  <w:pPr>
                    <w:snapToGrid w:val="0"/>
                    <w:jc w:val="center"/>
                    <w:rPr>
                      <w:color w:val="auto"/>
                      <w:szCs w:val="21"/>
                    </w:rPr>
                  </w:pPr>
                  <w:r>
                    <w:rPr>
                      <w:rFonts w:hint="eastAsia"/>
                      <w:color w:val="auto"/>
                      <w:szCs w:val="21"/>
                    </w:rPr>
                    <w:t>用于熔炼除尘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9" w:hRule="atLeast"/>
                <w:jc w:val="center"/>
              </w:trPr>
              <w:tc>
                <w:tcPr>
                  <w:tcW w:w="448" w:type="pct"/>
                  <w:tcBorders>
                    <w:tl2br w:val="nil"/>
                    <w:tr2bl w:val="nil"/>
                  </w:tcBorders>
                  <w:vAlign w:val="center"/>
                </w:tcPr>
                <w:p>
                  <w:pPr>
                    <w:snapToGrid w:val="0"/>
                    <w:jc w:val="center"/>
                    <w:rPr>
                      <w:color w:val="auto"/>
                      <w:szCs w:val="21"/>
                    </w:rPr>
                  </w:pPr>
                  <w:r>
                    <w:rPr>
                      <w:rFonts w:hint="eastAsia"/>
                      <w:color w:val="auto"/>
                      <w:szCs w:val="21"/>
                    </w:rPr>
                    <w:t>15</w:t>
                  </w:r>
                </w:p>
              </w:tc>
              <w:tc>
                <w:tcPr>
                  <w:tcW w:w="1154" w:type="pct"/>
                  <w:tcBorders>
                    <w:tl2br w:val="nil"/>
                    <w:tr2bl w:val="nil"/>
                  </w:tcBorders>
                  <w:vAlign w:val="center"/>
                </w:tcPr>
                <w:p>
                  <w:pPr>
                    <w:snapToGrid w:val="0"/>
                    <w:jc w:val="center"/>
                    <w:rPr>
                      <w:color w:val="auto"/>
                      <w:szCs w:val="21"/>
                    </w:rPr>
                  </w:pPr>
                  <w:r>
                    <w:rPr>
                      <w:rFonts w:hint="eastAsia"/>
                      <w:color w:val="auto"/>
                      <w:szCs w:val="21"/>
                    </w:rPr>
                    <w:t>变压器</w:t>
                  </w:r>
                </w:p>
              </w:tc>
              <w:tc>
                <w:tcPr>
                  <w:tcW w:w="1542" w:type="pct"/>
                  <w:tcBorders>
                    <w:tl2br w:val="nil"/>
                    <w:tr2bl w:val="nil"/>
                  </w:tcBorders>
                  <w:vAlign w:val="center"/>
                </w:tcPr>
                <w:p>
                  <w:pPr>
                    <w:snapToGrid w:val="0"/>
                    <w:jc w:val="center"/>
                    <w:rPr>
                      <w:color w:val="auto"/>
                      <w:szCs w:val="21"/>
                    </w:rPr>
                  </w:pPr>
                  <w:r>
                    <w:rPr>
                      <w:rFonts w:hint="eastAsia"/>
                      <w:color w:val="auto"/>
                      <w:szCs w:val="21"/>
                    </w:rPr>
                    <w:t>S7-500/10</w:t>
                  </w:r>
                </w:p>
              </w:tc>
              <w:tc>
                <w:tcPr>
                  <w:tcW w:w="400" w:type="pct"/>
                  <w:tcBorders>
                    <w:tl2br w:val="nil"/>
                    <w:tr2bl w:val="nil"/>
                  </w:tcBorders>
                  <w:vAlign w:val="center"/>
                </w:tcPr>
                <w:p>
                  <w:pPr>
                    <w:snapToGrid w:val="0"/>
                    <w:jc w:val="center"/>
                    <w:rPr>
                      <w:color w:val="auto"/>
                      <w:szCs w:val="21"/>
                    </w:rPr>
                  </w:pPr>
                  <w:r>
                    <w:rPr>
                      <w:color w:val="auto"/>
                      <w:szCs w:val="21"/>
                    </w:rPr>
                    <w:t>台</w:t>
                  </w:r>
                </w:p>
              </w:tc>
              <w:tc>
                <w:tcPr>
                  <w:tcW w:w="392" w:type="pct"/>
                  <w:tcBorders>
                    <w:tl2br w:val="nil"/>
                    <w:tr2bl w:val="nil"/>
                  </w:tcBorders>
                  <w:vAlign w:val="center"/>
                </w:tcPr>
                <w:p>
                  <w:pPr>
                    <w:snapToGrid w:val="0"/>
                    <w:jc w:val="center"/>
                    <w:rPr>
                      <w:color w:val="auto"/>
                      <w:szCs w:val="21"/>
                    </w:rPr>
                  </w:pPr>
                  <w:r>
                    <w:rPr>
                      <w:rFonts w:hint="eastAsia"/>
                      <w:color w:val="auto"/>
                      <w:szCs w:val="21"/>
                    </w:rPr>
                    <w:t>2</w:t>
                  </w:r>
                </w:p>
              </w:tc>
              <w:tc>
                <w:tcPr>
                  <w:tcW w:w="1061" w:type="pct"/>
                  <w:tcBorders>
                    <w:tl2br w:val="nil"/>
                    <w:tr2bl w:val="nil"/>
                  </w:tcBorders>
                  <w:vAlign w:val="center"/>
                </w:tcPr>
                <w:p>
                  <w:pPr>
                    <w:snapToGrid w:val="0"/>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9" w:hRule="atLeast"/>
                <w:jc w:val="center"/>
              </w:trPr>
              <w:tc>
                <w:tcPr>
                  <w:tcW w:w="448" w:type="pct"/>
                  <w:tcBorders>
                    <w:tl2br w:val="nil"/>
                    <w:tr2bl w:val="nil"/>
                  </w:tcBorders>
                  <w:vAlign w:val="center"/>
                </w:tcPr>
                <w:p>
                  <w:pPr>
                    <w:snapToGrid w:val="0"/>
                    <w:jc w:val="center"/>
                    <w:rPr>
                      <w:color w:val="auto"/>
                      <w:szCs w:val="21"/>
                    </w:rPr>
                  </w:pPr>
                  <w:r>
                    <w:rPr>
                      <w:rFonts w:hint="eastAsia"/>
                      <w:color w:val="auto"/>
                      <w:szCs w:val="21"/>
                    </w:rPr>
                    <w:t>16</w:t>
                  </w:r>
                </w:p>
              </w:tc>
              <w:tc>
                <w:tcPr>
                  <w:tcW w:w="1154" w:type="pct"/>
                  <w:tcBorders>
                    <w:tl2br w:val="nil"/>
                    <w:tr2bl w:val="nil"/>
                  </w:tcBorders>
                  <w:vAlign w:val="center"/>
                </w:tcPr>
                <w:p>
                  <w:pPr>
                    <w:snapToGrid w:val="0"/>
                    <w:jc w:val="center"/>
                    <w:rPr>
                      <w:color w:val="auto"/>
                      <w:szCs w:val="21"/>
                    </w:rPr>
                  </w:pPr>
                  <w:r>
                    <w:rPr>
                      <w:rFonts w:hint="eastAsia"/>
                      <w:color w:val="auto"/>
                      <w:szCs w:val="21"/>
                    </w:rPr>
                    <w:t>放射性检测仪</w:t>
                  </w:r>
                </w:p>
              </w:tc>
              <w:tc>
                <w:tcPr>
                  <w:tcW w:w="1542" w:type="pct"/>
                  <w:tcBorders>
                    <w:tl2br w:val="nil"/>
                    <w:tr2bl w:val="nil"/>
                  </w:tcBorders>
                  <w:vAlign w:val="center"/>
                </w:tcPr>
                <w:p>
                  <w:pPr>
                    <w:snapToGrid w:val="0"/>
                    <w:jc w:val="center"/>
                    <w:rPr>
                      <w:color w:val="auto"/>
                      <w:szCs w:val="21"/>
                    </w:rPr>
                  </w:pPr>
                  <w:r>
                    <w:rPr>
                      <w:rFonts w:hint="eastAsia"/>
                      <w:color w:val="auto"/>
                      <w:szCs w:val="21"/>
                    </w:rPr>
                    <w:t>便携式</w:t>
                  </w:r>
                </w:p>
              </w:tc>
              <w:tc>
                <w:tcPr>
                  <w:tcW w:w="400" w:type="pct"/>
                  <w:tcBorders>
                    <w:tl2br w:val="nil"/>
                    <w:tr2bl w:val="nil"/>
                  </w:tcBorders>
                  <w:vAlign w:val="center"/>
                </w:tcPr>
                <w:p>
                  <w:pPr>
                    <w:snapToGrid w:val="0"/>
                    <w:jc w:val="center"/>
                    <w:rPr>
                      <w:color w:val="auto"/>
                      <w:szCs w:val="21"/>
                    </w:rPr>
                  </w:pPr>
                  <w:r>
                    <w:rPr>
                      <w:color w:val="auto"/>
                      <w:szCs w:val="21"/>
                    </w:rPr>
                    <w:t>台</w:t>
                  </w:r>
                </w:p>
              </w:tc>
              <w:tc>
                <w:tcPr>
                  <w:tcW w:w="392" w:type="pct"/>
                  <w:tcBorders>
                    <w:tl2br w:val="nil"/>
                    <w:tr2bl w:val="nil"/>
                  </w:tcBorders>
                  <w:vAlign w:val="center"/>
                </w:tcPr>
                <w:p>
                  <w:pPr>
                    <w:snapToGrid w:val="0"/>
                    <w:jc w:val="center"/>
                    <w:rPr>
                      <w:color w:val="auto"/>
                      <w:szCs w:val="21"/>
                    </w:rPr>
                  </w:pPr>
                  <w:r>
                    <w:rPr>
                      <w:rFonts w:hint="eastAsia"/>
                      <w:color w:val="auto"/>
                      <w:szCs w:val="21"/>
                    </w:rPr>
                    <w:t>1</w:t>
                  </w:r>
                </w:p>
              </w:tc>
              <w:tc>
                <w:tcPr>
                  <w:tcW w:w="1061" w:type="pct"/>
                  <w:tcBorders>
                    <w:tl2br w:val="nil"/>
                    <w:tr2bl w:val="nil"/>
                  </w:tcBorders>
                  <w:vAlign w:val="center"/>
                </w:tcPr>
                <w:p>
                  <w:pPr>
                    <w:snapToGrid w:val="0"/>
                    <w:jc w:val="center"/>
                    <w:rPr>
                      <w:color w:val="auto"/>
                      <w:szCs w:val="21"/>
                    </w:rPr>
                  </w:pPr>
                  <w:r>
                    <w:rPr>
                      <w:rFonts w:hint="eastAsia"/>
                      <w:color w:val="auto"/>
                      <w:szCs w:val="21"/>
                    </w:rPr>
                    <w:t>废钢放射性检测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9" w:hRule="atLeast"/>
                <w:jc w:val="center"/>
              </w:trPr>
              <w:tc>
                <w:tcPr>
                  <w:tcW w:w="448" w:type="pct"/>
                  <w:tcBorders>
                    <w:tl2br w:val="nil"/>
                    <w:tr2bl w:val="nil"/>
                  </w:tcBorders>
                  <w:vAlign w:val="center"/>
                </w:tcPr>
                <w:p>
                  <w:pPr>
                    <w:snapToGrid w:val="0"/>
                    <w:jc w:val="center"/>
                    <w:rPr>
                      <w:color w:val="auto"/>
                      <w:szCs w:val="21"/>
                    </w:rPr>
                  </w:pPr>
                  <w:r>
                    <w:rPr>
                      <w:rFonts w:hint="eastAsia"/>
                      <w:color w:val="auto"/>
                      <w:szCs w:val="21"/>
                    </w:rPr>
                    <w:t>17</w:t>
                  </w:r>
                </w:p>
              </w:tc>
              <w:tc>
                <w:tcPr>
                  <w:tcW w:w="1154" w:type="pct"/>
                  <w:tcBorders>
                    <w:tl2br w:val="nil"/>
                    <w:tr2bl w:val="nil"/>
                  </w:tcBorders>
                  <w:vAlign w:val="center"/>
                </w:tcPr>
                <w:p>
                  <w:pPr>
                    <w:snapToGrid w:val="0"/>
                    <w:jc w:val="center"/>
                    <w:rPr>
                      <w:color w:val="auto"/>
                      <w:szCs w:val="21"/>
                    </w:rPr>
                  </w:pPr>
                  <w:r>
                    <w:rPr>
                      <w:rFonts w:hint="eastAsia"/>
                      <w:color w:val="auto"/>
                      <w:szCs w:val="21"/>
                    </w:rPr>
                    <w:t>铲车</w:t>
                  </w:r>
                </w:p>
              </w:tc>
              <w:tc>
                <w:tcPr>
                  <w:tcW w:w="1542" w:type="pct"/>
                  <w:tcBorders>
                    <w:tl2br w:val="nil"/>
                    <w:tr2bl w:val="nil"/>
                  </w:tcBorders>
                  <w:vAlign w:val="center"/>
                </w:tcPr>
                <w:p>
                  <w:pPr>
                    <w:snapToGrid w:val="0"/>
                    <w:jc w:val="center"/>
                    <w:rPr>
                      <w:color w:val="auto"/>
                      <w:szCs w:val="21"/>
                    </w:rPr>
                  </w:pPr>
                  <w:r>
                    <w:rPr>
                      <w:rFonts w:hint="eastAsia"/>
                      <w:color w:val="auto"/>
                      <w:szCs w:val="21"/>
                    </w:rPr>
                    <w:t>国四</w:t>
                  </w:r>
                </w:p>
              </w:tc>
              <w:tc>
                <w:tcPr>
                  <w:tcW w:w="400" w:type="pct"/>
                  <w:tcBorders>
                    <w:tl2br w:val="nil"/>
                    <w:tr2bl w:val="nil"/>
                  </w:tcBorders>
                  <w:vAlign w:val="center"/>
                </w:tcPr>
                <w:p>
                  <w:pPr>
                    <w:snapToGrid w:val="0"/>
                    <w:jc w:val="center"/>
                    <w:rPr>
                      <w:color w:val="auto"/>
                      <w:szCs w:val="21"/>
                    </w:rPr>
                  </w:pPr>
                  <w:r>
                    <w:rPr>
                      <w:rFonts w:hint="eastAsia"/>
                      <w:color w:val="auto"/>
                      <w:szCs w:val="21"/>
                    </w:rPr>
                    <w:t>辆</w:t>
                  </w:r>
                </w:p>
              </w:tc>
              <w:tc>
                <w:tcPr>
                  <w:tcW w:w="392" w:type="pct"/>
                  <w:tcBorders>
                    <w:tl2br w:val="nil"/>
                    <w:tr2bl w:val="nil"/>
                  </w:tcBorders>
                  <w:vAlign w:val="center"/>
                </w:tcPr>
                <w:p>
                  <w:pPr>
                    <w:snapToGrid w:val="0"/>
                    <w:jc w:val="center"/>
                    <w:rPr>
                      <w:color w:val="auto"/>
                      <w:szCs w:val="21"/>
                    </w:rPr>
                  </w:pPr>
                  <w:r>
                    <w:rPr>
                      <w:rFonts w:hint="eastAsia"/>
                      <w:color w:val="auto"/>
                      <w:szCs w:val="21"/>
                    </w:rPr>
                    <w:t>2</w:t>
                  </w:r>
                </w:p>
              </w:tc>
              <w:tc>
                <w:tcPr>
                  <w:tcW w:w="1061" w:type="pct"/>
                  <w:tcBorders>
                    <w:tl2br w:val="nil"/>
                    <w:tr2bl w:val="nil"/>
                  </w:tcBorders>
                  <w:vAlign w:val="center"/>
                </w:tcPr>
                <w:p>
                  <w:pPr>
                    <w:snapToGrid w:val="0"/>
                    <w:jc w:val="center"/>
                    <w:rPr>
                      <w:color w:val="auto"/>
                      <w:szCs w:val="21"/>
                    </w:rPr>
                  </w:pPr>
                </w:p>
              </w:tc>
            </w:tr>
          </w:tbl>
          <w:p>
            <w:pPr>
              <w:autoSpaceDE w:val="0"/>
              <w:autoSpaceDN w:val="0"/>
              <w:adjustRightInd w:val="0"/>
              <w:spacing w:line="480" w:lineRule="exact"/>
              <w:ind w:firstLine="480" w:firstLineChars="200"/>
              <w:rPr>
                <w:color w:val="auto"/>
                <w:kern w:val="0"/>
                <w:sz w:val="24"/>
              </w:rPr>
            </w:pPr>
            <w:r>
              <w:rPr>
                <w:color w:val="auto"/>
                <w:sz w:val="24"/>
              </w:rPr>
              <w:t>项目</w:t>
            </w:r>
            <w:r>
              <w:rPr>
                <w:rFonts w:hint="eastAsia"/>
                <w:color w:val="auto"/>
                <w:sz w:val="24"/>
              </w:rPr>
              <w:t>设置2台（1用1备）2吨磁</w:t>
            </w:r>
            <w:r>
              <w:rPr>
                <w:color w:val="auto"/>
                <w:sz w:val="24"/>
              </w:rPr>
              <w:t>轭钢壳感应电炉，电炉年工作300天，每天两班，每班8小时，4800h/a，每炉熔炼时间1</w:t>
            </w:r>
            <w:r>
              <w:rPr>
                <w:rFonts w:hint="eastAsia"/>
                <w:color w:val="auto"/>
                <w:sz w:val="24"/>
              </w:rPr>
              <w:t>.5</w:t>
            </w:r>
            <w:r>
              <w:rPr>
                <w:color w:val="auto"/>
                <w:sz w:val="24"/>
              </w:rPr>
              <w:t>h</w:t>
            </w:r>
            <w:r>
              <w:rPr>
                <w:rFonts w:hint="eastAsia"/>
                <w:color w:val="auto"/>
                <w:sz w:val="24"/>
              </w:rPr>
              <w:t>左右</w:t>
            </w:r>
            <w:r>
              <w:rPr>
                <w:color w:val="auto"/>
                <w:sz w:val="24"/>
              </w:rPr>
              <w:t>，全年可熔炼</w:t>
            </w:r>
            <w:r>
              <w:rPr>
                <w:rFonts w:hint="eastAsia"/>
                <w:color w:val="auto"/>
                <w:sz w:val="24"/>
              </w:rPr>
              <w:t>30</w:t>
            </w:r>
            <w:r>
              <w:rPr>
                <w:color w:val="auto"/>
                <w:sz w:val="24"/>
              </w:rPr>
              <w:t>00炉，全年产能为</w:t>
            </w:r>
            <w:r>
              <w:rPr>
                <w:rFonts w:hint="eastAsia"/>
                <w:color w:val="auto"/>
                <w:sz w:val="24"/>
              </w:rPr>
              <w:t>60</w:t>
            </w:r>
            <w:r>
              <w:rPr>
                <w:color w:val="auto"/>
                <w:sz w:val="24"/>
              </w:rPr>
              <w:t>00t/a，可满足产能</w:t>
            </w:r>
            <w:r>
              <w:rPr>
                <w:rFonts w:hint="eastAsia"/>
                <w:color w:val="auto"/>
                <w:sz w:val="24"/>
              </w:rPr>
              <w:t>5602.4498</w:t>
            </w:r>
            <w:r>
              <w:rPr>
                <w:color w:val="auto"/>
                <w:sz w:val="24"/>
              </w:rPr>
              <w:t>吨的熔炼要求。</w:t>
            </w:r>
          </w:p>
          <w:p>
            <w:pPr>
              <w:spacing w:line="500" w:lineRule="exact"/>
              <w:ind w:firstLine="480" w:firstLineChars="200"/>
              <w:rPr>
                <w:color w:val="auto"/>
                <w:sz w:val="24"/>
              </w:rPr>
            </w:pPr>
            <w:r>
              <w:rPr>
                <w:rFonts w:hint="eastAsia"/>
                <w:color w:val="auto"/>
                <w:sz w:val="24"/>
              </w:rPr>
              <w:t>（10）工作制度：</w:t>
            </w:r>
            <w:r>
              <w:rPr>
                <w:snapToGrid w:val="0"/>
                <w:color w:val="auto"/>
                <w:kern w:val="0"/>
                <w:sz w:val="24"/>
              </w:rPr>
              <w:t>项目全年工作日</w:t>
            </w:r>
            <w:r>
              <w:rPr>
                <w:rFonts w:hint="eastAsia"/>
                <w:snapToGrid w:val="0"/>
                <w:color w:val="auto"/>
                <w:kern w:val="0"/>
                <w:sz w:val="24"/>
              </w:rPr>
              <w:t>300</w:t>
            </w:r>
            <w:r>
              <w:rPr>
                <w:snapToGrid w:val="0"/>
                <w:color w:val="auto"/>
                <w:kern w:val="0"/>
                <w:sz w:val="24"/>
              </w:rPr>
              <w:t>天，每天</w:t>
            </w:r>
            <w:r>
              <w:rPr>
                <w:rFonts w:hint="eastAsia"/>
                <w:snapToGrid w:val="0"/>
                <w:color w:val="auto"/>
                <w:kern w:val="0"/>
                <w:sz w:val="24"/>
              </w:rPr>
              <w:t>2</w:t>
            </w:r>
            <w:r>
              <w:rPr>
                <w:snapToGrid w:val="0"/>
                <w:color w:val="auto"/>
                <w:kern w:val="0"/>
                <w:sz w:val="24"/>
              </w:rPr>
              <w:t>班、每班8小时工作制</w:t>
            </w:r>
            <w:r>
              <w:rPr>
                <w:bCs/>
                <w:color w:val="auto"/>
                <w:sz w:val="24"/>
              </w:rPr>
              <w:t>，年有效工作</w:t>
            </w:r>
            <w:r>
              <w:rPr>
                <w:rFonts w:hint="eastAsia"/>
                <w:bCs/>
                <w:color w:val="auto"/>
                <w:sz w:val="24"/>
              </w:rPr>
              <w:t>48</w:t>
            </w:r>
            <w:r>
              <w:rPr>
                <w:bCs/>
                <w:color w:val="auto"/>
                <w:sz w:val="24"/>
              </w:rPr>
              <w:t>00h</w:t>
            </w:r>
            <w:r>
              <w:rPr>
                <w:rFonts w:hint="eastAsia"/>
                <w:color w:val="auto"/>
                <w:sz w:val="24"/>
              </w:rPr>
              <w:t>。</w:t>
            </w:r>
          </w:p>
          <w:p>
            <w:pPr>
              <w:spacing w:line="500" w:lineRule="exact"/>
              <w:ind w:firstLine="480" w:firstLineChars="200"/>
              <w:rPr>
                <w:color w:val="auto"/>
                <w:sz w:val="24"/>
              </w:rPr>
            </w:pPr>
            <w:r>
              <w:rPr>
                <w:rFonts w:hint="eastAsia"/>
                <w:color w:val="auto"/>
                <w:sz w:val="24"/>
              </w:rPr>
              <w:t>（11）劳动定员</w:t>
            </w:r>
            <w:r>
              <w:rPr>
                <w:color w:val="auto"/>
                <w:sz w:val="24"/>
              </w:rPr>
              <w:t>：</w:t>
            </w:r>
            <w:r>
              <w:rPr>
                <w:snapToGrid w:val="0"/>
                <w:color w:val="auto"/>
                <w:kern w:val="0"/>
                <w:sz w:val="24"/>
              </w:rPr>
              <w:t>本项目劳动定员</w:t>
            </w:r>
            <w:r>
              <w:rPr>
                <w:rFonts w:hint="eastAsia"/>
                <w:snapToGrid w:val="0"/>
                <w:color w:val="auto"/>
                <w:kern w:val="0"/>
                <w:sz w:val="24"/>
              </w:rPr>
              <w:t>20</w:t>
            </w:r>
            <w:r>
              <w:rPr>
                <w:snapToGrid w:val="0"/>
                <w:color w:val="auto"/>
                <w:kern w:val="0"/>
                <w:sz w:val="24"/>
              </w:rPr>
              <w:t>人</w:t>
            </w:r>
            <w:r>
              <w:rPr>
                <w:rFonts w:hint="eastAsia"/>
                <w:snapToGrid w:val="0"/>
                <w:color w:val="auto"/>
                <w:kern w:val="0"/>
                <w:sz w:val="24"/>
              </w:rPr>
              <w:t>，其中管理人员2人，工作人员18人</w:t>
            </w:r>
            <w:r>
              <w:rPr>
                <w:color w:val="auto"/>
                <w:sz w:val="24"/>
              </w:rPr>
              <w:t>。</w:t>
            </w:r>
          </w:p>
          <w:p>
            <w:pPr>
              <w:spacing w:line="500" w:lineRule="exact"/>
              <w:ind w:firstLine="480" w:firstLineChars="200"/>
              <w:rPr>
                <w:color w:val="auto"/>
                <w:sz w:val="24"/>
              </w:rPr>
            </w:pPr>
            <w:r>
              <w:rPr>
                <w:rFonts w:hint="eastAsia"/>
                <w:color w:val="auto"/>
                <w:sz w:val="24"/>
              </w:rPr>
              <w:t>（12）周边关系</w:t>
            </w:r>
            <w:r>
              <w:rPr>
                <w:color w:val="auto"/>
                <w:sz w:val="24"/>
              </w:rPr>
              <w:t>：</w:t>
            </w:r>
            <w:r>
              <w:rPr>
                <w:snapToGrid w:val="0"/>
                <w:color w:val="auto"/>
                <w:kern w:val="0"/>
                <w:sz w:val="24"/>
              </w:rPr>
              <w:t>项目</w:t>
            </w:r>
            <w:r>
              <w:rPr>
                <w:rFonts w:hint="eastAsia"/>
                <w:snapToGrid w:val="0"/>
                <w:color w:val="auto"/>
                <w:kern w:val="0"/>
                <w:sz w:val="24"/>
              </w:rPr>
              <w:t>租用现有车间利旧改新进行建设，厂区北侧为生产厂区，西侧、南侧均为坑地，东侧为待用空地</w:t>
            </w:r>
            <w:r>
              <w:rPr>
                <w:color w:val="auto"/>
                <w:sz w:val="24"/>
              </w:rPr>
              <w:t>。</w:t>
            </w:r>
            <w:r>
              <w:rPr>
                <w:rFonts w:hint="eastAsia"/>
                <w:color w:val="auto"/>
                <w:sz w:val="24"/>
              </w:rPr>
              <w:t>项目最近敏感点为项目南侧63m、西侧82m处的团练屯村。</w:t>
            </w:r>
          </w:p>
          <w:p>
            <w:pPr>
              <w:spacing w:line="500" w:lineRule="exact"/>
              <w:ind w:firstLine="480" w:firstLineChars="200"/>
              <w:rPr>
                <w:color w:val="auto"/>
                <w:sz w:val="24"/>
              </w:rPr>
            </w:pPr>
            <w:r>
              <w:rPr>
                <w:rFonts w:hint="eastAsia"/>
                <w:color w:val="auto"/>
                <w:sz w:val="24"/>
              </w:rPr>
              <w:t>（13）</w:t>
            </w:r>
            <w:r>
              <w:rPr>
                <w:color w:val="auto"/>
                <w:sz w:val="24"/>
              </w:rPr>
              <w:t>平面布置：</w:t>
            </w:r>
            <w:r>
              <w:rPr>
                <w:snapToGrid w:val="0"/>
                <w:color w:val="auto"/>
                <w:kern w:val="0"/>
                <w:sz w:val="24"/>
              </w:rPr>
              <w:t>项目</w:t>
            </w:r>
            <w:r>
              <w:rPr>
                <w:rFonts w:hint="eastAsia"/>
                <w:snapToGrid w:val="0"/>
                <w:color w:val="auto"/>
                <w:kern w:val="0"/>
                <w:sz w:val="24"/>
              </w:rPr>
              <w:t>大门设置于厂区西侧，生产车间位于厂区东侧，原料储存区设置于生产车间北部、生产区位于车间中部，成品储存区位于车间南部。危险废物暂存间位于车间内东南角</w:t>
            </w:r>
            <w:r>
              <w:rPr>
                <w:color w:val="auto"/>
                <w:sz w:val="24"/>
              </w:rPr>
              <w:t>。</w:t>
            </w:r>
          </w:p>
          <w:p>
            <w:pPr>
              <w:autoSpaceDE w:val="0"/>
              <w:autoSpaceDN w:val="0"/>
              <w:adjustRightInd w:val="0"/>
              <w:spacing w:line="500" w:lineRule="exact"/>
              <w:ind w:firstLine="480" w:firstLineChars="200"/>
              <w:rPr>
                <w:color w:val="auto"/>
                <w:sz w:val="24"/>
              </w:rPr>
            </w:pPr>
            <w:r>
              <w:rPr>
                <w:rFonts w:hint="eastAsia"/>
                <w:color w:val="auto"/>
                <w:sz w:val="24"/>
              </w:rPr>
              <w:t>4</w:t>
            </w:r>
            <w:r>
              <w:rPr>
                <w:color w:val="auto"/>
                <w:sz w:val="24"/>
              </w:rPr>
              <w:t>、公辅工程：</w:t>
            </w:r>
          </w:p>
          <w:p>
            <w:pPr>
              <w:spacing w:line="500" w:lineRule="exact"/>
              <w:ind w:firstLine="480" w:firstLineChars="200"/>
              <w:rPr>
                <w:color w:val="auto"/>
                <w:sz w:val="24"/>
              </w:rPr>
            </w:pPr>
            <w:r>
              <w:rPr>
                <w:rFonts w:hint="eastAsia"/>
                <w:color w:val="auto"/>
                <w:sz w:val="24"/>
              </w:rPr>
              <w:t>（1）</w:t>
            </w:r>
            <w:r>
              <w:rPr>
                <w:color w:val="auto"/>
                <w:sz w:val="24"/>
              </w:rPr>
              <w:t>给排水</w:t>
            </w:r>
            <w:r>
              <w:rPr>
                <w:rFonts w:hint="eastAsia"/>
                <w:color w:val="auto"/>
                <w:sz w:val="24"/>
              </w:rPr>
              <w:t>：</w:t>
            </w:r>
            <w:r>
              <w:rPr>
                <w:color w:val="auto"/>
                <w:sz w:val="24"/>
              </w:rPr>
              <w:t>项目</w:t>
            </w:r>
            <w:r>
              <w:rPr>
                <w:rFonts w:hint="eastAsia"/>
                <w:color w:val="auto"/>
                <w:sz w:val="24"/>
              </w:rPr>
              <w:t>用水由团练屯村供水管网供给。</w:t>
            </w:r>
          </w:p>
          <w:p>
            <w:pPr>
              <w:spacing w:line="480" w:lineRule="exact"/>
              <w:ind w:firstLine="480" w:firstLineChars="200"/>
              <w:rPr>
                <w:color w:val="auto"/>
                <w:sz w:val="24"/>
              </w:rPr>
            </w:pPr>
            <w:r>
              <w:rPr>
                <w:color w:val="auto"/>
                <w:sz w:val="24"/>
              </w:rPr>
              <w:t>项目生产用水主要为中频炉</w:t>
            </w:r>
            <w:r>
              <w:rPr>
                <w:rFonts w:hint="eastAsia"/>
                <w:color w:val="auto"/>
                <w:sz w:val="24"/>
              </w:rPr>
              <w:t>、退火炉</w:t>
            </w:r>
            <w:r>
              <w:rPr>
                <w:color w:val="auto"/>
                <w:sz w:val="24"/>
              </w:rPr>
              <w:t>循环冷却用水。中频炉循环冷却水每天补充</w:t>
            </w:r>
            <w:r>
              <w:rPr>
                <w:rFonts w:hint="eastAsia"/>
                <w:color w:val="auto"/>
                <w:sz w:val="24"/>
              </w:rPr>
              <w:t>5</w:t>
            </w:r>
            <w:r>
              <w:rPr>
                <w:bCs/>
                <w:color w:val="auto"/>
                <w:sz w:val="24"/>
              </w:rPr>
              <w:t>m</w:t>
            </w:r>
            <w:r>
              <w:rPr>
                <w:bCs/>
                <w:color w:val="auto"/>
                <w:sz w:val="24"/>
                <w:vertAlign w:val="superscript"/>
              </w:rPr>
              <w:t>3</w:t>
            </w:r>
            <w:r>
              <w:rPr>
                <w:bCs/>
                <w:color w:val="auto"/>
                <w:sz w:val="24"/>
              </w:rPr>
              <w:t>/d</w:t>
            </w:r>
            <w:r>
              <w:rPr>
                <w:color w:val="auto"/>
                <w:sz w:val="24"/>
              </w:rPr>
              <w:t>新鲜水，循环水量60</w:t>
            </w:r>
            <w:r>
              <w:rPr>
                <w:bCs/>
                <w:color w:val="auto"/>
                <w:sz w:val="24"/>
              </w:rPr>
              <w:t>m</w:t>
            </w:r>
            <w:r>
              <w:rPr>
                <w:bCs/>
                <w:color w:val="auto"/>
                <w:sz w:val="24"/>
                <w:vertAlign w:val="superscript"/>
              </w:rPr>
              <w:t>3</w:t>
            </w:r>
            <w:r>
              <w:rPr>
                <w:bCs/>
                <w:color w:val="auto"/>
                <w:sz w:val="24"/>
              </w:rPr>
              <w:t>/d</w:t>
            </w:r>
            <w:r>
              <w:rPr>
                <w:color w:val="auto"/>
                <w:sz w:val="24"/>
              </w:rPr>
              <w:t>；</w:t>
            </w:r>
            <w:r>
              <w:rPr>
                <w:rFonts w:hint="eastAsia"/>
                <w:color w:val="auto"/>
                <w:sz w:val="24"/>
              </w:rPr>
              <w:t>退火工序</w:t>
            </w:r>
            <w:r>
              <w:rPr>
                <w:color w:val="auto"/>
                <w:sz w:val="24"/>
              </w:rPr>
              <w:t>循环冷却水每天补充</w:t>
            </w:r>
            <w:r>
              <w:rPr>
                <w:rFonts w:hint="eastAsia"/>
                <w:color w:val="auto"/>
                <w:sz w:val="24"/>
              </w:rPr>
              <w:t>0.5</w:t>
            </w:r>
            <w:r>
              <w:rPr>
                <w:bCs/>
                <w:color w:val="auto"/>
                <w:sz w:val="24"/>
              </w:rPr>
              <w:t>m</w:t>
            </w:r>
            <w:r>
              <w:rPr>
                <w:bCs/>
                <w:color w:val="auto"/>
                <w:sz w:val="24"/>
                <w:vertAlign w:val="superscript"/>
              </w:rPr>
              <w:t>3</w:t>
            </w:r>
            <w:r>
              <w:rPr>
                <w:color w:val="auto"/>
                <w:sz w:val="24"/>
              </w:rPr>
              <w:t>新鲜水，循环水量30</w:t>
            </w:r>
            <w:r>
              <w:rPr>
                <w:bCs/>
                <w:color w:val="auto"/>
                <w:sz w:val="24"/>
              </w:rPr>
              <w:t>m</w:t>
            </w:r>
            <w:r>
              <w:rPr>
                <w:bCs/>
                <w:color w:val="auto"/>
                <w:sz w:val="24"/>
                <w:vertAlign w:val="superscript"/>
              </w:rPr>
              <w:t>3</w:t>
            </w:r>
            <w:r>
              <w:rPr>
                <w:bCs/>
                <w:color w:val="auto"/>
                <w:sz w:val="24"/>
              </w:rPr>
              <w:t>/d</w:t>
            </w:r>
            <w:r>
              <w:rPr>
                <w:color w:val="auto"/>
                <w:sz w:val="24"/>
              </w:rPr>
              <w:t>，则生产用水量90</w:t>
            </w:r>
            <w:r>
              <w:rPr>
                <w:bCs/>
                <w:color w:val="auto"/>
                <w:sz w:val="24"/>
              </w:rPr>
              <w:t>m</w:t>
            </w:r>
            <w:r>
              <w:rPr>
                <w:bCs/>
                <w:color w:val="auto"/>
                <w:sz w:val="24"/>
                <w:vertAlign w:val="superscript"/>
              </w:rPr>
              <w:t>3</w:t>
            </w:r>
            <w:r>
              <w:rPr>
                <w:bCs/>
                <w:color w:val="auto"/>
                <w:sz w:val="24"/>
              </w:rPr>
              <w:t>/d</w:t>
            </w:r>
            <w:r>
              <w:rPr>
                <w:color w:val="auto"/>
                <w:sz w:val="24"/>
              </w:rPr>
              <w:t>，新鲜水用水量</w:t>
            </w:r>
            <w:r>
              <w:rPr>
                <w:rFonts w:hint="eastAsia"/>
                <w:color w:val="auto"/>
                <w:sz w:val="24"/>
              </w:rPr>
              <w:t>5.5</w:t>
            </w:r>
            <w:r>
              <w:rPr>
                <w:bCs/>
                <w:color w:val="auto"/>
                <w:sz w:val="24"/>
              </w:rPr>
              <w:t>m</w:t>
            </w:r>
            <w:r>
              <w:rPr>
                <w:bCs/>
                <w:color w:val="auto"/>
                <w:sz w:val="24"/>
                <w:vertAlign w:val="superscript"/>
              </w:rPr>
              <w:t>3</w:t>
            </w:r>
            <w:r>
              <w:rPr>
                <w:bCs/>
                <w:color w:val="auto"/>
                <w:sz w:val="24"/>
              </w:rPr>
              <w:t>/d</w:t>
            </w:r>
            <w:r>
              <w:rPr>
                <w:color w:val="auto"/>
                <w:sz w:val="24"/>
              </w:rPr>
              <w:t>，生产中循环水利用率为9</w:t>
            </w:r>
            <w:r>
              <w:rPr>
                <w:rFonts w:hint="eastAsia"/>
                <w:color w:val="auto"/>
                <w:sz w:val="24"/>
              </w:rPr>
              <w:t>4</w:t>
            </w:r>
            <w:r>
              <w:rPr>
                <w:color w:val="auto"/>
                <w:sz w:val="24"/>
              </w:rPr>
              <w:t>%。根据《河北省用水定额》，员工生活用水按10L/人·d计</w:t>
            </w:r>
            <w:r>
              <w:rPr>
                <w:bCs/>
                <w:color w:val="auto"/>
                <w:sz w:val="24"/>
              </w:rPr>
              <w:t>，生活用水量为0.2m</w:t>
            </w:r>
            <w:r>
              <w:rPr>
                <w:bCs/>
                <w:color w:val="auto"/>
                <w:sz w:val="24"/>
                <w:vertAlign w:val="superscript"/>
              </w:rPr>
              <w:t>3</w:t>
            </w:r>
            <w:r>
              <w:rPr>
                <w:bCs/>
                <w:color w:val="auto"/>
                <w:sz w:val="24"/>
              </w:rPr>
              <w:t>/d</w:t>
            </w:r>
            <w:r>
              <w:rPr>
                <w:rFonts w:hint="eastAsia"/>
                <w:bCs/>
                <w:color w:val="auto"/>
                <w:sz w:val="24"/>
              </w:rPr>
              <w:t>。</w:t>
            </w:r>
          </w:p>
          <w:p>
            <w:pPr>
              <w:spacing w:line="480" w:lineRule="exact"/>
              <w:ind w:firstLine="480" w:firstLineChars="200"/>
              <w:rPr>
                <w:color w:val="auto"/>
                <w:sz w:val="24"/>
              </w:rPr>
            </w:pPr>
            <w:r>
              <w:rPr>
                <w:color w:val="auto"/>
                <w:sz w:val="24"/>
              </w:rPr>
              <w:t>本项目生产用水循环利用、不外排；</w:t>
            </w:r>
            <w:r>
              <w:rPr>
                <w:rFonts w:hint="eastAsia"/>
                <w:color w:val="auto"/>
                <w:sz w:val="24"/>
              </w:rPr>
              <w:t>员工盥洗废水就地泼洒抑尘。</w:t>
            </w:r>
          </w:p>
          <w:p>
            <w:pPr>
              <w:spacing w:line="480" w:lineRule="exact"/>
              <w:ind w:firstLine="480" w:firstLineChars="200"/>
              <w:rPr>
                <w:color w:val="auto"/>
                <w:sz w:val="24"/>
              </w:rPr>
            </w:pPr>
            <w:r>
              <w:rPr>
                <w:color w:val="auto"/>
                <w:sz w:val="24"/>
              </w:rPr>
              <w:t>本项目用排水平衡</w:t>
            </w:r>
            <w:r>
              <w:rPr>
                <w:rFonts w:hint="eastAsia"/>
                <w:color w:val="auto"/>
                <w:sz w:val="24"/>
              </w:rPr>
              <w:t>如下。</w:t>
            </w:r>
          </w:p>
          <w:p>
            <w:pPr>
              <w:spacing w:line="480" w:lineRule="exact"/>
              <w:jc w:val="center"/>
              <w:rPr>
                <w:b/>
                <w:color w:val="auto"/>
                <w:sz w:val="24"/>
              </w:rPr>
            </w:pPr>
            <w:r>
              <w:rPr>
                <w:b/>
                <w:color w:val="auto"/>
                <w:sz w:val="24"/>
              </w:rPr>
              <w:t>表</w:t>
            </w:r>
            <w:r>
              <w:rPr>
                <w:rFonts w:hint="eastAsia"/>
                <w:b/>
                <w:color w:val="auto"/>
                <w:sz w:val="24"/>
              </w:rPr>
              <w:t>16</w:t>
            </w:r>
            <w:r>
              <w:rPr>
                <w:b/>
                <w:color w:val="auto"/>
                <w:sz w:val="24"/>
              </w:rPr>
              <w:t xml:space="preserve">      项目用排水量一览表</w:t>
            </w:r>
          </w:p>
          <w:tbl>
            <w:tblPr>
              <w:tblStyle w:val="33"/>
              <w:tblW w:w="83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91"/>
              <w:gridCol w:w="1133"/>
              <w:gridCol w:w="914"/>
              <w:gridCol w:w="1076"/>
              <w:gridCol w:w="914"/>
              <w:gridCol w:w="872"/>
              <w:gridCol w:w="16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4" w:type="pct"/>
                  <w:gridSpan w:val="2"/>
                  <w:vMerge w:val="restart"/>
                  <w:vAlign w:val="center"/>
                </w:tcPr>
                <w:p>
                  <w:pPr>
                    <w:jc w:val="center"/>
                    <w:rPr>
                      <w:b/>
                      <w:color w:val="auto"/>
                      <w:szCs w:val="21"/>
                    </w:rPr>
                  </w:pPr>
                  <w:r>
                    <w:rPr>
                      <w:b/>
                      <w:color w:val="auto"/>
                      <w:szCs w:val="21"/>
                    </w:rPr>
                    <w:t>项  目</w:t>
                  </w:r>
                </w:p>
              </w:tc>
              <w:tc>
                <w:tcPr>
                  <w:tcW w:w="677" w:type="pct"/>
                  <w:vAlign w:val="center"/>
                </w:tcPr>
                <w:p>
                  <w:pPr>
                    <w:jc w:val="center"/>
                    <w:rPr>
                      <w:b/>
                      <w:caps/>
                      <w:color w:val="auto"/>
                      <w:szCs w:val="21"/>
                    </w:rPr>
                  </w:pPr>
                  <w:r>
                    <w:rPr>
                      <w:b/>
                      <w:caps/>
                      <w:color w:val="auto"/>
                      <w:szCs w:val="21"/>
                    </w:rPr>
                    <w:t>总用水量</w:t>
                  </w:r>
                </w:p>
              </w:tc>
              <w:tc>
                <w:tcPr>
                  <w:tcW w:w="546" w:type="pct"/>
                  <w:vAlign w:val="center"/>
                </w:tcPr>
                <w:p>
                  <w:pPr>
                    <w:jc w:val="center"/>
                    <w:rPr>
                      <w:b/>
                      <w:caps/>
                      <w:color w:val="auto"/>
                      <w:szCs w:val="21"/>
                    </w:rPr>
                  </w:pPr>
                  <w:r>
                    <w:rPr>
                      <w:b/>
                      <w:caps/>
                      <w:color w:val="auto"/>
                      <w:szCs w:val="21"/>
                    </w:rPr>
                    <w:t>新水量</w:t>
                  </w:r>
                </w:p>
              </w:tc>
              <w:tc>
                <w:tcPr>
                  <w:tcW w:w="643" w:type="pct"/>
                  <w:vAlign w:val="center"/>
                </w:tcPr>
                <w:p>
                  <w:pPr>
                    <w:jc w:val="center"/>
                    <w:rPr>
                      <w:b/>
                      <w:caps/>
                      <w:color w:val="auto"/>
                      <w:szCs w:val="21"/>
                    </w:rPr>
                  </w:pPr>
                  <w:r>
                    <w:rPr>
                      <w:b/>
                      <w:caps/>
                      <w:color w:val="auto"/>
                      <w:szCs w:val="21"/>
                    </w:rPr>
                    <w:t>循环水量</w:t>
                  </w:r>
                </w:p>
              </w:tc>
              <w:tc>
                <w:tcPr>
                  <w:tcW w:w="546" w:type="pct"/>
                  <w:vAlign w:val="center"/>
                </w:tcPr>
                <w:p>
                  <w:pPr>
                    <w:jc w:val="center"/>
                    <w:rPr>
                      <w:b/>
                      <w:caps/>
                      <w:color w:val="auto"/>
                      <w:szCs w:val="21"/>
                    </w:rPr>
                  </w:pPr>
                  <w:r>
                    <w:rPr>
                      <w:b/>
                      <w:caps/>
                      <w:color w:val="auto"/>
                      <w:szCs w:val="21"/>
                    </w:rPr>
                    <w:t>损耗量</w:t>
                  </w:r>
                </w:p>
              </w:tc>
              <w:tc>
                <w:tcPr>
                  <w:tcW w:w="521" w:type="pct"/>
                  <w:vAlign w:val="center"/>
                </w:tcPr>
                <w:p>
                  <w:pPr>
                    <w:jc w:val="center"/>
                    <w:rPr>
                      <w:b/>
                      <w:caps/>
                      <w:color w:val="auto"/>
                      <w:szCs w:val="21"/>
                    </w:rPr>
                  </w:pPr>
                  <w:r>
                    <w:rPr>
                      <w:b/>
                      <w:caps/>
                      <w:color w:val="auto"/>
                      <w:szCs w:val="21"/>
                    </w:rPr>
                    <w:t>废水量</w:t>
                  </w:r>
                </w:p>
              </w:tc>
              <w:tc>
                <w:tcPr>
                  <w:tcW w:w="990" w:type="pct"/>
                  <w:vMerge w:val="restart"/>
                  <w:tcBorders>
                    <w:right w:val="nil"/>
                  </w:tcBorders>
                  <w:vAlign w:val="center"/>
                </w:tcPr>
                <w:p>
                  <w:pPr>
                    <w:jc w:val="center"/>
                    <w:rPr>
                      <w:b/>
                      <w:caps/>
                      <w:color w:val="auto"/>
                      <w:szCs w:val="21"/>
                    </w:rPr>
                  </w:pPr>
                  <w:r>
                    <w:rPr>
                      <w:b/>
                      <w:caps/>
                      <w:color w:val="auto"/>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4" w:type="pct"/>
                  <w:gridSpan w:val="2"/>
                  <w:vMerge w:val="continue"/>
                  <w:tcBorders>
                    <w:left w:val="nil"/>
                  </w:tcBorders>
                  <w:vAlign w:val="center"/>
                </w:tcPr>
                <w:p>
                  <w:pPr>
                    <w:widowControl/>
                    <w:jc w:val="center"/>
                    <w:rPr>
                      <w:b/>
                      <w:color w:val="auto"/>
                      <w:szCs w:val="21"/>
                    </w:rPr>
                  </w:pPr>
                </w:p>
              </w:tc>
              <w:tc>
                <w:tcPr>
                  <w:tcW w:w="677" w:type="pct"/>
                  <w:vAlign w:val="center"/>
                </w:tcPr>
                <w:p>
                  <w:pPr>
                    <w:jc w:val="center"/>
                    <w:rPr>
                      <w:b/>
                      <w:color w:val="auto"/>
                      <w:szCs w:val="21"/>
                    </w:rPr>
                  </w:pPr>
                  <w:r>
                    <w:rPr>
                      <w:b/>
                      <w:color w:val="auto"/>
                      <w:szCs w:val="21"/>
                    </w:rPr>
                    <w:t>m</w:t>
                  </w:r>
                  <w:r>
                    <w:rPr>
                      <w:b/>
                      <w:color w:val="auto"/>
                      <w:szCs w:val="21"/>
                      <w:vertAlign w:val="superscript"/>
                    </w:rPr>
                    <w:t>3</w:t>
                  </w:r>
                  <w:r>
                    <w:rPr>
                      <w:b/>
                      <w:color w:val="auto"/>
                      <w:szCs w:val="21"/>
                    </w:rPr>
                    <w:t>/d</w:t>
                  </w:r>
                </w:p>
              </w:tc>
              <w:tc>
                <w:tcPr>
                  <w:tcW w:w="546" w:type="pct"/>
                  <w:vAlign w:val="center"/>
                </w:tcPr>
                <w:p>
                  <w:pPr>
                    <w:jc w:val="center"/>
                    <w:rPr>
                      <w:b/>
                      <w:color w:val="auto"/>
                      <w:szCs w:val="21"/>
                    </w:rPr>
                  </w:pPr>
                  <w:r>
                    <w:rPr>
                      <w:b/>
                      <w:color w:val="auto"/>
                      <w:szCs w:val="21"/>
                    </w:rPr>
                    <w:t>m</w:t>
                  </w:r>
                  <w:r>
                    <w:rPr>
                      <w:b/>
                      <w:color w:val="auto"/>
                      <w:szCs w:val="21"/>
                      <w:vertAlign w:val="superscript"/>
                    </w:rPr>
                    <w:t>3</w:t>
                  </w:r>
                  <w:r>
                    <w:rPr>
                      <w:b/>
                      <w:color w:val="auto"/>
                      <w:szCs w:val="21"/>
                    </w:rPr>
                    <w:t>/d</w:t>
                  </w:r>
                </w:p>
              </w:tc>
              <w:tc>
                <w:tcPr>
                  <w:tcW w:w="643" w:type="pct"/>
                  <w:vAlign w:val="center"/>
                </w:tcPr>
                <w:p>
                  <w:pPr>
                    <w:jc w:val="center"/>
                    <w:rPr>
                      <w:b/>
                      <w:color w:val="auto"/>
                      <w:szCs w:val="21"/>
                    </w:rPr>
                  </w:pPr>
                  <w:r>
                    <w:rPr>
                      <w:b/>
                      <w:color w:val="auto"/>
                      <w:szCs w:val="21"/>
                    </w:rPr>
                    <w:t>m</w:t>
                  </w:r>
                  <w:r>
                    <w:rPr>
                      <w:b/>
                      <w:color w:val="auto"/>
                      <w:szCs w:val="21"/>
                      <w:vertAlign w:val="superscript"/>
                    </w:rPr>
                    <w:t>3</w:t>
                  </w:r>
                  <w:r>
                    <w:rPr>
                      <w:b/>
                      <w:color w:val="auto"/>
                      <w:szCs w:val="21"/>
                    </w:rPr>
                    <w:t>/d</w:t>
                  </w:r>
                </w:p>
              </w:tc>
              <w:tc>
                <w:tcPr>
                  <w:tcW w:w="546" w:type="pct"/>
                  <w:vAlign w:val="center"/>
                </w:tcPr>
                <w:p>
                  <w:pPr>
                    <w:jc w:val="center"/>
                    <w:rPr>
                      <w:b/>
                      <w:color w:val="auto"/>
                      <w:szCs w:val="21"/>
                    </w:rPr>
                  </w:pPr>
                  <w:r>
                    <w:rPr>
                      <w:b/>
                      <w:color w:val="auto"/>
                      <w:szCs w:val="21"/>
                    </w:rPr>
                    <w:t>m</w:t>
                  </w:r>
                  <w:r>
                    <w:rPr>
                      <w:b/>
                      <w:color w:val="auto"/>
                      <w:szCs w:val="21"/>
                      <w:vertAlign w:val="superscript"/>
                    </w:rPr>
                    <w:t>3</w:t>
                  </w:r>
                  <w:r>
                    <w:rPr>
                      <w:b/>
                      <w:color w:val="auto"/>
                      <w:szCs w:val="21"/>
                    </w:rPr>
                    <w:t>/d</w:t>
                  </w:r>
                </w:p>
              </w:tc>
              <w:tc>
                <w:tcPr>
                  <w:tcW w:w="521" w:type="pct"/>
                  <w:vAlign w:val="center"/>
                </w:tcPr>
                <w:p>
                  <w:pPr>
                    <w:jc w:val="center"/>
                    <w:rPr>
                      <w:b/>
                      <w:color w:val="auto"/>
                      <w:szCs w:val="21"/>
                    </w:rPr>
                  </w:pPr>
                  <w:r>
                    <w:rPr>
                      <w:b/>
                      <w:color w:val="auto"/>
                      <w:szCs w:val="21"/>
                    </w:rPr>
                    <w:t>m</w:t>
                  </w:r>
                  <w:r>
                    <w:rPr>
                      <w:b/>
                      <w:color w:val="auto"/>
                      <w:szCs w:val="21"/>
                      <w:vertAlign w:val="superscript"/>
                    </w:rPr>
                    <w:t>3</w:t>
                  </w:r>
                  <w:r>
                    <w:rPr>
                      <w:b/>
                      <w:color w:val="auto"/>
                      <w:szCs w:val="21"/>
                    </w:rPr>
                    <w:t>/d</w:t>
                  </w:r>
                </w:p>
              </w:tc>
              <w:tc>
                <w:tcPr>
                  <w:tcW w:w="990" w:type="pct"/>
                  <w:vMerge w:val="continue"/>
                  <w:tcBorders>
                    <w:right w:val="nil"/>
                  </w:tcBorders>
                  <w:vAlign w:val="center"/>
                </w:tcPr>
                <w:p>
                  <w:pPr>
                    <w:widowControl/>
                    <w:jc w:val="center"/>
                    <w:rPr>
                      <w:caps/>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pct"/>
                  <w:vMerge w:val="restart"/>
                  <w:tcBorders>
                    <w:left w:val="nil"/>
                  </w:tcBorders>
                  <w:vAlign w:val="center"/>
                </w:tcPr>
                <w:p>
                  <w:pPr>
                    <w:jc w:val="center"/>
                    <w:rPr>
                      <w:b/>
                      <w:color w:val="auto"/>
                      <w:szCs w:val="21"/>
                    </w:rPr>
                  </w:pPr>
                  <w:r>
                    <w:rPr>
                      <w:b/>
                      <w:color w:val="auto"/>
                      <w:szCs w:val="21"/>
                    </w:rPr>
                    <w:t>生产</w:t>
                  </w:r>
                </w:p>
              </w:tc>
              <w:tc>
                <w:tcPr>
                  <w:tcW w:w="651" w:type="pct"/>
                  <w:vAlign w:val="center"/>
                </w:tcPr>
                <w:p>
                  <w:pPr>
                    <w:widowControl/>
                    <w:jc w:val="center"/>
                    <w:rPr>
                      <w:bCs/>
                      <w:color w:val="auto"/>
                      <w:szCs w:val="21"/>
                    </w:rPr>
                  </w:pPr>
                  <w:r>
                    <w:rPr>
                      <w:rFonts w:hint="eastAsia"/>
                      <w:bCs/>
                      <w:color w:val="auto"/>
                      <w:szCs w:val="21"/>
                    </w:rPr>
                    <w:t>退火工序</w:t>
                  </w:r>
                </w:p>
              </w:tc>
              <w:tc>
                <w:tcPr>
                  <w:tcW w:w="677" w:type="pct"/>
                  <w:vAlign w:val="center"/>
                </w:tcPr>
                <w:p>
                  <w:pPr>
                    <w:jc w:val="center"/>
                    <w:rPr>
                      <w:bCs/>
                      <w:color w:val="auto"/>
                      <w:szCs w:val="21"/>
                    </w:rPr>
                  </w:pPr>
                  <w:r>
                    <w:rPr>
                      <w:rFonts w:hint="eastAsia"/>
                      <w:bCs/>
                      <w:color w:val="auto"/>
                      <w:szCs w:val="21"/>
                    </w:rPr>
                    <w:t>30</w:t>
                  </w:r>
                </w:p>
              </w:tc>
              <w:tc>
                <w:tcPr>
                  <w:tcW w:w="546" w:type="pct"/>
                  <w:vAlign w:val="center"/>
                </w:tcPr>
                <w:p>
                  <w:pPr>
                    <w:jc w:val="center"/>
                    <w:rPr>
                      <w:bCs/>
                      <w:color w:val="auto"/>
                      <w:szCs w:val="21"/>
                    </w:rPr>
                  </w:pPr>
                  <w:r>
                    <w:rPr>
                      <w:rFonts w:hint="eastAsia"/>
                      <w:bCs/>
                      <w:color w:val="auto"/>
                      <w:szCs w:val="21"/>
                    </w:rPr>
                    <w:t>0.5</w:t>
                  </w:r>
                </w:p>
              </w:tc>
              <w:tc>
                <w:tcPr>
                  <w:tcW w:w="643" w:type="pct"/>
                  <w:vAlign w:val="center"/>
                </w:tcPr>
                <w:p>
                  <w:pPr>
                    <w:jc w:val="center"/>
                    <w:rPr>
                      <w:bCs/>
                      <w:color w:val="auto"/>
                      <w:szCs w:val="21"/>
                    </w:rPr>
                  </w:pPr>
                  <w:r>
                    <w:rPr>
                      <w:rFonts w:hint="eastAsia"/>
                      <w:bCs/>
                      <w:color w:val="auto"/>
                      <w:szCs w:val="21"/>
                    </w:rPr>
                    <w:t>29.5</w:t>
                  </w:r>
                </w:p>
              </w:tc>
              <w:tc>
                <w:tcPr>
                  <w:tcW w:w="546" w:type="pct"/>
                  <w:vAlign w:val="center"/>
                </w:tcPr>
                <w:p>
                  <w:pPr>
                    <w:jc w:val="center"/>
                    <w:rPr>
                      <w:bCs/>
                      <w:color w:val="auto"/>
                      <w:szCs w:val="21"/>
                    </w:rPr>
                  </w:pPr>
                  <w:r>
                    <w:rPr>
                      <w:rFonts w:hint="eastAsia"/>
                      <w:bCs/>
                      <w:color w:val="auto"/>
                      <w:szCs w:val="21"/>
                    </w:rPr>
                    <w:t>0.5</w:t>
                  </w:r>
                </w:p>
              </w:tc>
              <w:tc>
                <w:tcPr>
                  <w:tcW w:w="521" w:type="pct"/>
                  <w:vAlign w:val="center"/>
                </w:tcPr>
                <w:p>
                  <w:pPr>
                    <w:jc w:val="center"/>
                    <w:rPr>
                      <w:bCs/>
                      <w:color w:val="auto"/>
                      <w:szCs w:val="21"/>
                    </w:rPr>
                  </w:pPr>
                  <w:r>
                    <w:rPr>
                      <w:rFonts w:hint="eastAsia"/>
                      <w:bCs/>
                      <w:color w:val="auto"/>
                      <w:szCs w:val="21"/>
                    </w:rPr>
                    <w:t>0</w:t>
                  </w:r>
                </w:p>
              </w:tc>
              <w:tc>
                <w:tcPr>
                  <w:tcW w:w="990" w:type="pct"/>
                  <w:vMerge w:val="restart"/>
                  <w:tcBorders>
                    <w:right w:val="nil"/>
                  </w:tcBorders>
                  <w:vAlign w:val="center"/>
                </w:tcPr>
                <w:p>
                  <w:pPr>
                    <w:widowControl/>
                    <w:jc w:val="center"/>
                    <w:rPr>
                      <w:caps/>
                      <w:color w:val="auto"/>
                      <w:szCs w:val="21"/>
                    </w:rPr>
                  </w:pPr>
                  <w:r>
                    <w:rPr>
                      <w:rFonts w:hint="eastAsia"/>
                      <w:caps/>
                      <w:color w:val="auto"/>
                      <w:szCs w:val="21"/>
                    </w:rPr>
                    <w:t>经冷却后循环利用不外排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pct"/>
                  <w:vMerge w:val="continue"/>
                  <w:tcBorders>
                    <w:left w:val="nil"/>
                  </w:tcBorders>
                  <w:vAlign w:val="center"/>
                </w:tcPr>
                <w:p>
                  <w:pPr>
                    <w:jc w:val="center"/>
                    <w:rPr>
                      <w:b/>
                      <w:color w:val="auto"/>
                      <w:szCs w:val="21"/>
                    </w:rPr>
                  </w:pPr>
                </w:p>
              </w:tc>
              <w:tc>
                <w:tcPr>
                  <w:tcW w:w="651" w:type="pct"/>
                  <w:vAlign w:val="center"/>
                </w:tcPr>
                <w:p>
                  <w:pPr>
                    <w:widowControl/>
                    <w:jc w:val="center"/>
                    <w:rPr>
                      <w:color w:val="auto"/>
                      <w:szCs w:val="21"/>
                    </w:rPr>
                  </w:pPr>
                  <w:r>
                    <w:rPr>
                      <w:rFonts w:hint="eastAsia"/>
                      <w:color w:val="auto"/>
                      <w:szCs w:val="21"/>
                    </w:rPr>
                    <w:t>电炉冷却</w:t>
                  </w:r>
                </w:p>
              </w:tc>
              <w:tc>
                <w:tcPr>
                  <w:tcW w:w="677" w:type="pct"/>
                  <w:vAlign w:val="center"/>
                </w:tcPr>
                <w:p>
                  <w:pPr>
                    <w:jc w:val="center"/>
                    <w:rPr>
                      <w:color w:val="auto"/>
                      <w:szCs w:val="21"/>
                    </w:rPr>
                  </w:pPr>
                  <w:r>
                    <w:rPr>
                      <w:rFonts w:hint="eastAsia"/>
                      <w:color w:val="auto"/>
                      <w:szCs w:val="21"/>
                    </w:rPr>
                    <w:t>60</w:t>
                  </w:r>
                </w:p>
              </w:tc>
              <w:tc>
                <w:tcPr>
                  <w:tcW w:w="546" w:type="pct"/>
                  <w:vAlign w:val="center"/>
                </w:tcPr>
                <w:p>
                  <w:pPr>
                    <w:jc w:val="center"/>
                    <w:rPr>
                      <w:color w:val="auto"/>
                      <w:szCs w:val="21"/>
                    </w:rPr>
                  </w:pPr>
                  <w:r>
                    <w:rPr>
                      <w:rFonts w:hint="eastAsia"/>
                      <w:color w:val="auto"/>
                      <w:szCs w:val="21"/>
                    </w:rPr>
                    <w:t>5</w:t>
                  </w:r>
                </w:p>
              </w:tc>
              <w:tc>
                <w:tcPr>
                  <w:tcW w:w="643" w:type="pct"/>
                  <w:vAlign w:val="center"/>
                </w:tcPr>
                <w:p>
                  <w:pPr>
                    <w:jc w:val="center"/>
                    <w:rPr>
                      <w:color w:val="auto"/>
                      <w:szCs w:val="21"/>
                    </w:rPr>
                  </w:pPr>
                  <w:r>
                    <w:rPr>
                      <w:rFonts w:hint="eastAsia"/>
                      <w:color w:val="auto"/>
                      <w:szCs w:val="21"/>
                    </w:rPr>
                    <w:t>55</w:t>
                  </w:r>
                </w:p>
              </w:tc>
              <w:tc>
                <w:tcPr>
                  <w:tcW w:w="546" w:type="pct"/>
                  <w:vAlign w:val="center"/>
                </w:tcPr>
                <w:p>
                  <w:pPr>
                    <w:jc w:val="center"/>
                    <w:rPr>
                      <w:color w:val="auto"/>
                      <w:szCs w:val="21"/>
                    </w:rPr>
                  </w:pPr>
                  <w:r>
                    <w:rPr>
                      <w:rFonts w:hint="eastAsia"/>
                      <w:color w:val="auto"/>
                      <w:szCs w:val="21"/>
                    </w:rPr>
                    <w:t>5</w:t>
                  </w:r>
                </w:p>
              </w:tc>
              <w:tc>
                <w:tcPr>
                  <w:tcW w:w="521" w:type="pct"/>
                  <w:vAlign w:val="center"/>
                </w:tcPr>
                <w:p>
                  <w:pPr>
                    <w:jc w:val="center"/>
                    <w:rPr>
                      <w:color w:val="auto"/>
                      <w:szCs w:val="21"/>
                    </w:rPr>
                  </w:pPr>
                  <w:r>
                    <w:rPr>
                      <w:rFonts w:hint="eastAsia"/>
                      <w:color w:val="auto"/>
                      <w:szCs w:val="21"/>
                    </w:rPr>
                    <w:t>0</w:t>
                  </w:r>
                </w:p>
              </w:tc>
              <w:tc>
                <w:tcPr>
                  <w:tcW w:w="990" w:type="pct"/>
                  <w:vMerge w:val="continue"/>
                  <w:tcBorders>
                    <w:right w:val="nil"/>
                  </w:tcBorders>
                  <w:vAlign w:val="center"/>
                </w:tcPr>
                <w:p>
                  <w:pPr>
                    <w:widowControl/>
                    <w:jc w:val="center"/>
                    <w:rPr>
                      <w:caps/>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pct"/>
                  <w:tcBorders>
                    <w:left w:val="nil"/>
                  </w:tcBorders>
                  <w:vAlign w:val="center"/>
                </w:tcPr>
                <w:p>
                  <w:pPr>
                    <w:jc w:val="center"/>
                    <w:rPr>
                      <w:b/>
                      <w:color w:val="auto"/>
                      <w:szCs w:val="21"/>
                    </w:rPr>
                  </w:pPr>
                  <w:r>
                    <w:rPr>
                      <w:b/>
                      <w:color w:val="auto"/>
                      <w:szCs w:val="21"/>
                    </w:rPr>
                    <w:t>生活</w:t>
                  </w:r>
                </w:p>
              </w:tc>
              <w:tc>
                <w:tcPr>
                  <w:tcW w:w="651" w:type="pct"/>
                  <w:vAlign w:val="center"/>
                </w:tcPr>
                <w:p>
                  <w:pPr>
                    <w:widowControl/>
                    <w:jc w:val="center"/>
                    <w:rPr>
                      <w:color w:val="auto"/>
                      <w:szCs w:val="21"/>
                    </w:rPr>
                  </w:pPr>
                  <w:r>
                    <w:rPr>
                      <w:color w:val="auto"/>
                      <w:szCs w:val="21"/>
                    </w:rPr>
                    <w:t>生活用水</w:t>
                  </w:r>
                </w:p>
              </w:tc>
              <w:tc>
                <w:tcPr>
                  <w:tcW w:w="677" w:type="pct"/>
                  <w:vAlign w:val="center"/>
                </w:tcPr>
                <w:p>
                  <w:pPr>
                    <w:jc w:val="center"/>
                    <w:rPr>
                      <w:color w:val="auto"/>
                      <w:szCs w:val="21"/>
                    </w:rPr>
                  </w:pPr>
                  <w:r>
                    <w:rPr>
                      <w:rFonts w:hint="eastAsia"/>
                      <w:color w:val="auto"/>
                      <w:szCs w:val="21"/>
                    </w:rPr>
                    <w:t>0.2</w:t>
                  </w:r>
                </w:p>
              </w:tc>
              <w:tc>
                <w:tcPr>
                  <w:tcW w:w="546" w:type="pct"/>
                  <w:vAlign w:val="center"/>
                </w:tcPr>
                <w:p>
                  <w:pPr>
                    <w:jc w:val="center"/>
                    <w:rPr>
                      <w:color w:val="auto"/>
                      <w:szCs w:val="21"/>
                    </w:rPr>
                  </w:pPr>
                  <w:r>
                    <w:rPr>
                      <w:rFonts w:hint="eastAsia"/>
                      <w:color w:val="auto"/>
                      <w:szCs w:val="21"/>
                    </w:rPr>
                    <w:t>0.2</w:t>
                  </w:r>
                </w:p>
              </w:tc>
              <w:tc>
                <w:tcPr>
                  <w:tcW w:w="643" w:type="pct"/>
                  <w:vAlign w:val="center"/>
                </w:tcPr>
                <w:p>
                  <w:pPr>
                    <w:jc w:val="center"/>
                    <w:rPr>
                      <w:color w:val="auto"/>
                      <w:szCs w:val="21"/>
                    </w:rPr>
                  </w:pPr>
                  <w:r>
                    <w:rPr>
                      <w:rFonts w:hint="eastAsia"/>
                      <w:color w:val="auto"/>
                      <w:szCs w:val="21"/>
                    </w:rPr>
                    <w:t>0</w:t>
                  </w:r>
                </w:p>
              </w:tc>
              <w:tc>
                <w:tcPr>
                  <w:tcW w:w="546" w:type="pct"/>
                  <w:vAlign w:val="center"/>
                </w:tcPr>
                <w:p>
                  <w:pPr>
                    <w:jc w:val="center"/>
                    <w:rPr>
                      <w:color w:val="auto"/>
                      <w:szCs w:val="21"/>
                    </w:rPr>
                  </w:pPr>
                  <w:r>
                    <w:rPr>
                      <w:rFonts w:hint="eastAsia"/>
                      <w:color w:val="auto"/>
                      <w:szCs w:val="21"/>
                    </w:rPr>
                    <w:t>0.04</w:t>
                  </w:r>
                </w:p>
              </w:tc>
              <w:tc>
                <w:tcPr>
                  <w:tcW w:w="521" w:type="pct"/>
                  <w:vAlign w:val="center"/>
                </w:tcPr>
                <w:p>
                  <w:pPr>
                    <w:jc w:val="center"/>
                    <w:rPr>
                      <w:color w:val="auto"/>
                      <w:szCs w:val="21"/>
                    </w:rPr>
                  </w:pPr>
                  <w:r>
                    <w:rPr>
                      <w:rFonts w:hint="eastAsia"/>
                      <w:color w:val="auto"/>
                      <w:szCs w:val="21"/>
                    </w:rPr>
                    <w:t>0.16</w:t>
                  </w:r>
                </w:p>
              </w:tc>
              <w:tc>
                <w:tcPr>
                  <w:tcW w:w="990" w:type="pct"/>
                  <w:tcBorders>
                    <w:right w:val="nil"/>
                  </w:tcBorders>
                  <w:vAlign w:val="center"/>
                </w:tcPr>
                <w:p>
                  <w:pPr>
                    <w:widowControl/>
                    <w:jc w:val="center"/>
                    <w:rPr>
                      <w:caps/>
                      <w:color w:val="auto"/>
                      <w:szCs w:val="21"/>
                    </w:rPr>
                  </w:pPr>
                  <w:r>
                    <w:rPr>
                      <w:rFonts w:hint="eastAsia"/>
                      <w:caps/>
                      <w:color w:val="auto"/>
                      <w:szCs w:val="21"/>
                    </w:rPr>
                    <w:t>就地泼洒抑尘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4" w:type="pct"/>
                  <w:gridSpan w:val="2"/>
                  <w:tcBorders>
                    <w:left w:val="nil"/>
                  </w:tcBorders>
                  <w:vAlign w:val="center"/>
                </w:tcPr>
                <w:p>
                  <w:pPr>
                    <w:jc w:val="center"/>
                    <w:rPr>
                      <w:color w:val="auto"/>
                      <w:szCs w:val="21"/>
                    </w:rPr>
                  </w:pPr>
                  <w:r>
                    <w:rPr>
                      <w:b/>
                      <w:color w:val="auto"/>
                      <w:szCs w:val="21"/>
                    </w:rPr>
                    <w:t>合计</w:t>
                  </w:r>
                </w:p>
              </w:tc>
              <w:tc>
                <w:tcPr>
                  <w:tcW w:w="1134" w:type="dxa"/>
                  <w:vAlign w:val="center"/>
                </w:tcPr>
                <w:p>
                  <w:pPr>
                    <w:jc w:val="center"/>
                    <w:rPr>
                      <w:color w:val="auto"/>
                      <w:szCs w:val="21"/>
                    </w:rPr>
                  </w:pPr>
                  <w:r>
                    <w:rPr>
                      <w:rFonts w:hint="eastAsia"/>
                      <w:color w:val="auto"/>
                      <w:szCs w:val="21"/>
                    </w:rPr>
                    <w:t>90.2</w:t>
                  </w:r>
                </w:p>
              </w:tc>
              <w:tc>
                <w:tcPr>
                  <w:tcW w:w="914" w:type="dxa"/>
                  <w:vAlign w:val="center"/>
                </w:tcPr>
                <w:p>
                  <w:pPr>
                    <w:jc w:val="center"/>
                    <w:rPr>
                      <w:color w:val="auto"/>
                      <w:szCs w:val="21"/>
                    </w:rPr>
                  </w:pPr>
                  <w:r>
                    <w:rPr>
                      <w:rFonts w:hint="eastAsia"/>
                      <w:color w:val="auto"/>
                      <w:szCs w:val="21"/>
                    </w:rPr>
                    <w:t>5.7</w:t>
                  </w:r>
                </w:p>
              </w:tc>
              <w:tc>
                <w:tcPr>
                  <w:tcW w:w="1077" w:type="dxa"/>
                  <w:vAlign w:val="center"/>
                </w:tcPr>
                <w:p>
                  <w:pPr>
                    <w:jc w:val="center"/>
                    <w:rPr>
                      <w:color w:val="auto"/>
                      <w:szCs w:val="21"/>
                    </w:rPr>
                  </w:pPr>
                  <w:r>
                    <w:rPr>
                      <w:rFonts w:hint="eastAsia"/>
                      <w:color w:val="auto"/>
                      <w:szCs w:val="21"/>
                    </w:rPr>
                    <w:t>84.5</w:t>
                  </w:r>
                </w:p>
              </w:tc>
              <w:tc>
                <w:tcPr>
                  <w:tcW w:w="914" w:type="dxa"/>
                  <w:vAlign w:val="center"/>
                </w:tcPr>
                <w:p>
                  <w:pPr>
                    <w:jc w:val="center"/>
                    <w:rPr>
                      <w:color w:val="auto"/>
                      <w:szCs w:val="21"/>
                    </w:rPr>
                  </w:pPr>
                  <w:r>
                    <w:rPr>
                      <w:rFonts w:hint="eastAsia"/>
                      <w:color w:val="auto"/>
                      <w:szCs w:val="21"/>
                    </w:rPr>
                    <w:t>5.54</w:t>
                  </w:r>
                </w:p>
              </w:tc>
              <w:tc>
                <w:tcPr>
                  <w:tcW w:w="873" w:type="dxa"/>
                  <w:vAlign w:val="center"/>
                </w:tcPr>
                <w:p>
                  <w:pPr>
                    <w:jc w:val="center"/>
                    <w:rPr>
                      <w:color w:val="auto"/>
                      <w:szCs w:val="21"/>
                    </w:rPr>
                  </w:pPr>
                  <w:r>
                    <w:rPr>
                      <w:rFonts w:hint="eastAsia"/>
                      <w:color w:val="auto"/>
                      <w:szCs w:val="21"/>
                    </w:rPr>
                    <w:t>0.16</w:t>
                  </w:r>
                </w:p>
              </w:tc>
              <w:tc>
                <w:tcPr>
                  <w:tcW w:w="990" w:type="pct"/>
                  <w:tcBorders>
                    <w:right w:val="nil"/>
                  </w:tcBorders>
                  <w:vAlign w:val="center"/>
                </w:tcPr>
                <w:p>
                  <w:pPr>
                    <w:jc w:val="center"/>
                    <w:rPr>
                      <w:color w:val="auto"/>
                      <w:szCs w:val="21"/>
                    </w:rPr>
                  </w:pPr>
                  <w:r>
                    <w:rPr>
                      <w:rFonts w:hint="eastAsia"/>
                      <w:color w:val="auto"/>
                      <w:szCs w:val="21"/>
                    </w:rPr>
                    <w:t>-</w:t>
                  </w:r>
                </w:p>
              </w:tc>
            </w:tr>
          </w:tbl>
          <w:p>
            <w:pPr>
              <w:jc w:val="center"/>
              <w:rPr>
                <w:b/>
                <w:color w:val="auto"/>
                <w:sz w:val="24"/>
              </w:rPr>
            </w:pPr>
          </w:p>
          <w:p>
            <w:pPr>
              <w:jc w:val="center"/>
              <w:rPr>
                <w:b/>
                <w:color w:val="auto"/>
                <w:sz w:val="24"/>
                <w:lang w:bidi="ar"/>
              </w:rPr>
            </w:pPr>
            <w:r>
              <w:rPr>
                <w:b/>
                <w:color w:val="auto"/>
                <w:sz w:val="24"/>
                <w:lang w:bidi="ar"/>
              </w:rPr>
              <w:object>
                <v:shape id="_x0000_i1025" o:spt="75" type="#_x0000_t75" style="height:179pt;width:292.5pt;" o:ole="t" filled="f" o:preferrelative="t" stroked="f" coordsize="21600,21600">
                  <v:path/>
                  <v:fill on="f" focussize="0,0"/>
                  <v:stroke on="f" joinstyle="miter"/>
                  <v:imagedata r:id="rId9" o:title=""/>
                  <o:lock v:ext="edit" aspectratio="f"/>
                  <w10:wrap type="none"/>
                  <w10:anchorlock/>
                </v:shape>
                <o:OLEObject Type="Embed" ProgID="Visio.Drawing.11" ShapeID="_x0000_i1025" DrawAspect="Content" ObjectID="_1468075725" r:id="rId8">
                  <o:LockedField>false</o:LockedField>
                </o:OLEObject>
              </w:object>
            </w:r>
          </w:p>
          <w:p>
            <w:pPr>
              <w:spacing w:line="480" w:lineRule="exact"/>
              <w:jc w:val="center"/>
              <w:rPr>
                <w:b/>
                <w:color w:val="auto"/>
                <w:sz w:val="24"/>
              </w:rPr>
            </w:pPr>
            <w:r>
              <w:rPr>
                <w:b/>
                <w:color w:val="auto"/>
                <w:sz w:val="24"/>
                <w:lang w:bidi="ar"/>
              </w:rPr>
              <w:t>图</w:t>
            </w:r>
            <w:r>
              <w:rPr>
                <w:rFonts w:hint="eastAsia"/>
                <w:b/>
                <w:color w:val="auto"/>
                <w:sz w:val="24"/>
                <w:lang w:bidi="ar"/>
              </w:rPr>
              <w:t>1</w:t>
            </w:r>
            <w:r>
              <w:rPr>
                <w:b/>
                <w:color w:val="auto"/>
                <w:sz w:val="24"/>
                <w:lang w:bidi="ar"/>
              </w:rPr>
              <w:t xml:space="preserve">  项目水平衡图  单位m</w:t>
            </w:r>
            <w:r>
              <w:rPr>
                <w:b/>
                <w:color w:val="auto"/>
                <w:sz w:val="24"/>
                <w:vertAlign w:val="superscript"/>
                <w:lang w:bidi="ar"/>
              </w:rPr>
              <w:t>3</w:t>
            </w:r>
            <w:r>
              <w:rPr>
                <w:b/>
                <w:color w:val="auto"/>
                <w:sz w:val="24"/>
                <w:lang w:bidi="ar"/>
              </w:rPr>
              <w:t>/d</w:t>
            </w:r>
          </w:p>
          <w:p>
            <w:pPr>
              <w:spacing w:line="500" w:lineRule="exact"/>
              <w:ind w:firstLine="480" w:firstLineChars="200"/>
              <w:rPr>
                <w:color w:val="auto"/>
                <w:sz w:val="24"/>
              </w:rPr>
            </w:pPr>
            <w:r>
              <w:rPr>
                <w:color w:val="auto"/>
                <w:sz w:val="24"/>
              </w:rPr>
              <w:t>②供电：</w:t>
            </w:r>
            <w:r>
              <w:rPr>
                <w:snapToGrid w:val="0"/>
                <w:color w:val="auto"/>
                <w:kern w:val="0"/>
                <w:sz w:val="24"/>
              </w:rPr>
              <w:t>项目用电由当地电网供给，</w:t>
            </w:r>
            <w:r>
              <w:rPr>
                <w:rFonts w:hint="eastAsia"/>
                <w:snapToGrid w:val="0"/>
                <w:color w:val="auto"/>
                <w:kern w:val="0"/>
                <w:sz w:val="24"/>
              </w:rPr>
              <w:t>项目全厂耗电量为51.2</w:t>
            </w:r>
            <w:r>
              <w:rPr>
                <w:bCs/>
                <w:snapToGrid w:val="0"/>
                <w:color w:val="auto"/>
                <w:kern w:val="0"/>
                <w:sz w:val="24"/>
              </w:rPr>
              <w:t>万kWh</w:t>
            </w:r>
            <w:r>
              <w:rPr>
                <w:color w:val="auto"/>
                <w:sz w:val="24"/>
              </w:rPr>
              <w:t>。</w:t>
            </w:r>
          </w:p>
          <w:p>
            <w:pPr>
              <w:spacing w:line="500" w:lineRule="exact"/>
              <w:ind w:firstLine="480" w:firstLineChars="200"/>
              <w:rPr>
                <w:color w:val="auto"/>
                <w:sz w:val="24"/>
              </w:rPr>
            </w:pPr>
            <w:r>
              <w:rPr>
                <w:color w:val="auto"/>
                <w:sz w:val="24"/>
              </w:rPr>
              <w:t>③</w:t>
            </w:r>
            <w:r>
              <w:rPr>
                <w:snapToGrid w:val="0"/>
                <w:color w:val="auto"/>
                <w:kern w:val="0"/>
                <w:sz w:val="24"/>
              </w:rPr>
              <w:t>供</w:t>
            </w:r>
            <w:r>
              <w:rPr>
                <w:rFonts w:hint="eastAsia"/>
                <w:snapToGrid w:val="0"/>
                <w:color w:val="auto"/>
                <w:kern w:val="0"/>
                <w:sz w:val="24"/>
              </w:rPr>
              <w:t>暖、制冷</w:t>
            </w:r>
            <w:r>
              <w:rPr>
                <w:snapToGrid w:val="0"/>
                <w:color w:val="auto"/>
                <w:kern w:val="0"/>
                <w:sz w:val="24"/>
              </w:rPr>
              <w:t>：</w:t>
            </w:r>
            <w:r>
              <w:rPr>
                <w:rFonts w:hint="eastAsia"/>
                <w:snapToGrid w:val="0"/>
                <w:color w:val="auto"/>
                <w:kern w:val="0"/>
                <w:sz w:val="24"/>
              </w:rPr>
              <w:t>生产车间不供暖，项目办公室供热、制冷均采用空调。</w:t>
            </w:r>
          </w:p>
          <w:p>
            <w:pPr>
              <w:spacing w:line="500" w:lineRule="exact"/>
              <w:ind w:firstLine="480" w:firstLineChars="200"/>
              <w:rPr>
                <w:color w:val="auto"/>
                <w:sz w:val="24"/>
              </w:rPr>
            </w:pPr>
          </w:p>
          <w:p>
            <w:pPr>
              <w:spacing w:line="480" w:lineRule="exact"/>
              <w:ind w:firstLine="420" w:firstLineChars="200"/>
              <w:jc w:val="left"/>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28" w:hRule="atLeast"/>
          <w:jc w:val="center"/>
        </w:trPr>
        <w:tc>
          <w:tcPr>
            <w:tcW w:w="455" w:type="dxa"/>
            <w:vAlign w:val="center"/>
          </w:tcPr>
          <w:p>
            <w:pPr>
              <w:pStyle w:val="29"/>
              <w:adjustRightInd w:val="0"/>
              <w:snapToGrid w:val="0"/>
              <w:spacing w:before="0" w:beforeAutospacing="0" w:after="0" w:afterAutospacing="0" w:line="480" w:lineRule="exact"/>
              <w:jc w:val="center"/>
              <w:rPr>
                <w:rFonts w:ascii="Times New Roman" w:hAnsi="Times New Roman"/>
                <w:color w:val="auto"/>
                <w:szCs w:val="24"/>
              </w:rPr>
            </w:pPr>
            <w:r>
              <w:rPr>
                <w:rFonts w:ascii="Times New Roman" w:hAnsi="Times New Roman"/>
                <w:color w:val="auto"/>
                <w:szCs w:val="24"/>
              </w:rPr>
              <w:t>工</w:t>
            </w:r>
          </w:p>
          <w:p>
            <w:pPr>
              <w:pStyle w:val="29"/>
              <w:adjustRightInd w:val="0"/>
              <w:snapToGrid w:val="0"/>
              <w:spacing w:before="0" w:beforeAutospacing="0" w:after="0" w:afterAutospacing="0" w:line="480" w:lineRule="exact"/>
              <w:jc w:val="center"/>
              <w:rPr>
                <w:rFonts w:ascii="Times New Roman" w:hAnsi="Times New Roman"/>
                <w:color w:val="auto"/>
                <w:szCs w:val="24"/>
              </w:rPr>
            </w:pPr>
            <w:r>
              <w:rPr>
                <w:rFonts w:ascii="Times New Roman" w:hAnsi="Times New Roman"/>
                <w:color w:val="auto"/>
                <w:szCs w:val="24"/>
              </w:rPr>
              <w:t>艺</w:t>
            </w:r>
          </w:p>
          <w:p>
            <w:pPr>
              <w:pStyle w:val="29"/>
              <w:adjustRightInd w:val="0"/>
              <w:snapToGrid w:val="0"/>
              <w:spacing w:before="0" w:beforeAutospacing="0" w:after="0" w:afterAutospacing="0" w:line="480" w:lineRule="exact"/>
              <w:jc w:val="center"/>
              <w:rPr>
                <w:rFonts w:ascii="Times New Roman" w:hAnsi="Times New Roman"/>
                <w:color w:val="auto"/>
                <w:szCs w:val="24"/>
              </w:rPr>
            </w:pPr>
            <w:r>
              <w:rPr>
                <w:rFonts w:ascii="Times New Roman" w:hAnsi="Times New Roman"/>
                <w:color w:val="auto"/>
                <w:szCs w:val="24"/>
              </w:rPr>
              <w:t>流</w:t>
            </w:r>
          </w:p>
          <w:p>
            <w:pPr>
              <w:pStyle w:val="29"/>
              <w:adjustRightInd w:val="0"/>
              <w:snapToGrid w:val="0"/>
              <w:spacing w:before="0" w:beforeAutospacing="0" w:after="0" w:afterAutospacing="0" w:line="480" w:lineRule="exact"/>
              <w:jc w:val="center"/>
              <w:rPr>
                <w:rFonts w:ascii="Times New Roman" w:hAnsi="Times New Roman"/>
                <w:color w:val="auto"/>
                <w:szCs w:val="24"/>
              </w:rPr>
            </w:pPr>
            <w:r>
              <w:rPr>
                <w:rFonts w:ascii="Times New Roman" w:hAnsi="Times New Roman"/>
                <w:color w:val="auto"/>
                <w:szCs w:val="24"/>
              </w:rPr>
              <w:t>程</w:t>
            </w:r>
          </w:p>
          <w:p>
            <w:pPr>
              <w:pStyle w:val="29"/>
              <w:adjustRightInd w:val="0"/>
              <w:snapToGrid w:val="0"/>
              <w:spacing w:before="0" w:beforeAutospacing="0" w:after="0" w:afterAutospacing="0" w:line="480" w:lineRule="exact"/>
              <w:jc w:val="center"/>
              <w:rPr>
                <w:rFonts w:ascii="Times New Roman" w:hAnsi="Times New Roman"/>
                <w:color w:val="auto"/>
                <w:szCs w:val="24"/>
              </w:rPr>
            </w:pPr>
            <w:r>
              <w:rPr>
                <w:rFonts w:ascii="Times New Roman" w:hAnsi="Times New Roman"/>
                <w:color w:val="auto"/>
                <w:szCs w:val="24"/>
              </w:rPr>
              <w:t>和</w:t>
            </w:r>
          </w:p>
          <w:p>
            <w:pPr>
              <w:pStyle w:val="29"/>
              <w:adjustRightInd w:val="0"/>
              <w:snapToGrid w:val="0"/>
              <w:spacing w:before="0" w:beforeAutospacing="0" w:after="0" w:afterAutospacing="0" w:line="480" w:lineRule="exact"/>
              <w:jc w:val="center"/>
              <w:rPr>
                <w:rFonts w:ascii="Times New Roman" w:hAnsi="Times New Roman"/>
                <w:color w:val="auto"/>
                <w:szCs w:val="24"/>
              </w:rPr>
            </w:pPr>
            <w:r>
              <w:rPr>
                <w:rFonts w:ascii="Times New Roman" w:hAnsi="Times New Roman"/>
                <w:color w:val="auto"/>
                <w:szCs w:val="24"/>
              </w:rPr>
              <w:t>产</w:t>
            </w:r>
          </w:p>
          <w:p>
            <w:pPr>
              <w:pStyle w:val="29"/>
              <w:adjustRightInd w:val="0"/>
              <w:snapToGrid w:val="0"/>
              <w:spacing w:before="0" w:beforeAutospacing="0" w:after="0" w:afterAutospacing="0" w:line="480" w:lineRule="exact"/>
              <w:jc w:val="center"/>
              <w:rPr>
                <w:rFonts w:ascii="Times New Roman" w:hAnsi="Times New Roman"/>
                <w:color w:val="auto"/>
                <w:szCs w:val="24"/>
              </w:rPr>
            </w:pPr>
            <w:r>
              <w:rPr>
                <w:rFonts w:ascii="Times New Roman" w:hAnsi="Times New Roman"/>
                <w:color w:val="auto"/>
                <w:szCs w:val="24"/>
              </w:rPr>
              <w:t>排</w:t>
            </w:r>
          </w:p>
          <w:p>
            <w:pPr>
              <w:pStyle w:val="29"/>
              <w:adjustRightInd w:val="0"/>
              <w:snapToGrid w:val="0"/>
              <w:spacing w:before="0" w:beforeAutospacing="0" w:after="0" w:afterAutospacing="0" w:line="480" w:lineRule="exact"/>
              <w:jc w:val="center"/>
              <w:rPr>
                <w:rFonts w:ascii="Times New Roman" w:hAnsi="Times New Roman"/>
                <w:color w:val="auto"/>
                <w:szCs w:val="24"/>
              </w:rPr>
            </w:pPr>
            <w:r>
              <w:rPr>
                <w:rFonts w:ascii="Times New Roman" w:hAnsi="Times New Roman"/>
                <w:color w:val="auto"/>
                <w:szCs w:val="24"/>
              </w:rPr>
              <w:t>污</w:t>
            </w:r>
          </w:p>
          <w:p>
            <w:pPr>
              <w:pStyle w:val="29"/>
              <w:adjustRightInd w:val="0"/>
              <w:snapToGrid w:val="0"/>
              <w:spacing w:before="0" w:beforeAutospacing="0" w:after="0" w:afterAutospacing="0" w:line="480" w:lineRule="exact"/>
              <w:jc w:val="center"/>
              <w:rPr>
                <w:rFonts w:ascii="Times New Roman" w:hAnsi="Times New Roman"/>
                <w:color w:val="auto"/>
                <w:szCs w:val="24"/>
              </w:rPr>
            </w:pPr>
            <w:r>
              <w:rPr>
                <w:rFonts w:ascii="Times New Roman" w:hAnsi="Times New Roman"/>
                <w:color w:val="auto"/>
                <w:szCs w:val="24"/>
              </w:rPr>
              <w:t>环</w:t>
            </w:r>
          </w:p>
          <w:p>
            <w:pPr>
              <w:pStyle w:val="29"/>
              <w:adjustRightInd w:val="0"/>
              <w:snapToGrid w:val="0"/>
              <w:spacing w:before="0" w:beforeAutospacing="0" w:after="0" w:afterAutospacing="0" w:line="480" w:lineRule="exact"/>
              <w:jc w:val="center"/>
              <w:rPr>
                <w:rFonts w:ascii="Times New Roman" w:hAnsi="Times New Roman"/>
                <w:color w:val="auto"/>
                <w:sz w:val="21"/>
                <w:szCs w:val="21"/>
              </w:rPr>
            </w:pPr>
            <w:r>
              <w:rPr>
                <w:rFonts w:ascii="Times New Roman" w:hAnsi="Times New Roman"/>
                <w:color w:val="auto"/>
                <w:szCs w:val="24"/>
              </w:rPr>
              <w:t>节</w:t>
            </w:r>
          </w:p>
        </w:tc>
        <w:tc>
          <w:tcPr>
            <w:tcW w:w="8604" w:type="dxa"/>
            <w:gridSpan w:val="2"/>
          </w:tcPr>
          <w:p>
            <w:pPr>
              <w:spacing w:line="500" w:lineRule="exact"/>
              <w:rPr>
                <w:b/>
                <w:color w:val="auto"/>
                <w:sz w:val="24"/>
              </w:rPr>
            </w:pPr>
            <w:r>
              <w:rPr>
                <w:rFonts w:hint="eastAsia"/>
                <w:b/>
                <w:color w:val="auto"/>
                <w:sz w:val="24"/>
              </w:rPr>
              <mc:AlternateContent>
                <mc:Choice Requires="wps">
                  <w:drawing>
                    <wp:anchor distT="0" distB="0" distL="114300" distR="114300" simplePos="0" relativeHeight="251660288" behindDoc="0" locked="0" layoutInCell="1" allowOverlap="1">
                      <wp:simplePos x="0" y="0"/>
                      <wp:positionH relativeFrom="column">
                        <wp:posOffset>3655695</wp:posOffset>
                      </wp:positionH>
                      <wp:positionV relativeFrom="paragraph">
                        <wp:posOffset>236855</wp:posOffset>
                      </wp:positionV>
                      <wp:extent cx="228600" cy="635"/>
                      <wp:effectExtent l="0" t="0" r="0" b="0"/>
                      <wp:wrapNone/>
                      <wp:docPr id="4" name="Line 3099"/>
                      <wp:cNvGraphicFramePr/>
                      <a:graphic xmlns:a="http://schemas.openxmlformats.org/drawingml/2006/main">
                        <a:graphicData uri="http://schemas.microsoft.com/office/word/2010/wordprocessingShape">
                          <wps:wsp>
                            <wps:cNvCnPr/>
                            <wps:spPr>
                              <a:xfrm>
                                <a:off x="0" y="0"/>
                                <a:ext cx="228600" cy="635"/>
                              </a:xfrm>
                              <a:prstGeom prst="line">
                                <a:avLst/>
                              </a:prstGeom>
                              <a:ln>
                                <a:noFill/>
                              </a:ln>
                            </wps:spPr>
                            <wps:bodyPr/>
                          </wps:wsp>
                        </a:graphicData>
                      </a:graphic>
                    </wp:anchor>
                  </w:drawing>
                </mc:Choice>
                <mc:Fallback>
                  <w:pict>
                    <v:line id="Line 3099" o:spid="_x0000_s1026" o:spt="20" style="position:absolute;left:0pt;margin-left:287.85pt;margin-top:18.65pt;height:0.05pt;width:18pt;z-index:251660288;mso-width-relative:page;mso-height-relative:page;" filled="f" stroked="f" coordsize="21600,21600" o:gfxdata="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">
                      <v:fill on="f" focussize="0,0"/>
                      <v:stroke on="f"/>
                      <v:imagedata o:title=""/>
                      <o:lock v:ext="edit" aspectratio="f"/>
                    </v:line>
                  </w:pict>
                </mc:Fallback>
              </mc:AlternateContent>
            </w:r>
            <w:r>
              <w:rPr>
                <w:rFonts w:hint="eastAsia"/>
                <w:b/>
                <w:color w:val="auto"/>
                <w:sz w:val="24"/>
              </w:rPr>
              <mc:AlternateContent>
                <mc:Choice Requires="wps">
                  <w:drawing>
                    <wp:anchor distT="0" distB="0" distL="114300" distR="114300" simplePos="0" relativeHeight="251659264" behindDoc="0" locked="0" layoutInCell="1" allowOverlap="1">
                      <wp:simplePos x="0" y="0"/>
                      <wp:positionH relativeFrom="column">
                        <wp:posOffset>2703195</wp:posOffset>
                      </wp:positionH>
                      <wp:positionV relativeFrom="paragraph">
                        <wp:posOffset>246380</wp:posOffset>
                      </wp:positionV>
                      <wp:extent cx="228600" cy="635"/>
                      <wp:effectExtent l="0" t="0" r="0" b="0"/>
                      <wp:wrapNone/>
                      <wp:docPr id="3" name="Line 3098"/>
                      <wp:cNvGraphicFramePr/>
                      <a:graphic xmlns:a="http://schemas.openxmlformats.org/drawingml/2006/main">
                        <a:graphicData uri="http://schemas.microsoft.com/office/word/2010/wordprocessingShape">
                          <wps:wsp>
                            <wps:cNvCnPr/>
                            <wps:spPr>
                              <a:xfrm>
                                <a:off x="0" y="0"/>
                                <a:ext cx="228600" cy="635"/>
                              </a:xfrm>
                              <a:prstGeom prst="line">
                                <a:avLst/>
                              </a:prstGeom>
                              <a:ln>
                                <a:noFill/>
                              </a:ln>
                            </wps:spPr>
                            <wps:bodyPr/>
                          </wps:wsp>
                        </a:graphicData>
                      </a:graphic>
                    </wp:anchor>
                  </w:drawing>
                </mc:Choice>
                <mc:Fallback>
                  <w:pict>
                    <v:line id="Line 3098" o:spid="_x0000_s1026" o:spt="20" style="position:absolute;left:0pt;margin-left:212.85pt;margin-top:19.4pt;height:0.05pt;width:18pt;z-index:251659264;mso-width-relative:page;mso-height-relative:page;" filled="f" stroked="f" coordsize="21600,21600" o:gfxdata="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">
                      <v:fill on="f" focussize="0,0"/>
                      <v:stroke on="f"/>
                      <v:imagedata o:title=""/>
                      <o:lock v:ext="edit" aspectratio="f"/>
                    </v:line>
                  </w:pict>
                </mc:Fallback>
              </mc:AlternateContent>
            </w:r>
            <w:r>
              <w:rPr>
                <w:b/>
                <w:color w:val="auto"/>
                <w:sz w:val="24"/>
              </w:rPr>
              <w:t>工艺流程简述(图示)：</w:t>
            </w:r>
          </w:p>
          <w:p>
            <w:pPr>
              <w:spacing w:line="480" w:lineRule="exact"/>
              <w:ind w:firstLine="480" w:firstLineChars="200"/>
              <w:rPr>
                <w:color w:val="auto"/>
              </w:rPr>
            </w:pPr>
            <w:r>
              <w:rPr>
                <w:rFonts w:hint="eastAsia"/>
                <w:color w:val="auto"/>
                <w:sz w:val="24"/>
              </w:rPr>
              <w:t>本</w:t>
            </w:r>
            <w:r>
              <w:rPr>
                <w:color w:val="auto"/>
                <w:sz w:val="24"/>
              </w:rPr>
              <w:t>项目</w:t>
            </w:r>
            <w:r>
              <w:rPr>
                <w:rFonts w:hint="eastAsia"/>
                <w:color w:val="auto"/>
                <w:sz w:val="24"/>
              </w:rPr>
              <w:t>涉及工艺主要为铸造、砂处理等，生产</w:t>
            </w:r>
            <w:r>
              <w:rPr>
                <w:color w:val="auto"/>
                <w:sz w:val="24"/>
              </w:rPr>
              <w:t>工艺过程</w:t>
            </w:r>
            <w:r>
              <w:rPr>
                <w:rFonts w:hint="eastAsia"/>
                <w:color w:val="auto"/>
                <w:sz w:val="24"/>
              </w:rPr>
              <w:t>简述如下</w:t>
            </w:r>
            <w:r>
              <w:rPr>
                <w:color w:val="auto"/>
                <w:sz w:val="24"/>
              </w:rPr>
              <w:t>：</w:t>
            </w:r>
          </w:p>
          <w:p>
            <w:pPr>
              <w:spacing w:line="480" w:lineRule="exact"/>
              <w:ind w:firstLine="480" w:firstLineChars="200"/>
              <w:rPr>
                <w:color w:val="auto"/>
                <w:sz w:val="24"/>
              </w:rPr>
            </w:pPr>
            <w:r>
              <w:rPr>
                <w:rFonts w:hint="eastAsia"/>
                <w:color w:val="auto"/>
                <w:sz w:val="24"/>
              </w:rPr>
              <w:t>一、铸造生产工艺</w:t>
            </w:r>
          </w:p>
          <w:p>
            <w:pPr>
              <w:ind w:firstLine="482" w:firstLineChars="200"/>
              <w:jc w:val="center"/>
              <w:rPr>
                <w:b/>
                <w:bCs/>
                <w:snapToGrid w:val="0"/>
                <w:color w:val="auto"/>
                <w:sz w:val="24"/>
              </w:rPr>
            </w:pPr>
            <w:r>
              <w:rPr>
                <w:b/>
                <w:bCs/>
                <w:snapToGrid w:val="0"/>
                <w:color w:val="auto"/>
                <w:sz w:val="24"/>
              </w:rPr>
              <w:object>
                <v:shape id="_x0000_i1026" o:spt="75" type="#_x0000_t75" style="height:355pt;width:376.5pt;" o:ole="t" filled="f" o:preferrelative="t" stroked="f" coordsize="21600,21600">
                  <v:path/>
                  <v:fill on="f" focussize="0,0"/>
                  <v:stroke on="f" joinstyle="miter"/>
                  <v:imagedata r:id="rId11" o:title=""/>
                  <o:lock v:ext="edit" aspectratio="f"/>
                  <w10:wrap type="none"/>
                  <w10:anchorlock/>
                </v:shape>
                <o:OLEObject Type="Embed" ProgID="Visio.Drawing.11" ShapeID="_x0000_i1026" DrawAspect="Content" ObjectID="_1468075726" r:id="rId10">
                  <o:LockedField>false</o:LockedField>
                </o:OLEObject>
              </w:object>
            </w:r>
          </w:p>
          <w:p>
            <w:pPr>
              <w:spacing w:line="480" w:lineRule="exact"/>
              <w:ind w:firstLine="482" w:firstLineChars="200"/>
              <w:jc w:val="center"/>
              <w:rPr>
                <w:b/>
                <w:bCs/>
                <w:snapToGrid w:val="0"/>
                <w:color w:val="auto"/>
                <w:sz w:val="24"/>
              </w:rPr>
            </w:pPr>
            <w:r>
              <w:rPr>
                <w:b/>
                <w:bCs/>
                <w:snapToGrid w:val="0"/>
                <w:color w:val="auto"/>
                <w:sz w:val="24"/>
              </w:rPr>
              <w:t>图</w:t>
            </w:r>
            <w:r>
              <w:rPr>
                <w:rFonts w:hint="eastAsia"/>
                <w:b/>
                <w:bCs/>
                <w:snapToGrid w:val="0"/>
                <w:color w:val="auto"/>
                <w:sz w:val="24"/>
              </w:rPr>
              <w:t>2   生产工艺流程及排污节点</w:t>
            </w:r>
            <w:r>
              <w:rPr>
                <w:b/>
                <w:bCs/>
                <w:snapToGrid w:val="0"/>
                <w:color w:val="auto"/>
                <w:sz w:val="24"/>
              </w:rPr>
              <w:t>图</w:t>
            </w:r>
            <w:r>
              <w:rPr>
                <w:rFonts w:hint="eastAsia"/>
                <w:b/>
                <w:bCs/>
                <w:snapToGrid w:val="0"/>
                <w:color w:val="auto"/>
                <w:sz w:val="24"/>
              </w:rPr>
              <w:t xml:space="preserve"> </w:t>
            </w:r>
          </w:p>
          <w:p>
            <w:pPr>
              <w:spacing w:line="480" w:lineRule="exact"/>
              <w:ind w:firstLine="480" w:firstLineChars="200"/>
              <w:rPr>
                <w:color w:val="auto"/>
                <w:sz w:val="24"/>
              </w:rPr>
            </w:pPr>
            <w:r>
              <w:rPr>
                <w:color w:val="auto"/>
                <w:sz w:val="24"/>
              </w:rPr>
              <w:t>1</w:t>
            </w:r>
            <w:r>
              <w:rPr>
                <w:rFonts w:hint="eastAsia"/>
                <w:color w:val="auto"/>
                <w:sz w:val="24"/>
              </w:rPr>
              <w:t xml:space="preserve">、制砂模工序 </w:t>
            </w:r>
          </w:p>
          <w:p>
            <w:pPr>
              <w:spacing w:line="500" w:lineRule="exact"/>
              <w:ind w:firstLine="480" w:firstLineChars="200"/>
              <w:rPr>
                <w:color w:val="auto"/>
                <w:sz w:val="24"/>
              </w:rPr>
            </w:pPr>
            <w:r>
              <w:rPr>
                <w:color w:val="auto"/>
                <w:sz w:val="24"/>
              </w:rPr>
              <w:t>将外购的</w:t>
            </w:r>
            <w:r>
              <w:rPr>
                <w:rFonts w:hint="eastAsia"/>
                <w:color w:val="auto"/>
                <w:sz w:val="24"/>
              </w:rPr>
              <w:t>模具运至生产车间备用</w:t>
            </w:r>
            <w:r>
              <w:rPr>
                <w:color w:val="auto"/>
                <w:sz w:val="24"/>
              </w:rPr>
              <w:t>。</w:t>
            </w:r>
            <w:r>
              <w:rPr>
                <w:rFonts w:hint="eastAsia"/>
                <w:color w:val="auto"/>
                <w:sz w:val="24"/>
              </w:rPr>
              <w:t>石英砂、耐火材料</w:t>
            </w:r>
            <w:r>
              <w:rPr>
                <w:color w:val="auto"/>
                <w:sz w:val="24"/>
              </w:rPr>
              <w:t>由人工送到</w:t>
            </w:r>
            <w:r>
              <w:rPr>
                <w:rFonts w:hint="eastAsia"/>
                <w:color w:val="auto"/>
                <w:sz w:val="24"/>
              </w:rPr>
              <w:t>全封闭</w:t>
            </w:r>
            <w:r>
              <w:rPr>
                <w:color w:val="auto"/>
                <w:sz w:val="24"/>
              </w:rPr>
              <w:t>皮带输送机上，经皮带输送进入</w:t>
            </w:r>
            <w:r>
              <w:rPr>
                <w:rFonts w:hint="eastAsia"/>
                <w:color w:val="auto"/>
                <w:sz w:val="24"/>
              </w:rPr>
              <w:t>碾轮式混砂机</w:t>
            </w:r>
            <w:r>
              <w:rPr>
                <w:color w:val="auto"/>
                <w:sz w:val="24"/>
              </w:rPr>
              <w:t>进行搅拌，搅拌过程中按比例加入水玻璃，充分混合后成水玻璃砂，准备造型。在砂箱中放入指定的</w:t>
            </w:r>
            <w:r>
              <w:rPr>
                <w:rFonts w:hint="eastAsia"/>
                <w:color w:val="auto"/>
                <w:sz w:val="24"/>
              </w:rPr>
              <w:t>模具</w:t>
            </w:r>
            <w:r>
              <w:rPr>
                <w:color w:val="auto"/>
                <w:sz w:val="24"/>
              </w:rPr>
              <w:t>，并在</w:t>
            </w:r>
            <w:r>
              <w:rPr>
                <w:rFonts w:hint="eastAsia"/>
                <w:color w:val="auto"/>
                <w:sz w:val="24"/>
              </w:rPr>
              <w:t>模具</w:t>
            </w:r>
            <w:r>
              <w:rPr>
                <w:color w:val="auto"/>
                <w:sz w:val="24"/>
              </w:rPr>
              <w:t>周边填满砂子，</w:t>
            </w:r>
            <w:r>
              <w:rPr>
                <w:rFonts w:hint="eastAsia"/>
                <w:color w:val="auto"/>
                <w:sz w:val="24"/>
              </w:rPr>
              <w:t>利用震击式造型机进行造型，</w:t>
            </w:r>
            <w:r>
              <w:rPr>
                <w:color w:val="auto"/>
                <w:sz w:val="24"/>
              </w:rPr>
              <w:t>水玻璃砂变硬后取出模具，扣箱，留出浇冒口。</w:t>
            </w:r>
          </w:p>
          <w:p>
            <w:pPr>
              <w:spacing w:line="480" w:lineRule="exact"/>
              <w:ind w:firstLine="482" w:firstLineChars="200"/>
              <w:rPr>
                <w:color w:val="auto"/>
                <w:sz w:val="24"/>
              </w:rPr>
            </w:pPr>
            <w:r>
              <w:rPr>
                <w:b/>
                <w:bCs/>
                <w:color w:val="auto"/>
                <w:sz w:val="24"/>
              </w:rPr>
              <w:t>排污节点</w:t>
            </w:r>
            <w:r>
              <w:rPr>
                <w:color w:val="auto"/>
                <w:sz w:val="24"/>
              </w:rPr>
              <w:t>：混砂过程产生的颗粒物，砂模制作中产生的废砂，</w:t>
            </w:r>
            <w:r>
              <w:rPr>
                <w:rFonts w:hint="eastAsia"/>
                <w:color w:val="auto"/>
                <w:sz w:val="24"/>
              </w:rPr>
              <w:t>皮带输送机、</w:t>
            </w:r>
            <w:r>
              <w:rPr>
                <w:color w:val="auto"/>
                <w:sz w:val="24"/>
              </w:rPr>
              <w:t>混砂机</w:t>
            </w:r>
            <w:r>
              <w:rPr>
                <w:rFonts w:hint="eastAsia"/>
                <w:color w:val="auto"/>
                <w:sz w:val="24"/>
              </w:rPr>
              <w:t>、震击式造型机</w:t>
            </w:r>
            <w:r>
              <w:rPr>
                <w:color w:val="auto"/>
                <w:sz w:val="24"/>
              </w:rPr>
              <w:t>产生的噪声</w:t>
            </w:r>
            <w:r>
              <w:rPr>
                <w:rFonts w:hint="eastAsia"/>
                <w:color w:val="auto"/>
                <w:sz w:val="24"/>
              </w:rPr>
              <w:t>。</w:t>
            </w:r>
          </w:p>
          <w:p>
            <w:pPr>
              <w:spacing w:line="480" w:lineRule="exact"/>
              <w:ind w:firstLine="480" w:firstLineChars="200"/>
              <w:rPr>
                <w:color w:val="auto"/>
                <w:sz w:val="24"/>
              </w:rPr>
            </w:pPr>
            <w:r>
              <w:rPr>
                <w:color w:val="auto"/>
                <w:sz w:val="24"/>
              </w:rPr>
              <w:t>2</w:t>
            </w:r>
            <w:r>
              <w:rPr>
                <w:rFonts w:hint="eastAsia"/>
                <w:color w:val="auto"/>
                <w:sz w:val="24"/>
              </w:rPr>
              <w:t>、熔炼工序：将购买的废钢、高锰钢等原料投入磁</w:t>
            </w:r>
            <w:r>
              <w:rPr>
                <w:color w:val="auto"/>
                <w:sz w:val="24"/>
              </w:rPr>
              <w:t>轭钢壳感应电炉</w:t>
            </w:r>
            <w:r>
              <w:rPr>
                <w:rFonts w:hint="eastAsia"/>
                <w:color w:val="auto"/>
                <w:sz w:val="24"/>
              </w:rPr>
              <w:t xml:space="preserve">进行熔化。熔化好的铁水倒进钢水包中，通过天车运送至浇注场地进行浇注。熔化及铁水倒出主要产生废气为粉尘颗粒物，固废为炉渣等。 </w:t>
            </w:r>
          </w:p>
          <w:p>
            <w:pPr>
              <w:spacing w:line="480" w:lineRule="exact"/>
              <w:ind w:firstLine="480" w:firstLineChars="200"/>
              <w:rPr>
                <w:color w:val="auto"/>
                <w:sz w:val="24"/>
              </w:rPr>
            </w:pPr>
            <w:r>
              <w:rPr>
                <w:color w:val="auto"/>
                <w:sz w:val="24"/>
              </w:rPr>
              <w:t>3</w:t>
            </w:r>
            <w:r>
              <w:rPr>
                <w:rFonts w:hint="eastAsia"/>
                <w:color w:val="auto"/>
                <w:sz w:val="24"/>
              </w:rPr>
              <w:t>、浇注工序：熔化好的铁水进入浇注线，倒入准备好的砂模型内，待冷却即可。</w:t>
            </w:r>
            <w:r>
              <w:rPr>
                <w:color w:val="auto"/>
                <w:sz w:val="24"/>
              </w:rPr>
              <w:t>倾斜倒入砂模内。铁水经自然冷却凝固，冷却时间约为1~4小时不等</w:t>
            </w:r>
            <w:r>
              <w:rPr>
                <w:rFonts w:hint="eastAsia"/>
                <w:color w:val="auto"/>
                <w:sz w:val="24"/>
              </w:rPr>
              <w:t>。</w:t>
            </w:r>
          </w:p>
          <w:p>
            <w:pPr>
              <w:spacing w:line="480" w:lineRule="exact"/>
              <w:ind w:firstLine="480" w:firstLineChars="200"/>
              <w:rPr>
                <w:color w:val="auto"/>
                <w:sz w:val="24"/>
              </w:rPr>
            </w:pPr>
            <w:r>
              <w:rPr>
                <w:color w:val="auto"/>
                <w:sz w:val="24"/>
              </w:rPr>
              <w:t>设置24小时视频监控，视频资料自行保存半年以上。料场出入口等易产生颗粒物排放环节，安装高清视频监控设施。视频监控数据保存三个月以上</w:t>
            </w:r>
            <w:r>
              <w:rPr>
                <w:rFonts w:hint="eastAsia"/>
                <w:color w:val="auto"/>
                <w:sz w:val="24"/>
              </w:rPr>
              <w:t>。</w:t>
            </w:r>
          </w:p>
          <w:p>
            <w:pPr>
              <w:spacing w:line="500" w:lineRule="exact"/>
              <w:ind w:left="420" w:leftChars="200"/>
              <w:rPr>
                <w:color w:val="auto"/>
                <w:sz w:val="24"/>
              </w:rPr>
            </w:pPr>
            <w:r>
              <w:rPr>
                <w:rFonts w:hint="eastAsia"/>
                <w:color w:val="auto"/>
                <w:sz w:val="24"/>
              </w:rPr>
              <w:t>4</w:t>
            </w:r>
            <w:r>
              <w:rPr>
                <w:color w:val="auto"/>
                <w:sz w:val="24"/>
              </w:rPr>
              <w:t>、脱模</w:t>
            </w:r>
          </w:p>
          <w:p>
            <w:pPr>
              <w:spacing w:line="500" w:lineRule="exact"/>
              <w:ind w:firstLine="480" w:firstLineChars="200"/>
              <w:rPr>
                <w:color w:val="auto"/>
                <w:sz w:val="24"/>
              </w:rPr>
            </w:pPr>
            <w:r>
              <w:rPr>
                <w:color w:val="auto"/>
                <w:sz w:val="24"/>
              </w:rPr>
              <w:t>浇铸后的模具在浇铸区自然降温，冷却至300℃以下，借助风镐敲打砂型模具将毛坯件从模具取出。</w:t>
            </w:r>
          </w:p>
          <w:p>
            <w:pPr>
              <w:spacing w:line="500" w:lineRule="exact"/>
              <w:ind w:firstLine="482" w:firstLineChars="200"/>
              <w:rPr>
                <w:color w:val="auto"/>
                <w:sz w:val="24"/>
              </w:rPr>
            </w:pPr>
            <w:r>
              <w:rPr>
                <w:b/>
                <w:bCs/>
                <w:color w:val="auto"/>
                <w:sz w:val="24"/>
              </w:rPr>
              <w:t>排污节点：</w:t>
            </w:r>
            <w:r>
              <w:rPr>
                <w:color w:val="auto"/>
                <w:sz w:val="24"/>
              </w:rPr>
              <w:t>主要为</w:t>
            </w:r>
            <w:r>
              <w:rPr>
                <w:rFonts w:hint="eastAsia"/>
                <w:color w:val="auto"/>
                <w:sz w:val="24"/>
              </w:rPr>
              <w:t>振动脱模噪声；</w:t>
            </w:r>
            <w:r>
              <w:rPr>
                <w:color w:val="auto"/>
                <w:sz w:val="24"/>
              </w:rPr>
              <w:t>脱模过程产生的废砂。</w:t>
            </w:r>
          </w:p>
          <w:p>
            <w:pPr>
              <w:spacing w:line="480" w:lineRule="exact"/>
              <w:ind w:firstLine="480" w:firstLineChars="200"/>
              <w:rPr>
                <w:rFonts w:hAnsi="宋体"/>
                <w:color w:val="auto"/>
                <w:sz w:val="24"/>
              </w:rPr>
            </w:pPr>
            <w:r>
              <w:rPr>
                <w:rFonts w:hint="eastAsia" w:hAnsi="宋体"/>
                <w:color w:val="auto"/>
                <w:sz w:val="24"/>
              </w:rPr>
              <w:t>5、热处理：分离出的毛坯铸件经检验合格后进行切冒口处理，由天车转运至电热退火炉进行退火处理，以保证铸件的性能，最终得到成品暂存于成品库待售。</w:t>
            </w:r>
          </w:p>
          <w:p>
            <w:pPr>
              <w:numPr>
                <w:ilvl w:val="0"/>
                <w:numId w:val="2"/>
              </w:numPr>
              <w:spacing w:line="480" w:lineRule="exact"/>
              <w:ind w:firstLine="480" w:firstLineChars="200"/>
              <w:rPr>
                <w:color w:val="auto"/>
                <w:sz w:val="24"/>
              </w:rPr>
            </w:pPr>
            <w:r>
              <w:rPr>
                <w:rFonts w:hint="eastAsia"/>
                <w:color w:val="auto"/>
                <w:sz w:val="24"/>
              </w:rPr>
              <w:t>砂处理工艺</w:t>
            </w:r>
          </w:p>
          <w:p>
            <w:pPr>
              <w:pStyle w:val="32"/>
              <w:rPr>
                <w:color w:val="auto"/>
              </w:rPr>
            </w:pPr>
            <w:r>
              <w:rPr>
                <w:color w:val="auto"/>
              </w:rPr>
              <w:drawing>
                <wp:inline distT="0" distB="0" distL="114300" distR="114300">
                  <wp:extent cx="4524375" cy="1724025"/>
                  <wp:effectExtent l="0" t="0" r="9525" b="9525"/>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pic:cNvPicPr>
                            <a:picLocks noChangeAspect="1"/>
                          </pic:cNvPicPr>
                        </pic:nvPicPr>
                        <pic:blipFill>
                          <a:blip r:embed="rId12"/>
                          <a:stretch>
                            <a:fillRect/>
                          </a:stretch>
                        </pic:blipFill>
                        <pic:spPr>
                          <a:xfrm>
                            <a:off x="0" y="0"/>
                            <a:ext cx="4524375" cy="1724025"/>
                          </a:xfrm>
                          <a:prstGeom prst="rect">
                            <a:avLst/>
                          </a:prstGeom>
                          <a:noFill/>
                          <a:ln>
                            <a:noFill/>
                          </a:ln>
                        </pic:spPr>
                      </pic:pic>
                    </a:graphicData>
                  </a:graphic>
                </wp:inline>
              </w:drawing>
            </w:r>
          </w:p>
          <w:p>
            <w:pPr>
              <w:spacing w:line="480" w:lineRule="exact"/>
              <w:jc w:val="center"/>
              <w:outlineLvl w:val="2"/>
              <w:rPr>
                <w:color w:val="auto"/>
              </w:rPr>
            </w:pPr>
            <w:r>
              <w:rPr>
                <w:rFonts w:hint="eastAsia"/>
                <w:b/>
                <w:bCs/>
                <w:snapToGrid w:val="0"/>
                <w:color w:val="auto"/>
                <w:sz w:val="24"/>
              </w:rPr>
              <w:t xml:space="preserve">    </w:t>
            </w:r>
            <w:r>
              <w:rPr>
                <w:b/>
                <w:bCs/>
                <w:snapToGrid w:val="0"/>
                <w:color w:val="auto"/>
                <w:sz w:val="24"/>
              </w:rPr>
              <w:t>图</w:t>
            </w:r>
            <w:r>
              <w:rPr>
                <w:rFonts w:hint="eastAsia"/>
                <w:b/>
                <w:bCs/>
                <w:snapToGrid w:val="0"/>
                <w:color w:val="auto"/>
                <w:sz w:val="24"/>
              </w:rPr>
              <w:t>3 砂处理工艺流程及排污节点图</w:t>
            </w:r>
          </w:p>
          <w:p>
            <w:pPr>
              <w:spacing w:line="500" w:lineRule="exact"/>
              <w:ind w:firstLine="480" w:firstLineChars="200"/>
              <w:rPr>
                <w:color w:val="auto"/>
                <w:sz w:val="24"/>
              </w:rPr>
            </w:pPr>
            <w:r>
              <w:rPr>
                <w:color w:val="auto"/>
                <w:sz w:val="24"/>
              </w:rPr>
              <w:t>1、上料：</w:t>
            </w:r>
            <w:r>
              <w:rPr>
                <w:rFonts w:hint="eastAsia"/>
                <w:color w:val="auto"/>
                <w:sz w:val="24"/>
              </w:rPr>
              <w:t>项目生产工序均位于一座生产车</w:t>
            </w:r>
            <w:r>
              <w:rPr>
                <w:rFonts w:hint="eastAsia"/>
                <w:color w:val="auto"/>
                <w:sz w:val="24"/>
                <w:lang w:val="en-US" w:eastAsia="zh-CN"/>
              </w:rPr>
              <w:t>间</w:t>
            </w:r>
            <w:r>
              <w:rPr>
                <w:rFonts w:hint="eastAsia"/>
                <w:color w:val="auto"/>
                <w:sz w:val="24"/>
              </w:rPr>
              <w:t>内，不存在露天转运物料。</w:t>
            </w:r>
            <w:r>
              <w:rPr>
                <w:color w:val="auto"/>
                <w:sz w:val="24"/>
              </w:rPr>
              <w:t>人工用铲车将砂从砂堆送入上料仓。</w:t>
            </w:r>
          </w:p>
          <w:p>
            <w:pPr>
              <w:spacing w:line="500" w:lineRule="exact"/>
              <w:ind w:firstLine="482" w:firstLineChars="200"/>
              <w:rPr>
                <w:color w:val="auto"/>
                <w:sz w:val="24"/>
              </w:rPr>
            </w:pPr>
            <w:r>
              <w:rPr>
                <w:b/>
                <w:bCs/>
                <w:color w:val="auto"/>
                <w:sz w:val="24"/>
              </w:rPr>
              <w:t>排污节点：</w:t>
            </w:r>
            <w:r>
              <w:rPr>
                <w:color w:val="auto"/>
                <w:sz w:val="24"/>
              </w:rPr>
              <w:t>主要为铲车倒砂过程产生的废气。</w:t>
            </w:r>
          </w:p>
          <w:p>
            <w:pPr>
              <w:spacing w:line="500" w:lineRule="exact"/>
              <w:ind w:firstLine="480" w:firstLineChars="200"/>
              <w:rPr>
                <w:color w:val="auto"/>
                <w:sz w:val="24"/>
              </w:rPr>
            </w:pPr>
            <w:r>
              <w:rPr>
                <w:color w:val="auto"/>
                <w:sz w:val="24"/>
              </w:rPr>
              <w:t>2、振筛：上料仓落料口打开，砂自流至下方的振动筛，振动筛将大块杂物与砂初步分离，振动筛为封闭装置，仅有进出料口，进料口与上料仓落料口采用软管封闭连接。振动筛设有一定角度，经振动处理的砂自然落入</w:t>
            </w:r>
            <w:r>
              <w:rPr>
                <w:rFonts w:hint="eastAsia"/>
                <w:color w:val="auto"/>
                <w:sz w:val="24"/>
              </w:rPr>
              <w:t>斗提机</w:t>
            </w:r>
            <w:r>
              <w:rPr>
                <w:color w:val="auto"/>
                <w:sz w:val="24"/>
              </w:rPr>
              <w:t>，振动筛出料口与</w:t>
            </w:r>
            <w:r>
              <w:rPr>
                <w:rFonts w:hint="eastAsia"/>
                <w:color w:val="auto"/>
                <w:sz w:val="24"/>
              </w:rPr>
              <w:t>斗提机</w:t>
            </w:r>
            <w:r>
              <w:rPr>
                <w:color w:val="auto"/>
                <w:sz w:val="24"/>
              </w:rPr>
              <w:t>入料口封闭连接。</w:t>
            </w:r>
          </w:p>
          <w:p>
            <w:pPr>
              <w:spacing w:line="500" w:lineRule="exact"/>
              <w:ind w:firstLine="482" w:firstLineChars="200"/>
              <w:rPr>
                <w:color w:val="auto"/>
                <w:sz w:val="24"/>
              </w:rPr>
            </w:pPr>
            <w:r>
              <w:rPr>
                <w:b/>
                <w:bCs/>
                <w:color w:val="auto"/>
                <w:sz w:val="24"/>
              </w:rPr>
              <w:t>排污节点：</w:t>
            </w:r>
            <w:r>
              <w:rPr>
                <w:color w:val="auto"/>
                <w:sz w:val="24"/>
              </w:rPr>
              <w:t>主要为振动筛筛分过程产生的废气，振动筛产生的噪声及筛出的砂粒杂物。</w:t>
            </w:r>
          </w:p>
          <w:p>
            <w:pPr>
              <w:spacing w:line="500" w:lineRule="exact"/>
              <w:ind w:firstLine="480" w:firstLineChars="200"/>
              <w:rPr>
                <w:color w:val="auto"/>
                <w:sz w:val="24"/>
              </w:rPr>
            </w:pPr>
            <w:r>
              <w:rPr>
                <w:color w:val="auto"/>
                <w:sz w:val="24"/>
              </w:rPr>
              <w:t>3、滚筛：</w:t>
            </w:r>
            <w:r>
              <w:rPr>
                <w:rFonts w:hint="eastAsia"/>
                <w:color w:val="auto"/>
                <w:sz w:val="24"/>
              </w:rPr>
              <w:t>斗提机</w:t>
            </w:r>
            <w:r>
              <w:rPr>
                <w:color w:val="auto"/>
                <w:sz w:val="24"/>
              </w:rPr>
              <w:t>将砂提升后倒入滚筒筛，</w:t>
            </w:r>
            <w:r>
              <w:rPr>
                <w:rFonts w:hint="eastAsia"/>
                <w:color w:val="auto"/>
                <w:sz w:val="24"/>
              </w:rPr>
              <w:t>斗提机</w:t>
            </w:r>
            <w:r>
              <w:rPr>
                <w:color w:val="auto"/>
                <w:sz w:val="24"/>
              </w:rPr>
              <w:t>出料口与滚筒筛入料口封闭连接。滚筒筛将砂与杂物再次分离。滚筒筛为封闭装置，仅有进出料口。滚筒筛设有一定角度，经滚动处理的砂自然落入冷却滚筒。</w:t>
            </w:r>
          </w:p>
          <w:p>
            <w:pPr>
              <w:spacing w:line="500" w:lineRule="exact"/>
              <w:ind w:firstLine="482" w:firstLineChars="200"/>
              <w:rPr>
                <w:color w:val="auto"/>
                <w:sz w:val="24"/>
              </w:rPr>
            </w:pPr>
            <w:r>
              <w:rPr>
                <w:b/>
                <w:bCs/>
                <w:color w:val="auto"/>
                <w:sz w:val="24"/>
              </w:rPr>
              <w:t>排污节点：</w:t>
            </w:r>
            <w:r>
              <w:rPr>
                <w:color w:val="auto"/>
                <w:sz w:val="24"/>
              </w:rPr>
              <w:t>主要为滚筒筛筛分过程产生的废气，设备运行时产生的噪声及筛出的杂物。</w:t>
            </w:r>
          </w:p>
          <w:p>
            <w:pPr>
              <w:spacing w:line="500" w:lineRule="exact"/>
              <w:ind w:firstLine="480" w:firstLineChars="200"/>
              <w:rPr>
                <w:color w:val="auto"/>
                <w:sz w:val="24"/>
              </w:rPr>
            </w:pPr>
            <w:r>
              <w:rPr>
                <w:color w:val="auto"/>
                <w:sz w:val="24"/>
              </w:rPr>
              <w:t>4、冷却：冷却滚筒采用水冷却方式，冷却水循环使用不外排。冷却后的砂进入</w:t>
            </w:r>
            <w:r>
              <w:rPr>
                <w:rFonts w:hint="eastAsia"/>
                <w:color w:val="auto"/>
                <w:sz w:val="24"/>
              </w:rPr>
              <w:t>斗提机</w:t>
            </w:r>
            <w:r>
              <w:rPr>
                <w:color w:val="auto"/>
                <w:sz w:val="24"/>
              </w:rPr>
              <w:t>。</w:t>
            </w:r>
          </w:p>
          <w:p>
            <w:pPr>
              <w:spacing w:line="500" w:lineRule="exact"/>
              <w:ind w:firstLine="482" w:firstLineChars="200"/>
              <w:rPr>
                <w:color w:val="auto"/>
                <w:sz w:val="24"/>
              </w:rPr>
            </w:pPr>
            <w:r>
              <w:rPr>
                <w:b/>
                <w:bCs/>
                <w:color w:val="auto"/>
                <w:sz w:val="24"/>
              </w:rPr>
              <w:t>排污节点：</w:t>
            </w:r>
            <w:r>
              <w:rPr>
                <w:color w:val="auto"/>
                <w:sz w:val="24"/>
              </w:rPr>
              <w:t>主要为冷却滚筒出料产生的废气。</w:t>
            </w:r>
          </w:p>
          <w:p>
            <w:pPr>
              <w:spacing w:line="500" w:lineRule="exact"/>
              <w:ind w:firstLine="480" w:firstLineChars="200"/>
              <w:rPr>
                <w:color w:val="auto"/>
                <w:sz w:val="24"/>
              </w:rPr>
            </w:pPr>
            <w:r>
              <w:rPr>
                <w:color w:val="auto"/>
                <w:sz w:val="24"/>
              </w:rPr>
              <w:t>5、入仓：</w:t>
            </w:r>
            <w:r>
              <w:rPr>
                <w:rFonts w:hint="eastAsia"/>
                <w:color w:val="auto"/>
                <w:sz w:val="24"/>
              </w:rPr>
              <w:t>斗提机</w:t>
            </w:r>
            <w:r>
              <w:rPr>
                <w:color w:val="auto"/>
                <w:sz w:val="24"/>
              </w:rPr>
              <w:t>将砂提升至成品仓，成品仓封闭设置，提升机出料口与成品仓入料口封闭连接。</w:t>
            </w:r>
          </w:p>
          <w:p>
            <w:pPr>
              <w:spacing w:line="500" w:lineRule="exact"/>
              <w:ind w:firstLine="482" w:firstLineChars="200"/>
              <w:rPr>
                <w:color w:val="auto"/>
                <w:sz w:val="24"/>
              </w:rPr>
            </w:pPr>
            <w:r>
              <w:rPr>
                <w:b/>
                <w:bCs/>
                <w:color w:val="auto"/>
                <w:sz w:val="24"/>
              </w:rPr>
              <w:t>排污节点：</w:t>
            </w:r>
            <w:r>
              <w:rPr>
                <w:rFonts w:hint="eastAsia"/>
                <w:color w:val="auto"/>
                <w:sz w:val="24"/>
              </w:rPr>
              <w:t>斗提机</w:t>
            </w:r>
            <w:r>
              <w:rPr>
                <w:color w:val="auto"/>
                <w:sz w:val="24"/>
              </w:rPr>
              <w:t>运行时产生的噪声。</w:t>
            </w:r>
          </w:p>
          <w:p>
            <w:pPr>
              <w:spacing w:line="500" w:lineRule="exact"/>
              <w:ind w:firstLine="480" w:firstLineChars="200"/>
              <w:rPr>
                <w:color w:val="auto"/>
                <w:sz w:val="24"/>
              </w:rPr>
            </w:pPr>
            <w:r>
              <w:rPr>
                <w:color w:val="auto"/>
                <w:sz w:val="24"/>
              </w:rPr>
              <w:t>6、落砂：打开成品仓落料口，落砂经皮带输送至混砂机中，进入熔铸生产线；皮带输送机采用封闭的皮带通廊，成品仓落料口与皮带通廊入料口封闭连接。</w:t>
            </w:r>
          </w:p>
          <w:p>
            <w:pPr>
              <w:spacing w:line="500" w:lineRule="exact"/>
              <w:ind w:firstLine="482" w:firstLineChars="200"/>
              <w:rPr>
                <w:color w:val="auto"/>
                <w:sz w:val="24"/>
              </w:rPr>
            </w:pPr>
            <w:r>
              <w:rPr>
                <w:b/>
                <w:bCs/>
                <w:color w:val="auto"/>
                <w:sz w:val="24"/>
              </w:rPr>
              <w:t>排污节点：</w:t>
            </w:r>
            <w:r>
              <w:rPr>
                <w:color w:val="auto"/>
                <w:sz w:val="24"/>
              </w:rPr>
              <w:t>主要为落砂过程产生废气。</w:t>
            </w:r>
          </w:p>
          <w:p>
            <w:pPr>
              <w:spacing w:line="480" w:lineRule="exact"/>
              <w:ind w:firstLine="480" w:firstLineChars="200"/>
              <w:rPr>
                <w:color w:val="auto"/>
                <w:sz w:val="24"/>
              </w:rPr>
            </w:pPr>
            <w:r>
              <w:rPr>
                <w:rFonts w:hint="eastAsia"/>
                <w:color w:val="auto"/>
                <w:sz w:val="24"/>
              </w:rPr>
              <w:t>三</w:t>
            </w:r>
            <w:r>
              <w:rPr>
                <w:color w:val="auto"/>
                <w:sz w:val="24"/>
              </w:rPr>
              <w:t>、配套设施产污情况</w:t>
            </w:r>
          </w:p>
          <w:p>
            <w:pPr>
              <w:spacing w:line="480" w:lineRule="exact"/>
              <w:ind w:firstLine="480" w:firstLineChars="200"/>
              <w:rPr>
                <w:color w:val="auto"/>
                <w:sz w:val="24"/>
              </w:rPr>
            </w:pPr>
            <w:r>
              <w:rPr>
                <w:color w:val="auto"/>
                <w:sz w:val="24"/>
              </w:rPr>
              <w:t>（1）办公、生活设施：职工办公、生活将产生一定量的生活污水和生活垃圾。</w:t>
            </w:r>
            <w:r>
              <w:rPr>
                <w:rFonts w:hint="eastAsia"/>
                <w:color w:val="auto"/>
                <w:sz w:val="24"/>
              </w:rPr>
              <w:t>生活污水主要为员工盥洗废水，就地泼洒抑尘不外排</w:t>
            </w:r>
            <w:r>
              <w:rPr>
                <w:color w:val="auto"/>
                <w:sz w:val="24"/>
              </w:rPr>
              <w:t>；生活垃圾收集后，由环卫部门定期清运。</w:t>
            </w:r>
          </w:p>
          <w:p>
            <w:pPr>
              <w:adjustRightInd w:val="0"/>
              <w:snapToGrid w:val="0"/>
              <w:spacing w:line="480" w:lineRule="exact"/>
              <w:ind w:firstLine="470" w:firstLineChars="196"/>
              <w:rPr>
                <w:color w:val="auto"/>
                <w:sz w:val="24"/>
              </w:rPr>
            </w:pPr>
            <w:r>
              <w:rPr>
                <w:color w:val="auto"/>
                <w:sz w:val="24"/>
              </w:rPr>
              <w:t>（</w:t>
            </w:r>
            <w:r>
              <w:rPr>
                <w:rFonts w:hint="eastAsia"/>
                <w:color w:val="auto"/>
                <w:sz w:val="24"/>
              </w:rPr>
              <w:t>2</w:t>
            </w:r>
            <w:r>
              <w:rPr>
                <w:color w:val="auto"/>
                <w:sz w:val="24"/>
              </w:rPr>
              <w:t>）其他：设备</w:t>
            </w:r>
            <w:r>
              <w:rPr>
                <w:rFonts w:hint="eastAsia"/>
                <w:color w:val="auto"/>
                <w:sz w:val="24"/>
              </w:rPr>
              <w:t>维修及</w:t>
            </w:r>
            <w:r>
              <w:rPr>
                <w:color w:val="auto"/>
                <w:sz w:val="24"/>
              </w:rPr>
              <w:t>保养产生</w:t>
            </w:r>
            <w:r>
              <w:rPr>
                <w:rFonts w:hint="eastAsia"/>
                <w:color w:val="auto"/>
                <w:sz w:val="24"/>
              </w:rPr>
              <w:t>的</w:t>
            </w:r>
            <w:r>
              <w:rPr>
                <w:color w:val="auto"/>
                <w:sz w:val="24"/>
              </w:rPr>
              <w:t>少量废</w:t>
            </w:r>
            <w:r>
              <w:rPr>
                <w:rFonts w:hint="eastAsia"/>
                <w:color w:val="auto"/>
                <w:sz w:val="24"/>
              </w:rPr>
              <w:t>矿物</w:t>
            </w:r>
            <w:r>
              <w:rPr>
                <w:color w:val="auto"/>
                <w:sz w:val="24"/>
              </w:rPr>
              <w:t>油</w:t>
            </w:r>
            <w:r>
              <w:rPr>
                <w:rFonts w:hint="eastAsia"/>
                <w:color w:val="auto"/>
                <w:sz w:val="24"/>
              </w:rPr>
              <w:t>和废油桶</w:t>
            </w:r>
            <w:r>
              <w:rPr>
                <w:color w:val="auto"/>
                <w:sz w:val="24"/>
              </w:rPr>
              <w:t>，</w:t>
            </w:r>
            <w:r>
              <w:rPr>
                <w:rFonts w:hint="eastAsia"/>
                <w:color w:val="auto"/>
                <w:sz w:val="24"/>
              </w:rPr>
              <w:t>经</w:t>
            </w:r>
            <w:r>
              <w:rPr>
                <w:color w:val="auto"/>
                <w:sz w:val="24"/>
              </w:rPr>
              <w:t>集中收集后</w:t>
            </w:r>
            <w:r>
              <w:rPr>
                <w:rFonts w:hint="eastAsia"/>
                <w:color w:val="auto"/>
                <w:sz w:val="24"/>
              </w:rPr>
              <w:t>暂存于厂区危险废物暂存间内，定期委托有</w:t>
            </w:r>
            <w:r>
              <w:rPr>
                <w:color w:val="auto"/>
                <w:sz w:val="24"/>
              </w:rPr>
              <w:t>资质的危险废物处置单位处置</w:t>
            </w:r>
            <w:r>
              <w:rPr>
                <w:rFonts w:hint="eastAsia"/>
                <w:color w:val="auto"/>
                <w:sz w:val="24"/>
              </w:rPr>
              <w:t>，袋式除尘器定期更换的废布袋，定期外售综合利用</w:t>
            </w:r>
            <w:r>
              <w:rPr>
                <w:color w:val="auto"/>
                <w:sz w:val="24"/>
              </w:rPr>
              <w:t>。</w:t>
            </w:r>
          </w:p>
          <w:p>
            <w:pPr>
              <w:spacing w:line="480" w:lineRule="exact"/>
              <w:ind w:firstLine="480" w:firstLineChars="200"/>
              <w:rPr>
                <w:color w:val="auto"/>
                <w:sz w:val="24"/>
              </w:rPr>
            </w:pPr>
            <w:r>
              <w:rPr>
                <w:rFonts w:hint="eastAsia"/>
                <w:color w:val="auto"/>
                <w:sz w:val="24"/>
              </w:rPr>
              <w:t>项目污染源及防治措施见表17</w:t>
            </w:r>
            <w:r>
              <w:rPr>
                <w:color w:val="auto"/>
                <w:sz w:val="24"/>
              </w:rPr>
              <w:t>。</w:t>
            </w:r>
          </w:p>
          <w:p>
            <w:pPr>
              <w:spacing w:line="480" w:lineRule="exact"/>
              <w:jc w:val="center"/>
              <w:rPr>
                <w:b/>
                <w:bCs/>
                <w:snapToGrid w:val="0"/>
                <w:color w:val="auto"/>
                <w:sz w:val="24"/>
              </w:rPr>
            </w:pPr>
          </w:p>
          <w:p>
            <w:pPr>
              <w:spacing w:line="480" w:lineRule="exact"/>
              <w:jc w:val="center"/>
              <w:rPr>
                <w:color w:val="auto"/>
              </w:rPr>
            </w:pPr>
            <w:r>
              <w:rPr>
                <w:rFonts w:hint="eastAsia"/>
                <w:b/>
                <w:bCs/>
                <w:snapToGrid w:val="0"/>
                <w:color w:val="auto"/>
                <w:sz w:val="24"/>
              </w:rPr>
              <w:t>表17   本项目污染源及防治措施一览表</w:t>
            </w:r>
          </w:p>
          <w:tbl>
            <w:tblPr>
              <w:tblStyle w:val="3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740"/>
              <w:gridCol w:w="1966"/>
              <w:gridCol w:w="1939"/>
              <w:gridCol w:w="2446"/>
              <w:gridCol w:w="129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41" w:type="pct"/>
                  <w:tcBorders>
                    <w:tl2br w:val="nil"/>
                    <w:tr2bl w:val="nil"/>
                  </w:tcBorders>
                  <w:vAlign w:val="center"/>
                </w:tcPr>
                <w:p>
                  <w:pPr>
                    <w:topLinePunct/>
                    <w:spacing w:line="240" w:lineRule="atLeast"/>
                    <w:jc w:val="center"/>
                    <w:rPr>
                      <w:color w:val="auto"/>
                      <w:spacing w:val="-10"/>
                      <w:szCs w:val="21"/>
                    </w:rPr>
                  </w:pPr>
                  <w:r>
                    <w:rPr>
                      <w:color w:val="auto"/>
                      <w:spacing w:val="-10"/>
                      <w:szCs w:val="21"/>
                    </w:rPr>
                    <w:t>序号</w:t>
                  </w:r>
                </w:p>
              </w:tc>
              <w:tc>
                <w:tcPr>
                  <w:tcW w:w="1171" w:type="pct"/>
                  <w:tcBorders>
                    <w:tl2br w:val="nil"/>
                    <w:tr2bl w:val="nil"/>
                  </w:tcBorders>
                  <w:vAlign w:val="center"/>
                </w:tcPr>
                <w:p>
                  <w:pPr>
                    <w:topLinePunct/>
                    <w:spacing w:line="240" w:lineRule="atLeast"/>
                    <w:jc w:val="center"/>
                    <w:rPr>
                      <w:color w:val="auto"/>
                      <w:spacing w:val="-10"/>
                      <w:szCs w:val="21"/>
                    </w:rPr>
                  </w:pPr>
                  <w:r>
                    <w:rPr>
                      <w:color w:val="auto"/>
                      <w:spacing w:val="-10"/>
                      <w:szCs w:val="21"/>
                    </w:rPr>
                    <w:t>污染源名称</w:t>
                  </w:r>
                </w:p>
              </w:tc>
              <w:tc>
                <w:tcPr>
                  <w:tcW w:w="1155" w:type="pct"/>
                  <w:tcBorders>
                    <w:tl2br w:val="nil"/>
                    <w:tr2bl w:val="nil"/>
                  </w:tcBorders>
                  <w:vAlign w:val="center"/>
                </w:tcPr>
                <w:p>
                  <w:pPr>
                    <w:topLinePunct/>
                    <w:spacing w:line="240" w:lineRule="atLeast"/>
                    <w:jc w:val="center"/>
                    <w:rPr>
                      <w:color w:val="auto"/>
                      <w:spacing w:val="-10"/>
                      <w:szCs w:val="21"/>
                    </w:rPr>
                  </w:pPr>
                  <w:r>
                    <w:rPr>
                      <w:color w:val="auto"/>
                      <w:spacing w:val="-10"/>
                      <w:szCs w:val="21"/>
                    </w:rPr>
                    <w:t>污染因子</w:t>
                  </w:r>
                </w:p>
              </w:tc>
              <w:tc>
                <w:tcPr>
                  <w:tcW w:w="1458" w:type="pct"/>
                  <w:tcBorders>
                    <w:tl2br w:val="nil"/>
                    <w:tr2bl w:val="nil"/>
                  </w:tcBorders>
                  <w:vAlign w:val="center"/>
                </w:tcPr>
                <w:p>
                  <w:pPr>
                    <w:topLinePunct/>
                    <w:spacing w:line="240" w:lineRule="atLeast"/>
                    <w:jc w:val="center"/>
                    <w:rPr>
                      <w:color w:val="auto"/>
                      <w:spacing w:val="-10"/>
                      <w:szCs w:val="21"/>
                    </w:rPr>
                  </w:pPr>
                  <w:r>
                    <w:rPr>
                      <w:color w:val="auto"/>
                      <w:spacing w:val="-10"/>
                      <w:szCs w:val="21"/>
                    </w:rPr>
                    <w:t>治理措施</w:t>
                  </w:r>
                </w:p>
              </w:tc>
              <w:tc>
                <w:tcPr>
                  <w:tcW w:w="773" w:type="pct"/>
                  <w:tcBorders>
                    <w:tl2br w:val="nil"/>
                    <w:tr2bl w:val="nil"/>
                  </w:tcBorders>
                  <w:vAlign w:val="center"/>
                </w:tcPr>
                <w:p>
                  <w:pPr>
                    <w:topLinePunct/>
                    <w:spacing w:line="240" w:lineRule="atLeast"/>
                    <w:jc w:val="center"/>
                    <w:rPr>
                      <w:color w:val="auto"/>
                      <w:spacing w:val="-10"/>
                      <w:szCs w:val="21"/>
                    </w:rPr>
                  </w:pPr>
                  <w:r>
                    <w:rPr>
                      <w:color w:val="auto"/>
                      <w:spacing w:val="-10"/>
                      <w:szCs w:val="21"/>
                    </w:rPr>
                    <w:t>排放去向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41" w:type="pct"/>
                  <w:tcBorders>
                    <w:tl2br w:val="nil"/>
                    <w:tr2bl w:val="nil"/>
                  </w:tcBorders>
                  <w:vAlign w:val="center"/>
                </w:tcPr>
                <w:p>
                  <w:pPr>
                    <w:topLinePunct/>
                    <w:spacing w:line="240" w:lineRule="atLeast"/>
                    <w:jc w:val="center"/>
                    <w:rPr>
                      <w:color w:val="auto"/>
                      <w:spacing w:val="-10"/>
                      <w:szCs w:val="21"/>
                    </w:rPr>
                  </w:pPr>
                  <w:r>
                    <w:rPr>
                      <w:color w:val="auto"/>
                      <w:spacing w:val="-10"/>
                      <w:szCs w:val="21"/>
                    </w:rPr>
                    <w:t>1</w:t>
                  </w:r>
                </w:p>
              </w:tc>
              <w:tc>
                <w:tcPr>
                  <w:tcW w:w="1171" w:type="pct"/>
                  <w:tcBorders>
                    <w:tl2br w:val="nil"/>
                    <w:tr2bl w:val="nil"/>
                  </w:tcBorders>
                  <w:vAlign w:val="center"/>
                </w:tcPr>
                <w:p>
                  <w:pPr>
                    <w:topLinePunct/>
                    <w:spacing w:line="240" w:lineRule="atLeast"/>
                    <w:jc w:val="center"/>
                    <w:rPr>
                      <w:color w:val="auto"/>
                      <w:spacing w:val="-10"/>
                      <w:szCs w:val="21"/>
                    </w:rPr>
                  </w:pPr>
                  <w:r>
                    <w:rPr>
                      <w:rFonts w:hint="eastAsia"/>
                      <w:color w:val="auto"/>
                      <w:spacing w:val="-10"/>
                      <w:szCs w:val="21"/>
                    </w:rPr>
                    <w:t>熔炼废气</w:t>
                  </w:r>
                </w:p>
              </w:tc>
              <w:tc>
                <w:tcPr>
                  <w:tcW w:w="1155" w:type="pct"/>
                  <w:tcBorders>
                    <w:tl2br w:val="nil"/>
                    <w:tr2bl w:val="nil"/>
                  </w:tcBorders>
                  <w:vAlign w:val="center"/>
                </w:tcPr>
                <w:p>
                  <w:pPr>
                    <w:topLinePunct/>
                    <w:spacing w:line="240" w:lineRule="atLeast"/>
                    <w:jc w:val="center"/>
                    <w:rPr>
                      <w:color w:val="auto"/>
                      <w:spacing w:val="-10"/>
                      <w:szCs w:val="21"/>
                    </w:rPr>
                  </w:pPr>
                  <w:r>
                    <w:rPr>
                      <w:color w:val="auto"/>
                      <w:spacing w:val="-10"/>
                      <w:szCs w:val="21"/>
                    </w:rPr>
                    <w:t>颗粒物</w:t>
                  </w:r>
                </w:p>
              </w:tc>
              <w:tc>
                <w:tcPr>
                  <w:tcW w:w="1458" w:type="pct"/>
                  <w:tcBorders>
                    <w:tl2br w:val="nil"/>
                    <w:tr2bl w:val="nil"/>
                  </w:tcBorders>
                  <w:vAlign w:val="center"/>
                </w:tcPr>
                <w:p>
                  <w:pPr>
                    <w:topLinePunct/>
                    <w:spacing w:line="240" w:lineRule="atLeast"/>
                    <w:jc w:val="center"/>
                    <w:rPr>
                      <w:color w:val="auto"/>
                      <w:spacing w:val="-10"/>
                      <w:szCs w:val="21"/>
                    </w:rPr>
                  </w:pPr>
                  <w:r>
                    <w:rPr>
                      <w:color w:val="auto"/>
                      <w:spacing w:val="-10"/>
                      <w:szCs w:val="21"/>
                    </w:rPr>
                    <w:t>集气罩+脉冲袋式除尘器+15m高排气筒</w:t>
                  </w:r>
                  <w:r>
                    <w:rPr>
                      <w:rFonts w:hint="eastAsia"/>
                      <w:color w:val="auto"/>
                      <w:spacing w:val="-10"/>
                      <w:szCs w:val="21"/>
                    </w:rPr>
                    <w:t>DA001</w:t>
                  </w:r>
                </w:p>
              </w:tc>
              <w:tc>
                <w:tcPr>
                  <w:tcW w:w="773" w:type="pct"/>
                  <w:tcBorders>
                    <w:tl2br w:val="nil"/>
                    <w:tr2bl w:val="nil"/>
                  </w:tcBorders>
                  <w:vAlign w:val="center"/>
                </w:tcPr>
                <w:p>
                  <w:pPr>
                    <w:topLinePunct/>
                    <w:spacing w:line="240" w:lineRule="atLeast"/>
                    <w:jc w:val="center"/>
                    <w:rPr>
                      <w:color w:val="auto"/>
                      <w:spacing w:val="-10"/>
                      <w:szCs w:val="21"/>
                    </w:rPr>
                  </w:pPr>
                  <w:r>
                    <w:rPr>
                      <w:color w:val="auto"/>
                      <w:spacing w:val="-10"/>
                      <w:szCs w:val="21"/>
                    </w:rPr>
                    <w:t>大气环境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41" w:type="pct"/>
                  <w:tcBorders>
                    <w:tl2br w:val="nil"/>
                    <w:tr2bl w:val="nil"/>
                  </w:tcBorders>
                  <w:vAlign w:val="center"/>
                </w:tcPr>
                <w:p>
                  <w:pPr>
                    <w:topLinePunct/>
                    <w:spacing w:line="240" w:lineRule="atLeast"/>
                    <w:jc w:val="center"/>
                    <w:rPr>
                      <w:color w:val="auto"/>
                      <w:spacing w:val="-10"/>
                      <w:szCs w:val="21"/>
                    </w:rPr>
                  </w:pPr>
                  <w:r>
                    <w:rPr>
                      <w:color w:val="auto"/>
                      <w:spacing w:val="-10"/>
                      <w:szCs w:val="21"/>
                    </w:rPr>
                    <w:t>2</w:t>
                  </w:r>
                </w:p>
              </w:tc>
              <w:tc>
                <w:tcPr>
                  <w:tcW w:w="1171" w:type="pct"/>
                  <w:tcBorders>
                    <w:tl2br w:val="nil"/>
                    <w:tr2bl w:val="nil"/>
                  </w:tcBorders>
                  <w:vAlign w:val="center"/>
                </w:tcPr>
                <w:p>
                  <w:pPr>
                    <w:topLinePunct/>
                    <w:spacing w:line="240" w:lineRule="atLeast"/>
                    <w:jc w:val="center"/>
                    <w:rPr>
                      <w:color w:val="auto"/>
                      <w:spacing w:val="-10"/>
                      <w:szCs w:val="21"/>
                    </w:rPr>
                  </w:pPr>
                  <w:r>
                    <w:rPr>
                      <w:rFonts w:hint="eastAsia"/>
                      <w:color w:val="auto"/>
                      <w:spacing w:val="-10"/>
                      <w:szCs w:val="21"/>
                    </w:rPr>
                    <w:t>浇注、砂处理、混砂、打磨、顶吸</w:t>
                  </w:r>
                  <w:r>
                    <w:rPr>
                      <w:color w:val="auto"/>
                      <w:spacing w:val="-10"/>
                      <w:szCs w:val="21"/>
                    </w:rPr>
                    <w:t>废气</w:t>
                  </w:r>
                </w:p>
              </w:tc>
              <w:tc>
                <w:tcPr>
                  <w:tcW w:w="1155" w:type="pct"/>
                  <w:tcBorders>
                    <w:tl2br w:val="nil"/>
                    <w:tr2bl w:val="nil"/>
                  </w:tcBorders>
                  <w:vAlign w:val="center"/>
                </w:tcPr>
                <w:p>
                  <w:pPr>
                    <w:topLinePunct/>
                    <w:spacing w:line="240" w:lineRule="atLeast"/>
                    <w:jc w:val="center"/>
                    <w:rPr>
                      <w:color w:val="auto"/>
                      <w:spacing w:val="-10"/>
                      <w:szCs w:val="21"/>
                    </w:rPr>
                  </w:pPr>
                  <w:r>
                    <w:rPr>
                      <w:color w:val="auto"/>
                      <w:spacing w:val="-10"/>
                      <w:szCs w:val="21"/>
                    </w:rPr>
                    <w:t>颗粒物</w:t>
                  </w:r>
                </w:p>
              </w:tc>
              <w:tc>
                <w:tcPr>
                  <w:tcW w:w="1458" w:type="pct"/>
                  <w:tcBorders>
                    <w:tl2br w:val="nil"/>
                    <w:tr2bl w:val="nil"/>
                  </w:tcBorders>
                  <w:vAlign w:val="center"/>
                </w:tcPr>
                <w:p>
                  <w:pPr>
                    <w:topLinePunct/>
                    <w:spacing w:line="240" w:lineRule="atLeast"/>
                    <w:jc w:val="center"/>
                    <w:rPr>
                      <w:color w:val="auto"/>
                      <w:spacing w:val="-10"/>
                      <w:szCs w:val="21"/>
                    </w:rPr>
                  </w:pPr>
                  <w:r>
                    <w:rPr>
                      <w:color w:val="auto"/>
                      <w:spacing w:val="-10"/>
                      <w:szCs w:val="21"/>
                    </w:rPr>
                    <w:t>集气罩+脉冲袋式除尘器+15m高排气筒</w:t>
                  </w:r>
                  <w:r>
                    <w:rPr>
                      <w:rFonts w:hint="eastAsia"/>
                      <w:color w:val="auto"/>
                      <w:spacing w:val="-10"/>
                      <w:szCs w:val="21"/>
                    </w:rPr>
                    <w:t>DA002</w:t>
                  </w:r>
                </w:p>
              </w:tc>
              <w:tc>
                <w:tcPr>
                  <w:tcW w:w="773" w:type="pct"/>
                  <w:tcBorders>
                    <w:tl2br w:val="nil"/>
                    <w:tr2bl w:val="nil"/>
                  </w:tcBorders>
                  <w:vAlign w:val="center"/>
                </w:tcPr>
                <w:p>
                  <w:pPr>
                    <w:topLinePunct/>
                    <w:spacing w:line="240" w:lineRule="atLeast"/>
                    <w:jc w:val="center"/>
                    <w:rPr>
                      <w:color w:val="auto"/>
                      <w:spacing w:val="-10"/>
                      <w:szCs w:val="21"/>
                    </w:rPr>
                  </w:pPr>
                  <w:r>
                    <w:rPr>
                      <w:color w:val="auto"/>
                      <w:spacing w:val="-10"/>
                      <w:szCs w:val="21"/>
                    </w:rPr>
                    <w:t>大气环境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39" w:hRule="atLeast"/>
                <w:jc w:val="center"/>
              </w:trPr>
              <w:tc>
                <w:tcPr>
                  <w:tcW w:w="441" w:type="pct"/>
                  <w:tcBorders>
                    <w:tl2br w:val="nil"/>
                    <w:tr2bl w:val="nil"/>
                  </w:tcBorders>
                  <w:vAlign w:val="center"/>
                </w:tcPr>
                <w:p>
                  <w:pPr>
                    <w:topLinePunct/>
                    <w:spacing w:line="240" w:lineRule="atLeast"/>
                    <w:jc w:val="center"/>
                    <w:rPr>
                      <w:color w:val="auto"/>
                      <w:spacing w:val="-10"/>
                      <w:szCs w:val="21"/>
                    </w:rPr>
                  </w:pPr>
                  <w:r>
                    <w:rPr>
                      <w:color w:val="auto"/>
                      <w:spacing w:val="-10"/>
                      <w:szCs w:val="21"/>
                    </w:rPr>
                    <w:t>3</w:t>
                  </w:r>
                </w:p>
              </w:tc>
              <w:tc>
                <w:tcPr>
                  <w:tcW w:w="1171" w:type="pct"/>
                  <w:tcBorders>
                    <w:tl2br w:val="nil"/>
                    <w:tr2bl w:val="nil"/>
                  </w:tcBorders>
                  <w:vAlign w:val="center"/>
                </w:tcPr>
                <w:p>
                  <w:pPr>
                    <w:topLinePunct/>
                    <w:spacing w:line="240" w:lineRule="atLeast"/>
                    <w:jc w:val="center"/>
                    <w:rPr>
                      <w:color w:val="auto"/>
                      <w:spacing w:val="-10"/>
                      <w:szCs w:val="21"/>
                    </w:rPr>
                  </w:pPr>
                  <w:r>
                    <w:rPr>
                      <w:rFonts w:hint="eastAsia"/>
                      <w:color w:val="auto"/>
                      <w:spacing w:val="-10"/>
                      <w:szCs w:val="21"/>
                    </w:rPr>
                    <w:t>生产车间</w:t>
                  </w:r>
                  <w:r>
                    <w:rPr>
                      <w:color w:val="auto"/>
                      <w:spacing w:val="-10"/>
                      <w:szCs w:val="21"/>
                    </w:rPr>
                    <w:t>无组织废气</w:t>
                  </w:r>
                </w:p>
              </w:tc>
              <w:tc>
                <w:tcPr>
                  <w:tcW w:w="1155" w:type="pct"/>
                  <w:tcBorders>
                    <w:tl2br w:val="nil"/>
                    <w:tr2bl w:val="nil"/>
                  </w:tcBorders>
                  <w:vAlign w:val="center"/>
                </w:tcPr>
                <w:p>
                  <w:pPr>
                    <w:topLinePunct/>
                    <w:spacing w:line="240" w:lineRule="atLeast"/>
                    <w:jc w:val="center"/>
                    <w:rPr>
                      <w:color w:val="auto"/>
                      <w:spacing w:val="-10"/>
                      <w:szCs w:val="21"/>
                    </w:rPr>
                  </w:pPr>
                  <w:r>
                    <w:rPr>
                      <w:color w:val="auto"/>
                      <w:spacing w:val="-10"/>
                      <w:szCs w:val="21"/>
                    </w:rPr>
                    <w:t>颗粒物</w:t>
                  </w:r>
                </w:p>
              </w:tc>
              <w:tc>
                <w:tcPr>
                  <w:tcW w:w="1458" w:type="pct"/>
                  <w:tcBorders>
                    <w:tl2br w:val="nil"/>
                    <w:tr2bl w:val="nil"/>
                  </w:tcBorders>
                  <w:vAlign w:val="center"/>
                </w:tcPr>
                <w:p>
                  <w:pPr>
                    <w:topLinePunct/>
                    <w:spacing w:line="240" w:lineRule="atLeast"/>
                    <w:jc w:val="center"/>
                    <w:rPr>
                      <w:color w:val="auto"/>
                      <w:spacing w:val="-10"/>
                      <w:szCs w:val="21"/>
                    </w:rPr>
                  </w:pPr>
                  <w:r>
                    <w:rPr>
                      <w:rFonts w:hint="eastAsia"/>
                      <w:color w:val="auto"/>
                      <w:spacing w:val="-10"/>
                      <w:szCs w:val="21"/>
                    </w:rPr>
                    <w:t>综合生产车间全封闭，生产时车间出入口处于关闭状态，加强废气收集效率，车间设二次除尘装置；厂区道路硬化，并采取清扫、洒水等措施，保持清洁；生产车间主要出入口等易产生PM排放环节，项目建设完成后安装高清视频监控设施。视频监控数据保存六个月以上主要生产设施与污染防治设施分表计电</w:t>
                  </w:r>
                </w:p>
              </w:tc>
              <w:tc>
                <w:tcPr>
                  <w:tcW w:w="773" w:type="pct"/>
                  <w:tcBorders>
                    <w:tl2br w:val="nil"/>
                    <w:tr2bl w:val="nil"/>
                  </w:tcBorders>
                  <w:vAlign w:val="center"/>
                </w:tcPr>
                <w:p>
                  <w:pPr>
                    <w:topLinePunct/>
                    <w:spacing w:line="240" w:lineRule="atLeast"/>
                    <w:jc w:val="center"/>
                    <w:rPr>
                      <w:color w:val="auto"/>
                      <w:spacing w:val="-10"/>
                      <w:szCs w:val="21"/>
                    </w:rPr>
                  </w:pPr>
                  <w:r>
                    <w:rPr>
                      <w:color w:val="auto"/>
                      <w:spacing w:val="-10"/>
                      <w:szCs w:val="21"/>
                    </w:rPr>
                    <w:t>大气环境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41" w:type="pct"/>
                  <w:tcBorders>
                    <w:tl2br w:val="nil"/>
                    <w:tr2bl w:val="nil"/>
                  </w:tcBorders>
                  <w:vAlign w:val="center"/>
                </w:tcPr>
                <w:p>
                  <w:pPr>
                    <w:topLinePunct/>
                    <w:spacing w:line="240" w:lineRule="atLeast"/>
                    <w:jc w:val="center"/>
                    <w:rPr>
                      <w:color w:val="auto"/>
                      <w:spacing w:val="-10"/>
                      <w:szCs w:val="21"/>
                    </w:rPr>
                  </w:pPr>
                  <w:r>
                    <w:rPr>
                      <w:color w:val="auto"/>
                      <w:spacing w:val="-10"/>
                      <w:szCs w:val="21"/>
                    </w:rPr>
                    <w:t xml:space="preserve">序号 </w:t>
                  </w:r>
                </w:p>
              </w:tc>
              <w:tc>
                <w:tcPr>
                  <w:tcW w:w="1171" w:type="pct"/>
                  <w:tcBorders>
                    <w:tl2br w:val="nil"/>
                    <w:tr2bl w:val="nil"/>
                  </w:tcBorders>
                  <w:vAlign w:val="center"/>
                </w:tcPr>
                <w:p>
                  <w:pPr>
                    <w:topLinePunct/>
                    <w:spacing w:line="240" w:lineRule="atLeast"/>
                    <w:jc w:val="center"/>
                    <w:rPr>
                      <w:color w:val="auto"/>
                      <w:spacing w:val="-10"/>
                      <w:szCs w:val="21"/>
                    </w:rPr>
                  </w:pPr>
                  <w:r>
                    <w:rPr>
                      <w:color w:val="auto"/>
                      <w:spacing w:val="-10"/>
                      <w:szCs w:val="21"/>
                    </w:rPr>
                    <w:t>污染源名称</w:t>
                  </w:r>
                </w:p>
              </w:tc>
              <w:tc>
                <w:tcPr>
                  <w:tcW w:w="1155" w:type="pct"/>
                  <w:tcBorders>
                    <w:tl2br w:val="nil"/>
                    <w:tr2bl w:val="nil"/>
                  </w:tcBorders>
                  <w:vAlign w:val="center"/>
                </w:tcPr>
                <w:p>
                  <w:pPr>
                    <w:topLinePunct/>
                    <w:spacing w:line="240" w:lineRule="atLeast"/>
                    <w:jc w:val="center"/>
                    <w:rPr>
                      <w:color w:val="auto"/>
                      <w:spacing w:val="-10"/>
                      <w:szCs w:val="21"/>
                    </w:rPr>
                  </w:pPr>
                  <w:r>
                    <w:rPr>
                      <w:color w:val="auto"/>
                      <w:spacing w:val="-10"/>
                      <w:szCs w:val="21"/>
                    </w:rPr>
                    <w:t>污染因子</w:t>
                  </w:r>
                </w:p>
              </w:tc>
              <w:tc>
                <w:tcPr>
                  <w:tcW w:w="1458" w:type="pct"/>
                  <w:tcBorders>
                    <w:tl2br w:val="nil"/>
                    <w:tr2bl w:val="nil"/>
                  </w:tcBorders>
                  <w:vAlign w:val="center"/>
                </w:tcPr>
                <w:p>
                  <w:pPr>
                    <w:topLinePunct/>
                    <w:spacing w:line="240" w:lineRule="atLeast"/>
                    <w:jc w:val="center"/>
                    <w:rPr>
                      <w:color w:val="auto"/>
                      <w:spacing w:val="-10"/>
                      <w:szCs w:val="21"/>
                    </w:rPr>
                  </w:pPr>
                  <w:r>
                    <w:rPr>
                      <w:color w:val="auto"/>
                      <w:spacing w:val="-10"/>
                      <w:szCs w:val="21"/>
                    </w:rPr>
                    <w:t>治理措施</w:t>
                  </w:r>
                </w:p>
              </w:tc>
              <w:tc>
                <w:tcPr>
                  <w:tcW w:w="773" w:type="pct"/>
                  <w:tcBorders>
                    <w:tl2br w:val="nil"/>
                    <w:tr2bl w:val="nil"/>
                  </w:tcBorders>
                  <w:vAlign w:val="center"/>
                </w:tcPr>
                <w:p>
                  <w:pPr>
                    <w:topLinePunct/>
                    <w:spacing w:line="240" w:lineRule="atLeast"/>
                    <w:jc w:val="center"/>
                    <w:rPr>
                      <w:color w:val="auto"/>
                      <w:spacing w:val="-10"/>
                      <w:szCs w:val="21"/>
                    </w:rPr>
                  </w:pPr>
                  <w:r>
                    <w:rPr>
                      <w:color w:val="auto"/>
                      <w:spacing w:val="-10"/>
                      <w:szCs w:val="21"/>
                    </w:rPr>
                    <w:t>排放去向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41" w:type="pct"/>
                  <w:tcBorders>
                    <w:tl2br w:val="nil"/>
                    <w:tr2bl w:val="nil"/>
                  </w:tcBorders>
                  <w:vAlign w:val="center"/>
                </w:tcPr>
                <w:p>
                  <w:pPr>
                    <w:topLinePunct/>
                    <w:spacing w:line="240" w:lineRule="atLeast"/>
                    <w:jc w:val="center"/>
                    <w:rPr>
                      <w:color w:val="auto"/>
                      <w:spacing w:val="-10"/>
                      <w:szCs w:val="21"/>
                    </w:rPr>
                  </w:pPr>
                  <w:r>
                    <w:rPr>
                      <w:rFonts w:hint="eastAsia"/>
                      <w:color w:val="auto"/>
                      <w:spacing w:val="-10"/>
                      <w:szCs w:val="21"/>
                    </w:rPr>
                    <w:t>1</w:t>
                  </w:r>
                </w:p>
              </w:tc>
              <w:tc>
                <w:tcPr>
                  <w:tcW w:w="1171" w:type="pct"/>
                  <w:tcBorders>
                    <w:tl2br w:val="nil"/>
                    <w:tr2bl w:val="nil"/>
                  </w:tcBorders>
                  <w:vAlign w:val="center"/>
                </w:tcPr>
                <w:p>
                  <w:pPr>
                    <w:topLinePunct/>
                    <w:spacing w:line="240" w:lineRule="atLeast"/>
                    <w:jc w:val="center"/>
                    <w:rPr>
                      <w:color w:val="auto"/>
                      <w:spacing w:val="-10"/>
                      <w:szCs w:val="21"/>
                    </w:rPr>
                  </w:pPr>
                  <w:r>
                    <w:rPr>
                      <w:color w:val="auto"/>
                      <w:spacing w:val="-10"/>
                      <w:szCs w:val="21"/>
                    </w:rPr>
                    <w:t>生活污水</w:t>
                  </w:r>
                </w:p>
              </w:tc>
              <w:tc>
                <w:tcPr>
                  <w:tcW w:w="1155" w:type="pct"/>
                  <w:tcBorders>
                    <w:tl2br w:val="nil"/>
                    <w:tr2bl w:val="nil"/>
                  </w:tcBorders>
                  <w:vAlign w:val="center"/>
                </w:tcPr>
                <w:p>
                  <w:pPr>
                    <w:topLinePunct/>
                    <w:spacing w:line="240" w:lineRule="atLeast"/>
                    <w:jc w:val="center"/>
                    <w:rPr>
                      <w:color w:val="auto"/>
                      <w:spacing w:val="-10"/>
                      <w:szCs w:val="21"/>
                    </w:rPr>
                  </w:pPr>
                  <w:r>
                    <w:rPr>
                      <w:color w:val="auto"/>
                      <w:spacing w:val="-10"/>
                      <w:szCs w:val="21"/>
                    </w:rPr>
                    <w:t>SS、COD</w:t>
                  </w:r>
                </w:p>
              </w:tc>
              <w:tc>
                <w:tcPr>
                  <w:tcW w:w="1458" w:type="pct"/>
                  <w:tcBorders>
                    <w:tl2br w:val="nil"/>
                    <w:tr2bl w:val="nil"/>
                  </w:tcBorders>
                  <w:vAlign w:val="center"/>
                </w:tcPr>
                <w:p>
                  <w:pPr>
                    <w:topLinePunct/>
                    <w:spacing w:line="240" w:lineRule="atLeast"/>
                    <w:jc w:val="center"/>
                    <w:rPr>
                      <w:color w:val="auto"/>
                      <w:spacing w:val="-10"/>
                      <w:szCs w:val="21"/>
                    </w:rPr>
                  </w:pPr>
                  <w:r>
                    <w:rPr>
                      <w:rFonts w:hint="eastAsia"/>
                      <w:color w:val="auto"/>
                      <w:spacing w:val="-10"/>
                      <w:szCs w:val="21"/>
                    </w:rPr>
                    <w:t>泼洒抑尘</w:t>
                  </w:r>
                </w:p>
              </w:tc>
              <w:tc>
                <w:tcPr>
                  <w:tcW w:w="773" w:type="pct"/>
                  <w:tcBorders>
                    <w:tl2br w:val="nil"/>
                    <w:tr2bl w:val="nil"/>
                  </w:tcBorders>
                  <w:vAlign w:val="center"/>
                </w:tcPr>
                <w:p>
                  <w:pPr>
                    <w:topLinePunct/>
                    <w:spacing w:line="240" w:lineRule="atLeast"/>
                    <w:jc w:val="center"/>
                    <w:rPr>
                      <w:color w:val="auto"/>
                      <w:spacing w:val="-10"/>
                      <w:szCs w:val="21"/>
                    </w:rPr>
                  </w:pPr>
                  <w:r>
                    <w:rPr>
                      <w:rFonts w:hint="eastAsia"/>
                      <w:color w:val="auto"/>
                      <w:spacing w:val="-10"/>
                      <w:szCs w:val="21"/>
                    </w:rPr>
                    <w:t>不外排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41" w:type="pct"/>
                  <w:tcBorders>
                    <w:tl2br w:val="nil"/>
                    <w:tr2bl w:val="nil"/>
                  </w:tcBorders>
                  <w:vAlign w:val="center"/>
                </w:tcPr>
                <w:p>
                  <w:pPr>
                    <w:topLinePunct/>
                    <w:spacing w:line="240" w:lineRule="atLeast"/>
                    <w:jc w:val="center"/>
                    <w:rPr>
                      <w:color w:val="auto"/>
                      <w:spacing w:val="-10"/>
                      <w:szCs w:val="21"/>
                    </w:rPr>
                  </w:pPr>
                  <w:r>
                    <w:rPr>
                      <w:rFonts w:hint="eastAsia"/>
                      <w:color w:val="auto"/>
                      <w:spacing w:val="-10"/>
                      <w:szCs w:val="21"/>
                    </w:rPr>
                    <w:t>2</w:t>
                  </w:r>
                </w:p>
              </w:tc>
              <w:tc>
                <w:tcPr>
                  <w:tcW w:w="1171" w:type="pct"/>
                  <w:tcBorders>
                    <w:tl2br w:val="nil"/>
                    <w:tr2bl w:val="nil"/>
                  </w:tcBorders>
                  <w:vAlign w:val="center"/>
                </w:tcPr>
                <w:p>
                  <w:pPr>
                    <w:topLinePunct/>
                    <w:spacing w:line="240" w:lineRule="atLeast"/>
                    <w:jc w:val="center"/>
                    <w:rPr>
                      <w:color w:val="auto"/>
                      <w:spacing w:val="-10"/>
                      <w:szCs w:val="21"/>
                    </w:rPr>
                  </w:pPr>
                  <w:r>
                    <w:rPr>
                      <w:rFonts w:hint="eastAsia"/>
                      <w:color w:val="auto"/>
                      <w:spacing w:val="-10"/>
                      <w:szCs w:val="21"/>
                    </w:rPr>
                    <w:t>循环冷却水</w:t>
                  </w:r>
                </w:p>
              </w:tc>
              <w:tc>
                <w:tcPr>
                  <w:tcW w:w="1155" w:type="pct"/>
                  <w:tcBorders>
                    <w:tl2br w:val="nil"/>
                    <w:tr2bl w:val="nil"/>
                  </w:tcBorders>
                  <w:vAlign w:val="center"/>
                </w:tcPr>
                <w:p>
                  <w:pPr>
                    <w:topLinePunct/>
                    <w:spacing w:line="240" w:lineRule="atLeast"/>
                    <w:jc w:val="center"/>
                    <w:rPr>
                      <w:color w:val="auto"/>
                      <w:spacing w:val="-10"/>
                      <w:szCs w:val="21"/>
                    </w:rPr>
                  </w:pPr>
                  <w:r>
                    <w:rPr>
                      <w:color w:val="auto"/>
                      <w:spacing w:val="-10"/>
                      <w:szCs w:val="21"/>
                    </w:rPr>
                    <w:t>SS</w:t>
                  </w:r>
                </w:p>
              </w:tc>
              <w:tc>
                <w:tcPr>
                  <w:tcW w:w="1458" w:type="pct"/>
                  <w:tcBorders>
                    <w:tl2br w:val="nil"/>
                    <w:tr2bl w:val="nil"/>
                  </w:tcBorders>
                  <w:vAlign w:val="center"/>
                </w:tcPr>
                <w:p>
                  <w:pPr>
                    <w:topLinePunct/>
                    <w:spacing w:line="240" w:lineRule="atLeast"/>
                    <w:jc w:val="center"/>
                    <w:rPr>
                      <w:color w:val="auto"/>
                      <w:spacing w:val="-10"/>
                      <w:szCs w:val="21"/>
                    </w:rPr>
                  </w:pPr>
                  <w:r>
                    <w:rPr>
                      <w:rFonts w:hint="eastAsia"/>
                      <w:color w:val="auto"/>
                      <w:spacing w:val="-10"/>
                      <w:szCs w:val="21"/>
                    </w:rPr>
                    <w:t>循环利用</w:t>
                  </w:r>
                </w:p>
              </w:tc>
              <w:tc>
                <w:tcPr>
                  <w:tcW w:w="773" w:type="pct"/>
                  <w:tcBorders>
                    <w:tl2br w:val="nil"/>
                    <w:tr2bl w:val="nil"/>
                  </w:tcBorders>
                  <w:vAlign w:val="center"/>
                </w:tcPr>
                <w:p>
                  <w:pPr>
                    <w:topLinePunct/>
                    <w:spacing w:line="240" w:lineRule="atLeast"/>
                    <w:jc w:val="center"/>
                    <w:rPr>
                      <w:color w:val="auto"/>
                      <w:spacing w:val="-10"/>
                      <w:szCs w:val="21"/>
                    </w:rPr>
                  </w:pPr>
                  <w:r>
                    <w:rPr>
                      <w:rFonts w:hint="eastAsia"/>
                      <w:color w:val="auto"/>
                      <w:spacing w:val="-10"/>
                      <w:szCs w:val="21"/>
                    </w:rPr>
                    <w:t>不外排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41" w:type="pct"/>
                  <w:tcBorders>
                    <w:tl2br w:val="nil"/>
                    <w:tr2bl w:val="nil"/>
                  </w:tcBorders>
                  <w:vAlign w:val="center"/>
                </w:tcPr>
                <w:p>
                  <w:pPr>
                    <w:topLinePunct/>
                    <w:spacing w:line="240" w:lineRule="atLeast"/>
                    <w:jc w:val="center"/>
                    <w:rPr>
                      <w:color w:val="auto"/>
                      <w:spacing w:val="-10"/>
                      <w:szCs w:val="21"/>
                    </w:rPr>
                  </w:pPr>
                  <w:r>
                    <w:rPr>
                      <w:color w:val="auto"/>
                      <w:spacing w:val="-10"/>
                      <w:szCs w:val="21"/>
                    </w:rPr>
                    <w:t>序号</w:t>
                  </w:r>
                </w:p>
              </w:tc>
              <w:tc>
                <w:tcPr>
                  <w:tcW w:w="1171" w:type="pct"/>
                  <w:tcBorders>
                    <w:tl2br w:val="nil"/>
                    <w:tr2bl w:val="nil"/>
                  </w:tcBorders>
                  <w:vAlign w:val="center"/>
                </w:tcPr>
                <w:p>
                  <w:pPr>
                    <w:topLinePunct/>
                    <w:spacing w:line="240" w:lineRule="atLeast"/>
                    <w:jc w:val="center"/>
                    <w:rPr>
                      <w:color w:val="auto"/>
                      <w:spacing w:val="-10"/>
                      <w:szCs w:val="21"/>
                    </w:rPr>
                  </w:pPr>
                  <w:r>
                    <w:rPr>
                      <w:color w:val="auto"/>
                      <w:spacing w:val="-10"/>
                      <w:szCs w:val="21"/>
                    </w:rPr>
                    <w:t>污染源名称</w:t>
                  </w:r>
                </w:p>
              </w:tc>
              <w:tc>
                <w:tcPr>
                  <w:tcW w:w="1155" w:type="pct"/>
                  <w:tcBorders>
                    <w:tl2br w:val="nil"/>
                    <w:tr2bl w:val="nil"/>
                  </w:tcBorders>
                  <w:vAlign w:val="center"/>
                </w:tcPr>
                <w:p>
                  <w:pPr>
                    <w:topLinePunct/>
                    <w:spacing w:line="240" w:lineRule="atLeast"/>
                    <w:jc w:val="center"/>
                    <w:rPr>
                      <w:color w:val="auto"/>
                      <w:spacing w:val="-10"/>
                      <w:szCs w:val="21"/>
                    </w:rPr>
                  </w:pPr>
                  <w:r>
                    <w:rPr>
                      <w:color w:val="auto"/>
                      <w:spacing w:val="-10"/>
                      <w:szCs w:val="21"/>
                    </w:rPr>
                    <w:t>降噪措施</w:t>
                  </w:r>
                </w:p>
              </w:tc>
              <w:tc>
                <w:tcPr>
                  <w:tcW w:w="1458" w:type="pct"/>
                  <w:tcBorders>
                    <w:tl2br w:val="nil"/>
                    <w:tr2bl w:val="nil"/>
                  </w:tcBorders>
                  <w:vAlign w:val="center"/>
                </w:tcPr>
                <w:p>
                  <w:pPr>
                    <w:topLinePunct/>
                    <w:spacing w:line="240" w:lineRule="atLeast"/>
                    <w:jc w:val="center"/>
                    <w:rPr>
                      <w:color w:val="auto"/>
                      <w:spacing w:val="-10"/>
                      <w:szCs w:val="21"/>
                    </w:rPr>
                  </w:pPr>
                  <w:r>
                    <w:rPr>
                      <w:color w:val="auto"/>
                      <w:spacing w:val="-10"/>
                      <w:szCs w:val="21"/>
                    </w:rPr>
                    <w:t>排放特征</w:t>
                  </w:r>
                </w:p>
              </w:tc>
              <w:tc>
                <w:tcPr>
                  <w:tcW w:w="773" w:type="pct"/>
                  <w:tcBorders>
                    <w:tl2br w:val="nil"/>
                    <w:tr2bl w:val="nil"/>
                  </w:tcBorders>
                  <w:vAlign w:val="center"/>
                </w:tcPr>
                <w:p>
                  <w:pPr>
                    <w:topLinePunct/>
                    <w:spacing w:line="240" w:lineRule="atLeast"/>
                    <w:jc w:val="center"/>
                    <w:rPr>
                      <w:color w:val="auto"/>
                      <w:spacing w:val="-10"/>
                      <w:szCs w:val="21"/>
                    </w:rPr>
                  </w:pPr>
                  <w:r>
                    <w:rPr>
                      <w:color w:val="auto"/>
                      <w:spacing w:val="-1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41" w:type="pct"/>
                  <w:tcBorders>
                    <w:tl2br w:val="nil"/>
                    <w:tr2bl w:val="nil"/>
                  </w:tcBorders>
                  <w:vAlign w:val="center"/>
                </w:tcPr>
                <w:p>
                  <w:pPr>
                    <w:topLinePunct/>
                    <w:spacing w:line="240" w:lineRule="atLeast"/>
                    <w:jc w:val="center"/>
                    <w:rPr>
                      <w:color w:val="auto"/>
                      <w:spacing w:val="-10"/>
                      <w:szCs w:val="21"/>
                    </w:rPr>
                  </w:pPr>
                  <w:r>
                    <w:rPr>
                      <w:color w:val="auto"/>
                      <w:spacing w:val="-10"/>
                      <w:szCs w:val="21"/>
                    </w:rPr>
                    <w:t>1</w:t>
                  </w:r>
                </w:p>
              </w:tc>
              <w:tc>
                <w:tcPr>
                  <w:tcW w:w="1171" w:type="pct"/>
                  <w:tcBorders>
                    <w:tl2br w:val="nil"/>
                    <w:tr2bl w:val="nil"/>
                  </w:tcBorders>
                  <w:vAlign w:val="center"/>
                </w:tcPr>
                <w:p>
                  <w:pPr>
                    <w:topLinePunct/>
                    <w:spacing w:line="240" w:lineRule="atLeast"/>
                    <w:jc w:val="center"/>
                    <w:rPr>
                      <w:color w:val="auto"/>
                      <w:spacing w:val="-10"/>
                      <w:szCs w:val="21"/>
                    </w:rPr>
                  </w:pPr>
                  <w:r>
                    <w:rPr>
                      <w:rFonts w:hint="eastAsia"/>
                      <w:color w:val="auto"/>
                      <w:szCs w:val="21"/>
                    </w:rPr>
                    <w:t>电炉、退火炉、振动脱模工序、砂处理设备、震击式造型机、滚砂机、混砂机、天车、角磨机、风机、空压机</w:t>
                  </w:r>
                </w:p>
              </w:tc>
              <w:tc>
                <w:tcPr>
                  <w:tcW w:w="1155" w:type="pct"/>
                  <w:tcBorders>
                    <w:tl2br w:val="nil"/>
                    <w:tr2bl w:val="nil"/>
                  </w:tcBorders>
                  <w:vAlign w:val="center"/>
                </w:tcPr>
                <w:p>
                  <w:pPr>
                    <w:topLinePunct/>
                    <w:spacing w:line="240" w:lineRule="atLeast"/>
                    <w:jc w:val="center"/>
                    <w:rPr>
                      <w:color w:val="auto"/>
                      <w:spacing w:val="-10"/>
                      <w:szCs w:val="21"/>
                    </w:rPr>
                  </w:pPr>
                  <w:r>
                    <w:rPr>
                      <w:color w:val="auto"/>
                      <w:spacing w:val="-10"/>
                      <w:szCs w:val="21"/>
                    </w:rPr>
                    <w:t>厂房隔声</w:t>
                  </w:r>
                  <w:r>
                    <w:rPr>
                      <w:rFonts w:hint="eastAsia"/>
                      <w:color w:val="auto"/>
                      <w:spacing w:val="-10"/>
                      <w:szCs w:val="21"/>
                    </w:rPr>
                    <w:t>、基础减振</w:t>
                  </w:r>
                </w:p>
              </w:tc>
              <w:tc>
                <w:tcPr>
                  <w:tcW w:w="1458" w:type="pct"/>
                  <w:tcBorders>
                    <w:tl2br w:val="nil"/>
                    <w:tr2bl w:val="nil"/>
                  </w:tcBorders>
                  <w:vAlign w:val="center"/>
                </w:tcPr>
                <w:p>
                  <w:pPr>
                    <w:topLinePunct/>
                    <w:spacing w:line="240" w:lineRule="atLeast"/>
                    <w:jc w:val="center"/>
                    <w:rPr>
                      <w:color w:val="auto"/>
                      <w:spacing w:val="-10"/>
                      <w:szCs w:val="21"/>
                    </w:rPr>
                  </w:pPr>
                  <w:r>
                    <w:rPr>
                      <w:color w:val="auto"/>
                      <w:spacing w:val="-10"/>
                      <w:szCs w:val="21"/>
                    </w:rPr>
                    <w:t>连续</w:t>
                  </w:r>
                </w:p>
              </w:tc>
              <w:tc>
                <w:tcPr>
                  <w:tcW w:w="773" w:type="pct"/>
                  <w:tcBorders>
                    <w:tl2br w:val="nil"/>
                    <w:tr2bl w:val="nil"/>
                  </w:tcBorders>
                  <w:vAlign w:val="center"/>
                </w:tcPr>
                <w:p>
                  <w:pPr>
                    <w:topLinePunct/>
                    <w:spacing w:line="240" w:lineRule="atLeast"/>
                    <w:jc w:val="center"/>
                    <w:rPr>
                      <w:color w:val="auto"/>
                      <w:spacing w:val="-10"/>
                      <w:szCs w:val="21"/>
                    </w:rPr>
                  </w:pPr>
                  <w:r>
                    <w:rPr>
                      <w:color w:val="auto"/>
                      <w:spacing w:val="-1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41" w:type="pct"/>
                  <w:tcBorders>
                    <w:tl2br w:val="nil"/>
                    <w:tr2bl w:val="nil"/>
                  </w:tcBorders>
                  <w:vAlign w:val="center"/>
                </w:tcPr>
                <w:p>
                  <w:pPr>
                    <w:topLinePunct/>
                    <w:spacing w:line="240" w:lineRule="atLeast"/>
                    <w:jc w:val="center"/>
                    <w:rPr>
                      <w:color w:val="auto"/>
                      <w:spacing w:val="-10"/>
                      <w:szCs w:val="21"/>
                    </w:rPr>
                  </w:pPr>
                  <w:r>
                    <w:rPr>
                      <w:color w:val="auto"/>
                      <w:spacing w:val="-10"/>
                      <w:szCs w:val="21"/>
                    </w:rPr>
                    <w:t>序号</w:t>
                  </w:r>
                </w:p>
              </w:tc>
              <w:tc>
                <w:tcPr>
                  <w:tcW w:w="1171" w:type="pct"/>
                  <w:tcBorders>
                    <w:tl2br w:val="nil"/>
                    <w:tr2bl w:val="nil"/>
                  </w:tcBorders>
                  <w:vAlign w:val="center"/>
                </w:tcPr>
                <w:p>
                  <w:pPr>
                    <w:topLinePunct/>
                    <w:spacing w:line="240" w:lineRule="atLeast"/>
                    <w:jc w:val="center"/>
                    <w:rPr>
                      <w:color w:val="auto"/>
                      <w:spacing w:val="-10"/>
                      <w:szCs w:val="21"/>
                    </w:rPr>
                  </w:pPr>
                  <w:r>
                    <w:rPr>
                      <w:color w:val="auto"/>
                      <w:spacing w:val="-10"/>
                      <w:szCs w:val="21"/>
                    </w:rPr>
                    <w:t>污染源名称</w:t>
                  </w:r>
                </w:p>
              </w:tc>
              <w:tc>
                <w:tcPr>
                  <w:tcW w:w="1155" w:type="pct"/>
                  <w:tcBorders>
                    <w:tl2br w:val="nil"/>
                    <w:tr2bl w:val="nil"/>
                  </w:tcBorders>
                  <w:vAlign w:val="center"/>
                </w:tcPr>
                <w:p>
                  <w:pPr>
                    <w:topLinePunct/>
                    <w:spacing w:line="240" w:lineRule="atLeast"/>
                    <w:jc w:val="center"/>
                    <w:rPr>
                      <w:color w:val="auto"/>
                      <w:spacing w:val="-10"/>
                      <w:szCs w:val="21"/>
                    </w:rPr>
                  </w:pPr>
                  <w:r>
                    <w:rPr>
                      <w:color w:val="auto"/>
                      <w:spacing w:val="-10"/>
                      <w:szCs w:val="21"/>
                    </w:rPr>
                    <w:t>固废性质</w:t>
                  </w:r>
                </w:p>
              </w:tc>
              <w:tc>
                <w:tcPr>
                  <w:tcW w:w="1458" w:type="pct"/>
                  <w:tcBorders>
                    <w:tl2br w:val="nil"/>
                    <w:tr2bl w:val="nil"/>
                  </w:tcBorders>
                  <w:vAlign w:val="center"/>
                </w:tcPr>
                <w:p>
                  <w:pPr>
                    <w:topLinePunct/>
                    <w:spacing w:line="240" w:lineRule="atLeast"/>
                    <w:jc w:val="center"/>
                    <w:rPr>
                      <w:color w:val="auto"/>
                      <w:spacing w:val="-10"/>
                      <w:szCs w:val="21"/>
                    </w:rPr>
                  </w:pPr>
                  <w:r>
                    <w:rPr>
                      <w:color w:val="auto"/>
                      <w:spacing w:val="-10"/>
                      <w:szCs w:val="21"/>
                    </w:rPr>
                    <w:t>治理措施</w:t>
                  </w:r>
                </w:p>
              </w:tc>
              <w:tc>
                <w:tcPr>
                  <w:tcW w:w="773" w:type="pct"/>
                  <w:tcBorders>
                    <w:tl2br w:val="nil"/>
                    <w:tr2bl w:val="nil"/>
                  </w:tcBorders>
                  <w:vAlign w:val="center"/>
                </w:tcPr>
                <w:p>
                  <w:pPr>
                    <w:topLinePunct/>
                    <w:spacing w:line="240" w:lineRule="atLeast"/>
                    <w:jc w:val="center"/>
                    <w:rPr>
                      <w:color w:val="auto"/>
                      <w:spacing w:val="-10"/>
                      <w:szCs w:val="21"/>
                    </w:rPr>
                  </w:pPr>
                  <w:r>
                    <w:rPr>
                      <w:color w:val="auto"/>
                      <w:spacing w:val="-10"/>
                      <w:szCs w:val="21"/>
                    </w:rPr>
                    <w:t>处置去向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41" w:type="pct"/>
                  <w:tcBorders>
                    <w:tl2br w:val="nil"/>
                    <w:tr2bl w:val="nil"/>
                  </w:tcBorders>
                  <w:vAlign w:val="center"/>
                </w:tcPr>
                <w:p>
                  <w:pPr>
                    <w:topLinePunct/>
                    <w:spacing w:line="240" w:lineRule="atLeast"/>
                    <w:jc w:val="center"/>
                    <w:rPr>
                      <w:color w:val="auto"/>
                      <w:spacing w:val="-10"/>
                      <w:szCs w:val="21"/>
                    </w:rPr>
                  </w:pPr>
                  <w:r>
                    <w:rPr>
                      <w:color w:val="auto"/>
                      <w:spacing w:val="-10"/>
                      <w:szCs w:val="21"/>
                    </w:rPr>
                    <w:t>1</w:t>
                  </w:r>
                </w:p>
              </w:tc>
              <w:tc>
                <w:tcPr>
                  <w:tcW w:w="1171" w:type="pct"/>
                  <w:tcBorders>
                    <w:tl2br w:val="nil"/>
                    <w:tr2bl w:val="nil"/>
                  </w:tcBorders>
                  <w:vAlign w:val="center"/>
                </w:tcPr>
                <w:p>
                  <w:pPr>
                    <w:adjustRightInd w:val="0"/>
                    <w:contextualSpacing/>
                    <w:jc w:val="center"/>
                    <w:rPr>
                      <w:color w:val="auto"/>
                      <w:szCs w:val="21"/>
                    </w:rPr>
                  </w:pPr>
                  <w:r>
                    <w:rPr>
                      <w:color w:val="auto"/>
                      <w:szCs w:val="21"/>
                    </w:rPr>
                    <w:t>除尘灰</w:t>
                  </w:r>
                </w:p>
              </w:tc>
              <w:tc>
                <w:tcPr>
                  <w:tcW w:w="1155" w:type="pct"/>
                  <w:vMerge w:val="restart"/>
                  <w:tcBorders>
                    <w:tl2br w:val="nil"/>
                    <w:tr2bl w:val="nil"/>
                  </w:tcBorders>
                  <w:vAlign w:val="center"/>
                </w:tcPr>
                <w:p>
                  <w:pPr>
                    <w:topLinePunct/>
                    <w:spacing w:line="240" w:lineRule="atLeast"/>
                    <w:jc w:val="center"/>
                    <w:rPr>
                      <w:color w:val="auto"/>
                      <w:spacing w:val="-10"/>
                      <w:szCs w:val="21"/>
                    </w:rPr>
                  </w:pPr>
                  <w:r>
                    <w:rPr>
                      <w:color w:val="auto"/>
                      <w:spacing w:val="-10"/>
                      <w:szCs w:val="21"/>
                    </w:rPr>
                    <w:t>一般工业固体废物</w:t>
                  </w:r>
                </w:p>
              </w:tc>
              <w:tc>
                <w:tcPr>
                  <w:tcW w:w="1458" w:type="pct"/>
                  <w:tcBorders>
                    <w:tl2br w:val="nil"/>
                    <w:tr2bl w:val="nil"/>
                  </w:tcBorders>
                  <w:vAlign w:val="center"/>
                </w:tcPr>
                <w:p>
                  <w:pPr>
                    <w:adjustRightInd w:val="0"/>
                    <w:contextualSpacing/>
                    <w:jc w:val="center"/>
                    <w:rPr>
                      <w:color w:val="auto"/>
                      <w:szCs w:val="21"/>
                    </w:rPr>
                  </w:pPr>
                  <w:r>
                    <w:rPr>
                      <w:color w:val="auto"/>
                      <w:szCs w:val="21"/>
                    </w:rPr>
                    <w:t>外售综合利用</w:t>
                  </w:r>
                </w:p>
              </w:tc>
              <w:tc>
                <w:tcPr>
                  <w:tcW w:w="773" w:type="pct"/>
                  <w:vMerge w:val="restart"/>
                  <w:tcBorders>
                    <w:tl2br w:val="nil"/>
                    <w:tr2bl w:val="nil"/>
                  </w:tcBorders>
                  <w:vAlign w:val="center"/>
                </w:tcPr>
                <w:p>
                  <w:pPr>
                    <w:topLinePunct/>
                    <w:spacing w:line="240" w:lineRule="atLeast"/>
                    <w:jc w:val="center"/>
                    <w:rPr>
                      <w:color w:val="auto"/>
                      <w:spacing w:val="-10"/>
                      <w:szCs w:val="21"/>
                    </w:rPr>
                  </w:pPr>
                  <w:r>
                    <w:rPr>
                      <w:color w:val="auto"/>
                      <w:spacing w:val="-10"/>
                      <w:szCs w:val="21"/>
                    </w:rPr>
                    <w:t>全部综合利用或妥善处置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41" w:type="pct"/>
                  <w:tcBorders>
                    <w:tl2br w:val="nil"/>
                    <w:tr2bl w:val="nil"/>
                  </w:tcBorders>
                  <w:vAlign w:val="center"/>
                </w:tcPr>
                <w:p>
                  <w:pPr>
                    <w:topLinePunct/>
                    <w:spacing w:line="240" w:lineRule="atLeast"/>
                    <w:jc w:val="center"/>
                    <w:rPr>
                      <w:color w:val="auto"/>
                      <w:spacing w:val="-10"/>
                      <w:szCs w:val="21"/>
                    </w:rPr>
                  </w:pPr>
                  <w:r>
                    <w:rPr>
                      <w:color w:val="auto"/>
                      <w:spacing w:val="-10"/>
                      <w:szCs w:val="21"/>
                    </w:rPr>
                    <w:t>2</w:t>
                  </w:r>
                </w:p>
              </w:tc>
              <w:tc>
                <w:tcPr>
                  <w:tcW w:w="1171" w:type="pct"/>
                  <w:tcBorders>
                    <w:tl2br w:val="nil"/>
                    <w:tr2bl w:val="nil"/>
                  </w:tcBorders>
                  <w:vAlign w:val="center"/>
                </w:tcPr>
                <w:p>
                  <w:pPr>
                    <w:adjustRightInd w:val="0"/>
                    <w:contextualSpacing/>
                    <w:jc w:val="center"/>
                    <w:rPr>
                      <w:color w:val="auto"/>
                      <w:szCs w:val="21"/>
                    </w:rPr>
                  </w:pPr>
                  <w:r>
                    <w:rPr>
                      <w:rFonts w:hint="eastAsia"/>
                      <w:color w:val="auto"/>
                      <w:szCs w:val="21"/>
                    </w:rPr>
                    <w:t>熔炼渣</w:t>
                  </w:r>
                </w:p>
              </w:tc>
              <w:tc>
                <w:tcPr>
                  <w:tcW w:w="1155" w:type="pct"/>
                  <w:vMerge w:val="continue"/>
                  <w:tcBorders>
                    <w:tl2br w:val="nil"/>
                    <w:tr2bl w:val="nil"/>
                  </w:tcBorders>
                  <w:vAlign w:val="center"/>
                </w:tcPr>
                <w:p>
                  <w:pPr>
                    <w:topLinePunct/>
                    <w:spacing w:line="240" w:lineRule="atLeast"/>
                    <w:jc w:val="center"/>
                    <w:rPr>
                      <w:color w:val="auto"/>
                      <w:spacing w:val="-10"/>
                      <w:szCs w:val="21"/>
                    </w:rPr>
                  </w:pPr>
                </w:p>
              </w:tc>
              <w:tc>
                <w:tcPr>
                  <w:tcW w:w="1458" w:type="pct"/>
                  <w:tcBorders>
                    <w:tl2br w:val="nil"/>
                    <w:tr2bl w:val="nil"/>
                  </w:tcBorders>
                  <w:vAlign w:val="center"/>
                </w:tcPr>
                <w:p>
                  <w:pPr>
                    <w:adjustRightInd w:val="0"/>
                    <w:contextualSpacing/>
                    <w:jc w:val="center"/>
                    <w:rPr>
                      <w:color w:val="auto"/>
                      <w:szCs w:val="21"/>
                    </w:rPr>
                  </w:pPr>
                  <w:r>
                    <w:rPr>
                      <w:color w:val="auto"/>
                      <w:szCs w:val="21"/>
                    </w:rPr>
                    <w:t>外售综合利用</w:t>
                  </w:r>
                </w:p>
              </w:tc>
              <w:tc>
                <w:tcPr>
                  <w:tcW w:w="773" w:type="pct"/>
                  <w:vMerge w:val="continue"/>
                  <w:tcBorders>
                    <w:tl2br w:val="nil"/>
                    <w:tr2bl w:val="nil"/>
                  </w:tcBorders>
                  <w:vAlign w:val="center"/>
                </w:tcPr>
                <w:p>
                  <w:pPr>
                    <w:topLinePunct/>
                    <w:spacing w:line="240" w:lineRule="atLeast"/>
                    <w:jc w:val="center"/>
                    <w:rPr>
                      <w:color w:val="auto"/>
                      <w:spacing w:val="-10"/>
                      <w:szCs w:val="21"/>
                      <w:highlight w:val="gree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41" w:type="pct"/>
                  <w:tcBorders>
                    <w:tl2br w:val="nil"/>
                    <w:tr2bl w:val="nil"/>
                  </w:tcBorders>
                  <w:vAlign w:val="center"/>
                </w:tcPr>
                <w:p>
                  <w:pPr>
                    <w:topLinePunct/>
                    <w:spacing w:line="240" w:lineRule="atLeast"/>
                    <w:jc w:val="center"/>
                    <w:rPr>
                      <w:color w:val="auto"/>
                      <w:spacing w:val="-10"/>
                      <w:szCs w:val="21"/>
                    </w:rPr>
                  </w:pPr>
                  <w:r>
                    <w:rPr>
                      <w:rFonts w:hint="eastAsia"/>
                      <w:color w:val="auto"/>
                      <w:spacing w:val="-10"/>
                      <w:szCs w:val="21"/>
                    </w:rPr>
                    <w:t>3</w:t>
                  </w:r>
                </w:p>
              </w:tc>
              <w:tc>
                <w:tcPr>
                  <w:tcW w:w="1171" w:type="pct"/>
                  <w:tcBorders>
                    <w:tl2br w:val="nil"/>
                    <w:tr2bl w:val="nil"/>
                  </w:tcBorders>
                  <w:vAlign w:val="center"/>
                </w:tcPr>
                <w:p>
                  <w:pPr>
                    <w:adjustRightInd w:val="0"/>
                    <w:contextualSpacing/>
                    <w:jc w:val="center"/>
                    <w:rPr>
                      <w:color w:val="auto"/>
                      <w:szCs w:val="21"/>
                    </w:rPr>
                  </w:pPr>
                  <w:r>
                    <w:rPr>
                      <w:rFonts w:hint="eastAsia"/>
                      <w:color w:val="auto"/>
                      <w:szCs w:val="21"/>
                    </w:rPr>
                    <w:t>切冒口</w:t>
                  </w:r>
                  <w:r>
                    <w:rPr>
                      <w:rFonts w:hint="eastAsia"/>
                      <w:color w:val="auto"/>
                      <w:szCs w:val="21"/>
                      <w:lang w:val="en-US" w:eastAsia="zh-CN"/>
                    </w:rPr>
                    <w:t>产生的</w:t>
                  </w:r>
                  <w:r>
                    <w:rPr>
                      <w:rFonts w:hint="eastAsia"/>
                      <w:color w:val="auto"/>
                      <w:szCs w:val="21"/>
                    </w:rPr>
                    <w:t>废铁</w:t>
                  </w:r>
                </w:p>
              </w:tc>
              <w:tc>
                <w:tcPr>
                  <w:tcW w:w="1155" w:type="pct"/>
                  <w:vMerge w:val="continue"/>
                  <w:tcBorders>
                    <w:tl2br w:val="nil"/>
                    <w:tr2bl w:val="nil"/>
                  </w:tcBorders>
                  <w:vAlign w:val="center"/>
                </w:tcPr>
                <w:p>
                  <w:pPr>
                    <w:topLinePunct/>
                    <w:spacing w:line="240" w:lineRule="atLeast"/>
                    <w:jc w:val="center"/>
                    <w:rPr>
                      <w:color w:val="auto"/>
                      <w:spacing w:val="-10"/>
                      <w:szCs w:val="21"/>
                    </w:rPr>
                  </w:pPr>
                </w:p>
              </w:tc>
              <w:tc>
                <w:tcPr>
                  <w:tcW w:w="1458" w:type="pct"/>
                  <w:tcBorders>
                    <w:tl2br w:val="nil"/>
                    <w:tr2bl w:val="nil"/>
                  </w:tcBorders>
                  <w:vAlign w:val="center"/>
                </w:tcPr>
                <w:p>
                  <w:pPr>
                    <w:adjustRightInd w:val="0"/>
                    <w:contextualSpacing/>
                    <w:jc w:val="center"/>
                    <w:rPr>
                      <w:color w:val="auto"/>
                      <w:szCs w:val="21"/>
                    </w:rPr>
                  </w:pPr>
                  <w:r>
                    <w:rPr>
                      <w:rFonts w:hint="eastAsia"/>
                      <w:color w:val="auto"/>
                      <w:szCs w:val="21"/>
                    </w:rPr>
                    <w:t>回用于生产</w:t>
                  </w:r>
                </w:p>
              </w:tc>
              <w:tc>
                <w:tcPr>
                  <w:tcW w:w="773" w:type="pct"/>
                  <w:vMerge w:val="continue"/>
                  <w:tcBorders>
                    <w:tl2br w:val="nil"/>
                    <w:tr2bl w:val="nil"/>
                  </w:tcBorders>
                  <w:vAlign w:val="center"/>
                </w:tcPr>
                <w:p>
                  <w:pPr>
                    <w:topLinePunct/>
                    <w:spacing w:line="240" w:lineRule="atLeast"/>
                    <w:jc w:val="center"/>
                    <w:rPr>
                      <w:color w:val="auto"/>
                      <w:spacing w:val="-10"/>
                      <w:szCs w:val="21"/>
                      <w:highlight w:val="gree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41" w:type="pct"/>
                  <w:tcBorders>
                    <w:tl2br w:val="nil"/>
                    <w:tr2bl w:val="nil"/>
                  </w:tcBorders>
                  <w:vAlign w:val="center"/>
                </w:tcPr>
                <w:p>
                  <w:pPr>
                    <w:topLinePunct/>
                    <w:spacing w:line="240" w:lineRule="atLeast"/>
                    <w:jc w:val="center"/>
                    <w:rPr>
                      <w:rFonts w:hint="eastAsia" w:eastAsia="宋体"/>
                      <w:color w:val="auto"/>
                      <w:spacing w:val="-10"/>
                      <w:szCs w:val="21"/>
                      <w:lang w:val="en-US" w:eastAsia="zh-CN"/>
                    </w:rPr>
                  </w:pPr>
                  <w:r>
                    <w:rPr>
                      <w:rFonts w:hint="eastAsia"/>
                      <w:color w:val="auto"/>
                      <w:spacing w:val="-10"/>
                      <w:szCs w:val="21"/>
                      <w:lang w:val="en-US" w:eastAsia="zh-CN"/>
                    </w:rPr>
                    <w:t>4</w:t>
                  </w:r>
                </w:p>
              </w:tc>
              <w:tc>
                <w:tcPr>
                  <w:tcW w:w="1171" w:type="pct"/>
                  <w:tcBorders>
                    <w:tl2br w:val="nil"/>
                    <w:tr2bl w:val="nil"/>
                  </w:tcBorders>
                  <w:vAlign w:val="center"/>
                </w:tcPr>
                <w:p>
                  <w:pPr>
                    <w:adjustRightInd w:val="0"/>
                    <w:contextualSpacing/>
                    <w:jc w:val="center"/>
                    <w:rPr>
                      <w:color w:val="auto"/>
                      <w:szCs w:val="21"/>
                    </w:rPr>
                  </w:pPr>
                  <w:r>
                    <w:rPr>
                      <w:rFonts w:hint="eastAsia"/>
                      <w:color w:val="auto"/>
                      <w:szCs w:val="21"/>
                    </w:rPr>
                    <w:t>废砂</w:t>
                  </w:r>
                </w:p>
              </w:tc>
              <w:tc>
                <w:tcPr>
                  <w:tcW w:w="1155" w:type="pct"/>
                  <w:vMerge w:val="continue"/>
                  <w:tcBorders>
                    <w:tl2br w:val="nil"/>
                    <w:tr2bl w:val="nil"/>
                  </w:tcBorders>
                  <w:vAlign w:val="center"/>
                </w:tcPr>
                <w:p>
                  <w:pPr>
                    <w:topLinePunct/>
                    <w:spacing w:line="240" w:lineRule="atLeast"/>
                    <w:jc w:val="center"/>
                    <w:rPr>
                      <w:color w:val="auto"/>
                      <w:spacing w:val="-10"/>
                      <w:szCs w:val="21"/>
                    </w:rPr>
                  </w:pPr>
                </w:p>
              </w:tc>
              <w:tc>
                <w:tcPr>
                  <w:tcW w:w="1458" w:type="pct"/>
                  <w:tcBorders>
                    <w:tl2br w:val="nil"/>
                    <w:tr2bl w:val="nil"/>
                  </w:tcBorders>
                  <w:vAlign w:val="center"/>
                </w:tcPr>
                <w:p>
                  <w:pPr>
                    <w:adjustRightInd w:val="0"/>
                    <w:contextualSpacing/>
                    <w:jc w:val="center"/>
                    <w:rPr>
                      <w:color w:val="auto"/>
                      <w:szCs w:val="21"/>
                    </w:rPr>
                  </w:pPr>
                  <w:r>
                    <w:rPr>
                      <w:rFonts w:hint="eastAsia"/>
                      <w:color w:val="auto"/>
                      <w:szCs w:val="21"/>
                    </w:rPr>
                    <w:t>包装后作为原料外售于处理厂家</w:t>
                  </w:r>
                </w:p>
              </w:tc>
              <w:tc>
                <w:tcPr>
                  <w:tcW w:w="773" w:type="pct"/>
                  <w:vMerge w:val="continue"/>
                  <w:tcBorders>
                    <w:tl2br w:val="nil"/>
                    <w:tr2bl w:val="nil"/>
                  </w:tcBorders>
                  <w:vAlign w:val="center"/>
                </w:tcPr>
                <w:p>
                  <w:pPr>
                    <w:topLinePunct/>
                    <w:spacing w:line="240" w:lineRule="atLeast"/>
                    <w:jc w:val="center"/>
                    <w:rPr>
                      <w:color w:val="auto"/>
                      <w:spacing w:val="-10"/>
                      <w:szCs w:val="21"/>
                      <w:highlight w:val="gree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41" w:type="pct"/>
                  <w:tcBorders>
                    <w:tl2br w:val="nil"/>
                    <w:tr2bl w:val="nil"/>
                  </w:tcBorders>
                  <w:vAlign w:val="center"/>
                </w:tcPr>
                <w:p>
                  <w:pPr>
                    <w:topLinePunct/>
                    <w:spacing w:line="240" w:lineRule="atLeast"/>
                    <w:jc w:val="center"/>
                    <w:rPr>
                      <w:rFonts w:hint="eastAsia" w:eastAsia="宋体"/>
                      <w:color w:val="auto"/>
                      <w:spacing w:val="-10"/>
                      <w:szCs w:val="21"/>
                      <w:lang w:val="en-US" w:eastAsia="zh-CN"/>
                    </w:rPr>
                  </w:pPr>
                  <w:r>
                    <w:rPr>
                      <w:rFonts w:hint="eastAsia"/>
                      <w:color w:val="auto"/>
                      <w:spacing w:val="-10"/>
                      <w:szCs w:val="21"/>
                      <w:lang w:val="en-US" w:eastAsia="zh-CN"/>
                    </w:rPr>
                    <w:t>5</w:t>
                  </w:r>
                </w:p>
              </w:tc>
              <w:tc>
                <w:tcPr>
                  <w:tcW w:w="1171" w:type="pct"/>
                  <w:tcBorders>
                    <w:tl2br w:val="nil"/>
                    <w:tr2bl w:val="nil"/>
                  </w:tcBorders>
                  <w:vAlign w:val="center"/>
                </w:tcPr>
                <w:p>
                  <w:pPr>
                    <w:adjustRightInd w:val="0"/>
                    <w:contextualSpacing/>
                    <w:jc w:val="center"/>
                    <w:rPr>
                      <w:color w:val="auto"/>
                      <w:szCs w:val="21"/>
                    </w:rPr>
                  </w:pPr>
                  <w:r>
                    <w:rPr>
                      <w:rFonts w:hint="eastAsia"/>
                      <w:color w:val="auto"/>
                      <w:szCs w:val="21"/>
                    </w:rPr>
                    <w:t>废布袋</w:t>
                  </w:r>
                </w:p>
              </w:tc>
              <w:tc>
                <w:tcPr>
                  <w:tcW w:w="1155" w:type="pct"/>
                  <w:vMerge w:val="continue"/>
                  <w:tcBorders>
                    <w:tl2br w:val="nil"/>
                    <w:tr2bl w:val="nil"/>
                  </w:tcBorders>
                  <w:vAlign w:val="center"/>
                </w:tcPr>
                <w:p>
                  <w:pPr>
                    <w:topLinePunct/>
                    <w:spacing w:line="240" w:lineRule="atLeast"/>
                    <w:jc w:val="center"/>
                    <w:rPr>
                      <w:color w:val="auto"/>
                      <w:spacing w:val="-10"/>
                      <w:szCs w:val="21"/>
                    </w:rPr>
                  </w:pPr>
                </w:p>
              </w:tc>
              <w:tc>
                <w:tcPr>
                  <w:tcW w:w="1458" w:type="pct"/>
                  <w:tcBorders>
                    <w:tl2br w:val="nil"/>
                    <w:tr2bl w:val="nil"/>
                  </w:tcBorders>
                  <w:vAlign w:val="center"/>
                </w:tcPr>
                <w:p>
                  <w:pPr>
                    <w:adjustRightInd w:val="0"/>
                    <w:contextualSpacing/>
                    <w:jc w:val="center"/>
                    <w:rPr>
                      <w:color w:val="auto"/>
                      <w:szCs w:val="21"/>
                    </w:rPr>
                  </w:pPr>
                  <w:r>
                    <w:rPr>
                      <w:color w:val="auto"/>
                      <w:szCs w:val="21"/>
                    </w:rPr>
                    <w:t>定期由厂家回收处理</w:t>
                  </w:r>
                </w:p>
              </w:tc>
              <w:tc>
                <w:tcPr>
                  <w:tcW w:w="773" w:type="pct"/>
                  <w:vMerge w:val="continue"/>
                  <w:tcBorders>
                    <w:tl2br w:val="nil"/>
                    <w:tr2bl w:val="nil"/>
                  </w:tcBorders>
                  <w:vAlign w:val="center"/>
                </w:tcPr>
                <w:p>
                  <w:pPr>
                    <w:topLinePunct/>
                    <w:spacing w:line="240" w:lineRule="atLeast"/>
                    <w:jc w:val="center"/>
                    <w:rPr>
                      <w:color w:val="auto"/>
                      <w:spacing w:val="-10"/>
                      <w:szCs w:val="21"/>
                      <w:highlight w:val="gree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90" w:hRule="atLeast"/>
                <w:jc w:val="center"/>
              </w:trPr>
              <w:tc>
                <w:tcPr>
                  <w:tcW w:w="441" w:type="pct"/>
                  <w:tcBorders>
                    <w:tl2br w:val="nil"/>
                    <w:tr2bl w:val="nil"/>
                  </w:tcBorders>
                  <w:vAlign w:val="center"/>
                </w:tcPr>
                <w:p>
                  <w:pPr>
                    <w:topLinePunct/>
                    <w:spacing w:line="240" w:lineRule="atLeast"/>
                    <w:jc w:val="center"/>
                    <w:rPr>
                      <w:rFonts w:hint="eastAsia" w:eastAsia="宋体"/>
                      <w:color w:val="auto"/>
                      <w:spacing w:val="-10"/>
                      <w:szCs w:val="21"/>
                      <w:lang w:val="en-US" w:eastAsia="zh-CN"/>
                    </w:rPr>
                  </w:pPr>
                  <w:r>
                    <w:rPr>
                      <w:rFonts w:hint="eastAsia"/>
                      <w:color w:val="auto"/>
                      <w:spacing w:val="-10"/>
                      <w:szCs w:val="21"/>
                      <w:lang w:val="en-US" w:eastAsia="zh-CN"/>
                    </w:rPr>
                    <w:t>6</w:t>
                  </w:r>
                </w:p>
              </w:tc>
              <w:tc>
                <w:tcPr>
                  <w:tcW w:w="1171" w:type="pct"/>
                  <w:tcBorders>
                    <w:tl2br w:val="nil"/>
                    <w:tr2bl w:val="nil"/>
                  </w:tcBorders>
                  <w:vAlign w:val="center"/>
                </w:tcPr>
                <w:p>
                  <w:pPr>
                    <w:adjustRightInd w:val="0"/>
                    <w:contextualSpacing/>
                    <w:jc w:val="center"/>
                    <w:rPr>
                      <w:color w:val="auto"/>
                      <w:szCs w:val="21"/>
                    </w:rPr>
                  </w:pPr>
                  <w:r>
                    <w:rPr>
                      <w:color w:val="auto"/>
                      <w:szCs w:val="21"/>
                    </w:rPr>
                    <w:t>废矿物油</w:t>
                  </w:r>
                </w:p>
              </w:tc>
              <w:tc>
                <w:tcPr>
                  <w:tcW w:w="1155" w:type="pct"/>
                  <w:vMerge w:val="restart"/>
                  <w:tcBorders>
                    <w:tl2br w:val="nil"/>
                    <w:tr2bl w:val="nil"/>
                  </w:tcBorders>
                  <w:vAlign w:val="center"/>
                </w:tcPr>
                <w:p>
                  <w:pPr>
                    <w:topLinePunct/>
                    <w:spacing w:line="240" w:lineRule="atLeast"/>
                    <w:jc w:val="center"/>
                    <w:rPr>
                      <w:color w:val="auto"/>
                      <w:spacing w:val="-10"/>
                      <w:szCs w:val="21"/>
                    </w:rPr>
                  </w:pPr>
                  <w:r>
                    <w:rPr>
                      <w:rFonts w:hint="eastAsia"/>
                      <w:color w:val="auto"/>
                      <w:spacing w:val="-10"/>
                      <w:szCs w:val="21"/>
                    </w:rPr>
                    <w:t>危险废物</w:t>
                  </w:r>
                </w:p>
              </w:tc>
              <w:tc>
                <w:tcPr>
                  <w:tcW w:w="1458" w:type="pct"/>
                  <w:vMerge w:val="restart"/>
                  <w:tcBorders>
                    <w:tl2br w:val="nil"/>
                    <w:tr2bl w:val="nil"/>
                  </w:tcBorders>
                  <w:vAlign w:val="center"/>
                </w:tcPr>
                <w:p>
                  <w:pPr>
                    <w:topLinePunct/>
                    <w:spacing w:line="240" w:lineRule="atLeast"/>
                    <w:jc w:val="center"/>
                    <w:rPr>
                      <w:color w:val="auto"/>
                      <w:spacing w:val="-10"/>
                      <w:szCs w:val="21"/>
                    </w:rPr>
                  </w:pPr>
                  <w:r>
                    <w:rPr>
                      <w:rFonts w:hint="eastAsia"/>
                      <w:color w:val="auto"/>
                      <w:spacing w:val="-10"/>
                      <w:szCs w:val="21"/>
                    </w:rPr>
                    <w:t>暂存于危险废物暂存间由有资质的单位处置</w:t>
                  </w:r>
                </w:p>
              </w:tc>
              <w:tc>
                <w:tcPr>
                  <w:tcW w:w="773" w:type="pct"/>
                  <w:vMerge w:val="continue"/>
                  <w:tcBorders>
                    <w:tl2br w:val="nil"/>
                    <w:tr2bl w:val="nil"/>
                  </w:tcBorders>
                  <w:vAlign w:val="center"/>
                </w:tcPr>
                <w:p>
                  <w:pPr>
                    <w:topLinePunct/>
                    <w:spacing w:line="240" w:lineRule="atLeast"/>
                    <w:jc w:val="center"/>
                    <w:rPr>
                      <w:color w:val="auto"/>
                      <w:spacing w:val="-10"/>
                      <w:szCs w:val="21"/>
                      <w:highlight w:val="gree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41" w:type="pct"/>
                  <w:tcBorders>
                    <w:tl2br w:val="nil"/>
                    <w:tr2bl w:val="nil"/>
                  </w:tcBorders>
                  <w:vAlign w:val="center"/>
                </w:tcPr>
                <w:p>
                  <w:pPr>
                    <w:topLinePunct/>
                    <w:spacing w:line="240" w:lineRule="atLeast"/>
                    <w:jc w:val="center"/>
                    <w:rPr>
                      <w:rFonts w:hint="eastAsia" w:eastAsia="宋体"/>
                      <w:color w:val="auto"/>
                      <w:spacing w:val="-10"/>
                      <w:szCs w:val="21"/>
                      <w:lang w:val="en-US" w:eastAsia="zh-CN"/>
                    </w:rPr>
                  </w:pPr>
                  <w:r>
                    <w:rPr>
                      <w:rFonts w:hint="eastAsia"/>
                      <w:color w:val="auto"/>
                      <w:spacing w:val="-10"/>
                      <w:szCs w:val="21"/>
                      <w:lang w:val="en-US" w:eastAsia="zh-CN"/>
                    </w:rPr>
                    <w:t>7</w:t>
                  </w:r>
                </w:p>
              </w:tc>
              <w:tc>
                <w:tcPr>
                  <w:tcW w:w="1171" w:type="pct"/>
                  <w:tcBorders>
                    <w:tl2br w:val="nil"/>
                    <w:tr2bl w:val="nil"/>
                  </w:tcBorders>
                  <w:vAlign w:val="center"/>
                </w:tcPr>
                <w:p>
                  <w:pPr>
                    <w:adjustRightInd w:val="0"/>
                    <w:contextualSpacing/>
                    <w:jc w:val="center"/>
                    <w:rPr>
                      <w:color w:val="auto"/>
                      <w:szCs w:val="21"/>
                    </w:rPr>
                  </w:pPr>
                  <w:r>
                    <w:rPr>
                      <w:color w:val="auto"/>
                      <w:szCs w:val="21"/>
                    </w:rPr>
                    <w:t>废油桶</w:t>
                  </w:r>
                </w:p>
              </w:tc>
              <w:tc>
                <w:tcPr>
                  <w:tcW w:w="1155" w:type="pct"/>
                  <w:vMerge w:val="continue"/>
                  <w:tcBorders>
                    <w:tl2br w:val="nil"/>
                    <w:tr2bl w:val="nil"/>
                  </w:tcBorders>
                  <w:vAlign w:val="center"/>
                </w:tcPr>
                <w:p>
                  <w:pPr>
                    <w:topLinePunct/>
                    <w:spacing w:line="240" w:lineRule="atLeast"/>
                    <w:jc w:val="center"/>
                    <w:rPr>
                      <w:color w:val="auto"/>
                      <w:spacing w:val="-10"/>
                      <w:szCs w:val="21"/>
                    </w:rPr>
                  </w:pPr>
                </w:p>
              </w:tc>
              <w:tc>
                <w:tcPr>
                  <w:tcW w:w="1458" w:type="pct"/>
                  <w:vMerge w:val="continue"/>
                  <w:tcBorders>
                    <w:tl2br w:val="nil"/>
                    <w:tr2bl w:val="nil"/>
                  </w:tcBorders>
                  <w:vAlign w:val="center"/>
                </w:tcPr>
                <w:p>
                  <w:pPr>
                    <w:topLinePunct/>
                    <w:spacing w:line="240" w:lineRule="atLeast"/>
                    <w:jc w:val="center"/>
                    <w:rPr>
                      <w:color w:val="auto"/>
                      <w:spacing w:val="-10"/>
                      <w:szCs w:val="21"/>
                    </w:rPr>
                  </w:pPr>
                </w:p>
              </w:tc>
              <w:tc>
                <w:tcPr>
                  <w:tcW w:w="773" w:type="pct"/>
                  <w:vMerge w:val="continue"/>
                  <w:tcBorders>
                    <w:tl2br w:val="nil"/>
                    <w:tr2bl w:val="nil"/>
                  </w:tcBorders>
                  <w:vAlign w:val="center"/>
                </w:tcPr>
                <w:p>
                  <w:pPr>
                    <w:topLinePunct/>
                    <w:spacing w:line="240" w:lineRule="atLeast"/>
                    <w:jc w:val="center"/>
                    <w:rPr>
                      <w:color w:val="auto"/>
                      <w:spacing w:val="-10"/>
                      <w:szCs w:val="21"/>
                      <w:highlight w:val="gree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41" w:type="pct"/>
                  <w:tcBorders>
                    <w:tl2br w:val="nil"/>
                    <w:tr2bl w:val="nil"/>
                  </w:tcBorders>
                  <w:vAlign w:val="center"/>
                </w:tcPr>
                <w:p>
                  <w:pPr>
                    <w:topLinePunct/>
                    <w:spacing w:line="240" w:lineRule="atLeast"/>
                    <w:jc w:val="center"/>
                    <w:rPr>
                      <w:rFonts w:hint="eastAsia" w:eastAsia="宋体"/>
                      <w:color w:val="auto"/>
                      <w:spacing w:val="-10"/>
                      <w:szCs w:val="21"/>
                      <w:lang w:val="en-US" w:eastAsia="zh-CN"/>
                    </w:rPr>
                  </w:pPr>
                  <w:r>
                    <w:rPr>
                      <w:rFonts w:hint="eastAsia"/>
                      <w:color w:val="auto"/>
                      <w:spacing w:val="-10"/>
                      <w:szCs w:val="21"/>
                      <w:lang w:val="en-US" w:eastAsia="zh-CN"/>
                    </w:rPr>
                    <w:t>8</w:t>
                  </w:r>
                </w:p>
              </w:tc>
              <w:tc>
                <w:tcPr>
                  <w:tcW w:w="1171" w:type="pct"/>
                  <w:tcBorders>
                    <w:tl2br w:val="nil"/>
                    <w:tr2bl w:val="nil"/>
                  </w:tcBorders>
                  <w:vAlign w:val="center"/>
                </w:tcPr>
                <w:p>
                  <w:pPr>
                    <w:topLinePunct/>
                    <w:spacing w:line="240" w:lineRule="atLeast"/>
                    <w:jc w:val="center"/>
                    <w:rPr>
                      <w:color w:val="auto"/>
                      <w:spacing w:val="-10"/>
                      <w:szCs w:val="21"/>
                    </w:rPr>
                  </w:pPr>
                  <w:r>
                    <w:rPr>
                      <w:color w:val="auto"/>
                      <w:spacing w:val="-10"/>
                      <w:szCs w:val="21"/>
                    </w:rPr>
                    <w:t>生活垃圾</w:t>
                  </w:r>
                </w:p>
              </w:tc>
              <w:tc>
                <w:tcPr>
                  <w:tcW w:w="1155" w:type="pct"/>
                  <w:tcBorders>
                    <w:tl2br w:val="nil"/>
                    <w:tr2bl w:val="nil"/>
                  </w:tcBorders>
                  <w:vAlign w:val="center"/>
                </w:tcPr>
                <w:p>
                  <w:pPr>
                    <w:topLinePunct/>
                    <w:spacing w:line="240" w:lineRule="atLeast"/>
                    <w:jc w:val="center"/>
                    <w:rPr>
                      <w:color w:val="auto"/>
                      <w:spacing w:val="-10"/>
                      <w:szCs w:val="21"/>
                    </w:rPr>
                  </w:pPr>
                  <w:r>
                    <w:rPr>
                      <w:color w:val="auto"/>
                      <w:spacing w:val="-10"/>
                      <w:szCs w:val="21"/>
                    </w:rPr>
                    <w:t>-</w:t>
                  </w:r>
                </w:p>
              </w:tc>
              <w:tc>
                <w:tcPr>
                  <w:tcW w:w="1458" w:type="pct"/>
                  <w:tcBorders>
                    <w:tl2br w:val="nil"/>
                    <w:tr2bl w:val="nil"/>
                  </w:tcBorders>
                  <w:vAlign w:val="center"/>
                </w:tcPr>
                <w:p>
                  <w:pPr>
                    <w:topLinePunct/>
                    <w:spacing w:line="240" w:lineRule="atLeast"/>
                    <w:jc w:val="center"/>
                    <w:rPr>
                      <w:color w:val="auto"/>
                      <w:spacing w:val="-10"/>
                      <w:szCs w:val="21"/>
                    </w:rPr>
                  </w:pPr>
                  <w:r>
                    <w:rPr>
                      <w:color w:val="auto"/>
                      <w:szCs w:val="21"/>
                    </w:rPr>
                    <w:t>委托环卫部门处置</w:t>
                  </w:r>
                </w:p>
              </w:tc>
              <w:tc>
                <w:tcPr>
                  <w:tcW w:w="773" w:type="pct"/>
                  <w:vMerge w:val="continue"/>
                  <w:tcBorders>
                    <w:tl2br w:val="nil"/>
                    <w:tr2bl w:val="nil"/>
                  </w:tcBorders>
                  <w:vAlign w:val="center"/>
                </w:tcPr>
                <w:p>
                  <w:pPr>
                    <w:topLinePunct/>
                    <w:spacing w:line="240" w:lineRule="atLeast"/>
                    <w:jc w:val="center"/>
                    <w:rPr>
                      <w:color w:val="auto"/>
                      <w:spacing w:val="-10"/>
                      <w:szCs w:val="21"/>
                      <w:highlight w:val="green"/>
                    </w:rPr>
                  </w:pPr>
                </w:p>
              </w:tc>
            </w:tr>
          </w:tbl>
          <w:p>
            <w:pPr>
              <w:spacing w:line="500" w:lineRule="exact"/>
              <w:rPr>
                <w:color w:val="auto"/>
                <w:szCs w:val="21"/>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66" w:hRule="atLeast"/>
          <w:jc w:val="center"/>
        </w:trPr>
        <w:tc>
          <w:tcPr>
            <w:tcW w:w="853" w:type="dxa"/>
            <w:gridSpan w:val="2"/>
            <w:vAlign w:val="center"/>
          </w:tcPr>
          <w:p>
            <w:pPr>
              <w:pStyle w:val="29"/>
              <w:adjustRightInd w:val="0"/>
              <w:snapToGrid w:val="0"/>
              <w:spacing w:before="0" w:beforeAutospacing="0" w:after="0" w:afterAutospacing="0" w:line="360" w:lineRule="exact"/>
              <w:jc w:val="center"/>
              <w:rPr>
                <w:rFonts w:ascii="Times New Roman" w:hAnsi="Times New Roman"/>
                <w:color w:val="auto"/>
                <w:szCs w:val="24"/>
              </w:rPr>
            </w:pPr>
            <w:r>
              <w:rPr>
                <w:rFonts w:ascii="Times New Roman" w:hAnsi="Times New Roman"/>
                <w:bCs/>
                <w:color w:val="auto"/>
                <w:kern w:val="2"/>
                <w:szCs w:val="24"/>
              </w:rPr>
              <w:t>与项目有关的原有环境污染问题</w:t>
            </w:r>
          </w:p>
        </w:tc>
        <w:tc>
          <w:tcPr>
            <w:tcW w:w="8206" w:type="dxa"/>
            <w:vAlign w:val="center"/>
          </w:tcPr>
          <w:p>
            <w:pPr>
              <w:pStyle w:val="32"/>
              <w:spacing w:line="480" w:lineRule="exact"/>
              <w:ind w:left="0" w:leftChars="0" w:firstLine="480"/>
              <w:rPr>
                <w:color w:val="auto"/>
                <w:szCs w:val="21"/>
              </w:rPr>
            </w:pPr>
            <w:r>
              <w:rPr>
                <w:rFonts w:hint="eastAsia"/>
                <w:color w:val="auto"/>
                <w:sz w:val="24"/>
              </w:rPr>
              <w:t>本项目为新建项目，租用厂区为现有废弃已久厂房，原厂区无遗留环保问题，不存在与本项目相关的原有环境污染问题。</w:t>
            </w:r>
          </w:p>
        </w:tc>
      </w:tr>
    </w:tbl>
    <w:p>
      <w:pPr>
        <w:pStyle w:val="29"/>
        <w:jc w:val="center"/>
        <w:rPr>
          <w:rFonts w:ascii="Times New Roman" w:hAnsi="Times New Roman" w:eastAsia="黑体"/>
          <w:snapToGrid w:val="0"/>
          <w:color w:val="auto"/>
          <w:sz w:val="36"/>
          <w:szCs w:val="36"/>
        </w:rPr>
        <w:sectPr>
          <w:pgSz w:w="11905" w:h="16838"/>
          <w:pgMar w:top="1701" w:right="1531" w:bottom="1701" w:left="1531" w:header="851" w:footer="1077" w:gutter="0"/>
          <w:cols w:space="720" w:num="1"/>
          <w:docGrid w:linePitch="312" w:charSpace="0"/>
        </w:sectPr>
      </w:pPr>
    </w:p>
    <w:p>
      <w:pPr>
        <w:pStyle w:val="29"/>
        <w:keepNext/>
        <w:widowControl w:val="0"/>
        <w:jc w:val="center"/>
        <w:outlineLvl w:val="0"/>
        <w:rPr>
          <w:rFonts w:ascii="Times New Roman" w:hAnsi="Times New Roman" w:eastAsia="黑体"/>
          <w:snapToGrid w:val="0"/>
          <w:color w:val="auto"/>
          <w:sz w:val="30"/>
          <w:szCs w:val="30"/>
        </w:rPr>
      </w:pPr>
      <w:bookmarkStart w:id="14" w:name="_Toc30819"/>
      <w:bookmarkStart w:id="15" w:name="_Toc4849"/>
      <w:bookmarkStart w:id="16" w:name="_Toc26788"/>
      <w:r>
        <w:rPr>
          <w:rFonts w:ascii="Times New Roman" w:hAnsi="Times New Roman" w:eastAsia="黑体"/>
          <w:snapToGrid w:val="0"/>
          <w:color w:val="auto"/>
          <w:sz w:val="30"/>
          <w:szCs w:val="30"/>
        </w:rPr>
        <w:t>三、区域环境质量现状、环境保护目标及评价标准</w:t>
      </w:r>
      <w:bookmarkEnd w:id="14"/>
    </w:p>
    <w:tbl>
      <w:tblPr>
        <w:tblStyle w:val="3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15"/>
        <w:gridCol w:w="854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0" w:hRule="atLeast"/>
          <w:jc w:val="center"/>
        </w:trPr>
        <w:tc>
          <w:tcPr>
            <w:tcW w:w="515" w:type="dxa"/>
            <w:vAlign w:val="center"/>
          </w:tcPr>
          <w:p>
            <w:pPr>
              <w:keepNext/>
              <w:widowControl/>
              <w:adjustRightInd w:val="0"/>
              <w:snapToGrid w:val="0"/>
              <w:spacing w:line="480" w:lineRule="exact"/>
              <w:jc w:val="center"/>
              <w:rPr>
                <w:color w:val="auto"/>
                <w:kern w:val="0"/>
                <w:sz w:val="24"/>
              </w:rPr>
            </w:pPr>
            <w:r>
              <w:rPr>
                <w:color w:val="auto"/>
                <w:kern w:val="0"/>
                <w:sz w:val="24"/>
              </w:rPr>
              <w:t>区</w:t>
            </w:r>
          </w:p>
          <w:p>
            <w:pPr>
              <w:keepNext/>
              <w:widowControl/>
              <w:adjustRightInd w:val="0"/>
              <w:snapToGrid w:val="0"/>
              <w:spacing w:line="480" w:lineRule="exact"/>
              <w:jc w:val="center"/>
              <w:rPr>
                <w:color w:val="auto"/>
                <w:kern w:val="0"/>
                <w:sz w:val="24"/>
              </w:rPr>
            </w:pPr>
            <w:r>
              <w:rPr>
                <w:color w:val="auto"/>
                <w:kern w:val="0"/>
                <w:sz w:val="24"/>
              </w:rPr>
              <w:t>域</w:t>
            </w:r>
          </w:p>
          <w:p>
            <w:pPr>
              <w:keepNext/>
              <w:widowControl/>
              <w:adjustRightInd w:val="0"/>
              <w:snapToGrid w:val="0"/>
              <w:spacing w:line="480" w:lineRule="exact"/>
              <w:jc w:val="center"/>
              <w:rPr>
                <w:color w:val="auto"/>
                <w:kern w:val="0"/>
                <w:sz w:val="24"/>
              </w:rPr>
            </w:pPr>
            <w:r>
              <w:rPr>
                <w:color w:val="auto"/>
                <w:kern w:val="0"/>
                <w:sz w:val="24"/>
              </w:rPr>
              <w:t>环</w:t>
            </w:r>
          </w:p>
          <w:p>
            <w:pPr>
              <w:keepNext/>
              <w:widowControl/>
              <w:adjustRightInd w:val="0"/>
              <w:snapToGrid w:val="0"/>
              <w:spacing w:line="480" w:lineRule="exact"/>
              <w:jc w:val="center"/>
              <w:rPr>
                <w:color w:val="auto"/>
                <w:kern w:val="0"/>
                <w:sz w:val="24"/>
              </w:rPr>
            </w:pPr>
            <w:r>
              <w:rPr>
                <w:color w:val="auto"/>
                <w:kern w:val="0"/>
                <w:sz w:val="24"/>
              </w:rPr>
              <w:t>境</w:t>
            </w:r>
          </w:p>
          <w:p>
            <w:pPr>
              <w:keepNext/>
              <w:widowControl/>
              <w:adjustRightInd w:val="0"/>
              <w:snapToGrid w:val="0"/>
              <w:spacing w:line="480" w:lineRule="exact"/>
              <w:jc w:val="center"/>
              <w:rPr>
                <w:color w:val="auto"/>
                <w:kern w:val="0"/>
                <w:sz w:val="24"/>
              </w:rPr>
            </w:pPr>
            <w:r>
              <w:rPr>
                <w:color w:val="auto"/>
                <w:kern w:val="0"/>
                <w:sz w:val="24"/>
              </w:rPr>
              <w:t>质</w:t>
            </w:r>
          </w:p>
          <w:p>
            <w:pPr>
              <w:keepNext/>
              <w:widowControl/>
              <w:adjustRightInd w:val="0"/>
              <w:snapToGrid w:val="0"/>
              <w:spacing w:line="480" w:lineRule="exact"/>
              <w:jc w:val="center"/>
              <w:rPr>
                <w:color w:val="auto"/>
                <w:kern w:val="0"/>
                <w:sz w:val="24"/>
              </w:rPr>
            </w:pPr>
            <w:r>
              <w:rPr>
                <w:color w:val="auto"/>
                <w:kern w:val="0"/>
                <w:sz w:val="24"/>
              </w:rPr>
              <w:t>量</w:t>
            </w:r>
          </w:p>
          <w:p>
            <w:pPr>
              <w:keepNext/>
              <w:widowControl/>
              <w:adjustRightInd w:val="0"/>
              <w:snapToGrid w:val="0"/>
              <w:spacing w:line="480" w:lineRule="exact"/>
              <w:jc w:val="center"/>
              <w:rPr>
                <w:color w:val="auto"/>
                <w:kern w:val="0"/>
                <w:sz w:val="24"/>
              </w:rPr>
            </w:pPr>
            <w:r>
              <w:rPr>
                <w:color w:val="auto"/>
                <w:kern w:val="0"/>
                <w:sz w:val="24"/>
              </w:rPr>
              <w:t>现</w:t>
            </w:r>
          </w:p>
          <w:p>
            <w:pPr>
              <w:keepNext/>
              <w:widowControl/>
              <w:adjustRightInd w:val="0"/>
              <w:snapToGrid w:val="0"/>
              <w:spacing w:line="480" w:lineRule="exact"/>
              <w:jc w:val="center"/>
              <w:rPr>
                <w:color w:val="auto"/>
                <w:kern w:val="0"/>
                <w:szCs w:val="21"/>
              </w:rPr>
            </w:pPr>
            <w:r>
              <w:rPr>
                <w:color w:val="auto"/>
                <w:kern w:val="0"/>
                <w:sz w:val="24"/>
              </w:rPr>
              <w:t>状</w:t>
            </w:r>
          </w:p>
        </w:tc>
        <w:tc>
          <w:tcPr>
            <w:tcW w:w="8544" w:type="dxa"/>
            <w:vAlign w:val="center"/>
          </w:tcPr>
          <w:p>
            <w:pPr>
              <w:keepNext/>
              <w:widowControl/>
              <w:spacing w:line="500" w:lineRule="exact"/>
              <w:ind w:firstLine="482" w:firstLineChars="200"/>
              <w:rPr>
                <w:b/>
                <w:color w:val="auto"/>
                <w:sz w:val="24"/>
              </w:rPr>
            </w:pPr>
            <w:r>
              <w:rPr>
                <w:b/>
                <w:color w:val="auto"/>
                <w:sz w:val="24"/>
              </w:rPr>
              <w:t>1环境空气</w:t>
            </w:r>
          </w:p>
          <w:p>
            <w:pPr>
              <w:pStyle w:val="16"/>
              <w:spacing w:line="500" w:lineRule="exact"/>
              <w:ind w:left="0" w:right="0" w:firstLine="480" w:firstLineChars="200"/>
              <w:rPr>
                <w:color w:val="auto"/>
                <w:sz w:val="24"/>
              </w:rPr>
            </w:pPr>
            <w:r>
              <w:rPr>
                <w:rFonts w:hint="eastAsia"/>
                <w:color w:val="auto"/>
                <w:sz w:val="24"/>
              </w:rPr>
              <w:t>（1）</w:t>
            </w:r>
            <w:r>
              <w:rPr>
                <w:color w:val="auto"/>
                <w:sz w:val="24"/>
              </w:rPr>
              <w:t>空气质量达标区判定</w:t>
            </w:r>
          </w:p>
          <w:p>
            <w:pPr>
              <w:spacing w:line="500" w:lineRule="exact"/>
              <w:ind w:firstLine="480" w:firstLineChars="200"/>
              <w:rPr>
                <w:color w:val="auto"/>
                <w:sz w:val="24"/>
              </w:rPr>
            </w:pPr>
            <w:r>
              <w:rPr>
                <w:color w:val="auto"/>
                <w:kern w:val="21"/>
                <w:sz w:val="24"/>
              </w:rPr>
              <w:t>根据《202</w:t>
            </w:r>
            <w:r>
              <w:rPr>
                <w:rFonts w:hint="eastAsia"/>
                <w:color w:val="auto"/>
                <w:kern w:val="21"/>
                <w:sz w:val="24"/>
              </w:rPr>
              <w:t>2</w:t>
            </w:r>
            <w:r>
              <w:rPr>
                <w:color w:val="auto"/>
                <w:kern w:val="21"/>
                <w:sz w:val="24"/>
              </w:rPr>
              <w:t>年唐山市生态环境状况公报》，202</w:t>
            </w:r>
            <w:r>
              <w:rPr>
                <w:rFonts w:hint="eastAsia"/>
                <w:color w:val="auto"/>
                <w:kern w:val="21"/>
                <w:sz w:val="24"/>
              </w:rPr>
              <w:t>2</w:t>
            </w:r>
            <w:r>
              <w:rPr>
                <w:color w:val="auto"/>
                <w:kern w:val="21"/>
                <w:sz w:val="24"/>
              </w:rPr>
              <w:t>年全市细颗粒物（PM</w:t>
            </w:r>
            <w:r>
              <w:rPr>
                <w:color w:val="auto"/>
                <w:kern w:val="21"/>
                <w:sz w:val="24"/>
                <w:vertAlign w:val="subscript"/>
              </w:rPr>
              <w:t>2.5</w:t>
            </w:r>
            <w:r>
              <w:rPr>
                <w:color w:val="auto"/>
                <w:kern w:val="21"/>
                <w:sz w:val="24"/>
              </w:rPr>
              <w:t>）年平均浓度为</w:t>
            </w:r>
            <w:r>
              <w:rPr>
                <w:rFonts w:hint="eastAsia"/>
                <w:color w:val="auto"/>
                <w:kern w:val="21"/>
                <w:sz w:val="24"/>
              </w:rPr>
              <w:t>37</w:t>
            </w:r>
            <w:r>
              <w:rPr>
                <w:color w:val="auto"/>
                <w:kern w:val="21"/>
                <w:sz w:val="24"/>
              </w:rPr>
              <w:t>微克/立方米，可吸入颗粒物（PM</w:t>
            </w:r>
            <w:r>
              <w:rPr>
                <w:color w:val="auto"/>
                <w:kern w:val="21"/>
                <w:sz w:val="24"/>
                <w:vertAlign w:val="subscript"/>
              </w:rPr>
              <w:t>10</w:t>
            </w:r>
            <w:r>
              <w:rPr>
                <w:color w:val="auto"/>
                <w:kern w:val="21"/>
                <w:sz w:val="24"/>
              </w:rPr>
              <w:t>）年平均浓度为</w:t>
            </w:r>
            <w:r>
              <w:rPr>
                <w:rFonts w:hint="eastAsia"/>
                <w:color w:val="auto"/>
                <w:kern w:val="21"/>
                <w:sz w:val="24"/>
              </w:rPr>
              <w:t>67</w:t>
            </w:r>
            <w:r>
              <w:rPr>
                <w:color w:val="auto"/>
                <w:kern w:val="21"/>
                <w:sz w:val="24"/>
              </w:rPr>
              <w:t>微克/立方米，二氧化硫（SO</w:t>
            </w:r>
            <w:r>
              <w:rPr>
                <w:color w:val="auto"/>
                <w:kern w:val="21"/>
                <w:sz w:val="24"/>
                <w:vertAlign w:val="subscript"/>
              </w:rPr>
              <w:t>2</w:t>
            </w:r>
            <w:r>
              <w:rPr>
                <w:color w:val="auto"/>
                <w:kern w:val="21"/>
                <w:sz w:val="24"/>
              </w:rPr>
              <w:t>）年平均浓度为</w:t>
            </w:r>
            <w:r>
              <w:rPr>
                <w:rFonts w:hint="eastAsia"/>
                <w:color w:val="auto"/>
                <w:kern w:val="21"/>
                <w:sz w:val="24"/>
              </w:rPr>
              <w:t>8</w:t>
            </w:r>
            <w:r>
              <w:rPr>
                <w:color w:val="auto"/>
                <w:kern w:val="21"/>
                <w:sz w:val="24"/>
              </w:rPr>
              <w:t>微克/立方米，二氧化氮（NO</w:t>
            </w:r>
            <w:r>
              <w:rPr>
                <w:color w:val="auto"/>
                <w:kern w:val="21"/>
                <w:sz w:val="24"/>
                <w:vertAlign w:val="subscript"/>
              </w:rPr>
              <w:t>2</w:t>
            </w:r>
            <w:r>
              <w:rPr>
                <w:color w:val="auto"/>
                <w:kern w:val="21"/>
                <w:sz w:val="24"/>
              </w:rPr>
              <w:t>）年平均浓度为</w:t>
            </w:r>
            <w:r>
              <w:rPr>
                <w:rFonts w:hint="eastAsia"/>
                <w:color w:val="auto"/>
                <w:kern w:val="21"/>
                <w:sz w:val="24"/>
              </w:rPr>
              <w:t>32</w:t>
            </w:r>
            <w:r>
              <w:rPr>
                <w:color w:val="auto"/>
                <w:kern w:val="21"/>
                <w:sz w:val="24"/>
              </w:rPr>
              <w:t>微克/立方米，一氧化碳（CO）日均值第95百分位浓度平均为</w:t>
            </w:r>
            <w:r>
              <w:rPr>
                <w:rFonts w:hint="eastAsia"/>
                <w:color w:val="auto"/>
                <w:kern w:val="21"/>
                <w:sz w:val="24"/>
              </w:rPr>
              <w:t>1.5</w:t>
            </w:r>
            <w:r>
              <w:rPr>
                <w:color w:val="auto"/>
                <w:kern w:val="21"/>
                <w:sz w:val="24"/>
              </w:rPr>
              <w:t>毫克/立方米，臭氧（O</w:t>
            </w:r>
            <w:r>
              <w:rPr>
                <w:color w:val="auto"/>
                <w:kern w:val="21"/>
                <w:sz w:val="24"/>
                <w:vertAlign w:val="subscript"/>
              </w:rPr>
              <w:t>3</w:t>
            </w:r>
            <w:r>
              <w:rPr>
                <w:color w:val="auto"/>
                <w:kern w:val="21"/>
                <w:sz w:val="24"/>
              </w:rPr>
              <w:t>）日最大8小时平均第90百分位浓度平均为</w:t>
            </w:r>
            <w:r>
              <w:rPr>
                <w:rFonts w:hint="eastAsia"/>
                <w:color w:val="auto"/>
                <w:kern w:val="21"/>
                <w:sz w:val="24"/>
              </w:rPr>
              <w:t>182</w:t>
            </w:r>
            <w:r>
              <w:rPr>
                <w:color w:val="auto"/>
                <w:kern w:val="21"/>
                <w:sz w:val="24"/>
              </w:rPr>
              <w:t>微克/立方米。PM</w:t>
            </w:r>
            <w:r>
              <w:rPr>
                <w:color w:val="auto"/>
                <w:kern w:val="21"/>
                <w:sz w:val="24"/>
                <w:vertAlign w:val="subscript"/>
              </w:rPr>
              <w:t>2.5</w:t>
            </w:r>
            <w:r>
              <w:rPr>
                <w:color w:val="auto"/>
                <w:kern w:val="21"/>
                <w:sz w:val="24"/>
              </w:rPr>
              <w:t>、PM</w:t>
            </w:r>
            <w:r>
              <w:rPr>
                <w:color w:val="auto"/>
                <w:kern w:val="21"/>
                <w:sz w:val="24"/>
                <w:vertAlign w:val="subscript"/>
              </w:rPr>
              <w:t>10</w:t>
            </w:r>
            <w:r>
              <w:rPr>
                <w:color w:val="auto"/>
                <w:kern w:val="21"/>
                <w:sz w:val="24"/>
              </w:rPr>
              <w:t>、SO</w:t>
            </w:r>
            <w:r>
              <w:rPr>
                <w:color w:val="auto"/>
                <w:kern w:val="21"/>
                <w:sz w:val="24"/>
                <w:vertAlign w:val="subscript"/>
              </w:rPr>
              <w:t>2</w:t>
            </w:r>
            <w:r>
              <w:rPr>
                <w:color w:val="auto"/>
                <w:kern w:val="21"/>
                <w:sz w:val="24"/>
              </w:rPr>
              <w:t>、NO</w:t>
            </w:r>
            <w:r>
              <w:rPr>
                <w:color w:val="auto"/>
                <w:kern w:val="21"/>
                <w:sz w:val="24"/>
                <w:vertAlign w:val="subscript"/>
              </w:rPr>
              <w:t>2</w:t>
            </w:r>
            <w:r>
              <w:rPr>
                <w:color w:val="auto"/>
                <w:kern w:val="21"/>
                <w:sz w:val="24"/>
              </w:rPr>
              <w:t>、CO-95per平均浓度分别下降</w:t>
            </w:r>
            <w:r>
              <w:rPr>
                <w:rFonts w:hint="eastAsia"/>
                <w:color w:val="auto"/>
                <w:kern w:val="21"/>
                <w:sz w:val="24"/>
              </w:rPr>
              <w:t>13.95</w:t>
            </w:r>
            <w:r>
              <w:rPr>
                <w:color w:val="auto"/>
                <w:kern w:val="21"/>
                <w:sz w:val="24"/>
              </w:rPr>
              <w:t>%、1</w:t>
            </w:r>
            <w:r>
              <w:rPr>
                <w:rFonts w:hint="eastAsia"/>
                <w:color w:val="auto"/>
                <w:kern w:val="21"/>
                <w:sz w:val="24"/>
              </w:rPr>
              <w:t>5.19</w:t>
            </w:r>
            <w:r>
              <w:rPr>
                <w:color w:val="auto"/>
                <w:kern w:val="21"/>
                <w:sz w:val="24"/>
              </w:rPr>
              <w:t>%、</w:t>
            </w:r>
            <w:r>
              <w:rPr>
                <w:rFonts w:hint="eastAsia"/>
                <w:color w:val="auto"/>
                <w:kern w:val="21"/>
                <w:sz w:val="24"/>
              </w:rPr>
              <w:t>20</w:t>
            </w:r>
            <w:r>
              <w:rPr>
                <w:color w:val="auto"/>
                <w:kern w:val="21"/>
                <w:sz w:val="24"/>
              </w:rPr>
              <w:t>%、</w:t>
            </w:r>
            <w:r>
              <w:rPr>
                <w:rFonts w:hint="eastAsia"/>
                <w:color w:val="auto"/>
                <w:kern w:val="21"/>
                <w:sz w:val="24"/>
              </w:rPr>
              <w:t>17.95</w:t>
            </w:r>
            <w:r>
              <w:rPr>
                <w:color w:val="auto"/>
                <w:kern w:val="21"/>
                <w:sz w:val="24"/>
              </w:rPr>
              <w:t>%、</w:t>
            </w:r>
            <w:r>
              <w:rPr>
                <w:rFonts w:hint="eastAsia"/>
                <w:color w:val="auto"/>
                <w:kern w:val="21"/>
                <w:sz w:val="24"/>
              </w:rPr>
              <w:t>21.05</w:t>
            </w:r>
            <w:r>
              <w:rPr>
                <w:color w:val="auto"/>
                <w:kern w:val="21"/>
                <w:sz w:val="24"/>
              </w:rPr>
              <w:t>%</w:t>
            </w:r>
            <w:r>
              <w:rPr>
                <w:rFonts w:hint="eastAsia"/>
                <w:color w:val="auto"/>
                <w:kern w:val="21"/>
                <w:sz w:val="24"/>
              </w:rPr>
              <w:t>，</w:t>
            </w:r>
            <w:r>
              <w:rPr>
                <w:color w:val="auto"/>
                <w:kern w:val="21"/>
                <w:sz w:val="24"/>
              </w:rPr>
              <w:t>、O</w:t>
            </w:r>
            <w:r>
              <w:rPr>
                <w:color w:val="auto"/>
                <w:kern w:val="21"/>
                <w:sz w:val="24"/>
                <w:vertAlign w:val="subscript"/>
              </w:rPr>
              <w:t>3</w:t>
            </w:r>
            <w:r>
              <w:rPr>
                <w:color w:val="auto"/>
                <w:kern w:val="21"/>
                <w:sz w:val="24"/>
              </w:rPr>
              <w:t>-8H-90per平均浓度分别</w:t>
            </w:r>
            <w:r>
              <w:rPr>
                <w:rFonts w:hint="eastAsia"/>
                <w:color w:val="auto"/>
                <w:kern w:val="21"/>
                <w:sz w:val="24"/>
              </w:rPr>
              <w:t>上升13.04</w:t>
            </w:r>
            <w:r>
              <w:rPr>
                <w:color w:val="auto"/>
                <w:kern w:val="21"/>
                <w:sz w:val="24"/>
              </w:rPr>
              <w:t>%</w:t>
            </w:r>
            <w:r>
              <w:rPr>
                <w:color w:val="auto"/>
                <w:sz w:val="24"/>
              </w:rPr>
              <w:t>。评价结果见</w:t>
            </w:r>
            <w:r>
              <w:rPr>
                <w:rFonts w:hint="eastAsia"/>
                <w:color w:val="auto"/>
                <w:sz w:val="24"/>
              </w:rPr>
              <w:t>下</w:t>
            </w:r>
            <w:r>
              <w:rPr>
                <w:color w:val="auto"/>
                <w:sz w:val="24"/>
              </w:rPr>
              <w:t>表。</w:t>
            </w:r>
          </w:p>
          <w:p>
            <w:pPr>
              <w:spacing w:line="500" w:lineRule="exact"/>
              <w:jc w:val="center"/>
              <w:rPr>
                <w:b/>
                <w:color w:val="auto"/>
                <w:kern w:val="0"/>
                <w:sz w:val="24"/>
              </w:rPr>
            </w:pPr>
            <w:r>
              <w:rPr>
                <w:b/>
                <w:color w:val="auto"/>
                <w:kern w:val="0"/>
                <w:sz w:val="24"/>
              </w:rPr>
              <w:t>表</w:t>
            </w:r>
            <w:r>
              <w:rPr>
                <w:rFonts w:hint="eastAsia"/>
                <w:b/>
                <w:color w:val="auto"/>
                <w:kern w:val="0"/>
                <w:sz w:val="24"/>
              </w:rPr>
              <w:t>18</w:t>
            </w:r>
            <w:r>
              <w:rPr>
                <w:b/>
                <w:color w:val="auto"/>
                <w:kern w:val="0"/>
                <w:sz w:val="24"/>
              </w:rPr>
              <w:t xml:space="preserve">   区域空气质量现状评价一览表</w:t>
            </w:r>
          </w:p>
          <w:tbl>
            <w:tblPr>
              <w:tblStyle w:val="33"/>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219"/>
              <w:gridCol w:w="1141"/>
              <w:gridCol w:w="946"/>
              <w:gridCol w:w="1211"/>
              <w:gridCol w:w="1175"/>
              <w:gridCol w:w="967"/>
              <w:gridCol w:w="16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tblHeader/>
                <w:jc w:val="center"/>
              </w:trPr>
              <w:tc>
                <w:tcPr>
                  <w:tcW w:w="734" w:type="pct"/>
                  <w:vAlign w:val="center"/>
                </w:tcPr>
                <w:p>
                  <w:pPr>
                    <w:jc w:val="center"/>
                    <w:rPr>
                      <w:color w:val="auto"/>
                      <w:szCs w:val="21"/>
                    </w:rPr>
                  </w:pPr>
                  <w:r>
                    <w:rPr>
                      <w:color w:val="auto"/>
                      <w:szCs w:val="21"/>
                    </w:rPr>
                    <w:t>指标</w:t>
                  </w:r>
                </w:p>
              </w:tc>
              <w:tc>
                <w:tcPr>
                  <w:tcW w:w="687" w:type="pct"/>
                  <w:vAlign w:val="center"/>
                </w:tcPr>
                <w:p>
                  <w:pPr>
                    <w:jc w:val="center"/>
                    <w:rPr>
                      <w:color w:val="auto"/>
                      <w:szCs w:val="21"/>
                    </w:rPr>
                  </w:pPr>
                  <w:r>
                    <w:rPr>
                      <w:color w:val="auto"/>
                      <w:szCs w:val="21"/>
                    </w:rPr>
                    <w:t>SO</w:t>
                  </w:r>
                  <w:r>
                    <w:rPr>
                      <w:color w:val="auto"/>
                      <w:szCs w:val="21"/>
                      <w:vertAlign w:val="subscript"/>
                    </w:rPr>
                    <w:t>2</w:t>
                  </w:r>
                  <w:r>
                    <w:rPr>
                      <w:color w:val="auto"/>
                      <w:szCs w:val="21"/>
                    </w:rPr>
                    <w:t>μg/m</w:t>
                  </w:r>
                  <w:r>
                    <w:rPr>
                      <w:color w:val="auto"/>
                      <w:szCs w:val="21"/>
                      <w:vertAlign w:val="superscript"/>
                    </w:rPr>
                    <w:t>3</w:t>
                  </w:r>
                </w:p>
              </w:tc>
              <w:tc>
                <w:tcPr>
                  <w:tcW w:w="570" w:type="pct"/>
                  <w:vAlign w:val="center"/>
                </w:tcPr>
                <w:p>
                  <w:pPr>
                    <w:jc w:val="center"/>
                    <w:rPr>
                      <w:color w:val="auto"/>
                      <w:szCs w:val="21"/>
                    </w:rPr>
                  </w:pPr>
                  <w:r>
                    <w:rPr>
                      <w:color w:val="auto"/>
                      <w:szCs w:val="21"/>
                    </w:rPr>
                    <w:t>NO</w:t>
                  </w:r>
                  <w:r>
                    <w:rPr>
                      <w:color w:val="auto"/>
                      <w:szCs w:val="21"/>
                      <w:vertAlign w:val="subscript"/>
                    </w:rPr>
                    <w:t>2</w:t>
                  </w:r>
                  <w:r>
                    <w:rPr>
                      <w:color w:val="auto"/>
                      <w:szCs w:val="21"/>
                    </w:rPr>
                    <w:t>μg/m</w:t>
                  </w:r>
                  <w:r>
                    <w:rPr>
                      <w:color w:val="auto"/>
                      <w:szCs w:val="21"/>
                      <w:vertAlign w:val="superscript"/>
                    </w:rPr>
                    <w:t>3</w:t>
                  </w:r>
                </w:p>
              </w:tc>
              <w:tc>
                <w:tcPr>
                  <w:tcW w:w="730" w:type="pct"/>
                  <w:vAlign w:val="center"/>
                </w:tcPr>
                <w:p>
                  <w:pPr>
                    <w:jc w:val="center"/>
                    <w:rPr>
                      <w:color w:val="auto"/>
                      <w:szCs w:val="21"/>
                    </w:rPr>
                  </w:pPr>
                  <w:r>
                    <w:rPr>
                      <w:color w:val="auto"/>
                      <w:szCs w:val="21"/>
                    </w:rPr>
                    <w:t>PM</w:t>
                  </w:r>
                  <w:r>
                    <w:rPr>
                      <w:color w:val="auto"/>
                      <w:szCs w:val="21"/>
                      <w:vertAlign w:val="subscript"/>
                    </w:rPr>
                    <w:t>10</w:t>
                  </w:r>
                  <w:r>
                    <w:rPr>
                      <w:color w:val="auto"/>
                      <w:szCs w:val="21"/>
                    </w:rPr>
                    <w:t>μg/m</w:t>
                  </w:r>
                  <w:r>
                    <w:rPr>
                      <w:color w:val="auto"/>
                      <w:szCs w:val="21"/>
                      <w:vertAlign w:val="superscript"/>
                    </w:rPr>
                    <w:t>3</w:t>
                  </w:r>
                </w:p>
              </w:tc>
              <w:tc>
                <w:tcPr>
                  <w:tcW w:w="708" w:type="pct"/>
                  <w:vAlign w:val="center"/>
                </w:tcPr>
                <w:p>
                  <w:pPr>
                    <w:jc w:val="center"/>
                    <w:rPr>
                      <w:color w:val="auto"/>
                      <w:szCs w:val="21"/>
                    </w:rPr>
                  </w:pPr>
                  <w:r>
                    <w:rPr>
                      <w:color w:val="auto"/>
                      <w:szCs w:val="21"/>
                    </w:rPr>
                    <w:t>PM</w:t>
                  </w:r>
                  <w:r>
                    <w:rPr>
                      <w:color w:val="auto"/>
                      <w:szCs w:val="21"/>
                      <w:vertAlign w:val="subscript"/>
                    </w:rPr>
                    <w:t>2.5</w:t>
                  </w:r>
                  <w:r>
                    <w:rPr>
                      <w:color w:val="auto"/>
                      <w:szCs w:val="21"/>
                    </w:rPr>
                    <w:t>μg/m</w:t>
                  </w:r>
                  <w:r>
                    <w:rPr>
                      <w:color w:val="auto"/>
                      <w:szCs w:val="21"/>
                      <w:vertAlign w:val="superscript"/>
                    </w:rPr>
                    <w:t>3</w:t>
                  </w:r>
                </w:p>
              </w:tc>
              <w:tc>
                <w:tcPr>
                  <w:tcW w:w="583" w:type="pct"/>
                  <w:vAlign w:val="center"/>
                </w:tcPr>
                <w:p>
                  <w:pPr>
                    <w:jc w:val="center"/>
                    <w:rPr>
                      <w:color w:val="auto"/>
                      <w:szCs w:val="21"/>
                    </w:rPr>
                  </w:pPr>
                  <w:r>
                    <w:rPr>
                      <w:color w:val="auto"/>
                      <w:szCs w:val="21"/>
                    </w:rPr>
                    <w:t>CO</w:t>
                  </w:r>
                  <w:r>
                    <w:rPr>
                      <w:rFonts w:hint="eastAsia"/>
                      <w:color w:val="auto"/>
                      <w:szCs w:val="21"/>
                    </w:rPr>
                    <w:t>m</w:t>
                  </w:r>
                  <w:r>
                    <w:rPr>
                      <w:color w:val="auto"/>
                      <w:szCs w:val="21"/>
                    </w:rPr>
                    <w:t>g/m</w:t>
                  </w:r>
                  <w:r>
                    <w:rPr>
                      <w:color w:val="auto"/>
                      <w:szCs w:val="21"/>
                      <w:vertAlign w:val="superscript"/>
                    </w:rPr>
                    <w:t>3</w:t>
                  </w:r>
                </w:p>
              </w:tc>
              <w:tc>
                <w:tcPr>
                  <w:tcW w:w="986" w:type="pct"/>
                  <w:tcBorders>
                    <w:right w:val="nil"/>
                  </w:tcBorders>
                  <w:vAlign w:val="center"/>
                </w:tcPr>
                <w:p>
                  <w:pPr>
                    <w:jc w:val="center"/>
                    <w:rPr>
                      <w:color w:val="auto"/>
                      <w:szCs w:val="21"/>
                    </w:rPr>
                  </w:pPr>
                  <w:r>
                    <w:rPr>
                      <w:color w:val="auto"/>
                      <w:szCs w:val="21"/>
                    </w:rPr>
                    <w:t>O</w:t>
                  </w:r>
                  <w:r>
                    <w:rPr>
                      <w:color w:val="auto"/>
                      <w:szCs w:val="21"/>
                      <w:vertAlign w:val="subscript"/>
                    </w:rPr>
                    <w:t>3</w:t>
                  </w:r>
                  <w:r>
                    <w:rPr>
                      <w:color w:val="auto"/>
                      <w:szCs w:val="21"/>
                    </w:rPr>
                    <w:t>（μg/m</w:t>
                  </w:r>
                  <w:r>
                    <w:rPr>
                      <w:color w:val="auto"/>
                      <w:szCs w:val="21"/>
                      <w:vertAlign w:val="superscript"/>
                    </w:rPr>
                    <w:t>3</w:t>
                  </w:r>
                  <w:r>
                    <w:rPr>
                      <w:color w:val="auto"/>
                      <w:szCs w:val="21"/>
                    </w:rPr>
                    <w:t>）（日最大8小时平均）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734" w:type="pct"/>
                  <w:tcBorders>
                    <w:left w:val="nil"/>
                  </w:tcBorders>
                  <w:vAlign w:val="center"/>
                </w:tcPr>
                <w:p>
                  <w:pPr>
                    <w:jc w:val="center"/>
                    <w:rPr>
                      <w:color w:val="auto"/>
                      <w:szCs w:val="21"/>
                    </w:rPr>
                  </w:pPr>
                  <w:r>
                    <w:rPr>
                      <w:color w:val="auto"/>
                      <w:szCs w:val="21"/>
                    </w:rPr>
                    <w:t>202</w:t>
                  </w:r>
                  <w:r>
                    <w:rPr>
                      <w:rFonts w:hint="eastAsia"/>
                      <w:color w:val="auto"/>
                      <w:szCs w:val="21"/>
                    </w:rPr>
                    <w:t>2</w:t>
                  </w:r>
                  <w:r>
                    <w:rPr>
                      <w:color w:val="auto"/>
                      <w:szCs w:val="21"/>
                    </w:rPr>
                    <w:t>平均值</w:t>
                  </w:r>
                </w:p>
              </w:tc>
              <w:tc>
                <w:tcPr>
                  <w:tcW w:w="687" w:type="pct"/>
                  <w:vAlign w:val="center"/>
                </w:tcPr>
                <w:p>
                  <w:pPr>
                    <w:jc w:val="center"/>
                    <w:rPr>
                      <w:color w:val="auto"/>
                      <w:szCs w:val="21"/>
                    </w:rPr>
                  </w:pPr>
                  <w:r>
                    <w:rPr>
                      <w:rFonts w:hint="eastAsia"/>
                      <w:color w:val="auto"/>
                      <w:szCs w:val="21"/>
                    </w:rPr>
                    <w:t>8</w:t>
                  </w:r>
                </w:p>
              </w:tc>
              <w:tc>
                <w:tcPr>
                  <w:tcW w:w="570" w:type="pct"/>
                  <w:vAlign w:val="center"/>
                </w:tcPr>
                <w:p>
                  <w:pPr>
                    <w:jc w:val="center"/>
                    <w:rPr>
                      <w:color w:val="auto"/>
                      <w:szCs w:val="21"/>
                    </w:rPr>
                  </w:pPr>
                  <w:r>
                    <w:rPr>
                      <w:rFonts w:hint="eastAsia"/>
                      <w:color w:val="auto"/>
                      <w:szCs w:val="21"/>
                    </w:rPr>
                    <w:t>32</w:t>
                  </w:r>
                </w:p>
              </w:tc>
              <w:tc>
                <w:tcPr>
                  <w:tcW w:w="730" w:type="pct"/>
                  <w:vAlign w:val="center"/>
                </w:tcPr>
                <w:p>
                  <w:pPr>
                    <w:jc w:val="center"/>
                    <w:rPr>
                      <w:color w:val="auto"/>
                      <w:szCs w:val="21"/>
                    </w:rPr>
                  </w:pPr>
                  <w:r>
                    <w:rPr>
                      <w:rFonts w:hint="eastAsia"/>
                      <w:color w:val="auto"/>
                      <w:szCs w:val="21"/>
                    </w:rPr>
                    <w:t>67</w:t>
                  </w:r>
                </w:p>
              </w:tc>
              <w:tc>
                <w:tcPr>
                  <w:tcW w:w="708" w:type="pct"/>
                  <w:vAlign w:val="center"/>
                </w:tcPr>
                <w:p>
                  <w:pPr>
                    <w:jc w:val="center"/>
                    <w:rPr>
                      <w:color w:val="auto"/>
                      <w:szCs w:val="21"/>
                    </w:rPr>
                  </w:pPr>
                  <w:r>
                    <w:rPr>
                      <w:rFonts w:hint="eastAsia"/>
                      <w:color w:val="auto"/>
                      <w:szCs w:val="21"/>
                    </w:rPr>
                    <w:t>37</w:t>
                  </w:r>
                </w:p>
              </w:tc>
              <w:tc>
                <w:tcPr>
                  <w:tcW w:w="583" w:type="pct"/>
                  <w:vAlign w:val="center"/>
                </w:tcPr>
                <w:p>
                  <w:pPr>
                    <w:jc w:val="center"/>
                    <w:rPr>
                      <w:color w:val="auto"/>
                      <w:szCs w:val="21"/>
                    </w:rPr>
                  </w:pPr>
                  <w:r>
                    <w:rPr>
                      <w:rFonts w:hint="eastAsia"/>
                      <w:color w:val="auto"/>
                      <w:szCs w:val="21"/>
                    </w:rPr>
                    <w:t>1.5</w:t>
                  </w:r>
                </w:p>
              </w:tc>
              <w:tc>
                <w:tcPr>
                  <w:tcW w:w="986" w:type="pct"/>
                  <w:tcBorders>
                    <w:right w:val="nil"/>
                  </w:tcBorders>
                  <w:vAlign w:val="center"/>
                </w:tcPr>
                <w:p>
                  <w:pPr>
                    <w:jc w:val="center"/>
                    <w:rPr>
                      <w:color w:val="auto"/>
                      <w:szCs w:val="21"/>
                    </w:rPr>
                  </w:pPr>
                  <w:r>
                    <w:rPr>
                      <w:rFonts w:hint="eastAsia"/>
                      <w:color w:val="auto"/>
                      <w:szCs w:val="21"/>
                    </w:rPr>
                    <w:t>182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734" w:type="pct"/>
                  <w:tcBorders>
                    <w:left w:val="nil"/>
                  </w:tcBorders>
                  <w:vAlign w:val="center"/>
                </w:tcPr>
                <w:p>
                  <w:pPr>
                    <w:jc w:val="center"/>
                    <w:rPr>
                      <w:color w:val="auto"/>
                      <w:szCs w:val="21"/>
                    </w:rPr>
                  </w:pPr>
                  <w:r>
                    <w:rPr>
                      <w:color w:val="auto"/>
                      <w:szCs w:val="21"/>
                    </w:rPr>
                    <w:t>年均值标准</w:t>
                  </w:r>
                </w:p>
              </w:tc>
              <w:tc>
                <w:tcPr>
                  <w:tcW w:w="687" w:type="pct"/>
                  <w:vAlign w:val="center"/>
                </w:tcPr>
                <w:p>
                  <w:pPr>
                    <w:jc w:val="center"/>
                    <w:rPr>
                      <w:color w:val="auto"/>
                      <w:szCs w:val="21"/>
                    </w:rPr>
                  </w:pPr>
                  <w:r>
                    <w:rPr>
                      <w:color w:val="auto"/>
                      <w:szCs w:val="21"/>
                    </w:rPr>
                    <w:t>60</w:t>
                  </w:r>
                </w:p>
              </w:tc>
              <w:tc>
                <w:tcPr>
                  <w:tcW w:w="570" w:type="pct"/>
                  <w:vAlign w:val="center"/>
                </w:tcPr>
                <w:p>
                  <w:pPr>
                    <w:jc w:val="center"/>
                    <w:rPr>
                      <w:color w:val="auto"/>
                      <w:szCs w:val="21"/>
                    </w:rPr>
                  </w:pPr>
                  <w:r>
                    <w:rPr>
                      <w:color w:val="auto"/>
                      <w:szCs w:val="21"/>
                    </w:rPr>
                    <w:t>40</w:t>
                  </w:r>
                </w:p>
              </w:tc>
              <w:tc>
                <w:tcPr>
                  <w:tcW w:w="730" w:type="pct"/>
                  <w:vAlign w:val="center"/>
                </w:tcPr>
                <w:p>
                  <w:pPr>
                    <w:jc w:val="center"/>
                    <w:rPr>
                      <w:color w:val="auto"/>
                      <w:szCs w:val="21"/>
                    </w:rPr>
                  </w:pPr>
                  <w:r>
                    <w:rPr>
                      <w:color w:val="auto"/>
                      <w:szCs w:val="21"/>
                    </w:rPr>
                    <w:t>70</w:t>
                  </w:r>
                </w:p>
              </w:tc>
              <w:tc>
                <w:tcPr>
                  <w:tcW w:w="708" w:type="pct"/>
                  <w:vAlign w:val="center"/>
                </w:tcPr>
                <w:p>
                  <w:pPr>
                    <w:jc w:val="center"/>
                    <w:rPr>
                      <w:color w:val="auto"/>
                      <w:szCs w:val="21"/>
                    </w:rPr>
                  </w:pPr>
                  <w:r>
                    <w:rPr>
                      <w:color w:val="auto"/>
                      <w:szCs w:val="21"/>
                    </w:rPr>
                    <w:t>35</w:t>
                  </w:r>
                </w:p>
              </w:tc>
              <w:tc>
                <w:tcPr>
                  <w:tcW w:w="583" w:type="pct"/>
                  <w:vAlign w:val="center"/>
                </w:tcPr>
                <w:p>
                  <w:pPr>
                    <w:jc w:val="center"/>
                    <w:rPr>
                      <w:color w:val="auto"/>
                      <w:szCs w:val="21"/>
                    </w:rPr>
                  </w:pPr>
                  <w:r>
                    <w:rPr>
                      <w:color w:val="auto"/>
                      <w:szCs w:val="21"/>
                    </w:rPr>
                    <w:t>—</w:t>
                  </w:r>
                </w:p>
              </w:tc>
              <w:tc>
                <w:tcPr>
                  <w:tcW w:w="986" w:type="pct"/>
                  <w:tcBorders>
                    <w:right w:val="nil"/>
                  </w:tcBorders>
                  <w:vAlign w:val="center"/>
                </w:tcPr>
                <w:p>
                  <w:pPr>
                    <w:jc w:val="center"/>
                    <w:rPr>
                      <w:color w:val="auto"/>
                      <w:szCs w:val="21"/>
                    </w:rPr>
                  </w:pPr>
                  <w:r>
                    <w:rPr>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734" w:type="pct"/>
                  <w:tcBorders>
                    <w:left w:val="nil"/>
                  </w:tcBorders>
                  <w:vAlign w:val="center"/>
                </w:tcPr>
                <w:p>
                  <w:pPr>
                    <w:jc w:val="center"/>
                    <w:rPr>
                      <w:color w:val="auto"/>
                      <w:szCs w:val="21"/>
                    </w:rPr>
                  </w:pPr>
                  <w:r>
                    <w:rPr>
                      <w:color w:val="auto"/>
                      <w:szCs w:val="21"/>
                    </w:rPr>
                    <w:t>达标情况</w:t>
                  </w:r>
                </w:p>
              </w:tc>
              <w:tc>
                <w:tcPr>
                  <w:tcW w:w="687" w:type="pct"/>
                  <w:vAlign w:val="center"/>
                </w:tcPr>
                <w:p>
                  <w:pPr>
                    <w:jc w:val="center"/>
                    <w:rPr>
                      <w:color w:val="auto"/>
                      <w:szCs w:val="21"/>
                    </w:rPr>
                  </w:pPr>
                  <w:r>
                    <w:rPr>
                      <w:color w:val="auto"/>
                      <w:szCs w:val="21"/>
                    </w:rPr>
                    <w:t>达标</w:t>
                  </w:r>
                </w:p>
              </w:tc>
              <w:tc>
                <w:tcPr>
                  <w:tcW w:w="570" w:type="pct"/>
                  <w:vAlign w:val="center"/>
                </w:tcPr>
                <w:p>
                  <w:pPr>
                    <w:jc w:val="center"/>
                    <w:rPr>
                      <w:color w:val="auto"/>
                      <w:szCs w:val="21"/>
                    </w:rPr>
                  </w:pPr>
                  <w:r>
                    <w:rPr>
                      <w:color w:val="auto"/>
                      <w:szCs w:val="21"/>
                    </w:rPr>
                    <w:t>达标</w:t>
                  </w:r>
                </w:p>
              </w:tc>
              <w:tc>
                <w:tcPr>
                  <w:tcW w:w="730" w:type="pct"/>
                  <w:vAlign w:val="center"/>
                </w:tcPr>
                <w:p>
                  <w:pPr>
                    <w:jc w:val="center"/>
                    <w:rPr>
                      <w:color w:val="auto"/>
                      <w:szCs w:val="21"/>
                    </w:rPr>
                  </w:pPr>
                  <w:r>
                    <w:rPr>
                      <w:rFonts w:hint="eastAsia"/>
                      <w:color w:val="auto"/>
                      <w:szCs w:val="21"/>
                    </w:rPr>
                    <w:t>达标</w:t>
                  </w:r>
                </w:p>
              </w:tc>
              <w:tc>
                <w:tcPr>
                  <w:tcW w:w="708" w:type="pct"/>
                  <w:vAlign w:val="center"/>
                </w:tcPr>
                <w:p>
                  <w:pPr>
                    <w:jc w:val="center"/>
                    <w:rPr>
                      <w:color w:val="auto"/>
                      <w:szCs w:val="21"/>
                    </w:rPr>
                  </w:pPr>
                  <w:r>
                    <w:rPr>
                      <w:color w:val="auto"/>
                      <w:szCs w:val="21"/>
                    </w:rPr>
                    <w:t>超标</w:t>
                  </w:r>
                </w:p>
              </w:tc>
              <w:tc>
                <w:tcPr>
                  <w:tcW w:w="583" w:type="pct"/>
                  <w:vAlign w:val="center"/>
                </w:tcPr>
                <w:p>
                  <w:pPr>
                    <w:jc w:val="center"/>
                    <w:rPr>
                      <w:color w:val="auto"/>
                      <w:szCs w:val="21"/>
                    </w:rPr>
                  </w:pPr>
                  <w:r>
                    <w:rPr>
                      <w:color w:val="auto"/>
                      <w:szCs w:val="21"/>
                    </w:rPr>
                    <w:t>—</w:t>
                  </w:r>
                </w:p>
              </w:tc>
              <w:tc>
                <w:tcPr>
                  <w:tcW w:w="986" w:type="pct"/>
                  <w:tcBorders>
                    <w:right w:val="nil"/>
                  </w:tcBorders>
                  <w:vAlign w:val="center"/>
                </w:tcPr>
                <w:p>
                  <w:pPr>
                    <w:jc w:val="center"/>
                    <w:rPr>
                      <w:color w:val="auto"/>
                      <w:szCs w:val="21"/>
                    </w:rPr>
                  </w:pPr>
                  <w:r>
                    <w:rPr>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734" w:type="pct"/>
                  <w:tcBorders>
                    <w:left w:val="nil"/>
                  </w:tcBorders>
                  <w:vAlign w:val="center"/>
                </w:tcPr>
                <w:p>
                  <w:pPr>
                    <w:jc w:val="center"/>
                    <w:rPr>
                      <w:color w:val="auto"/>
                      <w:szCs w:val="21"/>
                    </w:rPr>
                  </w:pPr>
                  <w:r>
                    <w:rPr>
                      <w:color w:val="auto"/>
                      <w:szCs w:val="21"/>
                    </w:rPr>
                    <w:t>超标百分数</w:t>
                  </w:r>
                </w:p>
              </w:tc>
              <w:tc>
                <w:tcPr>
                  <w:tcW w:w="687" w:type="pct"/>
                  <w:vAlign w:val="center"/>
                </w:tcPr>
                <w:p>
                  <w:pPr>
                    <w:jc w:val="center"/>
                    <w:rPr>
                      <w:color w:val="auto"/>
                      <w:szCs w:val="21"/>
                    </w:rPr>
                  </w:pPr>
                  <w:r>
                    <w:rPr>
                      <w:color w:val="auto"/>
                      <w:szCs w:val="21"/>
                    </w:rPr>
                    <w:t>—</w:t>
                  </w:r>
                </w:p>
              </w:tc>
              <w:tc>
                <w:tcPr>
                  <w:tcW w:w="570" w:type="pct"/>
                  <w:vAlign w:val="center"/>
                </w:tcPr>
                <w:p>
                  <w:pPr>
                    <w:jc w:val="center"/>
                    <w:rPr>
                      <w:color w:val="auto"/>
                      <w:szCs w:val="21"/>
                    </w:rPr>
                  </w:pPr>
                  <w:r>
                    <w:rPr>
                      <w:color w:val="auto"/>
                      <w:szCs w:val="21"/>
                    </w:rPr>
                    <w:t>—</w:t>
                  </w:r>
                </w:p>
              </w:tc>
              <w:tc>
                <w:tcPr>
                  <w:tcW w:w="730" w:type="pct"/>
                  <w:vAlign w:val="center"/>
                </w:tcPr>
                <w:p>
                  <w:pPr>
                    <w:jc w:val="center"/>
                    <w:rPr>
                      <w:color w:val="auto"/>
                      <w:szCs w:val="21"/>
                    </w:rPr>
                  </w:pPr>
                  <w:r>
                    <w:rPr>
                      <w:color w:val="auto"/>
                      <w:szCs w:val="21"/>
                    </w:rPr>
                    <w:t>—</w:t>
                  </w:r>
                </w:p>
              </w:tc>
              <w:tc>
                <w:tcPr>
                  <w:tcW w:w="708" w:type="pct"/>
                  <w:vAlign w:val="center"/>
                </w:tcPr>
                <w:p>
                  <w:pPr>
                    <w:jc w:val="center"/>
                    <w:rPr>
                      <w:color w:val="auto"/>
                      <w:szCs w:val="21"/>
                    </w:rPr>
                  </w:pPr>
                  <w:r>
                    <w:rPr>
                      <w:rFonts w:hint="eastAsia"/>
                      <w:color w:val="auto"/>
                      <w:szCs w:val="21"/>
                    </w:rPr>
                    <w:t>5.71</w:t>
                  </w:r>
                  <w:r>
                    <w:rPr>
                      <w:color w:val="auto"/>
                      <w:szCs w:val="21"/>
                    </w:rPr>
                    <w:t>%</w:t>
                  </w:r>
                </w:p>
              </w:tc>
              <w:tc>
                <w:tcPr>
                  <w:tcW w:w="583" w:type="pct"/>
                  <w:vAlign w:val="center"/>
                </w:tcPr>
                <w:p>
                  <w:pPr>
                    <w:jc w:val="center"/>
                    <w:rPr>
                      <w:color w:val="auto"/>
                      <w:szCs w:val="21"/>
                    </w:rPr>
                  </w:pPr>
                  <w:r>
                    <w:rPr>
                      <w:color w:val="auto"/>
                      <w:szCs w:val="21"/>
                    </w:rPr>
                    <w:t>—</w:t>
                  </w:r>
                </w:p>
              </w:tc>
              <w:tc>
                <w:tcPr>
                  <w:tcW w:w="986" w:type="pct"/>
                  <w:tcBorders>
                    <w:right w:val="nil"/>
                  </w:tcBorders>
                  <w:vAlign w:val="center"/>
                </w:tcPr>
                <w:p>
                  <w:pPr>
                    <w:jc w:val="center"/>
                    <w:rPr>
                      <w:color w:val="auto"/>
                      <w:szCs w:val="21"/>
                    </w:rPr>
                  </w:pPr>
                  <w:r>
                    <w:rPr>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734" w:type="pct"/>
                  <w:tcBorders>
                    <w:left w:val="nil"/>
                  </w:tcBorders>
                  <w:vAlign w:val="center"/>
                </w:tcPr>
                <w:p>
                  <w:pPr>
                    <w:jc w:val="center"/>
                    <w:rPr>
                      <w:color w:val="auto"/>
                      <w:szCs w:val="21"/>
                    </w:rPr>
                  </w:pPr>
                  <w:r>
                    <w:rPr>
                      <w:color w:val="auto"/>
                      <w:szCs w:val="21"/>
                    </w:rPr>
                    <w:t>日均值标准</w:t>
                  </w:r>
                </w:p>
              </w:tc>
              <w:tc>
                <w:tcPr>
                  <w:tcW w:w="687" w:type="pct"/>
                  <w:vAlign w:val="center"/>
                </w:tcPr>
                <w:p>
                  <w:pPr>
                    <w:jc w:val="center"/>
                    <w:rPr>
                      <w:color w:val="auto"/>
                      <w:szCs w:val="21"/>
                    </w:rPr>
                  </w:pPr>
                  <w:r>
                    <w:rPr>
                      <w:color w:val="auto"/>
                      <w:szCs w:val="21"/>
                    </w:rPr>
                    <w:t>150</w:t>
                  </w:r>
                </w:p>
              </w:tc>
              <w:tc>
                <w:tcPr>
                  <w:tcW w:w="570" w:type="pct"/>
                  <w:vAlign w:val="center"/>
                </w:tcPr>
                <w:p>
                  <w:pPr>
                    <w:jc w:val="center"/>
                    <w:rPr>
                      <w:color w:val="auto"/>
                      <w:szCs w:val="21"/>
                    </w:rPr>
                  </w:pPr>
                  <w:r>
                    <w:rPr>
                      <w:color w:val="auto"/>
                      <w:szCs w:val="21"/>
                    </w:rPr>
                    <w:t>80</w:t>
                  </w:r>
                </w:p>
              </w:tc>
              <w:tc>
                <w:tcPr>
                  <w:tcW w:w="730" w:type="pct"/>
                  <w:vAlign w:val="center"/>
                </w:tcPr>
                <w:p>
                  <w:pPr>
                    <w:jc w:val="center"/>
                    <w:rPr>
                      <w:color w:val="auto"/>
                      <w:szCs w:val="21"/>
                    </w:rPr>
                  </w:pPr>
                  <w:r>
                    <w:rPr>
                      <w:color w:val="auto"/>
                      <w:szCs w:val="21"/>
                    </w:rPr>
                    <w:t>150</w:t>
                  </w:r>
                </w:p>
              </w:tc>
              <w:tc>
                <w:tcPr>
                  <w:tcW w:w="708" w:type="pct"/>
                  <w:vAlign w:val="center"/>
                </w:tcPr>
                <w:p>
                  <w:pPr>
                    <w:jc w:val="center"/>
                    <w:rPr>
                      <w:color w:val="auto"/>
                      <w:szCs w:val="21"/>
                    </w:rPr>
                  </w:pPr>
                  <w:r>
                    <w:rPr>
                      <w:color w:val="auto"/>
                      <w:szCs w:val="21"/>
                    </w:rPr>
                    <w:t>75</w:t>
                  </w:r>
                </w:p>
              </w:tc>
              <w:tc>
                <w:tcPr>
                  <w:tcW w:w="583" w:type="pct"/>
                  <w:vAlign w:val="center"/>
                </w:tcPr>
                <w:p>
                  <w:pPr>
                    <w:jc w:val="center"/>
                    <w:rPr>
                      <w:color w:val="auto"/>
                      <w:szCs w:val="21"/>
                    </w:rPr>
                  </w:pPr>
                  <w:r>
                    <w:rPr>
                      <w:color w:val="auto"/>
                      <w:szCs w:val="21"/>
                    </w:rPr>
                    <w:t>4</w:t>
                  </w:r>
                </w:p>
              </w:tc>
              <w:tc>
                <w:tcPr>
                  <w:tcW w:w="986" w:type="pct"/>
                  <w:tcBorders>
                    <w:right w:val="nil"/>
                  </w:tcBorders>
                  <w:vAlign w:val="center"/>
                </w:tcPr>
                <w:p>
                  <w:pPr>
                    <w:jc w:val="center"/>
                    <w:rPr>
                      <w:color w:val="auto"/>
                      <w:szCs w:val="21"/>
                    </w:rPr>
                  </w:pPr>
                  <w:r>
                    <w:rPr>
                      <w:color w:val="auto"/>
                      <w:szCs w:val="21"/>
                    </w:rPr>
                    <w:t>160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734" w:type="pct"/>
                  <w:tcBorders>
                    <w:left w:val="nil"/>
                  </w:tcBorders>
                  <w:vAlign w:val="center"/>
                </w:tcPr>
                <w:p>
                  <w:pPr>
                    <w:jc w:val="center"/>
                    <w:rPr>
                      <w:color w:val="auto"/>
                      <w:szCs w:val="21"/>
                    </w:rPr>
                  </w:pPr>
                  <w:r>
                    <w:rPr>
                      <w:color w:val="auto"/>
                      <w:szCs w:val="21"/>
                    </w:rPr>
                    <w:t>达标情况</w:t>
                  </w:r>
                </w:p>
              </w:tc>
              <w:tc>
                <w:tcPr>
                  <w:tcW w:w="687" w:type="pct"/>
                  <w:vAlign w:val="center"/>
                </w:tcPr>
                <w:p>
                  <w:pPr>
                    <w:jc w:val="center"/>
                    <w:rPr>
                      <w:color w:val="auto"/>
                      <w:szCs w:val="21"/>
                    </w:rPr>
                  </w:pPr>
                  <w:r>
                    <w:rPr>
                      <w:color w:val="auto"/>
                      <w:szCs w:val="21"/>
                    </w:rPr>
                    <w:t>—</w:t>
                  </w:r>
                </w:p>
              </w:tc>
              <w:tc>
                <w:tcPr>
                  <w:tcW w:w="570" w:type="pct"/>
                  <w:vAlign w:val="center"/>
                </w:tcPr>
                <w:p>
                  <w:pPr>
                    <w:jc w:val="center"/>
                    <w:rPr>
                      <w:color w:val="auto"/>
                      <w:szCs w:val="21"/>
                    </w:rPr>
                  </w:pPr>
                  <w:r>
                    <w:rPr>
                      <w:color w:val="auto"/>
                      <w:szCs w:val="21"/>
                    </w:rPr>
                    <w:t>—</w:t>
                  </w:r>
                </w:p>
              </w:tc>
              <w:tc>
                <w:tcPr>
                  <w:tcW w:w="730" w:type="pct"/>
                  <w:vAlign w:val="center"/>
                </w:tcPr>
                <w:p>
                  <w:pPr>
                    <w:jc w:val="center"/>
                    <w:rPr>
                      <w:color w:val="auto"/>
                      <w:szCs w:val="21"/>
                    </w:rPr>
                  </w:pPr>
                  <w:r>
                    <w:rPr>
                      <w:color w:val="auto"/>
                      <w:szCs w:val="21"/>
                    </w:rPr>
                    <w:t>—</w:t>
                  </w:r>
                </w:p>
              </w:tc>
              <w:tc>
                <w:tcPr>
                  <w:tcW w:w="708" w:type="pct"/>
                  <w:vAlign w:val="center"/>
                </w:tcPr>
                <w:p>
                  <w:pPr>
                    <w:jc w:val="center"/>
                    <w:rPr>
                      <w:color w:val="auto"/>
                      <w:szCs w:val="21"/>
                    </w:rPr>
                  </w:pPr>
                  <w:r>
                    <w:rPr>
                      <w:color w:val="auto"/>
                      <w:szCs w:val="21"/>
                    </w:rPr>
                    <w:t>—</w:t>
                  </w:r>
                </w:p>
              </w:tc>
              <w:tc>
                <w:tcPr>
                  <w:tcW w:w="583" w:type="pct"/>
                  <w:vAlign w:val="center"/>
                </w:tcPr>
                <w:p>
                  <w:pPr>
                    <w:jc w:val="center"/>
                    <w:rPr>
                      <w:color w:val="auto"/>
                      <w:szCs w:val="21"/>
                    </w:rPr>
                  </w:pPr>
                  <w:r>
                    <w:rPr>
                      <w:color w:val="auto"/>
                      <w:szCs w:val="21"/>
                    </w:rPr>
                    <w:t>达标</w:t>
                  </w:r>
                </w:p>
              </w:tc>
              <w:tc>
                <w:tcPr>
                  <w:tcW w:w="986" w:type="pct"/>
                  <w:tcBorders>
                    <w:right w:val="nil"/>
                  </w:tcBorders>
                  <w:vAlign w:val="center"/>
                </w:tcPr>
                <w:p>
                  <w:pPr>
                    <w:jc w:val="center"/>
                    <w:rPr>
                      <w:color w:val="auto"/>
                      <w:szCs w:val="21"/>
                    </w:rPr>
                  </w:pPr>
                  <w:r>
                    <w:rPr>
                      <w:color w:val="auto"/>
                      <w:szCs w:val="21"/>
                    </w:rPr>
                    <w:t>超标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734" w:type="pct"/>
                  <w:tcBorders>
                    <w:left w:val="nil"/>
                  </w:tcBorders>
                  <w:vAlign w:val="center"/>
                </w:tcPr>
                <w:p>
                  <w:pPr>
                    <w:jc w:val="center"/>
                    <w:rPr>
                      <w:color w:val="auto"/>
                      <w:szCs w:val="21"/>
                    </w:rPr>
                  </w:pPr>
                  <w:r>
                    <w:rPr>
                      <w:color w:val="auto"/>
                      <w:szCs w:val="21"/>
                    </w:rPr>
                    <w:t>超标百分数</w:t>
                  </w:r>
                </w:p>
              </w:tc>
              <w:tc>
                <w:tcPr>
                  <w:tcW w:w="687" w:type="pct"/>
                  <w:vAlign w:val="center"/>
                </w:tcPr>
                <w:p>
                  <w:pPr>
                    <w:jc w:val="center"/>
                    <w:rPr>
                      <w:color w:val="auto"/>
                      <w:szCs w:val="21"/>
                    </w:rPr>
                  </w:pPr>
                  <w:r>
                    <w:rPr>
                      <w:color w:val="auto"/>
                      <w:szCs w:val="21"/>
                    </w:rPr>
                    <w:t>—</w:t>
                  </w:r>
                </w:p>
              </w:tc>
              <w:tc>
                <w:tcPr>
                  <w:tcW w:w="570" w:type="pct"/>
                  <w:vAlign w:val="center"/>
                </w:tcPr>
                <w:p>
                  <w:pPr>
                    <w:jc w:val="center"/>
                    <w:rPr>
                      <w:color w:val="auto"/>
                      <w:szCs w:val="21"/>
                    </w:rPr>
                  </w:pPr>
                  <w:r>
                    <w:rPr>
                      <w:color w:val="auto"/>
                      <w:szCs w:val="21"/>
                    </w:rPr>
                    <w:t>—</w:t>
                  </w:r>
                </w:p>
              </w:tc>
              <w:tc>
                <w:tcPr>
                  <w:tcW w:w="730" w:type="pct"/>
                  <w:vAlign w:val="center"/>
                </w:tcPr>
                <w:p>
                  <w:pPr>
                    <w:jc w:val="center"/>
                    <w:rPr>
                      <w:color w:val="auto"/>
                      <w:szCs w:val="21"/>
                    </w:rPr>
                  </w:pPr>
                  <w:r>
                    <w:rPr>
                      <w:color w:val="auto"/>
                      <w:szCs w:val="21"/>
                    </w:rPr>
                    <w:t>—</w:t>
                  </w:r>
                </w:p>
              </w:tc>
              <w:tc>
                <w:tcPr>
                  <w:tcW w:w="708" w:type="pct"/>
                  <w:vAlign w:val="center"/>
                </w:tcPr>
                <w:p>
                  <w:pPr>
                    <w:jc w:val="center"/>
                    <w:rPr>
                      <w:color w:val="auto"/>
                      <w:szCs w:val="21"/>
                    </w:rPr>
                  </w:pPr>
                  <w:r>
                    <w:rPr>
                      <w:color w:val="auto"/>
                      <w:szCs w:val="21"/>
                    </w:rPr>
                    <w:t>—</w:t>
                  </w:r>
                </w:p>
              </w:tc>
              <w:tc>
                <w:tcPr>
                  <w:tcW w:w="583" w:type="pct"/>
                  <w:vAlign w:val="center"/>
                </w:tcPr>
                <w:p>
                  <w:pPr>
                    <w:jc w:val="center"/>
                    <w:rPr>
                      <w:color w:val="auto"/>
                      <w:szCs w:val="21"/>
                    </w:rPr>
                  </w:pPr>
                  <w:r>
                    <w:rPr>
                      <w:color w:val="auto"/>
                      <w:szCs w:val="21"/>
                    </w:rPr>
                    <w:t>—</w:t>
                  </w:r>
                </w:p>
              </w:tc>
              <w:tc>
                <w:tcPr>
                  <w:tcW w:w="986" w:type="pct"/>
                  <w:tcBorders>
                    <w:right w:val="nil"/>
                  </w:tcBorders>
                  <w:vAlign w:val="center"/>
                </w:tcPr>
                <w:p>
                  <w:pPr>
                    <w:jc w:val="center"/>
                    <w:rPr>
                      <w:color w:val="auto"/>
                      <w:szCs w:val="21"/>
                    </w:rPr>
                  </w:pPr>
                  <w:r>
                    <w:rPr>
                      <w:rFonts w:hint="eastAsia"/>
                      <w:color w:val="auto"/>
                      <w:szCs w:val="21"/>
                    </w:rPr>
                    <w:t>13.75</w:t>
                  </w:r>
                  <w:r>
                    <w:rPr>
                      <w:color w:val="auto"/>
                      <w:szCs w:val="21"/>
                    </w:rPr>
                    <w:t>%</w:t>
                  </w:r>
                </w:p>
              </w:tc>
            </w:tr>
          </w:tbl>
          <w:p>
            <w:pPr>
              <w:adjustRightInd w:val="0"/>
              <w:snapToGrid w:val="0"/>
              <w:spacing w:line="500" w:lineRule="exact"/>
              <w:ind w:firstLine="480" w:firstLineChars="200"/>
              <w:rPr>
                <w:color w:val="auto"/>
                <w:sz w:val="24"/>
              </w:rPr>
            </w:pPr>
            <w:r>
              <w:rPr>
                <w:color w:val="auto"/>
                <w:sz w:val="24"/>
              </w:rPr>
              <w:t>由上表可知，项目所在区域一氧化碳年均浓度值、二氧化氮、二氧化硫、PM</w:t>
            </w:r>
            <w:r>
              <w:rPr>
                <w:color w:val="auto"/>
                <w:sz w:val="24"/>
                <w:vertAlign w:val="subscript"/>
              </w:rPr>
              <w:t>10</w:t>
            </w:r>
            <w:r>
              <w:rPr>
                <w:color w:val="auto"/>
                <w:sz w:val="24"/>
              </w:rPr>
              <w:t>年均浓度值满足空气质量标准要求；臭氧日最大8小时年均浓度值、PM</w:t>
            </w:r>
            <w:r>
              <w:rPr>
                <w:color w:val="auto"/>
                <w:sz w:val="24"/>
                <w:vertAlign w:val="subscript"/>
              </w:rPr>
              <w:t>2.5</w:t>
            </w:r>
            <w:r>
              <w:rPr>
                <w:color w:val="auto"/>
                <w:sz w:val="24"/>
              </w:rPr>
              <w:t>超过环境质量标准要求，即项目所在区域为不达标区。</w:t>
            </w:r>
          </w:p>
          <w:p>
            <w:pPr>
              <w:pStyle w:val="76"/>
              <w:tabs>
                <w:tab w:val="left" w:pos="4200"/>
              </w:tabs>
              <w:spacing w:line="500" w:lineRule="exact"/>
              <w:ind w:firstLine="504" w:firstLineChars="200"/>
              <w:rPr>
                <w:color w:val="auto"/>
                <w:spacing w:val="6"/>
                <w:sz w:val="24"/>
              </w:rPr>
            </w:pPr>
            <w:r>
              <w:rPr>
                <w:rFonts w:hint="eastAsia"/>
                <w:color w:val="auto"/>
                <w:spacing w:val="6"/>
                <w:sz w:val="24"/>
              </w:rPr>
              <w:t>（2）</w:t>
            </w:r>
            <w:r>
              <w:rPr>
                <w:color w:val="auto"/>
                <w:spacing w:val="6"/>
                <w:sz w:val="24"/>
              </w:rPr>
              <w:t>项目所在区域污染物环境质量现状</w:t>
            </w:r>
          </w:p>
          <w:p>
            <w:pPr>
              <w:adjustRightInd w:val="0"/>
              <w:snapToGrid w:val="0"/>
              <w:spacing w:line="480" w:lineRule="exact"/>
              <w:ind w:firstLine="480" w:firstLineChars="200"/>
              <w:rPr>
                <w:color w:val="auto"/>
                <w:sz w:val="24"/>
              </w:rPr>
            </w:pPr>
            <w:r>
              <w:rPr>
                <w:color w:val="auto"/>
                <w:sz w:val="24"/>
              </w:rPr>
              <w:t>本项目基本</w:t>
            </w:r>
            <w:r>
              <w:rPr>
                <w:rFonts w:hint="eastAsia"/>
                <w:color w:val="auto"/>
                <w:sz w:val="24"/>
              </w:rPr>
              <w:t>污</w:t>
            </w:r>
            <w:r>
              <w:rPr>
                <w:color w:val="auto"/>
                <w:sz w:val="24"/>
              </w:rPr>
              <w:t>染物环境质量现状数据使用唐山市生态环境局网站公布的《202</w:t>
            </w:r>
            <w:r>
              <w:rPr>
                <w:rFonts w:hint="eastAsia"/>
                <w:color w:val="auto"/>
                <w:sz w:val="24"/>
              </w:rPr>
              <w:t>2</w:t>
            </w:r>
            <w:r>
              <w:rPr>
                <w:color w:val="auto"/>
                <w:sz w:val="24"/>
              </w:rPr>
              <w:t>年唐山市环境状况公报》中</w:t>
            </w:r>
            <w:r>
              <w:rPr>
                <w:rFonts w:hint="eastAsia"/>
                <w:color w:val="auto"/>
                <w:sz w:val="24"/>
              </w:rPr>
              <w:t>遵化市</w:t>
            </w:r>
            <w:r>
              <w:rPr>
                <w:color w:val="auto"/>
                <w:sz w:val="24"/>
              </w:rPr>
              <w:t>202</w:t>
            </w:r>
            <w:r>
              <w:rPr>
                <w:rFonts w:hint="eastAsia"/>
                <w:color w:val="auto"/>
                <w:sz w:val="24"/>
              </w:rPr>
              <w:t>2</w:t>
            </w:r>
            <w:r>
              <w:rPr>
                <w:color w:val="auto"/>
                <w:sz w:val="24"/>
              </w:rPr>
              <w:t>年常规污染物年均浓度以及在相应保证率下各个污染物的日均浓度的达标情况，结果见下表。</w:t>
            </w:r>
          </w:p>
          <w:p>
            <w:pPr>
              <w:pStyle w:val="42"/>
              <w:spacing w:line="480" w:lineRule="exact"/>
              <w:jc w:val="center"/>
              <w:rPr>
                <w:rFonts w:ascii="Times New Roman"/>
                <w:b/>
                <w:bCs/>
                <w:color w:val="auto"/>
                <w:sz w:val="24"/>
                <w:szCs w:val="24"/>
              </w:rPr>
            </w:pPr>
          </w:p>
          <w:p>
            <w:pPr>
              <w:pStyle w:val="42"/>
              <w:spacing w:line="480" w:lineRule="exact"/>
              <w:jc w:val="center"/>
              <w:rPr>
                <w:rFonts w:ascii="Times New Roman"/>
                <w:b/>
                <w:bCs/>
                <w:color w:val="auto"/>
                <w:sz w:val="24"/>
                <w:szCs w:val="24"/>
              </w:rPr>
            </w:pPr>
          </w:p>
          <w:p>
            <w:pPr>
              <w:pStyle w:val="42"/>
              <w:spacing w:line="480" w:lineRule="exact"/>
              <w:jc w:val="center"/>
              <w:rPr>
                <w:rFonts w:ascii="Times New Roman"/>
                <w:b/>
                <w:bCs/>
                <w:color w:val="auto"/>
                <w:sz w:val="24"/>
                <w:szCs w:val="24"/>
              </w:rPr>
            </w:pPr>
            <w:r>
              <w:rPr>
                <w:rFonts w:ascii="Times New Roman"/>
                <w:b/>
                <w:bCs/>
                <w:color w:val="auto"/>
                <w:sz w:val="24"/>
                <w:szCs w:val="24"/>
              </w:rPr>
              <w:t>表</w:t>
            </w:r>
            <w:r>
              <w:rPr>
                <w:rFonts w:hint="eastAsia" w:ascii="Times New Roman"/>
                <w:b/>
                <w:bCs/>
                <w:color w:val="auto"/>
                <w:sz w:val="24"/>
                <w:szCs w:val="24"/>
              </w:rPr>
              <w:t xml:space="preserve">19   </w:t>
            </w:r>
            <w:r>
              <w:rPr>
                <w:rFonts w:ascii="Times New Roman"/>
                <w:b/>
                <w:bCs/>
                <w:color w:val="auto"/>
                <w:sz w:val="24"/>
                <w:szCs w:val="24"/>
              </w:rPr>
              <w:t xml:space="preserve">  </w:t>
            </w:r>
            <w:r>
              <w:rPr>
                <w:rFonts w:hint="eastAsia" w:ascii="Times New Roman"/>
                <w:b/>
                <w:bCs/>
                <w:color w:val="auto"/>
                <w:sz w:val="24"/>
                <w:szCs w:val="24"/>
              </w:rPr>
              <w:t>遵化市</w:t>
            </w:r>
            <w:r>
              <w:rPr>
                <w:rFonts w:ascii="Times New Roman"/>
                <w:b/>
                <w:bCs/>
                <w:color w:val="auto"/>
                <w:sz w:val="24"/>
                <w:szCs w:val="24"/>
              </w:rPr>
              <w:t>202</w:t>
            </w:r>
            <w:r>
              <w:rPr>
                <w:rFonts w:hint="eastAsia" w:ascii="Times New Roman"/>
                <w:b/>
                <w:bCs/>
                <w:color w:val="auto"/>
                <w:sz w:val="24"/>
                <w:szCs w:val="24"/>
              </w:rPr>
              <w:t>2</w:t>
            </w:r>
            <w:r>
              <w:rPr>
                <w:rFonts w:ascii="Times New Roman"/>
                <w:b/>
                <w:bCs/>
                <w:color w:val="auto"/>
                <w:sz w:val="24"/>
                <w:szCs w:val="24"/>
              </w:rPr>
              <w:t>年常规污染物年均值统计</w:t>
            </w:r>
          </w:p>
          <w:tbl>
            <w:tblPr>
              <w:tblStyle w:val="34"/>
              <w:tblW w:w="81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3357"/>
              <w:gridCol w:w="1102"/>
              <w:gridCol w:w="1275"/>
              <w:gridCol w:w="12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Align w:val="center"/>
                </w:tcPr>
                <w:p>
                  <w:pPr>
                    <w:pStyle w:val="42"/>
                    <w:jc w:val="center"/>
                    <w:rPr>
                      <w:rFonts w:ascii="Times New Roman"/>
                      <w:color w:val="auto"/>
                      <w:szCs w:val="21"/>
                    </w:rPr>
                  </w:pPr>
                  <w:r>
                    <w:rPr>
                      <w:rFonts w:ascii="Times New Roman"/>
                      <w:color w:val="auto"/>
                      <w:szCs w:val="21"/>
                    </w:rPr>
                    <w:t>污染物</w:t>
                  </w:r>
                </w:p>
              </w:tc>
              <w:tc>
                <w:tcPr>
                  <w:tcW w:w="3357" w:type="dxa"/>
                  <w:vAlign w:val="center"/>
                </w:tcPr>
                <w:p>
                  <w:pPr>
                    <w:pStyle w:val="42"/>
                    <w:jc w:val="center"/>
                    <w:rPr>
                      <w:rFonts w:ascii="Times New Roman"/>
                      <w:color w:val="auto"/>
                      <w:szCs w:val="21"/>
                    </w:rPr>
                  </w:pPr>
                  <w:r>
                    <w:rPr>
                      <w:rFonts w:ascii="Times New Roman"/>
                      <w:color w:val="auto"/>
                      <w:szCs w:val="21"/>
                    </w:rPr>
                    <w:t>年评价指标</w:t>
                  </w:r>
                </w:p>
              </w:tc>
              <w:tc>
                <w:tcPr>
                  <w:tcW w:w="1102" w:type="dxa"/>
                  <w:vAlign w:val="center"/>
                </w:tcPr>
                <w:p>
                  <w:pPr>
                    <w:pStyle w:val="42"/>
                    <w:jc w:val="center"/>
                    <w:rPr>
                      <w:rFonts w:ascii="Times New Roman"/>
                      <w:color w:val="auto"/>
                      <w:szCs w:val="21"/>
                    </w:rPr>
                  </w:pPr>
                  <w:r>
                    <w:rPr>
                      <w:rFonts w:ascii="Times New Roman"/>
                      <w:color w:val="auto"/>
                      <w:szCs w:val="21"/>
                    </w:rPr>
                    <w:t>现状浓度</w:t>
                  </w:r>
                </w:p>
                <w:p>
                  <w:pPr>
                    <w:pStyle w:val="42"/>
                    <w:jc w:val="center"/>
                    <w:rPr>
                      <w:rFonts w:ascii="Times New Roman"/>
                      <w:color w:val="auto"/>
                      <w:szCs w:val="21"/>
                    </w:rPr>
                  </w:pPr>
                  <w:r>
                    <w:rPr>
                      <w:rFonts w:ascii="Times New Roman"/>
                      <w:color w:val="auto"/>
                      <w:szCs w:val="21"/>
                    </w:rPr>
                    <w:t>（μg/m</w:t>
                  </w:r>
                  <w:r>
                    <w:rPr>
                      <w:rFonts w:ascii="Times New Roman"/>
                      <w:color w:val="auto"/>
                      <w:szCs w:val="21"/>
                      <w:vertAlign w:val="superscript"/>
                    </w:rPr>
                    <w:t>3</w:t>
                  </w:r>
                  <w:r>
                    <w:rPr>
                      <w:rFonts w:ascii="Times New Roman"/>
                      <w:color w:val="auto"/>
                      <w:szCs w:val="21"/>
                    </w:rPr>
                    <w:t>）</w:t>
                  </w:r>
                </w:p>
              </w:tc>
              <w:tc>
                <w:tcPr>
                  <w:tcW w:w="1275" w:type="dxa"/>
                  <w:vAlign w:val="center"/>
                </w:tcPr>
                <w:p>
                  <w:pPr>
                    <w:pStyle w:val="42"/>
                    <w:jc w:val="center"/>
                    <w:rPr>
                      <w:rFonts w:ascii="Times New Roman"/>
                      <w:color w:val="auto"/>
                      <w:szCs w:val="21"/>
                    </w:rPr>
                  </w:pPr>
                  <w:r>
                    <w:rPr>
                      <w:rFonts w:ascii="Times New Roman"/>
                      <w:color w:val="auto"/>
                      <w:szCs w:val="21"/>
                    </w:rPr>
                    <w:t>标准值</w:t>
                  </w:r>
                </w:p>
                <w:p>
                  <w:pPr>
                    <w:pStyle w:val="42"/>
                    <w:jc w:val="center"/>
                    <w:rPr>
                      <w:rFonts w:ascii="Times New Roman"/>
                      <w:color w:val="auto"/>
                      <w:szCs w:val="21"/>
                    </w:rPr>
                  </w:pPr>
                  <w:r>
                    <w:rPr>
                      <w:rFonts w:ascii="Times New Roman"/>
                      <w:color w:val="auto"/>
                      <w:szCs w:val="21"/>
                    </w:rPr>
                    <w:t>（μg/m</w:t>
                  </w:r>
                  <w:r>
                    <w:rPr>
                      <w:rFonts w:ascii="Times New Roman"/>
                      <w:color w:val="auto"/>
                      <w:szCs w:val="21"/>
                      <w:vertAlign w:val="superscript"/>
                    </w:rPr>
                    <w:t>3</w:t>
                  </w:r>
                  <w:r>
                    <w:rPr>
                      <w:rFonts w:ascii="Times New Roman"/>
                      <w:color w:val="auto"/>
                      <w:szCs w:val="21"/>
                    </w:rPr>
                    <w:t>）</w:t>
                  </w:r>
                </w:p>
              </w:tc>
              <w:tc>
                <w:tcPr>
                  <w:tcW w:w="1200" w:type="dxa"/>
                  <w:tcBorders>
                    <w:right w:val="nil"/>
                  </w:tcBorders>
                  <w:vAlign w:val="center"/>
                </w:tcPr>
                <w:p>
                  <w:pPr>
                    <w:pStyle w:val="42"/>
                    <w:jc w:val="center"/>
                    <w:rPr>
                      <w:rFonts w:ascii="Times New Roman"/>
                      <w:color w:val="auto"/>
                      <w:szCs w:val="21"/>
                    </w:rPr>
                  </w:pPr>
                  <w:r>
                    <w:rPr>
                      <w:rFonts w:ascii="Times New Roman"/>
                      <w:color w:val="auto"/>
                      <w:szCs w:val="21"/>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4" w:type="dxa"/>
                  <w:tcBorders>
                    <w:left w:val="nil"/>
                  </w:tcBorders>
                  <w:vAlign w:val="center"/>
                </w:tcPr>
                <w:p>
                  <w:pPr>
                    <w:jc w:val="center"/>
                    <w:rPr>
                      <w:color w:val="auto"/>
                      <w:szCs w:val="21"/>
                      <w:vertAlign w:val="subscript"/>
                    </w:rPr>
                  </w:pPr>
                  <w:r>
                    <w:rPr>
                      <w:color w:val="auto"/>
                      <w:szCs w:val="21"/>
                    </w:rPr>
                    <w:t>SO</w:t>
                  </w:r>
                  <w:r>
                    <w:rPr>
                      <w:color w:val="auto"/>
                      <w:szCs w:val="21"/>
                      <w:vertAlign w:val="subscript"/>
                    </w:rPr>
                    <w:t>2</w:t>
                  </w:r>
                </w:p>
              </w:tc>
              <w:tc>
                <w:tcPr>
                  <w:tcW w:w="3357" w:type="dxa"/>
                  <w:vAlign w:val="center"/>
                </w:tcPr>
                <w:p>
                  <w:pPr>
                    <w:pStyle w:val="42"/>
                    <w:jc w:val="center"/>
                    <w:rPr>
                      <w:rFonts w:ascii="Times New Roman"/>
                      <w:color w:val="auto"/>
                      <w:szCs w:val="21"/>
                    </w:rPr>
                  </w:pPr>
                  <w:r>
                    <w:rPr>
                      <w:rFonts w:ascii="Times New Roman"/>
                      <w:color w:val="auto"/>
                      <w:szCs w:val="21"/>
                    </w:rPr>
                    <w:t>年平均质量浓度值</w:t>
                  </w:r>
                </w:p>
              </w:tc>
              <w:tc>
                <w:tcPr>
                  <w:tcW w:w="1102" w:type="dxa"/>
                  <w:vAlign w:val="center"/>
                </w:tcPr>
                <w:p>
                  <w:pPr>
                    <w:jc w:val="center"/>
                    <w:rPr>
                      <w:color w:val="auto"/>
                      <w:szCs w:val="21"/>
                    </w:rPr>
                  </w:pPr>
                  <w:r>
                    <w:rPr>
                      <w:rFonts w:hint="eastAsia"/>
                      <w:color w:val="auto"/>
                      <w:szCs w:val="21"/>
                    </w:rPr>
                    <w:t>10</w:t>
                  </w:r>
                </w:p>
              </w:tc>
              <w:tc>
                <w:tcPr>
                  <w:tcW w:w="1275" w:type="dxa"/>
                  <w:vAlign w:val="center"/>
                </w:tcPr>
                <w:p>
                  <w:pPr>
                    <w:pStyle w:val="42"/>
                    <w:jc w:val="center"/>
                    <w:rPr>
                      <w:rFonts w:ascii="Times New Roman"/>
                      <w:color w:val="auto"/>
                      <w:szCs w:val="21"/>
                    </w:rPr>
                  </w:pPr>
                  <w:r>
                    <w:rPr>
                      <w:rFonts w:ascii="Times New Roman"/>
                      <w:color w:val="auto"/>
                      <w:szCs w:val="21"/>
                    </w:rPr>
                    <w:t>60</w:t>
                  </w:r>
                </w:p>
              </w:tc>
              <w:tc>
                <w:tcPr>
                  <w:tcW w:w="1200" w:type="dxa"/>
                  <w:tcBorders>
                    <w:right w:val="nil"/>
                  </w:tcBorders>
                  <w:vAlign w:val="center"/>
                </w:tcPr>
                <w:p>
                  <w:pPr>
                    <w:pStyle w:val="42"/>
                    <w:jc w:val="center"/>
                    <w:rPr>
                      <w:rFonts w:ascii="Times New Roman"/>
                      <w:color w:val="auto"/>
                      <w:szCs w:val="21"/>
                    </w:rPr>
                  </w:pPr>
                  <w:r>
                    <w:rPr>
                      <w:rFonts w:ascii="Times New Roman"/>
                      <w:color w:val="auto"/>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0" w:hRule="atLeast"/>
                <w:jc w:val="center"/>
              </w:trPr>
              <w:tc>
                <w:tcPr>
                  <w:tcW w:w="1234" w:type="dxa"/>
                  <w:tcBorders>
                    <w:left w:val="nil"/>
                  </w:tcBorders>
                  <w:vAlign w:val="center"/>
                </w:tcPr>
                <w:p>
                  <w:pPr>
                    <w:jc w:val="center"/>
                    <w:rPr>
                      <w:color w:val="auto"/>
                      <w:szCs w:val="21"/>
                      <w:vertAlign w:val="subscript"/>
                    </w:rPr>
                  </w:pPr>
                  <w:r>
                    <w:rPr>
                      <w:color w:val="auto"/>
                      <w:szCs w:val="21"/>
                    </w:rPr>
                    <w:t>NO</w:t>
                  </w:r>
                  <w:r>
                    <w:rPr>
                      <w:color w:val="auto"/>
                      <w:szCs w:val="21"/>
                      <w:vertAlign w:val="subscript"/>
                    </w:rPr>
                    <w:t>2</w:t>
                  </w:r>
                </w:p>
              </w:tc>
              <w:tc>
                <w:tcPr>
                  <w:tcW w:w="3357" w:type="dxa"/>
                  <w:vAlign w:val="center"/>
                </w:tcPr>
                <w:p>
                  <w:pPr>
                    <w:pStyle w:val="42"/>
                    <w:jc w:val="center"/>
                    <w:rPr>
                      <w:rFonts w:ascii="Times New Roman"/>
                      <w:color w:val="auto"/>
                      <w:szCs w:val="21"/>
                    </w:rPr>
                  </w:pPr>
                  <w:r>
                    <w:rPr>
                      <w:rFonts w:ascii="Times New Roman"/>
                      <w:color w:val="auto"/>
                      <w:szCs w:val="21"/>
                    </w:rPr>
                    <w:t>年平均质量浓度值</w:t>
                  </w:r>
                </w:p>
              </w:tc>
              <w:tc>
                <w:tcPr>
                  <w:tcW w:w="1102" w:type="dxa"/>
                  <w:vAlign w:val="center"/>
                </w:tcPr>
                <w:p>
                  <w:pPr>
                    <w:pStyle w:val="32"/>
                    <w:spacing w:after="0"/>
                    <w:ind w:left="0" w:leftChars="0" w:firstLine="0" w:firstLineChars="0"/>
                    <w:jc w:val="center"/>
                    <w:rPr>
                      <w:color w:val="auto"/>
                      <w:kern w:val="0"/>
                      <w:szCs w:val="21"/>
                    </w:rPr>
                  </w:pPr>
                  <w:r>
                    <w:rPr>
                      <w:rFonts w:hint="eastAsia"/>
                      <w:color w:val="auto"/>
                      <w:kern w:val="0"/>
                      <w:szCs w:val="21"/>
                    </w:rPr>
                    <w:t>32</w:t>
                  </w:r>
                </w:p>
              </w:tc>
              <w:tc>
                <w:tcPr>
                  <w:tcW w:w="1275" w:type="dxa"/>
                  <w:vAlign w:val="center"/>
                </w:tcPr>
                <w:p>
                  <w:pPr>
                    <w:pStyle w:val="42"/>
                    <w:jc w:val="center"/>
                    <w:rPr>
                      <w:rFonts w:ascii="Times New Roman"/>
                      <w:color w:val="auto"/>
                      <w:szCs w:val="21"/>
                    </w:rPr>
                  </w:pPr>
                  <w:r>
                    <w:rPr>
                      <w:rFonts w:ascii="Times New Roman"/>
                      <w:color w:val="auto"/>
                      <w:szCs w:val="21"/>
                    </w:rPr>
                    <w:t>40</w:t>
                  </w:r>
                </w:p>
              </w:tc>
              <w:tc>
                <w:tcPr>
                  <w:tcW w:w="1200" w:type="dxa"/>
                  <w:tcBorders>
                    <w:right w:val="nil"/>
                  </w:tcBorders>
                  <w:vAlign w:val="center"/>
                </w:tcPr>
                <w:p>
                  <w:pPr>
                    <w:pStyle w:val="42"/>
                    <w:jc w:val="center"/>
                    <w:rPr>
                      <w:rFonts w:ascii="Times New Roman"/>
                      <w:color w:val="auto"/>
                      <w:szCs w:val="21"/>
                    </w:rPr>
                  </w:pPr>
                  <w:r>
                    <w:rPr>
                      <w:rFonts w:ascii="Times New Roman"/>
                      <w:color w:val="auto"/>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4" w:type="dxa"/>
                  <w:tcBorders>
                    <w:left w:val="nil"/>
                  </w:tcBorders>
                  <w:vAlign w:val="center"/>
                </w:tcPr>
                <w:p>
                  <w:pPr>
                    <w:jc w:val="center"/>
                    <w:rPr>
                      <w:color w:val="auto"/>
                      <w:szCs w:val="21"/>
                    </w:rPr>
                  </w:pPr>
                  <w:r>
                    <w:rPr>
                      <w:color w:val="auto"/>
                      <w:szCs w:val="21"/>
                    </w:rPr>
                    <w:t>CO</w:t>
                  </w:r>
                </w:p>
              </w:tc>
              <w:tc>
                <w:tcPr>
                  <w:tcW w:w="3357" w:type="dxa"/>
                  <w:vAlign w:val="center"/>
                </w:tcPr>
                <w:p>
                  <w:pPr>
                    <w:pStyle w:val="42"/>
                    <w:jc w:val="center"/>
                    <w:rPr>
                      <w:rFonts w:ascii="Times New Roman"/>
                      <w:color w:val="auto"/>
                      <w:szCs w:val="21"/>
                    </w:rPr>
                  </w:pPr>
                  <w:r>
                    <w:rPr>
                      <w:rFonts w:ascii="Times New Roman"/>
                      <w:color w:val="auto"/>
                      <w:szCs w:val="21"/>
                    </w:rPr>
                    <w:t>第95百分位浓度日平均浓度值</w:t>
                  </w:r>
                </w:p>
              </w:tc>
              <w:tc>
                <w:tcPr>
                  <w:tcW w:w="1102" w:type="dxa"/>
                  <w:vAlign w:val="center"/>
                </w:tcPr>
                <w:p>
                  <w:pPr>
                    <w:pStyle w:val="32"/>
                    <w:spacing w:after="0"/>
                    <w:ind w:left="0" w:leftChars="0" w:firstLine="0" w:firstLineChars="0"/>
                    <w:jc w:val="center"/>
                    <w:rPr>
                      <w:color w:val="auto"/>
                      <w:kern w:val="0"/>
                      <w:szCs w:val="21"/>
                    </w:rPr>
                  </w:pPr>
                  <w:r>
                    <w:rPr>
                      <w:rFonts w:hint="eastAsia"/>
                      <w:color w:val="auto"/>
                      <w:kern w:val="0"/>
                      <w:szCs w:val="21"/>
                    </w:rPr>
                    <w:t>1600</w:t>
                  </w:r>
                </w:p>
              </w:tc>
              <w:tc>
                <w:tcPr>
                  <w:tcW w:w="1275" w:type="dxa"/>
                  <w:vAlign w:val="center"/>
                </w:tcPr>
                <w:p>
                  <w:pPr>
                    <w:pStyle w:val="42"/>
                    <w:jc w:val="center"/>
                    <w:rPr>
                      <w:rFonts w:ascii="Times New Roman"/>
                      <w:color w:val="auto"/>
                      <w:szCs w:val="21"/>
                    </w:rPr>
                  </w:pPr>
                  <w:r>
                    <w:rPr>
                      <w:rFonts w:ascii="Times New Roman"/>
                      <w:color w:val="auto"/>
                      <w:szCs w:val="21"/>
                    </w:rPr>
                    <w:t>4000</w:t>
                  </w:r>
                </w:p>
              </w:tc>
              <w:tc>
                <w:tcPr>
                  <w:tcW w:w="1200" w:type="dxa"/>
                  <w:tcBorders>
                    <w:right w:val="nil"/>
                  </w:tcBorders>
                  <w:vAlign w:val="center"/>
                </w:tcPr>
                <w:p>
                  <w:pPr>
                    <w:pStyle w:val="42"/>
                    <w:jc w:val="center"/>
                    <w:rPr>
                      <w:rFonts w:ascii="Times New Roman"/>
                      <w:color w:val="auto"/>
                      <w:szCs w:val="21"/>
                    </w:rPr>
                  </w:pPr>
                  <w:r>
                    <w:rPr>
                      <w:rFonts w:ascii="Times New Roman"/>
                      <w:color w:val="auto"/>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4" w:type="dxa"/>
                  <w:tcBorders>
                    <w:left w:val="nil"/>
                  </w:tcBorders>
                  <w:vAlign w:val="center"/>
                </w:tcPr>
                <w:p>
                  <w:pPr>
                    <w:jc w:val="center"/>
                    <w:rPr>
                      <w:color w:val="auto"/>
                      <w:szCs w:val="21"/>
                      <w:vertAlign w:val="subscript"/>
                    </w:rPr>
                  </w:pPr>
                  <w:r>
                    <w:rPr>
                      <w:color w:val="auto"/>
                      <w:szCs w:val="21"/>
                    </w:rPr>
                    <w:t>O</w:t>
                  </w:r>
                  <w:r>
                    <w:rPr>
                      <w:color w:val="auto"/>
                      <w:szCs w:val="21"/>
                      <w:vertAlign w:val="subscript"/>
                    </w:rPr>
                    <w:t>3</w:t>
                  </w:r>
                </w:p>
              </w:tc>
              <w:tc>
                <w:tcPr>
                  <w:tcW w:w="3357" w:type="dxa"/>
                  <w:vAlign w:val="center"/>
                </w:tcPr>
                <w:p>
                  <w:pPr>
                    <w:pStyle w:val="42"/>
                    <w:jc w:val="center"/>
                    <w:rPr>
                      <w:rFonts w:ascii="Times New Roman"/>
                      <w:color w:val="auto"/>
                      <w:szCs w:val="21"/>
                    </w:rPr>
                  </w:pPr>
                  <w:r>
                    <w:rPr>
                      <w:rFonts w:ascii="Times New Roman"/>
                      <w:color w:val="auto"/>
                      <w:szCs w:val="21"/>
                    </w:rPr>
                    <w:t>日最大8小时平均第90百分位浓度</w:t>
                  </w:r>
                </w:p>
              </w:tc>
              <w:tc>
                <w:tcPr>
                  <w:tcW w:w="1102" w:type="dxa"/>
                  <w:vAlign w:val="center"/>
                </w:tcPr>
                <w:p>
                  <w:pPr>
                    <w:pStyle w:val="32"/>
                    <w:spacing w:after="0"/>
                    <w:ind w:left="0" w:leftChars="0" w:firstLine="0" w:firstLineChars="0"/>
                    <w:jc w:val="center"/>
                    <w:rPr>
                      <w:color w:val="auto"/>
                      <w:kern w:val="0"/>
                      <w:szCs w:val="21"/>
                    </w:rPr>
                  </w:pPr>
                  <w:r>
                    <w:rPr>
                      <w:rFonts w:hint="eastAsia"/>
                      <w:color w:val="auto"/>
                      <w:kern w:val="0"/>
                      <w:szCs w:val="21"/>
                    </w:rPr>
                    <w:t>179</w:t>
                  </w:r>
                </w:p>
              </w:tc>
              <w:tc>
                <w:tcPr>
                  <w:tcW w:w="1275" w:type="dxa"/>
                  <w:vAlign w:val="center"/>
                </w:tcPr>
                <w:p>
                  <w:pPr>
                    <w:pStyle w:val="42"/>
                    <w:jc w:val="center"/>
                    <w:rPr>
                      <w:rFonts w:ascii="Times New Roman"/>
                      <w:color w:val="auto"/>
                      <w:szCs w:val="21"/>
                    </w:rPr>
                  </w:pPr>
                  <w:r>
                    <w:rPr>
                      <w:rFonts w:ascii="Times New Roman"/>
                      <w:color w:val="auto"/>
                      <w:szCs w:val="21"/>
                    </w:rPr>
                    <w:t>160</w:t>
                  </w:r>
                </w:p>
              </w:tc>
              <w:tc>
                <w:tcPr>
                  <w:tcW w:w="1200" w:type="dxa"/>
                  <w:tcBorders>
                    <w:right w:val="nil"/>
                  </w:tcBorders>
                  <w:vAlign w:val="center"/>
                </w:tcPr>
                <w:p>
                  <w:pPr>
                    <w:pStyle w:val="42"/>
                    <w:jc w:val="center"/>
                    <w:rPr>
                      <w:rFonts w:ascii="Times New Roman"/>
                      <w:color w:val="auto"/>
                      <w:szCs w:val="21"/>
                    </w:rPr>
                  </w:pPr>
                  <w:r>
                    <w:rPr>
                      <w:rFonts w:hint="eastAsia" w:ascii="Times New Roman"/>
                      <w:color w:val="auto"/>
                      <w:szCs w:val="21"/>
                    </w:rPr>
                    <w:t>不</w:t>
                  </w:r>
                  <w:r>
                    <w:rPr>
                      <w:rFonts w:ascii="Times New Roman"/>
                      <w:color w:val="auto"/>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234" w:type="dxa"/>
                  <w:tcBorders>
                    <w:left w:val="nil"/>
                  </w:tcBorders>
                  <w:vAlign w:val="center"/>
                </w:tcPr>
                <w:p>
                  <w:pPr>
                    <w:jc w:val="center"/>
                    <w:rPr>
                      <w:color w:val="auto"/>
                      <w:szCs w:val="21"/>
                      <w:vertAlign w:val="subscript"/>
                    </w:rPr>
                  </w:pPr>
                  <w:r>
                    <w:rPr>
                      <w:color w:val="auto"/>
                      <w:szCs w:val="21"/>
                    </w:rPr>
                    <w:t>PM</w:t>
                  </w:r>
                  <w:r>
                    <w:rPr>
                      <w:color w:val="auto"/>
                      <w:szCs w:val="21"/>
                      <w:vertAlign w:val="subscript"/>
                    </w:rPr>
                    <w:t>10</w:t>
                  </w:r>
                </w:p>
              </w:tc>
              <w:tc>
                <w:tcPr>
                  <w:tcW w:w="3357" w:type="dxa"/>
                  <w:vAlign w:val="center"/>
                </w:tcPr>
                <w:p>
                  <w:pPr>
                    <w:pStyle w:val="42"/>
                    <w:jc w:val="center"/>
                    <w:rPr>
                      <w:rFonts w:ascii="Times New Roman"/>
                      <w:color w:val="auto"/>
                      <w:szCs w:val="21"/>
                    </w:rPr>
                  </w:pPr>
                  <w:r>
                    <w:rPr>
                      <w:rFonts w:ascii="Times New Roman"/>
                      <w:color w:val="auto"/>
                      <w:szCs w:val="21"/>
                    </w:rPr>
                    <w:t>年平均质量浓度值</w:t>
                  </w:r>
                </w:p>
              </w:tc>
              <w:tc>
                <w:tcPr>
                  <w:tcW w:w="1102" w:type="dxa"/>
                  <w:vAlign w:val="center"/>
                </w:tcPr>
                <w:p>
                  <w:pPr>
                    <w:pStyle w:val="32"/>
                    <w:spacing w:after="0"/>
                    <w:ind w:left="0" w:leftChars="0" w:firstLine="0" w:firstLineChars="0"/>
                    <w:jc w:val="center"/>
                    <w:rPr>
                      <w:color w:val="auto"/>
                      <w:kern w:val="0"/>
                      <w:szCs w:val="21"/>
                    </w:rPr>
                  </w:pPr>
                  <w:r>
                    <w:rPr>
                      <w:rFonts w:hint="eastAsia"/>
                      <w:color w:val="auto"/>
                      <w:kern w:val="0"/>
                      <w:szCs w:val="21"/>
                    </w:rPr>
                    <w:t>65</w:t>
                  </w:r>
                </w:p>
              </w:tc>
              <w:tc>
                <w:tcPr>
                  <w:tcW w:w="1275" w:type="dxa"/>
                  <w:vAlign w:val="center"/>
                </w:tcPr>
                <w:p>
                  <w:pPr>
                    <w:pStyle w:val="42"/>
                    <w:jc w:val="center"/>
                    <w:rPr>
                      <w:rFonts w:ascii="Times New Roman"/>
                      <w:color w:val="auto"/>
                      <w:szCs w:val="21"/>
                    </w:rPr>
                  </w:pPr>
                  <w:r>
                    <w:rPr>
                      <w:rFonts w:ascii="Times New Roman"/>
                      <w:color w:val="auto"/>
                      <w:szCs w:val="21"/>
                    </w:rPr>
                    <w:t>70</w:t>
                  </w:r>
                </w:p>
              </w:tc>
              <w:tc>
                <w:tcPr>
                  <w:tcW w:w="1200" w:type="dxa"/>
                  <w:tcBorders>
                    <w:right w:val="nil"/>
                  </w:tcBorders>
                  <w:vAlign w:val="center"/>
                </w:tcPr>
                <w:p>
                  <w:pPr>
                    <w:pStyle w:val="42"/>
                    <w:jc w:val="center"/>
                    <w:rPr>
                      <w:rFonts w:ascii="Times New Roman"/>
                      <w:color w:val="auto"/>
                      <w:szCs w:val="21"/>
                    </w:rPr>
                  </w:pPr>
                  <w:r>
                    <w:rPr>
                      <w:rFonts w:ascii="Times New Roman"/>
                      <w:color w:val="auto"/>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4" w:type="dxa"/>
                  <w:tcBorders>
                    <w:left w:val="nil"/>
                  </w:tcBorders>
                  <w:vAlign w:val="center"/>
                </w:tcPr>
                <w:p>
                  <w:pPr>
                    <w:jc w:val="center"/>
                    <w:rPr>
                      <w:color w:val="auto"/>
                      <w:szCs w:val="21"/>
                      <w:vertAlign w:val="subscript"/>
                    </w:rPr>
                  </w:pPr>
                  <w:r>
                    <w:rPr>
                      <w:color w:val="auto"/>
                      <w:szCs w:val="21"/>
                    </w:rPr>
                    <w:t>PM</w:t>
                  </w:r>
                  <w:r>
                    <w:rPr>
                      <w:color w:val="auto"/>
                      <w:szCs w:val="21"/>
                      <w:vertAlign w:val="subscript"/>
                    </w:rPr>
                    <w:t>2.5</w:t>
                  </w:r>
                </w:p>
              </w:tc>
              <w:tc>
                <w:tcPr>
                  <w:tcW w:w="3357" w:type="dxa"/>
                  <w:vAlign w:val="center"/>
                </w:tcPr>
                <w:p>
                  <w:pPr>
                    <w:jc w:val="center"/>
                    <w:rPr>
                      <w:color w:val="auto"/>
                      <w:szCs w:val="21"/>
                    </w:rPr>
                  </w:pPr>
                  <w:r>
                    <w:rPr>
                      <w:color w:val="auto"/>
                      <w:szCs w:val="21"/>
                    </w:rPr>
                    <w:t>年平均质量浓度值</w:t>
                  </w:r>
                </w:p>
              </w:tc>
              <w:tc>
                <w:tcPr>
                  <w:tcW w:w="1102" w:type="dxa"/>
                  <w:vAlign w:val="center"/>
                </w:tcPr>
                <w:p>
                  <w:pPr>
                    <w:pStyle w:val="32"/>
                    <w:spacing w:after="0"/>
                    <w:ind w:left="0" w:leftChars="0" w:firstLine="0" w:firstLineChars="0"/>
                    <w:jc w:val="center"/>
                    <w:rPr>
                      <w:color w:val="auto"/>
                      <w:kern w:val="0"/>
                      <w:szCs w:val="21"/>
                    </w:rPr>
                  </w:pPr>
                  <w:r>
                    <w:rPr>
                      <w:rFonts w:hint="eastAsia"/>
                      <w:color w:val="auto"/>
                      <w:kern w:val="0"/>
                      <w:szCs w:val="21"/>
                    </w:rPr>
                    <w:t>29</w:t>
                  </w:r>
                </w:p>
              </w:tc>
              <w:tc>
                <w:tcPr>
                  <w:tcW w:w="1275" w:type="dxa"/>
                  <w:vAlign w:val="center"/>
                </w:tcPr>
                <w:p>
                  <w:pPr>
                    <w:pStyle w:val="42"/>
                    <w:jc w:val="center"/>
                    <w:rPr>
                      <w:rFonts w:ascii="Times New Roman"/>
                      <w:color w:val="auto"/>
                      <w:szCs w:val="21"/>
                    </w:rPr>
                  </w:pPr>
                  <w:r>
                    <w:rPr>
                      <w:rFonts w:ascii="Times New Roman"/>
                      <w:color w:val="auto"/>
                      <w:szCs w:val="21"/>
                    </w:rPr>
                    <w:t>35</w:t>
                  </w:r>
                </w:p>
              </w:tc>
              <w:tc>
                <w:tcPr>
                  <w:tcW w:w="1200" w:type="dxa"/>
                  <w:tcBorders>
                    <w:right w:val="nil"/>
                  </w:tcBorders>
                  <w:vAlign w:val="center"/>
                </w:tcPr>
                <w:p>
                  <w:pPr>
                    <w:pStyle w:val="42"/>
                    <w:jc w:val="center"/>
                    <w:rPr>
                      <w:rFonts w:ascii="Times New Roman"/>
                      <w:color w:val="auto"/>
                      <w:szCs w:val="21"/>
                    </w:rPr>
                  </w:pPr>
                  <w:r>
                    <w:rPr>
                      <w:rFonts w:ascii="Times New Roman"/>
                      <w:color w:val="auto"/>
                      <w:szCs w:val="21"/>
                    </w:rPr>
                    <w:t>达标</w:t>
                  </w:r>
                </w:p>
              </w:tc>
            </w:tr>
          </w:tbl>
          <w:p>
            <w:pPr>
              <w:spacing w:line="500" w:lineRule="exact"/>
              <w:ind w:firstLine="480" w:firstLineChars="200"/>
              <w:rPr>
                <w:color w:val="auto"/>
                <w:sz w:val="24"/>
              </w:rPr>
            </w:pPr>
            <w:r>
              <w:rPr>
                <w:color w:val="auto"/>
                <w:sz w:val="24"/>
              </w:rPr>
              <w:t>由上表可知，202</w:t>
            </w:r>
            <w:r>
              <w:rPr>
                <w:rFonts w:hint="eastAsia"/>
                <w:color w:val="auto"/>
                <w:sz w:val="24"/>
              </w:rPr>
              <w:t>2</w:t>
            </w:r>
            <w:r>
              <w:rPr>
                <w:color w:val="auto"/>
                <w:sz w:val="24"/>
              </w:rPr>
              <w:t>年</w:t>
            </w:r>
            <w:r>
              <w:rPr>
                <w:rFonts w:hint="eastAsia"/>
                <w:color w:val="auto"/>
                <w:sz w:val="24"/>
              </w:rPr>
              <w:t>遵化市</w:t>
            </w:r>
            <w:r>
              <w:rPr>
                <w:color w:val="auto"/>
                <w:sz w:val="24"/>
              </w:rPr>
              <w:t>常规污染物监测数据显示，</w:t>
            </w:r>
            <w:r>
              <w:rPr>
                <w:rFonts w:hint="eastAsia"/>
                <w:color w:val="auto"/>
                <w:sz w:val="24"/>
              </w:rPr>
              <w:t>遵化市</w:t>
            </w:r>
            <w:r>
              <w:rPr>
                <w:color w:val="auto"/>
                <w:sz w:val="24"/>
              </w:rPr>
              <w:t>PM</w:t>
            </w:r>
            <w:r>
              <w:rPr>
                <w:color w:val="auto"/>
                <w:sz w:val="24"/>
                <w:vertAlign w:val="subscript"/>
              </w:rPr>
              <w:t>10</w:t>
            </w:r>
            <w:r>
              <w:rPr>
                <w:color w:val="auto"/>
                <w:sz w:val="24"/>
              </w:rPr>
              <w:t>年平均质量浓度、PM</w:t>
            </w:r>
            <w:r>
              <w:rPr>
                <w:color w:val="auto"/>
                <w:sz w:val="24"/>
                <w:vertAlign w:val="subscript"/>
              </w:rPr>
              <w:t>2.5</w:t>
            </w:r>
            <w:r>
              <w:rPr>
                <w:color w:val="auto"/>
                <w:sz w:val="24"/>
              </w:rPr>
              <w:t>年平均质量浓度</w:t>
            </w:r>
            <w:r>
              <w:rPr>
                <w:rFonts w:hint="eastAsia"/>
                <w:color w:val="auto"/>
                <w:sz w:val="24"/>
              </w:rPr>
              <w:t>、</w:t>
            </w:r>
            <w:r>
              <w:rPr>
                <w:color w:val="auto"/>
                <w:sz w:val="24"/>
              </w:rPr>
              <w:t>SO</w:t>
            </w:r>
            <w:r>
              <w:rPr>
                <w:color w:val="auto"/>
                <w:sz w:val="24"/>
                <w:vertAlign w:val="subscript"/>
              </w:rPr>
              <w:t>2</w:t>
            </w:r>
            <w:r>
              <w:rPr>
                <w:color w:val="auto"/>
                <w:sz w:val="24"/>
              </w:rPr>
              <w:t>年平均质量浓度、NO</w:t>
            </w:r>
            <w:r>
              <w:rPr>
                <w:color w:val="auto"/>
                <w:sz w:val="24"/>
                <w:vertAlign w:val="subscript"/>
              </w:rPr>
              <w:t>2</w:t>
            </w:r>
            <w:r>
              <w:rPr>
                <w:color w:val="auto"/>
                <w:sz w:val="24"/>
              </w:rPr>
              <w:t>年平均质量浓度、CO第95百分位浓度日平均浓度值</w:t>
            </w:r>
            <w:r>
              <w:rPr>
                <w:rFonts w:hint="eastAsia"/>
                <w:color w:val="auto"/>
                <w:sz w:val="24"/>
              </w:rPr>
              <w:t>均</w:t>
            </w:r>
            <w:r>
              <w:rPr>
                <w:color w:val="auto"/>
                <w:sz w:val="24"/>
              </w:rPr>
              <w:t>满足《环境空气质量标准》（GB3095-2012）二级标准。O</w:t>
            </w:r>
            <w:r>
              <w:rPr>
                <w:color w:val="auto"/>
                <w:sz w:val="24"/>
                <w:vertAlign w:val="subscript"/>
              </w:rPr>
              <w:t>3</w:t>
            </w:r>
            <w:r>
              <w:rPr>
                <w:color w:val="auto"/>
                <w:sz w:val="24"/>
              </w:rPr>
              <w:t>日最大8小时平均第90百分位浓度不满足《环境空气质量标准》（GB3095-2012）二级标准</w:t>
            </w:r>
            <w:r>
              <w:rPr>
                <w:rFonts w:hint="eastAsia"/>
                <w:color w:val="auto"/>
                <w:sz w:val="24"/>
              </w:rPr>
              <w:t>。</w:t>
            </w:r>
          </w:p>
          <w:p>
            <w:pPr>
              <w:tabs>
                <w:tab w:val="left" w:pos="1200"/>
              </w:tabs>
              <w:adjustRightInd w:val="0"/>
              <w:snapToGrid w:val="0"/>
              <w:spacing w:line="500" w:lineRule="exact"/>
              <w:ind w:firstLine="496" w:firstLineChars="200"/>
              <w:rPr>
                <w:color w:val="auto"/>
                <w:spacing w:val="4"/>
                <w:kern w:val="0"/>
                <w:sz w:val="24"/>
              </w:rPr>
            </w:pPr>
            <w:r>
              <w:rPr>
                <w:rFonts w:hint="eastAsia"/>
                <w:color w:val="auto"/>
                <w:spacing w:val="4"/>
                <w:kern w:val="0"/>
                <w:sz w:val="24"/>
              </w:rPr>
              <w:t>（3）</w:t>
            </w:r>
            <w:r>
              <w:rPr>
                <w:color w:val="auto"/>
                <w:spacing w:val="4"/>
                <w:kern w:val="0"/>
                <w:sz w:val="24"/>
              </w:rPr>
              <w:t>其他污染物环境质量现状监测与评价</w:t>
            </w:r>
          </w:p>
          <w:p>
            <w:pPr>
              <w:pStyle w:val="29"/>
              <w:spacing w:before="0" w:beforeAutospacing="0" w:after="0" w:afterAutospacing="0" w:line="480" w:lineRule="exact"/>
              <w:ind w:left="8" w:right="113" w:firstLine="408" w:firstLineChars="170"/>
              <w:rPr>
                <w:rFonts w:ascii="Times New Roman" w:hAnsi="Times New Roman"/>
                <w:color w:val="auto"/>
                <w:kern w:val="2"/>
                <w:szCs w:val="24"/>
                <w:highlight w:val="yellow"/>
                <w:lang w:val="zh-CN"/>
              </w:rPr>
            </w:pPr>
            <w:r>
              <w:rPr>
                <w:rFonts w:ascii="Times New Roman" w:hAnsi="Times New Roman"/>
                <w:color w:val="auto"/>
                <w:kern w:val="2"/>
                <w:szCs w:val="24"/>
                <w:lang w:val="zh-CN"/>
              </w:rPr>
              <w:t>本次评价中</w:t>
            </w:r>
            <w:r>
              <w:rPr>
                <w:rFonts w:ascii="Times New Roman" w:hAnsi="Times New Roman"/>
                <w:color w:val="auto"/>
                <w:kern w:val="2"/>
                <w:szCs w:val="24"/>
              </w:rPr>
              <w:t>TSP</w:t>
            </w:r>
            <w:r>
              <w:rPr>
                <w:rFonts w:ascii="Times New Roman" w:hAnsi="Times New Roman"/>
                <w:color w:val="auto"/>
                <w:kern w:val="2"/>
                <w:szCs w:val="24"/>
                <w:lang w:val="zh-CN"/>
              </w:rPr>
              <w:t>环境质量现状监测数据引用《</w:t>
            </w:r>
            <w:r>
              <w:rPr>
                <w:rFonts w:hint="eastAsia" w:ascii="Times New Roman" w:hAnsi="Times New Roman"/>
                <w:color w:val="auto"/>
                <w:kern w:val="2"/>
                <w:szCs w:val="24"/>
                <w:lang w:val="zh-CN"/>
              </w:rPr>
              <w:t>河北中安四通建筑科技有限公司环境空气现状检测报告</w:t>
            </w:r>
            <w:r>
              <w:rPr>
                <w:rFonts w:ascii="Times New Roman" w:hAnsi="Times New Roman"/>
                <w:color w:val="auto"/>
                <w:kern w:val="2"/>
                <w:szCs w:val="24"/>
                <w:lang w:val="zh-CN"/>
              </w:rPr>
              <w:t>》中环境质量现状监测数据，监测点位为本项目</w:t>
            </w:r>
            <w:r>
              <w:rPr>
                <w:rFonts w:hint="eastAsia" w:ascii="Times New Roman" w:hAnsi="Times New Roman"/>
                <w:color w:val="auto"/>
                <w:kern w:val="2"/>
                <w:szCs w:val="24"/>
                <w:lang w:val="zh-CN"/>
              </w:rPr>
              <w:t>南</w:t>
            </w:r>
            <w:r>
              <w:rPr>
                <w:rFonts w:ascii="Times New Roman" w:hAnsi="Times New Roman"/>
                <w:color w:val="auto"/>
                <w:kern w:val="2"/>
                <w:szCs w:val="24"/>
                <w:lang w:val="zh-CN"/>
              </w:rPr>
              <w:t>侧</w:t>
            </w:r>
            <w:r>
              <w:rPr>
                <w:rFonts w:hint="eastAsia" w:ascii="Times New Roman" w:hAnsi="Times New Roman"/>
                <w:color w:val="auto"/>
                <w:kern w:val="2"/>
                <w:szCs w:val="24"/>
              </w:rPr>
              <w:t>的庄户村</w:t>
            </w:r>
            <w:r>
              <w:rPr>
                <w:rFonts w:ascii="Times New Roman" w:hAnsi="Times New Roman"/>
                <w:color w:val="auto"/>
                <w:kern w:val="2"/>
                <w:szCs w:val="24"/>
                <w:lang w:val="zh-CN"/>
              </w:rPr>
              <w:t>。</w:t>
            </w:r>
            <w:r>
              <w:rPr>
                <w:rFonts w:hint="eastAsia"/>
                <w:color w:val="auto"/>
              </w:rPr>
              <w:t>项目与</w:t>
            </w:r>
            <w:r>
              <w:rPr>
                <w:rFonts w:hint="eastAsia" w:ascii="Times New Roman" w:hAnsi="Times New Roman"/>
                <w:color w:val="auto"/>
                <w:kern w:val="2"/>
                <w:szCs w:val="24"/>
                <w:lang w:val="zh-CN"/>
              </w:rPr>
              <w:t>河北中安四通建筑科技有限公司环</w:t>
            </w:r>
            <w:r>
              <w:rPr>
                <w:rFonts w:ascii="Times New Roman" w:hAnsi="Times New Roman"/>
                <w:color w:val="auto"/>
                <w:kern w:val="2"/>
                <w:szCs w:val="24"/>
                <w:lang w:val="zh-CN"/>
              </w:rPr>
              <w:t>境空气</w:t>
            </w:r>
            <w:r>
              <w:rPr>
                <w:rFonts w:ascii="Times New Roman" w:hAnsi="Times New Roman"/>
                <w:color w:val="auto"/>
              </w:rPr>
              <w:t>现状监测点位“庄户村”距离为100m，引用数据符合“建设项目周边5千米范围内近3年的现有监测数据”要求，监测数据有效可行。</w:t>
            </w:r>
            <w:r>
              <w:rPr>
                <w:rFonts w:ascii="Times New Roman" w:hAnsi="Times New Roman"/>
                <w:color w:val="auto"/>
                <w:kern w:val="2"/>
                <w:szCs w:val="24"/>
                <w:lang w:val="zh-CN"/>
              </w:rPr>
              <w:t>该环境质量现状由</w:t>
            </w:r>
            <w:r>
              <w:rPr>
                <w:rFonts w:ascii="Times New Roman" w:hAnsi="Times New Roman"/>
                <w:color w:val="auto"/>
                <w:kern w:val="2"/>
                <w:szCs w:val="24"/>
              </w:rPr>
              <w:t>河北</w:t>
            </w:r>
            <w:r>
              <w:rPr>
                <w:rFonts w:hint="eastAsia" w:ascii="Times New Roman" w:hAnsi="Times New Roman"/>
                <w:color w:val="auto"/>
                <w:kern w:val="2"/>
                <w:szCs w:val="24"/>
              </w:rPr>
              <w:t>拓维</w:t>
            </w:r>
            <w:r>
              <w:rPr>
                <w:rFonts w:ascii="Times New Roman" w:hAnsi="Times New Roman"/>
                <w:color w:val="auto"/>
                <w:kern w:val="2"/>
                <w:szCs w:val="24"/>
                <w:lang w:val="zh-CN"/>
              </w:rPr>
              <w:t>检测</w:t>
            </w:r>
            <w:r>
              <w:rPr>
                <w:rFonts w:hint="eastAsia" w:ascii="Times New Roman" w:hAnsi="Times New Roman"/>
                <w:color w:val="auto"/>
                <w:kern w:val="2"/>
                <w:szCs w:val="24"/>
                <w:lang w:val="zh-CN"/>
              </w:rPr>
              <w:t>技术</w:t>
            </w:r>
            <w:r>
              <w:rPr>
                <w:rFonts w:ascii="Times New Roman" w:hAnsi="Times New Roman"/>
                <w:color w:val="auto"/>
                <w:kern w:val="2"/>
                <w:szCs w:val="24"/>
                <w:lang w:val="zh-CN"/>
              </w:rPr>
              <w:t>有限公司进行监测，</w:t>
            </w:r>
            <w:r>
              <w:rPr>
                <w:rFonts w:ascii="Times New Roman" w:hAnsi="Times New Roman"/>
                <w:color w:val="auto"/>
                <w:kern w:val="2"/>
                <w:szCs w:val="24"/>
              </w:rPr>
              <w:t>检测报告编号为：</w:t>
            </w:r>
            <w:r>
              <w:rPr>
                <w:rFonts w:hint="eastAsia" w:ascii="Times New Roman" w:hAnsi="Times New Roman"/>
                <w:color w:val="auto"/>
                <w:kern w:val="2"/>
                <w:szCs w:val="24"/>
              </w:rPr>
              <w:t>拓维</w:t>
            </w:r>
            <w:r>
              <w:rPr>
                <w:rFonts w:ascii="Times New Roman" w:hAnsi="Times New Roman"/>
                <w:color w:val="auto"/>
                <w:kern w:val="2"/>
                <w:szCs w:val="24"/>
              </w:rPr>
              <w:t>检字（20</w:t>
            </w:r>
            <w:r>
              <w:rPr>
                <w:rFonts w:hint="eastAsia" w:ascii="Times New Roman" w:hAnsi="Times New Roman"/>
                <w:color w:val="auto"/>
                <w:kern w:val="2"/>
                <w:szCs w:val="24"/>
              </w:rPr>
              <w:t>21</w:t>
            </w:r>
            <w:r>
              <w:rPr>
                <w:rFonts w:ascii="Times New Roman" w:hAnsi="Times New Roman"/>
                <w:color w:val="auto"/>
                <w:kern w:val="2"/>
                <w:szCs w:val="24"/>
              </w:rPr>
              <w:t>）第</w:t>
            </w:r>
            <w:r>
              <w:rPr>
                <w:rFonts w:hint="eastAsia" w:ascii="Times New Roman" w:hAnsi="Times New Roman"/>
                <w:color w:val="auto"/>
                <w:kern w:val="2"/>
                <w:szCs w:val="24"/>
              </w:rPr>
              <w:t>020203</w:t>
            </w:r>
            <w:r>
              <w:rPr>
                <w:rFonts w:ascii="Times New Roman" w:hAnsi="Times New Roman"/>
                <w:color w:val="auto"/>
                <w:kern w:val="2"/>
                <w:szCs w:val="24"/>
              </w:rPr>
              <w:t>号</w:t>
            </w:r>
            <w:r>
              <w:rPr>
                <w:rFonts w:ascii="Times New Roman" w:hAnsi="Times New Roman"/>
                <w:color w:val="auto"/>
                <w:kern w:val="2"/>
                <w:szCs w:val="24"/>
                <w:lang w:val="zh-CN"/>
              </w:rPr>
              <w:t>，大气监测时间为2</w:t>
            </w:r>
            <w:r>
              <w:rPr>
                <w:rFonts w:ascii="Times New Roman" w:hAnsi="Times New Roman"/>
                <w:color w:val="auto"/>
                <w:kern w:val="2"/>
                <w:szCs w:val="24"/>
              </w:rPr>
              <w:t>0</w:t>
            </w:r>
            <w:r>
              <w:rPr>
                <w:rFonts w:hint="eastAsia" w:ascii="Times New Roman" w:hAnsi="Times New Roman"/>
                <w:color w:val="auto"/>
                <w:kern w:val="2"/>
                <w:szCs w:val="24"/>
              </w:rPr>
              <w:t>21</w:t>
            </w:r>
            <w:r>
              <w:rPr>
                <w:rFonts w:ascii="Times New Roman" w:hAnsi="Times New Roman"/>
                <w:color w:val="auto"/>
                <w:kern w:val="2"/>
                <w:szCs w:val="24"/>
                <w:lang w:val="zh-CN"/>
              </w:rPr>
              <w:t>年</w:t>
            </w:r>
            <w:r>
              <w:rPr>
                <w:rFonts w:hint="eastAsia" w:ascii="Times New Roman" w:hAnsi="Times New Roman"/>
                <w:color w:val="auto"/>
                <w:kern w:val="2"/>
                <w:szCs w:val="24"/>
              </w:rPr>
              <w:t>2</w:t>
            </w:r>
            <w:r>
              <w:rPr>
                <w:rFonts w:ascii="Times New Roman" w:hAnsi="Times New Roman"/>
                <w:color w:val="auto"/>
                <w:kern w:val="2"/>
                <w:szCs w:val="24"/>
                <w:lang w:val="zh-CN"/>
              </w:rPr>
              <w:t>月</w:t>
            </w:r>
            <w:r>
              <w:rPr>
                <w:rFonts w:hint="eastAsia" w:ascii="Times New Roman" w:hAnsi="Times New Roman"/>
                <w:color w:val="auto"/>
                <w:kern w:val="2"/>
                <w:szCs w:val="24"/>
              </w:rPr>
              <w:t>3</w:t>
            </w:r>
            <w:r>
              <w:rPr>
                <w:rFonts w:ascii="Times New Roman" w:hAnsi="Times New Roman"/>
                <w:color w:val="auto"/>
                <w:kern w:val="2"/>
                <w:szCs w:val="24"/>
                <w:lang w:val="zh-CN"/>
              </w:rPr>
              <w:t>日～20</w:t>
            </w:r>
            <w:r>
              <w:rPr>
                <w:rFonts w:hint="eastAsia" w:ascii="Times New Roman" w:hAnsi="Times New Roman"/>
                <w:color w:val="auto"/>
                <w:kern w:val="2"/>
                <w:szCs w:val="24"/>
              </w:rPr>
              <w:t>21</w:t>
            </w:r>
            <w:r>
              <w:rPr>
                <w:rFonts w:ascii="Times New Roman" w:hAnsi="Times New Roman"/>
                <w:color w:val="auto"/>
                <w:kern w:val="2"/>
                <w:szCs w:val="24"/>
                <w:lang w:val="zh-CN"/>
              </w:rPr>
              <w:t>年</w:t>
            </w:r>
            <w:r>
              <w:rPr>
                <w:rFonts w:hint="eastAsia" w:ascii="Times New Roman" w:hAnsi="Times New Roman"/>
                <w:color w:val="auto"/>
                <w:kern w:val="2"/>
                <w:szCs w:val="24"/>
              </w:rPr>
              <w:t>2</w:t>
            </w:r>
            <w:r>
              <w:rPr>
                <w:rFonts w:ascii="Times New Roman" w:hAnsi="Times New Roman"/>
                <w:color w:val="auto"/>
                <w:kern w:val="2"/>
                <w:szCs w:val="24"/>
                <w:lang w:val="zh-CN"/>
              </w:rPr>
              <w:t>月</w:t>
            </w:r>
            <w:r>
              <w:rPr>
                <w:rFonts w:hint="eastAsia" w:ascii="Times New Roman" w:hAnsi="Times New Roman"/>
                <w:color w:val="auto"/>
                <w:kern w:val="2"/>
                <w:szCs w:val="24"/>
              </w:rPr>
              <w:t>9</w:t>
            </w:r>
            <w:r>
              <w:rPr>
                <w:rFonts w:ascii="Times New Roman" w:hAnsi="Times New Roman"/>
                <w:color w:val="auto"/>
                <w:kern w:val="2"/>
                <w:szCs w:val="24"/>
                <w:lang w:val="zh-CN"/>
              </w:rPr>
              <w:t>日。</w:t>
            </w:r>
          </w:p>
          <w:p>
            <w:pPr>
              <w:pStyle w:val="29"/>
              <w:spacing w:before="0" w:beforeAutospacing="0" w:after="0" w:afterAutospacing="0" w:line="480" w:lineRule="exact"/>
              <w:ind w:left="8" w:right="113" w:firstLine="408" w:firstLineChars="170"/>
              <w:rPr>
                <w:rFonts w:ascii="Times New Roman" w:hAnsi="Times New Roman"/>
                <w:color w:val="auto"/>
                <w:kern w:val="2"/>
                <w:szCs w:val="24"/>
                <w:lang w:val="zh-CN"/>
              </w:rPr>
            </w:pPr>
            <w:r>
              <w:rPr>
                <w:rFonts w:hint="eastAsia" w:ascii="Times New Roman" w:hAnsi="Times New Roman"/>
                <w:color w:val="auto"/>
                <w:kern w:val="2"/>
                <w:szCs w:val="24"/>
                <w:lang w:val="zh-CN"/>
              </w:rPr>
              <w:t>①</w:t>
            </w:r>
            <w:r>
              <w:rPr>
                <w:rFonts w:ascii="Times New Roman" w:hAnsi="Times New Roman"/>
                <w:color w:val="auto"/>
                <w:szCs w:val="24"/>
              </w:rPr>
              <w:t>监测位置、监测因子、监测频率见下表</w:t>
            </w:r>
            <w:r>
              <w:rPr>
                <w:rFonts w:ascii="Times New Roman" w:hAnsi="Times New Roman"/>
                <w:color w:val="auto"/>
                <w:kern w:val="2"/>
                <w:szCs w:val="24"/>
                <w:lang w:val="zh-CN"/>
              </w:rPr>
              <w:t>。</w:t>
            </w:r>
          </w:p>
          <w:p>
            <w:pPr>
              <w:spacing w:line="480" w:lineRule="exact"/>
              <w:ind w:firstLine="482" w:firstLineChars="200"/>
              <w:jc w:val="center"/>
              <w:rPr>
                <w:rFonts w:hAnsi="宋体"/>
                <w:b/>
                <w:bCs/>
                <w:color w:val="auto"/>
                <w:sz w:val="24"/>
                <w:lang w:val="zh-CN" w:bidi="ar"/>
              </w:rPr>
            </w:pPr>
            <w:r>
              <w:rPr>
                <w:rFonts w:hint="eastAsia" w:hAnsi="宋体"/>
                <w:b/>
                <w:bCs/>
                <w:color w:val="auto"/>
                <w:sz w:val="24"/>
                <w:lang w:val="zh-CN" w:bidi="ar"/>
              </w:rPr>
              <w:t>表</w:t>
            </w:r>
            <w:r>
              <w:rPr>
                <w:rFonts w:hint="eastAsia" w:hAnsi="宋体"/>
                <w:b/>
                <w:bCs/>
                <w:color w:val="auto"/>
                <w:sz w:val="24"/>
                <w:lang w:bidi="ar"/>
              </w:rPr>
              <w:t xml:space="preserve">20     </w:t>
            </w:r>
            <w:r>
              <w:rPr>
                <w:rFonts w:hAnsi="宋体"/>
                <w:b/>
                <w:bCs/>
                <w:color w:val="auto"/>
                <w:sz w:val="24"/>
                <w:lang w:val="zh-CN" w:bidi="ar"/>
              </w:rPr>
              <w:t>其他污染物监测点位基本信息</w:t>
            </w: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634"/>
              <w:gridCol w:w="2443"/>
              <w:gridCol w:w="19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0" w:hRule="atLeast"/>
                <w:jc w:val="center"/>
              </w:trPr>
              <w:tc>
                <w:tcPr>
                  <w:tcW w:w="1171" w:type="dxa"/>
                  <w:vMerge w:val="restart"/>
                  <w:tcBorders>
                    <w:top w:val="single" w:color="auto" w:sz="12" w:space="0"/>
                  </w:tcBorders>
                  <w:vAlign w:val="center"/>
                </w:tcPr>
                <w:p>
                  <w:pPr>
                    <w:jc w:val="center"/>
                    <w:rPr>
                      <w:color w:val="auto"/>
                      <w:szCs w:val="21"/>
                    </w:rPr>
                  </w:pPr>
                  <w:r>
                    <w:rPr>
                      <w:color w:val="auto"/>
                      <w:szCs w:val="21"/>
                    </w:rPr>
                    <w:t>监测点位</w:t>
                  </w:r>
                </w:p>
              </w:tc>
              <w:tc>
                <w:tcPr>
                  <w:tcW w:w="2634" w:type="dxa"/>
                  <w:vMerge w:val="restart"/>
                  <w:tcBorders>
                    <w:top w:val="single" w:color="auto" w:sz="12" w:space="0"/>
                  </w:tcBorders>
                  <w:vAlign w:val="center"/>
                </w:tcPr>
                <w:p>
                  <w:pPr>
                    <w:jc w:val="center"/>
                    <w:rPr>
                      <w:color w:val="auto"/>
                      <w:szCs w:val="21"/>
                    </w:rPr>
                  </w:pPr>
                  <w:r>
                    <w:rPr>
                      <w:color w:val="auto"/>
                      <w:szCs w:val="21"/>
                    </w:rPr>
                    <w:t>相对于本项目方位及距离</w:t>
                  </w:r>
                </w:p>
              </w:tc>
              <w:tc>
                <w:tcPr>
                  <w:tcW w:w="4387" w:type="dxa"/>
                  <w:gridSpan w:val="2"/>
                  <w:tcBorders>
                    <w:top w:val="single" w:color="auto" w:sz="12" w:space="0"/>
                    <w:right w:val="nil"/>
                  </w:tcBorders>
                  <w:vAlign w:val="center"/>
                </w:tcPr>
                <w:p>
                  <w:pPr>
                    <w:jc w:val="center"/>
                    <w:rPr>
                      <w:color w:val="auto"/>
                      <w:szCs w:val="21"/>
                    </w:rPr>
                  </w:pPr>
                  <w:r>
                    <w:rPr>
                      <w:color w:val="auto"/>
                      <w:szCs w:val="21"/>
                    </w:rPr>
                    <w:t>检测项目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1" w:type="dxa"/>
                  <w:vMerge w:val="continue"/>
                  <w:tcBorders>
                    <w:left w:val="nil"/>
                  </w:tcBorders>
                  <w:vAlign w:val="center"/>
                </w:tcPr>
                <w:p>
                  <w:pPr>
                    <w:jc w:val="center"/>
                    <w:rPr>
                      <w:color w:val="auto"/>
                      <w:szCs w:val="21"/>
                    </w:rPr>
                  </w:pPr>
                </w:p>
              </w:tc>
              <w:tc>
                <w:tcPr>
                  <w:tcW w:w="2634" w:type="dxa"/>
                  <w:vMerge w:val="continue"/>
                  <w:vAlign w:val="center"/>
                </w:tcPr>
                <w:p>
                  <w:pPr>
                    <w:jc w:val="center"/>
                    <w:rPr>
                      <w:color w:val="auto"/>
                      <w:szCs w:val="21"/>
                    </w:rPr>
                  </w:pPr>
                </w:p>
              </w:tc>
              <w:tc>
                <w:tcPr>
                  <w:tcW w:w="2443" w:type="dxa"/>
                  <w:vAlign w:val="center"/>
                </w:tcPr>
                <w:p>
                  <w:pPr>
                    <w:jc w:val="center"/>
                    <w:rPr>
                      <w:color w:val="auto"/>
                      <w:szCs w:val="21"/>
                    </w:rPr>
                  </w:pPr>
                  <w:r>
                    <w:rPr>
                      <w:color w:val="auto"/>
                      <w:szCs w:val="21"/>
                    </w:rPr>
                    <w:t>24小时平均浓度</w:t>
                  </w:r>
                </w:p>
              </w:tc>
              <w:tc>
                <w:tcPr>
                  <w:tcW w:w="1944" w:type="dxa"/>
                  <w:tcBorders>
                    <w:right w:val="nil"/>
                  </w:tcBorders>
                  <w:vAlign w:val="center"/>
                </w:tcPr>
                <w:p>
                  <w:pPr>
                    <w:jc w:val="center"/>
                    <w:rPr>
                      <w:color w:val="auto"/>
                      <w:szCs w:val="21"/>
                    </w:rPr>
                  </w:pPr>
                  <w:r>
                    <w:rPr>
                      <w:color w:val="auto"/>
                      <w:szCs w:val="21"/>
                    </w:rPr>
                    <w:t>1小时平均浓度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1" w:type="dxa"/>
                  <w:tcBorders>
                    <w:left w:val="nil"/>
                    <w:bottom w:val="single" w:color="auto" w:sz="12" w:space="0"/>
                  </w:tcBorders>
                  <w:vAlign w:val="center"/>
                </w:tcPr>
                <w:p>
                  <w:pPr>
                    <w:jc w:val="center"/>
                    <w:rPr>
                      <w:color w:val="auto"/>
                      <w:szCs w:val="21"/>
                    </w:rPr>
                  </w:pPr>
                  <w:r>
                    <w:rPr>
                      <w:color w:val="auto"/>
                      <w:szCs w:val="21"/>
                    </w:rPr>
                    <w:t>庄户村</w:t>
                  </w:r>
                </w:p>
              </w:tc>
              <w:tc>
                <w:tcPr>
                  <w:tcW w:w="2634" w:type="dxa"/>
                  <w:tcBorders>
                    <w:bottom w:val="single" w:color="auto" w:sz="12" w:space="0"/>
                  </w:tcBorders>
                  <w:vAlign w:val="center"/>
                </w:tcPr>
                <w:p>
                  <w:pPr>
                    <w:jc w:val="center"/>
                    <w:rPr>
                      <w:color w:val="auto"/>
                      <w:szCs w:val="21"/>
                    </w:rPr>
                  </w:pPr>
                  <w:r>
                    <w:rPr>
                      <w:color w:val="auto"/>
                      <w:szCs w:val="21"/>
                    </w:rPr>
                    <w:t>南侧100m</w:t>
                  </w:r>
                </w:p>
              </w:tc>
              <w:tc>
                <w:tcPr>
                  <w:tcW w:w="2443" w:type="dxa"/>
                  <w:tcBorders>
                    <w:bottom w:val="single" w:color="auto" w:sz="12" w:space="0"/>
                  </w:tcBorders>
                  <w:vAlign w:val="center"/>
                </w:tcPr>
                <w:p>
                  <w:pPr>
                    <w:jc w:val="center"/>
                    <w:rPr>
                      <w:color w:val="auto"/>
                      <w:szCs w:val="21"/>
                    </w:rPr>
                  </w:pPr>
                  <w:r>
                    <w:rPr>
                      <w:color w:val="auto"/>
                      <w:szCs w:val="21"/>
                    </w:rPr>
                    <w:t>TSP</w:t>
                  </w:r>
                </w:p>
              </w:tc>
              <w:tc>
                <w:tcPr>
                  <w:tcW w:w="1944" w:type="dxa"/>
                  <w:tcBorders>
                    <w:bottom w:val="single" w:color="auto" w:sz="12" w:space="0"/>
                    <w:right w:val="nil"/>
                  </w:tcBorders>
                  <w:vAlign w:val="center"/>
                </w:tcPr>
                <w:p>
                  <w:pPr>
                    <w:jc w:val="center"/>
                    <w:rPr>
                      <w:color w:val="auto"/>
                      <w:szCs w:val="21"/>
                    </w:rPr>
                  </w:pPr>
                  <w:r>
                    <w:rPr>
                      <w:color w:val="auto"/>
                      <w:szCs w:val="21"/>
                    </w:rPr>
                    <w:t>/</w:t>
                  </w:r>
                </w:p>
              </w:tc>
            </w:tr>
          </w:tbl>
          <w:p>
            <w:pPr>
              <w:tabs>
                <w:tab w:val="left" w:pos="1200"/>
              </w:tabs>
              <w:adjustRightInd w:val="0"/>
              <w:snapToGrid w:val="0"/>
              <w:spacing w:line="480" w:lineRule="exact"/>
              <w:ind w:firstLine="480" w:firstLineChars="200"/>
              <w:rPr>
                <w:color w:val="auto"/>
                <w:sz w:val="24"/>
              </w:rPr>
            </w:pPr>
            <w:r>
              <w:rPr>
                <w:rFonts w:hint="eastAsia"/>
                <w:color w:val="auto"/>
                <w:sz w:val="24"/>
              </w:rPr>
              <w:t>②</w:t>
            </w:r>
            <w:r>
              <w:rPr>
                <w:color w:val="auto"/>
                <w:sz w:val="24"/>
              </w:rPr>
              <w:t>监测及分析</w:t>
            </w:r>
          </w:p>
          <w:p>
            <w:pPr>
              <w:spacing w:line="480" w:lineRule="exact"/>
              <w:ind w:firstLine="480" w:firstLineChars="200"/>
              <w:rPr>
                <w:color w:val="auto"/>
                <w:sz w:val="24"/>
              </w:rPr>
            </w:pPr>
            <w:r>
              <w:rPr>
                <w:color w:val="auto"/>
                <w:sz w:val="24"/>
              </w:rPr>
              <w:t>监测采样方法按照《环境空气质量标准》（GB3095-2012）、《环境监测技术规范》和《空气及废气监测分析方法》中规定的方法进行。</w:t>
            </w:r>
          </w:p>
          <w:p>
            <w:pPr>
              <w:spacing w:line="480" w:lineRule="exact"/>
              <w:ind w:firstLine="480" w:firstLineChars="200"/>
              <w:rPr>
                <w:color w:val="auto"/>
                <w:sz w:val="24"/>
              </w:rPr>
            </w:pPr>
            <w:r>
              <w:rPr>
                <w:rFonts w:hint="eastAsia"/>
                <w:color w:val="auto"/>
                <w:sz w:val="24"/>
              </w:rPr>
              <w:t>③</w:t>
            </w:r>
            <w:r>
              <w:rPr>
                <w:color w:val="auto"/>
                <w:sz w:val="24"/>
              </w:rPr>
              <w:t>监测结果数据统计分析与评价</w:t>
            </w:r>
          </w:p>
          <w:p>
            <w:pPr>
              <w:spacing w:line="480" w:lineRule="exact"/>
              <w:ind w:firstLine="480" w:firstLineChars="200"/>
              <w:rPr>
                <w:color w:val="auto"/>
                <w:sz w:val="24"/>
              </w:rPr>
            </w:pPr>
            <w:r>
              <w:rPr>
                <w:color w:val="auto"/>
                <w:sz w:val="24"/>
              </w:rPr>
              <w:t>评价方法：采用单因子污染指数法进行评价。</w:t>
            </w:r>
          </w:p>
          <w:p>
            <w:pPr>
              <w:spacing w:line="480" w:lineRule="exact"/>
              <w:ind w:firstLine="480" w:firstLineChars="200"/>
              <w:rPr>
                <w:color w:val="auto"/>
                <w:sz w:val="24"/>
              </w:rPr>
            </w:pPr>
            <w:r>
              <w:rPr>
                <w:color w:val="auto"/>
                <w:sz w:val="24"/>
              </w:rPr>
              <w:t>污染指数P</w:t>
            </w:r>
            <w:r>
              <w:rPr>
                <w:color w:val="auto"/>
                <w:sz w:val="24"/>
                <w:vertAlign w:val="subscript"/>
              </w:rPr>
              <w:t>i</w:t>
            </w:r>
            <w:r>
              <w:rPr>
                <w:color w:val="auto"/>
                <w:sz w:val="24"/>
              </w:rPr>
              <w:t>的定义如下：</w:t>
            </w:r>
          </w:p>
          <w:p>
            <w:pPr>
              <w:spacing w:line="480" w:lineRule="exact"/>
              <w:ind w:firstLine="1920" w:firstLineChars="800"/>
              <w:rPr>
                <w:color w:val="auto"/>
                <w:sz w:val="24"/>
              </w:rPr>
            </w:pPr>
            <w:r>
              <w:rPr>
                <w:color w:val="auto"/>
                <w:sz w:val="24"/>
              </w:rPr>
              <w:t>P</w:t>
            </w:r>
            <w:r>
              <w:rPr>
                <w:color w:val="auto"/>
                <w:sz w:val="24"/>
                <w:vertAlign w:val="subscript"/>
              </w:rPr>
              <w:t>i</w:t>
            </w:r>
            <w:r>
              <w:rPr>
                <w:color w:val="auto"/>
                <w:sz w:val="24"/>
              </w:rPr>
              <w:t>=C</w:t>
            </w:r>
            <w:r>
              <w:rPr>
                <w:color w:val="auto"/>
                <w:sz w:val="24"/>
                <w:vertAlign w:val="subscript"/>
              </w:rPr>
              <w:t>i</w:t>
            </w:r>
            <w:r>
              <w:rPr>
                <w:color w:val="auto"/>
                <w:sz w:val="24"/>
              </w:rPr>
              <w:t>/C</w:t>
            </w:r>
            <w:r>
              <w:rPr>
                <w:color w:val="auto"/>
                <w:sz w:val="24"/>
                <w:vertAlign w:val="subscript"/>
              </w:rPr>
              <w:t>oi</w:t>
            </w:r>
          </w:p>
          <w:p>
            <w:pPr>
              <w:spacing w:line="480" w:lineRule="exact"/>
              <w:ind w:firstLine="480" w:firstLineChars="200"/>
              <w:rPr>
                <w:color w:val="auto"/>
                <w:sz w:val="24"/>
              </w:rPr>
            </w:pPr>
            <w:r>
              <w:rPr>
                <w:color w:val="auto"/>
                <w:sz w:val="24"/>
              </w:rPr>
              <w:t>式中：P</w:t>
            </w:r>
            <w:r>
              <w:rPr>
                <w:color w:val="auto"/>
                <w:sz w:val="24"/>
                <w:vertAlign w:val="subscript"/>
              </w:rPr>
              <w:t>i</w:t>
            </w:r>
            <w:r>
              <w:rPr>
                <w:color w:val="auto"/>
                <w:sz w:val="24"/>
              </w:rPr>
              <w:t>―某污染物的标准指数；</w:t>
            </w:r>
          </w:p>
          <w:p>
            <w:pPr>
              <w:spacing w:line="480" w:lineRule="exact"/>
              <w:ind w:firstLine="1200" w:firstLineChars="500"/>
              <w:rPr>
                <w:color w:val="auto"/>
                <w:sz w:val="24"/>
              </w:rPr>
            </w:pPr>
            <w:r>
              <w:rPr>
                <w:color w:val="auto"/>
                <w:sz w:val="24"/>
              </w:rPr>
              <w:t>C</w:t>
            </w:r>
            <w:r>
              <w:rPr>
                <w:color w:val="auto"/>
                <w:sz w:val="24"/>
                <w:vertAlign w:val="subscript"/>
              </w:rPr>
              <w:t>i</w:t>
            </w:r>
            <w:r>
              <w:rPr>
                <w:color w:val="auto"/>
                <w:sz w:val="24"/>
              </w:rPr>
              <w:t>―某污染因子现状监测浓度，mg/m</w:t>
            </w:r>
            <w:r>
              <w:rPr>
                <w:color w:val="auto"/>
                <w:sz w:val="24"/>
                <w:vertAlign w:val="superscript"/>
              </w:rPr>
              <w:t>3</w:t>
            </w:r>
            <w:r>
              <w:rPr>
                <w:color w:val="auto"/>
                <w:sz w:val="24"/>
              </w:rPr>
              <w:t>；</w:t>
            </w:r>
          </w:p>
          <w:p>
            <w:pPr>
              <w:spacing w:line="480" w:lineRule="exact"/>
              <w:ind w:firstLine="1200" w:firstLineChars="500"/>
              <w:rPr>
                <w:color w:val="auto"/>
                <w:sz w:val="24"/>
              </w:rPr>
            </w:pPr>
            <w:r>
              <w:rPr>
                <w:color w:val="auto"/>
                <w:sz w:val="24"/>
              </w:rPr>
              <w:t>C</w:t>
            </w:r>
            <w:r>
              <w:rPr>
                <w:color w:val="auto"/>
                <w:sz w:val="24"/>
                <w:vertAlign w:val="subscript"/>
              </w:rPr>
              <w:t>oi</w:t>
            </w:r>
            <w:r>
              <w:rPr>
                <w:color w:val="auto"/>
                <w:sz w:val="24"/>
              </w:rPr>
              <w:t>―某污染因子的环境质量标准，mg/m</w:t>
            </w:r>
            <w:r>
              <w:rPr>
                <w:color w:val="auto"/>
                <w:sz w:val="24"/>
                <w:vertAlign w:val="superscript"/>
              </w:rPr>
              <w:t>3</w:t>
            </w:r>
            <w:r>
              <w:rPr>
                <w:color w:val="auto"/>
                <w:sz w:val="24"/>
              </w:rPr>
              <w:t>。</w:t>
            </w:r>
          </w:p>
          <w:p>
            <w:pPr>
              <w:spacing w:line="480" w:lineRule="exact"/>
              <w:ind w:firstLine="480" w:firstLineChars="200"/>
              <w:rPr>
                <w:color w:val="auto"/>
                <w:sz w:val="24"/>
              </w:rPr>
            </w:pPr>
            <w:r>
              <w:rPr>
                <w:color w:val="auto"/>
                <w:sz w:val="24"/>
              </w:rPr>
              <w:t>评价标准：常规项目采用《环境空气质量标准》（GB3095-2012）中的二级标准及修改单要求。</w:t>
            </w:r>
          </w:p>
          <w:p>
            <w:pPr>
              <w:spacing w:line="360" w:lineRule="exact"/>
              <w:ind w:firstLine="482" w:firstLineChars="200"/>
              <w:jc w:val="center"/>
              <w:rPr>
                <w:rFonts w:hAnsi="宋体"/>
                <w:b/>
                <w:bCs/>
                <w:color w:val="auto"/>
                <w:sz w:val="24"/>
              </w:rPr>
            </w:pPr>
            <w:r>
              <w:rPr>
                <w:rFonts w:hAnsi="宋体"/>
                <w:b/>
                <w:bCs/>
                <w:color w:val="auto"/>
                <w:sz w:val="24"/>
              </w:rPr>
              <w:t>表</w:t>
            </w:r>
            <w:r>
              <w:rPr>
                <w:rFonts w:hint="eastAsia" w:hAnsi="宋体"/>
                <w:b/>
                <w:bCs/>
                <w:color w:val="auto"/>
                <w:sz w:val="24"/>
              </w:rPr>
              <w:t>21  大气环境质量现状监测统计结果一览表</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60"/>
              <w:gridCol w:w="1273"/>
              <w:gridCol w:w="852"/>
              <w:gridCol w:w="852"/>
              <w:gridCol w:w="1412"/>
              <w:gridCol w:w="1048"/>
              <w:gridCol w:w="746"/>
              <w:gridCol w:w="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1160" w:type="dxa"/>
                  <w:tcBorders>
                    <w:top w:val="single" w:color="auto" w:sz="12" w:space="0"/>
                    <w:left w:val="single" w:color="auto" w:sz="4" w:space="0"/>
                    <w:right w:val="single" w:color="auto" w:sz="4" w:space="0"/>
                  </w:tcBorders>
                  <w:vAlign w:val="center"/>
                </w:tcPr>
                <w:p>
                  <w:pPr>
                    <w:spacing w:line="360" w:lineRule="exact"/>
                    <w:jc w:val="center"/>
                    <w:rPr>
                      <w:color w:val="auto"/>
                      <w:szCs w:val="21"/>
                    </w:rPr>
                  </w:pPr>
                  <w:r>
                    <w:rPr>
                      <w:color w:val="auto"/>
                      <w:szCs w:val="21"/>
                    </w:rPr>
                    <w:t>监测点</w:t>
                  </w:r>
                </w:p>
                <w:p>
                  <w:pPr>
                    <w:spacing w:line="360" w:lineRule="exact"/>
                    <w:jc w:val="center"/>
                    <w:rPr>
                      <w:color w:val="auto"/>
                      <w:szCs w:val="21"/>
                    </w:rPr>
                  </w:pPr>
                  <w:r>
                    <w:rPr>
                      <w:color w:val="auto"/>
                      <w:szCs w:val="21"/>
                    </w:rPr>
                    <w:t>名称</w:t>
                  </w:r>
                </w:p>
              </w:tc>
              <w:tc>
                <w:tcPr>
                  <w:tcW w:w="1273" w:type="dxa"/>
                  <w:tcBorders>
                    <w:top w:val="single" w:color="auto" w:sz="12" w:space="0"/>
                    <w:left w:val="single" w:color="auto" w:sz="4" w:space="0"/>
                    <w:right w:val="single" w:color="auto" w:sz="4" w:space="0"/>
                  </w:tcBorders>
                  <w:vAlign w:val="center"/>
                </w:tcPr>
                <w:p>
                  <w:pPr>
                    <w:spacing w:line="360" w:lineRule="exact"/>
                    <w:jc w:val="center"/>
                    <w:rPr>
                      <w:color w:val="auto"/>
                      <w:szCs w:val="21"/>
                    </w:rPr>
                  </w:pPr>
                  <w:r>
                    <w:rPr>
                      <w:color w:val="auto"/>
                      <w:szCs w:val="21"/>
                    </w:rPr>
                    <w:t>监测因子</w:t>
                  </w:r>
                </w:p>
              </w:tc>
              <w:tc>
                <w:tcPr>
                  <w:tcW w:w="852" w:type="dxa"/>
                  <w:tcBorders>
                    <w:top w:val="single" w:color="auto" w:sz="12" w:space="0"/>
                    <w:left w:val="single" w:color="auto" w:sz="4" w:space="0"/>
                    <w:right w:val="single" w:color="auto" w:sz="4" w:space="0"/>
                  </w:tcBorders>
                  <w:vAlign w:val="center"/>
                </w:tcPr>
                <w:p>
                  <w:pPr>
                    <w:spacing w:line="360" w:lineRule="exact"/>
                    <w:jc w:val="center"/>
                    <w:rPr>
                      <w:color w:val="auto"/>
                      <w:szCs w:val="21"/>
                    </w:rPr>
                  </w:pPr>
                  <w:r>
                    <w:rPr>
                      <w:color w:val="auto"/>
                      <w:szCs w:val="21"/>
                    </w:rPr>
                    <w:t>平均时间</w:t>
                  </w:r>
                </w:p>
              </w:tc>
              <w:tc>
                <w:tcPr>
                  <w:tcW w:w="852" w:type="dxa"/>
                  <w:tcBorders>
                    <w:top w:val="single" w:color="auto" w:sz="12" w:space="0"/>
                    <w:left w:val="single" w:color="auto" w:sz="4" w:space="0"/>
                    <w:right w:val="single" w:color="auto" w:sz="4" w:space="0"/>
                  </w:tcBorders>
                  <w:vAlign w:val="center"/>
                </w:tcPr>
                <w:p>
                  <w:pPr>
                    <w:spacing w:line="360" w:lineRule="exact"/>
                    <w:jc w:val="center"/>
                    <w:rPr>
                      <w:color w:val="auto"/>
                      <w:szCs w:val="21"/>
                    </w:rPr>
                  </w:pPr>
                  <w:r>
                    <w:rPr>
                      <w:color w:val="auto"/>
                      <w:szCs w:val="21"/>
                    </w:rPr>
                    <w:t>评价标准(μg/m</w:t>
                  </w:r>
                  <w:r>
                    <w:rPr>
                      <w:color w:val="auto"/>
                      <w:szCs w:val="21"/>
                      <w:vertAlign w:val="superscript"/>
                    </w:rPr>
                    <w:t>3</w:t>
                  </w:r>
                  <w:r>
                    <w:rPr>
                      <w:color w:val="auto"/>
                      <w:szCs w:val="21"/>
                    </w:rPr>
                    <w:t>)</w:t>
                  </w:r>
                </w:p>
              </w:tc>
              <w:tc>
                <w:tcPr>
                  <w:tcW w:w="1412" w:type="dxa"/>
                  <w:tcBorders>
                    <w:top w:val="single" w:color="auto" w:sz="12" w:space="0"/>
                    <w:left w:val="single" w:color="auto" w:sz="4" w:space="0"/>
                    <w:right w:val="single" w:color="auto" w:sz="4" w:space="0"/>
                  </w:tcBorders>
                  <w:vAlign w:val="center"/>
                </w:tcPr>
                <w:p>
                  <w:pPr>
                    <w:spacing w:line="360" w:lineRule="exact"/>
                    <w:jc w:val="center"/>
                    <w:rPr>
                      <w:color w:val="auto"/>
                      <w:szCs w:val="21"/>
                    </w:rPr>
                  </w:pPr>
                  <w:r>
                    <w:rPr>
                      <w:color w:val="auto"/>
                      <w:szCs w:val="21"/>
                    </w:rPr>
                    <w:t>监测浓度范围</w:t>
                  </w:r>
                </w:p>
                <w:p>
                  <w:pPr>
                    <w:spacing w:line="360" w:lineRule="exact"/>
                    <w:jc w:val="center"/>
                    <w:rPr>
                      <w:color w:val="auto"/>
                      <w:szCs w:val="21"/>
                    </w:rPr>
                  </w:pPr>
                  <w:r>
                    <w:rPr>
                      <w:color w:val="auto"/>
                      <w:szCs w:val="21"/>
                    </w:rPr>
                    <w:t>(μg/m</w:t>
                  </w:r>
                  <w:r>
                    <w:rPr>
                      <w:color w:val="auto"/>
                      <w:szCs w:val="21"/>
                      <w:vertAlign w:val="superscript"/>
                    </w:rPr>
                    <w:t>3</w:t>
                  </w:r>
                  <w:r>
                    <w:rPr>
                      <w:color w:val="auto"/>
                      <w:szCs w:val="21"/>
                    </w:rPr>
                    <w:t>)</w:t>
                  </w:r>
                </w:p>
              </w:tc>
              <w:tc>
                <w:tcPr>
                  <w:tcW w:w="1048" w:type="dxa"/>
                  <w:tcBorders>
                    <w:top w:val="single" w:color="auto" w:sz="12" w:space="0"/>
                    <w:left w:val="single" w:color="auto" w:sz="4" w:space="0"/>
                    <w:right w:val="single" w:color="auto" w:sz="4" w:space="0"/>
                  </w:tcBorders>
                  <w:vAlign w:val="center"/>
                </w:tcPr>
                <w:p>
                  <w:pPr>
                    <w:spacing w:line="360" w:lineRule="exact"/>
                    <w:jc w:val="center"/>
                    <w:rPr>
                      <w:color w:val="auto"/>
                      <w:szCs w:val="21"/>
                    </w:rPr>
                  </w:pPr>
                  <w:r>
                    <w:rPr>
                      <w:color w:val="auto"/>
                      <w:szCs w:val="21"/>
                    </w:rPr>
                    <w:t>标准指数Pi</w:t>
                  </w:r>
                </w:p>
              </w:tc>
              <w:tc>
                <w:tcPr>
                  <w:tcW w:w="746" w:type="dxa"/>
                  <w:tcBorders>
                    <w:top w:val="single" w:color="auto" w:sz="12" w:space="0"/>
                    <w:left w:val="single" w:color="auto" w:sz="4" w:space="0"/>
                    <w:right w:val="single" w:color="auto" w:sz="4" w:space="0"/>
                  </w:tcBorders>
                  <w:vAlign w:val="center"/>
                </w:tcPr>
                <w:p>
                  <w:pPr>
                    <w:adjustRightInd w:val="0"/>
                    <w:snapToGrid w:val="0"/>
                    <w:spacing w:line="360" w:lineRule="exact"/>
                    <w:jc w:val="center"/>
                    <w:rPr>
                      <w:color w:val="auto"/>
                      <w:szCs w:val="21"/>
                    </w:rPr>
                  </w:pPr>
                  <w:r>
                    <w:rPr>
                      <w:color w:val="auto"/>
                      <w:szCs w:val="21"/>
                    </w:rPr>
                    <w:t>超标率</w:t>
                  </w:r>
                </w:p>
                <w:p>
                  <w:pPr>
                    <w:spacing w:line="360" w:lineRule="exact"/>
                    <w:jc w:val="center"/>
                    <w:rPr>
                      <w:color w:val="auto"/>
                      <w:szCs w:val="21"/>
                    </w:rPr>
                  </w:pPr>
                  <w:r>
                    <w:rPr>
                      <w:color w:val="auto"/>
                      <w:szCs w:val="21"/>
                    </w:rPr>
                    <w:t>(%)</w:t>
                  </w:r>
                </w:p>
              </w:tc>
              <w:tc>
                <w:tcPr>
                  <w:tcW w:w="621" w:type="dxa"/>
                  <w:tcBorders>
                    <w:top w:val="single" w:color="auto" w:sz="12" w:space="0"/>
                    <w:left w:val="single" w:color="auto" w:sz="4" w:space="0"/>
                    <w:right w:val="nil"/>
                  </w:tcBorders>
                  <w:vAlign w:val="center"/>
                </w:tcPr>
                <w:p>
                  <w:pPr>
                    <w:spacing w:line="360" w:lineRule="exact"/>
                    <w:jc w:val="center"/>
                    <w:rPr>
                      <w:color w:val="auto"/>
                      <w:szCs w:val="21"/>
                    </w:rPr>
                  </w:pPr>
                  <w:r>
                    <w:rPr>
                      <w:color w:val="auto"/>
                      <w:szCs w:val="21"/>
                    </w:rPr>
                    <w:t>达标</w:t>
                  </w:r>
                </w:p>
                <w:p>
                  <w:pPr>
                    <w:spacing w:line="360" w:lineRule="exact"/>
                    <w:jc w:val="center"/>
                    <w:rPr>
                      <w:color w:val="auto"/>
                      <w:szCs w:val="21"/>
                    </w:rPr>
                  </w:pPr>
                  <w:r>
                    <w:rPr>
                      <w:color w:val="auto"/>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60" w:type="dxa"/>
                  <w:tcBorders>
                    <w:top w:val="single" w:color="auto" w:sz="4" w:space="0"/>
                    <w:left w:val="nil"/>
                    <w:bottom w:val="single" w:color="auto" w:sz="12" w:space="0"/>
                    <w:right w:val="single" w:color="auto" w:sz="4" w:space="0"/>
                  </w:tcBorders>
                  <w:vAlign w:val="center"/>
                </w:tcPr>
                <w:p>
                  <w:pPr>
                    <w:tabs>
                      <w:tab w:val="left" w:pos="3580"/>
                    </w:tabs>
                    <w:topLinePunct/>
                    <w:spacing w:line="360" w:lineRule="exact"/>
                    <w:jc w:val="center"/>
                    <w:rPr>
                      <w:color w:val="auto"/>
                      <w:szCs w:val="21"/>
                    </w:rPr>
                  </w:pPr>
                  <w:r>
                    <w:rPr>
                      <w:color w:val="auto"/>
                      <w:szCs w:val="21"/>
                    </w:rPr>
                    <w:t>庄户村</w:t>
                  </w:r>
                </w:p>
              </w:tc>
              <w:tc>
                <w:tcPr>
                  <w:tcW w:w="1273" w:type="dxa"/>
                  <w:tcBorders>
                    <w:top w:val="single" w:color="auto" w:sz="4" w:space="0"/>
                    <w:left w:val="single" w:color="auto" w:sz="4" w:space="0"/>
                    <w:bottom w:val="single" w:color="auto" w:sz="12" w:space="0"/>
                    <w:right w:val="single" w:color="auto" w:sz="4" w:space="0"/>
                  </w:tcBorders>
                  <w:vAlign w:val="center"/>
                </w:tcPr>
                <w:p>
                  <w:pPr>
                    <w:tabs>
                      <w:tab w:val="left" w:pos="3580"/>
                    </w:tabs>
                    <w:topLinePunct/>
                    <w:spacing w:line="360" w:lineRule="exact"/>
                    <w:jc w:val="center"/>
                    <w:rPr>
                      <w:color w:val="auto"/>
                      <w:szCs w:val="21"/>
                    </w:rPr>
                  </w:pPr>
                  <w:r>
                    <w:rPr>
                      <w:color w:val="auto"/>
                      <w:szCs w:val="21"/>
                    </w:rPr>
                    <w:t>TSP</w:t>
                  </w:r>
                </w:p>
              </w:tc>
              <w:tc>
                <w:tcPr>
                  <w:tcW w:w="852" w:type="dxa"/>
                  <w:tcBorders>
                    <w:top w:val="single" w:color="auto" w:sz="4" w:space="0"/>
                    <w:left w:val="single" w:color="auto" w:sz="4" w:space="0"/>
                    <w:bottom w:val="single" w:color="auto" w:sz="12" w:space="0"/>
                    <w:right w:val="single" w:color="auto" w:sz="4" w:space="0"/>
                  </w:tcBorders>
                  <w:vAlign w:val="center"/>
                </w:tcPr>
                <w:p>
                  <w:pPr>
                    <w:tabs>
                      <w:tab w:val="left" w:pos="3580"/>
                    </w:tabs>
                    <w:topLinePunct/>
                    <w:spacing w:line="360" w:lineRule="exact"/>
                    <w:jc w:val="center"/>
                    <w:rPr>
                      <w:color w:val="auto"/>
                      <w:szCs w:val="21"/>
                    </w:rPr>
                  </w:pPr>
                  <w:r>
                    <w:rPr>
                      <w:color w:val="auto"/>
                      <w:szCs w:val="21"/>
                    </w:rPr>
                    <w:t>24h平均</w:t>
                  </w:r>
                </w:p>
              </w:tc>
              <w:tc>
                <w:tcPr>
                  <w:tcW w:w="852" w:type="dxa"/>
                  <w:tcBorders>
                    <w:top w:val="single" w:color="auto" w:sz="4" w:space="0"/>
                    <w:left w:val="single" w:color="auto" w:sz="4" w:space="0"/>
                    <w:bottom w:val="single" w:color="auto" w:sz="12" w:space="0"/>
                    <w:right w:val="single" w:color="auto" w:sz="4" w:space="0"/>
                  </w:tcBorders>
                  <w:vAlign w:val="center"/>
                </w:tcPr>
                <w:p>
                  <w:pPr>
                    <w:tabs>
                      <w:tab w:val="left" w:pos="3580"/>
                    </w:tabs>
                    <w:topLinePunct/>
                    <w:spacing w:line="360" w:lineRule="exact"/>
                    <w:jc w:val="center"/>
                    <w:rPr>
                      <w:color w:val="auto"/>
                      <w:szCs w:val="21"/>
                    </w:rPr>
                  </w:pPr>
                  <w:r>
                    <w:rPr>
                      <w:color w:val="auto"/>
                      <w:szCs w:val="21"/>
                    </w:rPr>
                    <w:t>300</w:t>
                  </w:r>
                </w:p>
              </w:tc>
              <w:tc>
                <w:tcPr>
                  <w:tcW w:w="1412" w:type="dxa"/>
                  <w:tcBorders>
                    <w:top w:val="single" w:color="auto" w:sz="4" w:space="0"/>
                    <w:left w:val="single" w:color="auto" w:sz="4" w:space="0"/>
                    <w:bottom w:val="single" w:color="auto" w:sz="12" w:space="0"/>
                    <w:right w:val="single" w:color="auto" w:sz="4" w:space="0"/>
                  </w:tcBorders>
                  <w:vAlign w:val="center"/>
                </w:tcPr>
                <w:p>
                  <w:pPr>
                    <w:tabs>
                      <w:tab w:val="left" w:pos="3580"/>
                    </w:tabs>
                    <w:topLinePunct/>
                    <w:spacing w:line="360" w:lineRule="exact"/>
                    <w:jc w:val="center"/>
                    <w:rPr>
                      <w:color w:val="auto"/>
                      <w:szCs w:val="21"/>
                    </w:rPr>
                  </w:pPr>
                  <w:r>
                    <w:rPr>
                      <w:color w:val="auto"/>
                      <w:szCs w:val="21"/>
                    </w:rPr>
                    <w:t>183~290</w:t>
                  </w:r>
                </w:p>
              </w:tc>
              <w:tc>
                <w:tcPr>
                  <w:tcW w:w="1048" w:type="dxa"/>
                  <w:tcBorders>
                    <w:top w:val="single" w:color="auto" w:sz="4" w:space="0"/>
                    <w:left w:val="single" w:color="auto" w:sz="4" w:space="0"/>
                    <w:bottom w:val="single" w:color="auto" w:sz="12" w:space="0"/>
                    <w:right w:val="single" w:color="auto" w:sz="4" w:space="0"/>
                  </w:tcBorders>
                  <w:vAlign w:val="center"/>
                </w:tcPr>
                <w:p>
                  <w:pPr>
                    <w:tabs>
                      <w:tab w:val="left" w:pos="3580"/>
                    </w:tabs>
                    <w:topLinePunct/>
                    <w:spacing w:line="360" w:lineRule="exact"/>
                    <w:jc w:val="center"/>
                    <w:rPr>
                      <w:color w:val="auto"/>
                      <w:szCs w:val="21"/>
                    </w:rPr>
                  </w:pPr>
                  <w:r>
                    <w:rPr>
                      <w:bCs/>
                      <w:color w:val="auto"/>
                      <w:szCs w:val="21"/>
                    </w:rPr>
                    <w:t>0.61~0.96</w:t>
                  </w:r>
                </w:p>
              </w:tc>
              <w:tc>
                <w:tcPr>
                  <w:tcW w:w="746" w:type="dxa"/>
                  <w:tcBorders>
                    <w:top w:val="single" w:color="auto" w:sz="4" w:space="0"/>
                    <w:left w:val="single" w:color="auto" w:sz="4" w:space="0"/>
                    <w:bottom w:val="single" w:color="auto" w:sz="12" w:space="0"/>
                    <w:right w:val="single" w:color="auto" w:sz="4" w:space="0"/>
                  </w:tcBorders>
                  <w:vAlign w:val="center"/>
                </w:tcPr>
                <w:p>
                  <w:pPr>
                    <w:tabs>
                      <w:tab w:val="left" w:pos="3580"/>
                    </w:tabs>
                    <w:topLinePunct/>
                    <w:spacing w:line="360" w:lineRule="exact"/>
                    <w:jc w:val="center"/>
                    <w:rPr>
                      <w:color w:val="auto"/>
                      <w:szCs w:val="21"/>
                    </w:rPr>
                  </w:pPr>
                  <w:r>
                    <w:rPr>
                      <w:color w:val="auto"/>
                      <w:szCs w:val="21"/>
                    </w:rPr>
                    <w:t>0</w:t>
                  </w:r>
                </w:p>
              </w:tc>
              <w:tc>
                <w:tcPr>
                  <w:tcW w:w="621" w:type="dxa"/>
                  <w:tcBorders>
                    <w:top w:val="single" w:color="auto" w:sz="4" w:space="0"/>
                    <w:left w:val="single" w:color="auto" w:sz="4" w:space="0"/>
                    <w:bottom w:val="single" w:color="auto" w:sz="12" w:space="0"/>
                    <w:right w:val="nil"/>
                  </w:tcBorders>
                  <w:vAlign w:val="center"/>
                </w:tcPr>
                <w:p>
                  <w:pPr>
                    <w:tabs>
                      <w:tab w:val="left" w:pos="3580"/>
                    </w:tabs>
                    <w:topLinePunct/>
                    <w:spacing w:line="360" w:lineRule="exact"/>
                    <w:jc w:val="center"/>
                    <w:rPr>
                      <w:color w:val="auto"/>
                      <w:szCs w:val="21"/>
                    </w:rPr>
                  </w:pPr>
                  <w:r>
                    <w:rPr>
                      <w:color w:val="auto"/>
                      <w:szCs w:val="21"/>
                    </w:rPr>
                    <w:t>达标</w:t>
                  </w:r>
                </w:p>
              </w:tc>
            </w:tr>
          </w:tbl>
          <w:p>
            <w:pPr>
              <w:spacing w:line="500" w:lineRule="exact"/>
              <w:ind w:firstLine="480" w:firstLineChars="200"/>
              <w:rPr>
                <w:color w:val="auto"/>
                <w:sz w:val="24"/>
              </w:rPr>
            </w:pPr>
            <w:r>
              <w:rPr>
                <w:rFonts w:hint="eastAsia"/>
                <w:color w:val="auto"/>
                <w:sz w:val="24"/>
              </w:rPr>
              <w:t>根据检测结果，监测期间评价区域内环境空气中TSP24小时平均监测值满足《环境空气质量标准》（GB3095-2012）二级标准及修改单要求</w:t>
            </w:r>
            <w:r>
              <w:rPr>
                <w:color w:val="auto"/>
                <w:sz w:val="24"/>
              </w:rPr>
              <w:t>。</w:t>
            </w:r>
          </w:p>
          <w:p>
            <w:pPr>
              <w:pStyle w:val="9"/>
              <w:widowControl w:val="0"/>
              <w:snapToGrid/>
              <w:spacing w:before="0" w:after="0" w:line="500" w:lineRule="exact"/>
              <w:ind w:right="0" w:firstLine="482" w:firstLineChars="200"/>
              <w:rPr>
                <w:b/>
                <w:color w:val="auto"/>
                <w:sz w:val="24"/>
                <w:szCs w:val="24"/>
              </w:rPr>
            </w:pPr>
            <w:r>
              <w:rPr>
                <w:rFonts w:hint="eastAsia"/>
                <w:b/>
                <w:color w:val="auto"/>
                <w:sz w:val="24"/>
                <w:szCs w:val="24"/>
              </w:rPr>
              <w:t>2、</w:t>
            </w:r>
            <w:r>
              <w:rPr>
                <w:b/>
                <w:color w:val="auto"/>
                <w:sz w:val="24"/>
                <w:szCs w:val="24"/>
              </w:rPr>
              <w:t>地表水环境</w:t>
            </w:r>
          </w:p>
          <w:p>
            <w:pPr>
              <w:pStyle w:val="106"/>
              <w:spacing w:line="500" w:lineRule="exact"/>
              <w:ind w:firstLine="482"/>
              <w:jc w:val="left"/>
              <w:rPr>
                <w:b w:val="0"/>
                <w:color w:val="auto"/>
                <w:sz w:val="24"/>
                <w:szCs w:val="24"/>
              </w:rPr>
            </w:pPr>
            <w:r>
              <w:rPr>
                <w:rFonts w:hint="eastAsia"/>
                <w:b w:val="0"/>
                <w:color w:val="auto"/>
                <w:sz w:val="24"/>
                <w:szCs w:val="24"/>
              </w:rPr>
              <w:t>本项目冷却水经冷却后循环利用不外排，</w:t>
            </w:r>
            <w:r>
              <w:rPr>
                <w:b w:val="0"/>
                <w:color w:val="auto"/>
                <w:sz w:val="24"/>
                <w:szCs w:val="24"/>
              </w:rPr>
              <w:t>职工</w:t>
            </w:r>
            <w:r>
              <w:rPr>
                <w:rFonts w:hint="eastAsia"/>
                <w:b w:val="0"/>
                <w:color w:val="auto"/>
                <w:sz w:val="24"/>
                <w:szCs w:val="24"/>
              </w:rPr>
              <w:t>盥洗废水就地泼洒抑尘不外排，项目</w:t>
            </w:r>
            <w:r>
              <w:rPr>
                <w:b w:val="0"/>
                <w:color w:val="auto"/>
                <w:sz w:val="24"/>
                <w:szCs w:val="24"/>
              </w:rPr>
              <w:t>无废水直接排入地表水，因此未对区域地表水环境质量现状进行调查。</w:t>
            </w:r>
          </w:p>
          <w:p>
            <w:pPr>
              <w:pStyle w:val="9"/>
              <w:widowControl w:val="0"/>
              <w:snapToGrid/>
              <w:spacing w:before="0" w:after="0" w:line="500" w:lineRule="exact"/>
              <w:ind w:right="0" w:firstLine="482" w:firstLineChars="200"/>
              <w:rPr>
                <w:b/>
                <w:color w:val="auto"/>
                <w:sz w:val="24"/>
                <w:szCs w:val="24"/>
              </w:rPr>
            </w:pPr>
            <w:r>
              <w:rPr>
                <w:rFonts w:hint="eastAsia"/>
                <w:b/>
                <w:color w:val="auto"/>
                <w:sz w:val="24"/>
                <w:szCs w:val="24"/>
              </w:rPr>
              <w:t>3、</w:t>
            </w:r>
            <w:r>
              <w:rPr>
                <w:b/>
                <w:color w:val="auto"/>
                <w:sz w:val="24"/>
                <w:szCs w:val="24"/>
              </w:rPr>
              <w:t>声环境质量现状</w:t>
            </w:r>
          </w:p>
          <w:p>
            <w:pPr>
              <w:pStyle w:val="9"/>
              <w:widowControl w:val="0"/>
              <w:snapToGrid/>
              <w:spacing w:before="0" w:after="0" w:line="500" w:lineRule="exact"/>
              <w:ind w:right="0" w:firstLine="480" w:firstLineChars="200"/>
              <w:rPr>
                <w:snapToGrid w:val="0"/>
                <w:color w:val="auto"/>
                <w:sz w:val="24"/>
                <w:szCs w:val="24"/>
                <w:lang w:val="zh-CN"/>
              </w:rPr>
            </w:pPr>
            <w:r>
              <w:rPr>
                <w:rFonts w:hint="eastAsia"/>
                <w:bCs/>
                <w:color w:val="auto"/>
                <w:sz w:val="24"/>
                <w:szCs w:val="24"/>
              </w:rPr>
              <w:t>本</w:t>
            </w:r>
            <w:r>
              <w:rPr>
                <w:bCs/>
                <w:color w:val="auto"/>
                <w:sz w:val="24"/>
              </w:rPr>
              <w:t>项目所在</w:t>
            </w:r>
            <w:r>
              <w:rPr>
                <w:color w:val="auto"/>
                <w:sz w:val="24"/>
              </w:rPr>
              <w:t>区域</w:t>
            </w:r>
            <w:r>
              <w:rPr>
                <w:bCs/>
                <w:color w:val="auto"/>
                <w:sz w:val="24"/>
              </w:rPr>
              <w:t>声环境</w:t>
            </w:r>
            <w:r>
              <w:rPr>
                <w:bCs/>
                <w:color w:val="auto"/>
                <w:sz w:val="24"/>
                <w:lang w:val="zh-CN"/>
              </w:rPr>
              <w:t>满足《声环境质量标准》（GB3096-2008）中</w:t>
            </w:r>
            <w:r>
              <w:rPr>
                <w:rFonts w:hint="eastAsia"/>
                <w:bCs/>
                <w:color w:val="auto"/>
                <w:sz w:val="24"/>
              </w:rPr>
              <w:t>2</w:t>
            </w:r>
            <w:r>
              <w:rPr>
                <w:bCs/>
                <w:color w:val="auto"/>
                <w:sz w:val="24"/>
                <w:lang w:val="zh-CN"/>
              </w:rPr>
              <w:t>类区标准要求</w:t>
            </w:r>
            <w:r>
              <w:rPr>
                <w:bCs/>
                <w:color w:val="auto"/>
                <w:sz w:val="24"/>
              </w:rPr>
              <w:t>。</w:t>
            </w:r>
            <w:r>
              <w:rPr>
                <w:rFonts w:hint="eastAsia"/>
                <w:bCs/>
                <w:color w:val="auto"/>
                <w:sz w:val="24"/>
                <w:szCs w:val="24"/>
              </w:rPr>
              <w:t>项目厂界50m范围内无声环境敏感点，不需要对声环境质量现状进行监测。</w:t>
            </w:r>
          </w:p>
          <w:p>
            <w:pPr>
              <w:pStyle w:val="9"/>
              <w:widowControl w:val="0"/>
              <w:snapToGrid/>
              <w:spacing w:before="0" w:after="0" w:line="500" w:lineRule="exact"/>
              <w:ind w:right="0" w:firstLine="482" w:firstLineChars="200"/>
              <w:rPr>
                <w:b/>
                <w:color w:val="auto"/>
                <w:sz w:val="24"/>
                <w:szCs w:val="24"/>
              </w:rPr>
            </w:pPr>
            <w:r>
              <w:rPr>
                <w:rFonts w:hint="eastAsia"/>
                <w:b/>
                <w:color w:val="auto"/>
                <w:sz w:val="24"/>
                <w:szCs w:val="24"/>
              </w:rPr>
              <w:t>4、</w:t>
            </w:r>
            <w:r>
              <w:rPr>
                <w:b/>
                <w:color w:val="auto"/>
                <w:sz w:val="24"/>
                <w:szCs w:val="24"/>
              </w:rPr>
              <w:t>生态环境</w:t>
            </w:r>
          </w:p>
          <w:p>
            <w:pPr>
              <w:autoSpaceDE w:val="0"/>
              <w:autoSpaceDN w:val="0"/>
              <w:adjustRightInd w:val="0"/>
              <w:snapToGrid w:val="0"/>
              <w:spacing w:line="500" w:lineRule="exact"/>
              <w:ind w:firstLine="480" w:firstLineChars="200"/>
              <w:rPr>
                <w:snapToGrid w:val="0"/>
                <w:color w:val="auto"/>
                <w:kern w:val="0"/>
                <w:sz w:val="24"/>
                <w:lang w:val="zh-CN"/>
              </w:rPr>
            </w:pPr>
            <w:r>
              <w:rPr>
                <w:color w:val="auto"/>
                <w:sz w:val="24"/>
              </w:rPr>
              <w:t>本项目为</w:t>
            </w:r>
            <w:r>
              <w:rPr>
                <w:rFonts w:hint="eastAsia"/>
                <w:color w:val="auto"/>
                <w:sz w:val="24"/>
              </w:rPr>
              <w:t>新建</w:t>
            </w:r>
            <w:r>
              <w:rPr>
                <w:color w:val="auto"/>
                <w:sz w:val="24"/>
              </w:rPr>
              <w:t>项目，</w:t>
            </w:r>
            <w:r>
              <w:rPr>
                <w:rFonts w:hint="eastAsia"/>
                <w:color w:val="auto"/>
                <w:sz w:val="24"/>
              </w:rPr>
              <w:t>项目租用现有建设用地</w:t>
            </w:r>
            <w:r>
              <w:rPr>
                <w:rFonts w:hint="eastAsia"/>
                <w:bCs/>
                <w:color w:val="auto"/>
                <w:sz w:val="24"/>
              </w:rPr>
              <w:t>，</w:t>
            </w:r>
            <w:r>
              <w:rPr>
                <w:snapToGrid w:val="0"/>
                <w:color w:val="auto"/>
                <w:kern w:val="0"/>
                <w:sz w:val="24"/>
              </w:rPr>
              <w:t>因此，不进行生态现状调查。</w:t>
            </w:r>
          </w:p>
          <w:p>
            <w:pPr>
              <w:pStyle w:val="9"/>
              <w:widowControl w:val="0"/>
              <w:snapToGrid/>
              <w:spacing w:before="0" w:after="0" w:line="500" w:lineRule="exact"/>
              <w:ind w:right="0" w:firstLine="482" w:firstLineChars="200"/>
              <w:rPr>
                <w:b/>
                <w:color w:val="auto"/>
                <w:sz w:val="24"/>
                <w:szCs w:val="24"/>
              </w:rPr>
            </w:pPr>
            <w:r>
              <w:rPr>
                <w:rFonts w:hint="eastAsia"/>
                <w:b/>
                <w:color w:val="auto"/>
                <w:sz w:val="24"/>
                <w:szCs w:val="24"/>
              </w:rPr>
              <w:t>5、</w:t>
            </w:r>
            <w:r>
              <w:rPr>
                <w:b/>
                <w:color w:val="auto"/>
                <w:sz w:val="24"/>
                <w:szCs w:val="24"/>
              </w:rPr>
              <w:t>电磁辐射</w:t>
            </w:r>
          </w:p>
          <w:p>
            <w:pPr>
              <w:autoSpaceDE w:val="0"/>
              <w:autoSpaceDN w:val="0"/>
              <w:adjustRightInd w:val="0"/>
              <w:snapToGrid w:val="0"/>
              <w:spacing w:line="500" w:lineRule="exact"/>
              <w:ind w:firstLine="480" w:firstLineChars="200"/>
              <w:rPr>
                <w:snapToGrid w:val="0"/>
                <w:color w:val="auto"/>
                <w:kern w:val="0"/>
                <w:sz w:val="24"/>
              </w:rPr>
            </w:pPr>
            <w:r>
              <w:rPr>
                <w:snapToGrid w:val="0"/>
                <w:color w:val="auto"/>
                <w:kern w:val="0"/>
                <w:sz w:val="24"/>
              </w:rPr>
              <w:t>项目不属于电磁辐射类项目，因此不开展电磁辐射现状监测与评价。</w:t>
            </w:r>
          </w:p>
          <w:p>
            <w:pPr>
              <w:pStyle w:val="9"/>
              <w:widowControl w:val="0"/>
              <w:snapToGrid/>
              <w:spacing w:before="0" w:after="0" w:line="500" w:lineRule="exact"/>
              <w:ind w:right="0" w:firstLine="482" w:firstLineChars="200"/>
              <w:rPr>
                <w:b/>
                <w:color w:val="auto"/>
                <w:sz w:val="24"/>
                <w:szCs w:val="24"/>
              </w:rPr>
            </w:pPr>
            <w:r>
              <w:rPr>
                <w:rFonts w:hint="eastAsia"/>
                <w:b/>
                <w:color w:val="auto"/>
                <w:sz w:val="24"/>
                <w:szCs w:val="24"/>
              </w:rPr>
              <w:t>6、</w:t>
            </w:r>
            <w:r>
              <w:rPr>
                <w:b/>
                <w:color w:val="auto"/>
                <w:sz w:val="24"/>
                <w:szCs w:val="24"/>
              </w:rPr>
              <w:t>地下水、土壤环境</w:t>
            </w:r>
          </w:p>
          <w:p>
            <w:pPr>
              <w:autoSpaceDE w:val="0"/>
              <w:autoSpaceDN w:val="0"/>
              <w:adjustRightInd w:val="0"/>
              <w:snapToGrid w:val="0"/>
              <w:spacing w:line="500" w:lineRule="exact"/>
              <w:ind w:firstLine="480" w:firstLineChars="200"/>
              <w:rPr>
                <w:snapToGrid w:val="0"/>
                <w:color w:val="auto"/>
                <w:kern w:val="0"/>
                <w:sz w:val="24"/>
              </w:rPr>
            </w:pPr>
            <w:r>
              <w:rPr>
                <w:snapToGrid w:val="0"/>
                <w:color w:val="auto"/>
                <w:kern w:val="0"/>
                <w:sz w:val="24"/>
              </w:rPr>
              <w:t>项目</w:t>
            </w:r>
            <w:r>
              <w:rPr>
                <w:rFonts w:hint="eastAsia"/>
                <w:snapToGrid w:val="0"/>
                <w:color w:val="auto"/>
                <w:kern w:val="0"/>
                <w:sz w:val="24"/>
              </w:rPr>
              <w:t>危废间、冷却循环水池、生产车间区域地面严格执行环评提出的分区防渗措施后，无</w:t>
            </w:r>
            <w:r>
              <w:rPr>
                <w:snapToGrid w:val="0"/>
                <w:color w:val="auto"/>
                <w:kern w:val="0"/>
                <w:sz w:val="24"/>
              </w:rPr>
              <w:t>土壤、地下水环境污染途径，因此不开展环境质量现状调查</w:t>
            </w:r>
            <w:r>
              <w:rPr>
                <w:rFonts w:hint="eastAsia"/>
                <w:color w:val="auto"/>
                <w:spacing w:val="4"/>
                <w:kern w:val="0"/>
                <w:sz w:val="24"/>
              </w:rPr>
              <w:t>。</w:t>
            </w:r>
          </w:p>
          <w:p>
            <w:pPr>
              <w:spacing w:line="500" w:lineRule="exact"/>
              <w:ind w:firstLine="420" w:firstLineChars="200"/>
              <w:jc w:val="left"/>
              <w:rPr>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5" w:type="dxa"/>
            <w:vAlign w:val="center"/>
          </w:tcPr>
          <w:p>
            <w:pPr>
              <w:keepNext/>
              <w:widowControl/>
              <w:adjustRightInd w:val="0"/>
              <w:snapToGrid w:val="0"/>
              <w:spacing w:line="480" w:lineRule="exact"/>
              <w:jc w:val="center"/>
              <w:rPr>
                <w:color w:val="auto"/>
                <w:kern w:val="0"/>
                <w:sz w:val="24"/>
              </w:rPr>
            </w:pPr>
            <w:r>
              <w:rPr>
                <w:color w:val="auto"/>
                <w:kern w:val="0"/>
                <w:sz w:val="24"/>
              </w:rPr>
              <w:t>环境</w:t>
            </w:r>
          </w:p>
          <w:p>
            <w:pPr>
              <w:keepNext/>
              <w:widowControl/>
              <w:adjustRightInd w:val="0"/>
              <w:snapToGrid w:val="0"/>
              <w:spacing w:line="480" w:lineRule="exact"/>
              <w:jc w:val="center"/>
              <w:rPr>
                <w:color w:val="auto"/>
                <w:kern w:val="0"/>
                <w:sz w:val="24"/>
              </w:rPr>
            </w:pPr>
            <w:r>
              <w:rPr>
                <w:color w:val="auto"/>
                <w:kern w:val="0"/>
                <w:sz w:val="24"/>
              </w:rPr>
              <w:t>保护</w:t>
            </w:r>
          </w:p>
          <w:p>
            <w:pPr>
              <w:keepNext/>
              <w:widowControl/>
              <w:adjustRightInd w:val="0"/>
              <w:snapToGrid w:val="0"/>
              <w:spacing w:line="480" w:lineRule="exact"/>
              <w:jc w:val="center"/>
              <w:rPr>
                <w:color w:val="auto"/>
                <w:kern w:val="0"/>
                <w:szCs w:val="21"/>
              </w:rPr>
            </w:pPr>
            <w:r>
              <w:rPr>
                <w:color w:val="auto"/>
                <w:kern w:val="0"/>
                <w:sz w:val="24"/>
              </w:rPr>
              <w:t>目标</w:t>
            </w:r>
          </w:p>
        </w:tc>
        <w:tc>
          <w:tcPr>
            <w:tcW w:w="8544" w:type="dxa"/>
            <w:vAlign w:val="center"/>
          </w:tcPr>
          <w:p>
            <w:pPr>
              <w:spacing w:line="500" w:lineRule="exact"/>
              <w:ind w:firstLine="480" w:firstLineChars="200"/>
              <w:jc w:val="left"/>
              <w:rPr>
                <w:snapToGrid w:val="0"/>
                <w:color w:val="auto"/>
                <w:kern w:val="0"/>
                <w:sz w:val="24"/>
              </w:rPr>
            </w:pPr>
            <w:r>
              <w:rPr>
                <w:snapToGrid w:val="0"/>
                <w:color w:val="auto"/>
                <w:kern w:val="0"/>
                <w:sz w:val="24"/>
              </w:rPr>
              <w:t>本项目厂界外50米范围内没有声环境保护目标。本项目厂界外500米范围内没有地下集中式饮用水水源和热水、矿泉水、温泉等特殊地下水资源。本项目</w:t>
            </w:r>
            <w:r>
              <w:rPr>
                <w:rFonts w:hint="eastAsia"/>
                <w:snapToGrid w:val="0"/>
                <w:color w:val="auto"/>
                <w:kern w:val="0"/>
                <w:sz w:val="24"/>
              </w:rPr>
              <w:t>位于</w:t>
            </w:r>
            <w:r>
              <w:rPr>
                <w:rFonts w:hint="eastAsia"/>
                <w:snapToGrid w:val="0"/>
                <w:color w:val="auto"/>
                <w:kern w:val="0"/>
                <w:sz w:val="24"/>
                <w:szCs w:val="22"/>
              </w:rPr>
              <w:t>河北省唐山市遵化市遵化镇团练屯村北</w:t>
            </w:r>
            <w:r>
              <w:rPr>
                <w:snapToGrid w:val="0"/>
                <w:color w:val="auto"/>
                <w:kern w:val="0"/>
                <w:sz w:val="24"/>
              </w:rPr>
              <w:t>，根据工程性质和周围环境特征，确定环境保护目标和保护级别见下表。</w:t>
            </w:r>
          </w:p>
          <w:p>
            <w:pPr>
              <w:spacing w:line="500" w:lineRule="exact"/>
              <w:ind w:firstLine="480" w:firstLineChars="200"/>
              <w:jc w:val="left"/>
              <w:rPr>
                <w:snapToGrid w:val="0"/>
                <w:color w:val="auto"/>
                <w:kern w:val="0"/>
                <w:sz w:val="24"/>
              </w:rPr>
            </w:pPr>
            <w:r>
              <w:rPr>
                <w:snapToGrid w:val="0"/>
                <w:color w:val="auto"/>
                <w:kern w:val="0"/>
                <w:sz w:val="24"/>
              </w:rPr>
              <w:t>1、大气环境保护目标</w:t>
            </w:r>
          </w:p>
          <w:p>
            <w:pPr>
              <w:spacing w:line="500" w:lineRule="exact"/>
              <w:jc w:val="center"/>
              <w:rPr>
                <w:b/>
                <w:bCs/>
                <w:snapToGrid w:val="0"/>
                <w:color w:val="auto"/>
                <w:kern w:val="0"/>
                <w:sz w:val="24"/>
              </w:rPr>
            </w:pPr>
            <w:r>
              <w:rPr>
                <w:b/>
                <w:bCs/>
                <w:snapToGrid w:val="0"/>
                <w:color w:val="auto"/>
                <w:kern w:val="0"/>
                <w:sz w:val="24"/>
              </w:rPr>
              <w:t>表</w:t>
            </w:r>
            <w:r>
              <w:rPr>
                <w:rFonts w:hint="eastAsia"/>
                <w:b/>
                <w:bCs/>
                <w:snapToGrid w:val="0"/>
                <w:color w:val="auto"/>
                <w:kern w:val="0"/>
                <w:sz w:val="24"/>
              </w:rPr>
              <w:t>22</w:t>
            </w:r>
            <w:r>
              <w:rPr>
                <w:b/>
                <w:bCs/>
                <w:snapToGrid w:val="0"/>
                <w:color w:val="auto"/>
                <w:kern w:val="0"/>
                <w:sz w:val="24"/>
              </w:rPr>
              <w:t xml:space="preserve"> </w:t>
            </w:r>
            <w:r>
              <w:rPr>
                <w:rFonts w:hint="eastAsia"/>
                <w:b/>
                <w:bCs/>
                <w:snapToGrid w:val="0"/>
                <w:color w:val="auto"/>
                <w:kern w:val="0"/>
                <w:sz w:val="24"/>
              </w:rPr>
              <w:t>大气</w:t>
            </w:r>
            <w:r>
              <w:rPr>
                <w:b/>
                <w:bCs/>
                <w:snapToGrid w:val="0"/>
                <w:color w:val="auto"/>
                <w:kern w:val="0"/>
                <w:sz w:val="24"/>
              </w:rPr>
              <w:t>环境保护目标一览表</w:t>
            </w:r>
          </w:p>
          <w:tbl>
            <w:tblPr>
              <w:tblStyle w:val="33"/>
              <w:tblW w:w="8337"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54"/>
              <w:gridCol w:w="716"/>
              <w:gridCol w:w="887"/>
              <w:gridCol w:w="804"/>
              <w:gridCol w:w="655"/>
              <w:gridCol w:w="709"/>
              <w:gridCol w:w="2147"/>
              <w:gridCol w:w="868"/>
              <w:gridCol w:w="89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4" w:type="dxa"/>
                  <w:vMerge w:val="restart"/>
                  <w:tcBorders>
                    <w:tl2br w:val="nil"/>
                    <w:tr2bl w:val="nil"/>
                  </w:tcBorders>
                  <w:vAlign w:val="center"/>
                </w:tcPr>
                <w:p>
                  <w:pPr>
                    <w:wordWrap w:val="0"/>
                    <w:jc w:val="center"/>
                    <w:rPr>
                      <w:color w:val="auto"/>
                    </w:rPr>
                  </w:pPr>
                  <w:r>
                    <w:rPr>
                      <w:color w:val="auto"/>
                    </w:rPr>
                    <w:t>环境要素</w:t>
                  </w:r>
                </w:p>
              </w:tc>
              <w:tc>
                <w:tcPr>
                  <w:tcW w:w="716" w:type="dxa"/>
                  <w:vMerge w:val="restart"/>
                  <w:tcBorders>
                    <w:tl2br w:val="nil"/>
                    <w:tr2bl w:val="nil"/>
                  </w:tcBorders>
                  <w:vAlign w:val="center"/>
                </w:tcPr>
                <w:p>
                  <w:pPr>
                    <w:wordWrap w:val="0"/>
                    <w:jc w:val="center"/>
                    <w:rPr>
                      <w:color w:val="auto"/>
                    </w:rPr>
                  </w:pPr>
                  <w:r>
                    <w:rPr>
                      <w:color w:val="auto"/>
                    </w:rPr>
                    <w:t>名称</w:t>
                  </w:r>
                </w:p>
              </w:tc>
              <w:tc>
                <w:tcPr>
                  <w:tcW w:w="1691" w:type="dxa"/>
                  <w:gridSpan w:val="2"/>
                  <w:tcBorders>
                    <w:tl2br w:val="nil"/>
                    <w:tr2bl w:val="nil"/>
                  </w:tcBorders>
                  <w:vAlign w:val="center"/>
                </w:tcPr>
                <w:p>
                  <w:pPr>
                    <w:wordWrap w:val="0"/>
                    <w:jc w:val="center"/>
                    <w:rPr>
                      <w:color w:val="auto"/>
                    </w:rPr>
                  </w:pPr>
                  <w:r>
                    <w:rPr>
                      <w:color w:val="auto"/>
                    </w:rPr>
                    <w:t>坐标/m</w:t>
                  </w:r>
                </w:p>
              </w:tc>
              <w:tc>
                <w:tcPr>
                  <w:tcW w:w="655" w:type="dxa"/>
                  <w:vMerge w:val="restart"/>
                  <w:tcBorders>
                    <w:tl2br w:val="nil"/>
                    <w:tr2bl w:val="nil"/>
                  </w:tcBorders>
                  <w:vAlign w:val="center"/>
                </w:tcPr>
                <w:p>
                  <w:pPr>
                    <w:wordWrap w:val="0"/>
                    <w:jc w:val="center"/>
                    <w:rPr>
                      <w:color w:val="auto"/>
                    </w:rPr>
                  </w:pPr>
                  <w:r>
                    <w:rPr>
                      <w:color w:val="auto"/>
                    </w:rPr>
                    <w:t>保护对象</w:t>
                  </w:r>
                </w:p>
              </w:tc>
              <w:tc>
                <w:tcPr>
                  <w:tcW w:w="709" w:type="dxa"/>
                  <w:vMerge w:val="restart"/>
                  <w:tcBorders>
                    <w:tl2br w:val="nil"/>
                    <w:tr2bl w:val="nil"/>
                  </w:tcBorders>
                  <w:vAlign w:val="center"/>
                </w:tcPr>
                <w:p>
                  <w:pPr>
                    <w:wordWrap w:val="0"/>
                    <w:jc w:val="center"/>
                    <w:rPr>
                      <w:color w:val="auto"/>
                    </w:rPr>
                  </w:pPr>
                  <w:r>
                    <w:rPr>
                      <w:color w:val="auto"/>
                    </w:rPr>
                    <w:t>保护内容</w:t>
                  </w:r>
                </w:p>
              </w:tc>
              <w:tc>
                <w:tcPr>
                  <w:tcW w:w="2147" w:type="dxa"/>
                  <w:vMerge w:val="restart"/>
                  <w:tcBorders>
                    <w:tl2br w:val="nil"/>
                    <w:tr2bl w:val="nil"/>
                  </w:tcBorders>
                  <w:vAlign w:val="center"/>
                </w:tcPr>
                <w:p>
                  <w:pPr>
                    <w:wordWrap w:val="0"/>
                    <w:jc w:val="center"/>
                    <w:rPr>
                      <w:color w:val="auto"/>
                    </w:rPr>
                  </w:pPr>
                  <w:r>
                    <w:rPr>
                      <w:color w:val="auto"/>
                    </w:rPr>
                    <w:t>环境功能区</w:t>
                  </w:r>
                </w:p>
              </w:tc>
              <w:tc>
                <w:tcPr>
                  <w:tcW w:w="868" w:type="dxa"/>
                  <w:vMerge w:val="restart"/>
                  <w:tcBorders>
                    <w:tl2br w:val="nil"/>
                    <w:tr2bl w:val="nil"/>
                  </w:tcBorders>
                  <w:vAlign w:val="center"/>
                </w:tcPr>
                <w:p>
                  <w:pPr>
                    <w:wordWrap w:val="0"/>
                    <w:jc w:val="center"/>
                    <w:rPr>
                      <w:color w:val="auto"/>
                    </w:rPr>
                  </w:pPr>
                  <w:r>
                    <w:rPr>
                      <w:color w:val="auto"/>
                    </w:rPr>
                    <w:t>相对厂址方位</w:t>
                  </w:r>
                </w:p>
              </w:tc>
              <w:tc>
                <w:tcPr>
                  <w:tcW w:w="897" w:type="dxa"/>
                  <w:vMerge w:val="restart"/>
                  <w:tcBorders>
                    <w:tl2br w:val="nil"/>
                    <w:tr2bl w:val="nil"/>
                  </w:tcBorders>
                  <w:vAlign w:val="center"/>
                </w:tcPr>
                <w:p>
                  <w:pPr>
                    <w:wordWrap w:val="0"/>
                    <w:jc w:val="center"/>
                    <w:rPr>
                      <w:color w:val="auto"/>
                    </w:rPr>
                  </w:pPr>
                  <w:r>
                    <w:rPr>
                      <w:color w:val="auto"/>
                    </w:rPr>
                    <w:t>相对厂界距离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4" w:type="dxa"/>
                  <w:vMerge w:val="continue"/>
                  <w:tcBorders>
                    <w:tl2br w:val="nil"/>
                    <w:tr2bl w:val="nil"/>
                  </w:tcBorders>
                  <w:vAlign w:val="center"/>
                </w:tcPr>
                <w:p>
                  <w:pPr>
                    <w:wordWrap w:val="0"/>
                    <w:jc w:val="center"/>
                    <w:rPr>
                      <w:color w:val="auto"/>
                    </w:rPr>
                  </w:pPr>
                </w:p>
              </w:tc>
              <w:tc>
                <w:tcPr>
                  <w:tcW w:w="716" w:type="dxa"/>
                  <w:vMerge w:val="continue"/>
                  <w:tcBorders>
                    <w:tl2br w:val="nil"/>
                    <w:tr2bl w:val="nil"/>
                  </w:tcBorders>
                  <w:vAlign w:val="center"/>
                </w:tcPr>
                <w:p>
                  <w:pPr>
                    <w:wordWrap w:val="0"/>
                    <w:jc w:val="center"/>
                    <w:rPr>
                      <w:color w:val="auto"/>
                    </w:rPr>
                  </w:pPr>
                </w:p>
              </w:tc>
              <w:tc>
                <w:tcPr>
                  <w:tcW w:w="887" w:type="dxa"/>
                  <w:tcBorders>
                    <w:tl2br w:val="nil"/>
                    <w:tr2bl w:val="nil"/>
                  </w:tcBorders>
                  <w:vAlign w:val="center"/>
                </w:tcPr>
                <w:p>
                  <w:pPr>
                    <w:wordWrap w:val="0"/>
                    <w:jc w:val="center"/>
                    <w:rPr>
                      <w:color w:val="auto"/>
                    </w:rPr>
                  </w:pPr>
                  <w:r>
                    <w:rPr>
                      <w:color w:val="auto"/>
                    </w:rPr>
                    <w:t>东经/°</w:t>
                  </w:r>
                </w:p>
              </w:tc>
              <w:tc>
                <w:tcPr>
                  <w:tcW w:w="804" w:type="dxa"/>
                  <w:tcBorders>
                    <w:tl2br w:val="nil"/>
                    <w:tr2bl w:val="nil"/>
                  </w:tcBorders>
                  <w:vAlign w:val="center"/>
                </w:tcPr>
                <w:p>
                  <w:pPr>
                    <w:wordWrap w:val="0"/>
                    <w:jc w:val="center"/>
                    <w:rPr>
                      <w:color w:val="auto"/>
                    </w:rPr>
                  </w:pPr>
                  <w:r>
                    <w:rPr>
                      <w:color w:val="auto"/>
                    </w:rPr>
                    <w:t>北纬/°</w:t>
                  </w:r>
                </w:p>
              </w:tc>
              <w:tc>
                <w:tcPr>
                  <w:tcW w:w="655" w:type="dxa"/>
                  <w:vMerge w:val="continue"/>
                  <w:tcBorders>
                    <w:tl2br w:val="nil"/>
                    <w:tr2bl w:val="nil"/>
                  </w:tcBorders>
                  <w:vAlign w:val="center"/>
                </w:tcPr>
                <w:p>
                  <w:pPr>
                    <w:wordWrap w:val="0"/>
                    <w:jc w:val="center"/>
                    <w:rPr>
                      <w:color w:val="auto"/>
                    </w:rPr>
                  </w:pPr>
                </w:p>
              </w:tc>
              <w:tc>
                <w:tcPr>
                  <w:tcW w:w="709" w:type="dxa"/>
                  <w:vMerge w:val="continue"/>
                  <w:tcBorders>
                    <w:tl2br w:val="nil"/>
                    <w:tr2bl w:val="nil"/>
                  </w:tcBorders>
                  <w:vAlign w:val="center"/>
                </w:tcPr>
                <w:p>
                  <w:pPr>
                    <w:wordWrap w:val="0"/>
                    <w:jc w:val="center"/>
                    <w:rPr>
                      <w:color w:val="auto"/>
                    </w:rPr>
                  </w:pPr>
                </w:p>
              </w:tc>
              <w:tc>
                <w:tcPr>
                  <w:tcW w:w="2147" w:type="dxa"/>
                  <w:vMerge w:val="continue"/>
                  <w:tcBorders>
                    <w:tl2br w:val="nil"/>
                    <w:tr2bl w:val="nil"/>
                  </w:tcBorders>
                  <w:vAlign w:val="center"/>
                </w:tcPr>
                <w:p>
                  <w:pPr>
                    <w:wordWrap w:val="0"/>
                    <w:jc w:val="center"/>
                    <w:rPr>
                      <w:color w:val="auto"/>
                    </w:rPr>
                  </w:pPr>
                </w:p>
              </w:tc>
              <w:tc>
                <w:tcPr>
                  <w:tcW w:w="868" w:type="dxa"/>
                  <w:vMerge w:val="continue"/>
                  <w:tcBorders>
                    <w:tl2br w:val="nil"/>
                    <w:tr2bl w:val="nil"/>
                  </w:tcBorders>
                  <w:vAlign w:val="center"/>
                </w:tcPr>
                <w:p>
                  <w:pPr>
                    <w:wordWrap w:val="0"/>
                    <w:jc w:val="center"/>
                    <w:rPr>
                      <w:color w:val="auto"/>
                    </w:rPr>
                  </w:pPr>
                </w:p>
              </w:tc>
              <w:tc>
                <w:tcPr>
                  <w:tcW w:w="897" w:type="dxa"/>
                  <w:vMerge w:val="continue"/>
                  <w:tcBorders>
                    <w:tl2br w:val="nil"/>
                    <w:tr2bl w:val="nil"/>
                  </w:tcBorders>
                  <w:vAlign w:val="center"/>
                </w:tcPr>
                <w:p>
                  <w:pPr>
                    <w:wordWrap w:val="0"/>
                    <w:jc w:val="center"/>
                    <w:rPr>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4" w:type="dxa"/>
                  <w:tcBorders>
                    <w:tl2br w:val="nil"/>
                    <w:tr2bl w:val="nil"/>
                  </w:tcBorders>
                  <w:vAlign w:val="center"/>
                </w:tcPr>
                <w:p>
                  <w:pPr>
                    <w:wordWrap w:val="0"/>
                    <w:jc w:val="center"/>
                    <w:rPr>
                      <w:color w:val="auto"/>
                    </w:rPr>
                  </w:pPr>
                  <w:r>
                    <w:rPr>
                      <w:color w:val="auto"/>
                    </w:rPr>
                    <w:t>环境空气</w:t>
                  </w:r>
                </w:p>
              </w:tc>
              <w:tc>
                <w:tcPr>
                  <w:tcW w:w="716" w:type="dxa"/>
                  <w:tcBorders>
                    <w:tl2br w:val="nil"/>
                    <w:tr2bl w:val="nil"/>
                  </w:tcBorders>
                  <w:vAlign w:val="center"/>
                </w:tcPr>
                <w:p>
                  <w:pPr>
                    <w:wordWrap w:val="0"/>
                    <w:jc w:val="center"/>
                    <w:rPr>
                      <w:color w:val="auto"/>
                    </w:rPr>
                  </w:pPr>
                  <w:r>
                    <w:rPr>
                      <w:color w:val="auto"/>
                      <w:lang w:val="zh-CN"/>
                    </w:rPr>
                    <w:t>团练屯</w:t>
                  </w:r>
                  <w:r>
                    <w:rPr>
                      <w:rFonts w:hint="eastAsia"/>
                      <w:color w:val="auto"/>
                    </w:rPr>
                    <w:t>村</w:t>
                  </w:r>
                </w:p>
              </w:tc>
              <w:tc>
                <w:tcPr>
                  <w:tcW w:w="887" w:type="dxa"/>
                  <w:tcBorders>
                    <w:tl2br w:val="nil"/>
                    <w:tr2bl w:val="nil"/>
                  </w:tcBorders>
                  <w:vAlign w:val="center"/>
                </w:tcPr>
                <w:p>
                  <w:pPr>
                    <w:wordWrap w:val="0"/>
                    <w:jc w:val="center"/>
                    <w:rPr>
                      <w:color w:val="auto"/>
                    </w:rPr>
                  </w:pPr>
                  <w:r>
                    <w:rPr>
                      <w:color w:val="auto"/>
                    </w:rPr>
                    <w:t>117.98544</w:t>
                  </w:r>
                </w:p>
              </w:tc>
              <w:tc>
                <w:tcPr>
                  <w:tcW w:w="804" w:type="dxa"/>
                  <w:tcBorders>
                    <w:tl2br w:val="nil"/>
                    <w:tr2bl w:val="nil"/>
                  </w:tcBorders>
                  <w:vAlign w:val="center"/>
                </w:tcPr>
                <w:p>
                  <w:pPr>
                    <w:wordWrap w:val="0"/>
                    <w:jc w:val="center"/>
                    <w:rPr>
                      <w:color w:val="auto"/>
                    </w:rPr>
                  </w:pPr>
                  <w:r>
                    <w:rPr>
                      <w:color w:val="auto"/>
                    </w:rPr>
                    <w:t>40.16764</w:t>
                  </w:r>
                </w:p>
              </w:tc>
              <w:tc>
                <w:tcPr>
                  <w:tcW w:w="655" w:type="dxa"/>
                  <w:tcBorders>
                    <w:tl2br w:val="nil"/>
                    <w:tr2bl w:val="nil"/>
                  </w:tcBorders>
                  <w:vAlign w:val="center"/>
                </w:tcPr>
                <w:p>
                  <w:pPr>
                    <w:wordWrap w:val="0"/>
                    <w:jc w:val="center"/>
                    <w:rPr>
                      <w:color w:val="auto"/>
                    </w:rPr>
                  </w:pPr>
                  <w:r>
                    <w:rPr>
                      <w:color w:val="auto"/>
                    </w:rPr>
                    <w:t>居住区</w:t>
                  </w:r>
                </w:p>
              </w:tc>
              <w:tc>
                <w:tcPr>
                  <w:tcW w:w="709" w:type="dxa"/>
                  <w:tcBorders>
                    <w:tl2br w:val="nil"/>
                    <w:tr2bl w:val="nil"/>
                  </w:tcBorders>
                  <w:vAlign w:val="center"/>
                </w:tcPr>
                <w:p>
                  <w:pPr>
                    <w:wordWrap w:val="0"/>
                    <w:jc w:val="center"/>
                    <w:rPr>
                      <w:color w:val="auto"/>
                    </w:rPr>
                  </w:pPr>
                  <w:r>
                    <w:rPr>
                      <w:rFonts w:hint="eastAsia"/>
                      <w:color w:val="auto"/>
                    </w:rPr>
                    <w:t>2386人</w:t>
                  </w:r>
                </w:p>
              </w:tc>
              <w:tc>
                <w:tcPr>
                  <w:tcW w:w="2147" w:type="dxa"/>
                  <w:tcBorders>
                    <w:tl2br w:val="nil"/>
                    <w:tr2bl w:val="nil"/>
                  </w:tcBorders>
                  <w:vAlign w:val="center"/>
                </w:tcPr>
                <w:p>
                  <w:pPr>
                    <w:wordWrap w:val="0"/>
                    <w:jc w:val="center"/>
                    <w:rPr>
                      <w:color w:val="auto"/>
                    </w:rPr>
                  </w:pPr>
                  <w:r>
                    <w:rPr>
                      <w:color w:val="auto"/>
                    </w:rPr>
                    <w:t>《环境空气质量标准》(GB3095-2012)二级标准</w:t>
                  </w:r>
                </w:p>
              </w:tc>
              <w:tc>
                <w:tcPr>
                  <w:tcW w:w="868" w:type="dxa"/>
                  <w:tcBorders>
                    <w:tl2br w:val="nil"/>
                    <w:tr2bl w:val="nil"/>
                  </w:tcBorders>
                  <w:vAlign w:val="center"/>
                </w:tcPr>
                <w:p>
                  <w:pPr>
                    <w:wordWrap w:val="0"/>
                    <w:jc w:val="center"/>
                    <w:rPr>
                      <w:color w:val="auto"/>
                    </w:rPr>
                  </w:pPr>
                  <w:r>
                    <w:rPr>
                      <w:rFonts w:hint="eastAsia"/>
                      <w:color w:val="auto"/>
                    </w:rPr>
                    <w:t>S/W</w:t>
                  </w:r>
                </w:p>
              </w:tc>
              <w:tc>
                <w:tcPr>
                  <w:tcW w:w="897" w:type="dxa"/>
                  <w:tcBorders>
                    <w:tl2br w:val="nil"/>
                    <w:tr2bl w:val="nil"/>
                  </w:tcBorders>
                  <w:vAlign w:val="center"/>
                </w:tcPr>
                <w:p>
                  <w:pPr>
                    <w:wordWrap w:val="0"/>
                    <w:jc w:val="center"/>
                    <w:rPr>
                      <w:color w:val="auto"/>
                    </w:rPr>
                  </w:pPr>
                  <w:r>
                    <w:rPr>
                      <w:rFonts w:hint="eastAsia"/>
                      <w:color w:val="auto"/>
                    </w:rPr>
                    <w:t>63m/82m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4" w:type="dxa"/>
                  <w:tcBorders>
                    <w:tl2br w:val="nil"/>
                    <w:tr2bl w:val="nil"/>
                  </w:tcBorders>
                  <w:vAlign w:val="center"/>
                </w:tcPr>
                <w:p>
                  <w:pPr>
                    <w:wordWrap w:val="0"/>
                    <w:jc w:val="center"/>
                    <w:rPr>
                      <w:color w:val="auto"/>
                    </w:rPr>
                  </w:pPr>
                  <w:r>
                    <w:rPr>
                      <w:rFonts w:hint="eastAsia"/>
                      <w:color w:val="auto"/>
                    </w:rPr>
                    <w:t>地下水</w:t>
                  </w:r>
                </w:p>
              </w:tc>
              <w:tc>
                <w:tcPr>
                  <w:tcW w:w="3062" w:type="dxa"/>
                  <w:gridSpan w:val="4"/>
                  <w:tcBorders>
                    <w:tl2br w:val="nil"/>
                    <w:tr2bl w:val="nil"/>
                  </w:tcBorders>
                  <w:vAlign w:val="center"/>
                </w:tcPr>
                <w:p>
                  <w:pPr>
                    <w:wordWrap w:val="0"/>
                    <w:jc w:val="center"/>
                    <w:rPr>
                      <w:color w:val="auto"/>
                    </w:rPr>
                  </w:pPr>
                  <w:r>
                    <w:rPr>
                      <w:rFonts w:hint="eastAsia"/>
                      <w:color w:val="auto"/>
                    </w:rPr>
                    <w:t>厂区占地范围内地下水</w:t>
                  </w:r>
                </w:p>
              </w:tc>
              <w:tc>
                <w:tcPr>
                  <w:tcW w:w="709" w:type="dxa"/>
                  <w:tcBorders>
                    <w:tl2br w:val="nil"/>
                    <w:tr2bl w:val="nil"/>
                  </w:tcBorders>
                  <w:vAlign w:val="center"/>
                </w:tcPr>
                <w:p>
                  <w:pPr>
                    <w:wordWrap w:val="0"/>
                    <w:jc w:val="center"/>
                    <w:rPr>
                      <w:color w:val="auto"/>
                    </w:rPr>
                  </w:pPr>
                  <w:r>
                    <w:rPr>
                      <w:rFonts w:hint="eastAsia"/>
                      <w:color w:val="auto"/>
                    </w:rPr>
                    <w:t>潜水</w:t>
                  </w:r>
                </w:p>
              </w:tc>
              <w:tc>
                <w:tcPr>
                  <w:tcW w:w="2147" w:type="dxa"/>
                  <w:tcBorders>
                    <w:tl2br w:val="nil"/>
                    <w:tr2bl w:val="nil"/>
                  </w:tcBorders>
                  <w:vAlign w:val="center"/>
                </w:tcPr>
                <w:p>
                  <w:pPr>
                    <w:wordWrap w:val="0"/>
                    <w:jc w:val="center"/>
                    <w:rPr>
                      <w:color w:val="auto"/>
                    </w:rPr>
                  </w:pPr>
                  <w:r>
                    <w:rPr>
                      <w:rFonts w:hint="eastAsia"/>
                      <w:color w:val="auto"/>
                    </w:rPr>
                    <w:t>《地下水质量标准》（GB/T14848-2017）</w:t>
                  </w:r>
                  <w:r>
                    <w:rPr>
                      <w:rFonts w:hint="eastAsia"/>
                      <w:color w:val="auto"/>
                    </w:rPr>
                    <w:fldChar w:fldCharType="begin"/>
                  </w:r>
                  <w:r>
                    <w:rPr>
                      <w:rFonts w:hint="eastAsia"/>
                      <w:color w:val="auto"/>
                    </w:rPr>
                    <w:instrText xml:space="preserve"> = 3 \* ROMAN \* MERGEFORMAT </w:instrText>
                  </w:r>
                  <w:r>
                    <w:rPr>
                      <w:rFonts w:hint="eastAsia"/>
                      <w:color w:val="auto"/>
                    </w:rPr>
                    <w:fldChar w:fldCharType="separate"/>
                  </w:r>
                  <w:r>
                    <w:rPr>
                      <w:rFonts w:hint="eastAsia"/>
                      <w:color w:val="auto"/>
                    </w:rPr>
                    <w:t>III</w:t>
                  </w:r>
                  <w:r>
                    <w:rPr>
                      <w:rFonts w:hint="eastAsia"/>
                      <w:color w:val="auto"/>
                    </w:rPr>
                    <w:fldChar w:fldCharType="end"/>
                  </w:r>
                  <w:r>
                    <w:rPr>
                      <w:rFonts w:hint="eastAsia"/>
                      <w:color w:val="auto"/>
                    </w:rPr>
                    <w:t>类</w:t>
                  </w:r>
                </w:p>
              </w:tc>
              <w:tc>
                <w:tcPr>
                  <w:tcW w:w="868" w:type="dxa"/>
                  <w:tcBorders>
                    <w:tl2br w:val="nil"/>
                    <w:tr2bl w:val="nil"/>
                  </w:tcBorders>
                  <w:vAlign w:val="center"/>
                </w:tcPr>
                <w:p>
                  <w:pPr>
                    <w:wordWrap w:val="0"/>
                    <w:jc w:val="center"/>
                    <w:rPr>
                      <w:color w:val="auto"/>
                    </w:rPr>
                  </w:pPr>
                  <w:r>
                    <w:rPr>
                      <w:rFonts w:hint="eastAsia"/>
                      <w:color w:val="auto"/>
                    </w:rPr>
                    <w:t>/</w:t>
                  </w:r>
                </w:p>
              </w:tc>
              <w:tc>
                <w:tcPr>
                  <w:tcW w:w="897" w:type="dxa"/>
                  <w:tcBorders>
                    <w:tl2br w:val="nil"/>
                    <w:tr2bl w:val="nil"/>
                  </w:tcBorders>
                  <w:vAlign w:val="center"/>
                </w:tcPr>
                <w:p>
                  <w:pPr>
                    <w:wordWrap w:val="0"/>
                    <w:jc w:val="center"/>
                    <w:rPr>
                      <w:color w:val="auto"/>
                    </w:rPr>
                  </w:pPr>
                  <w:r>
                    <w:rPr>
                      <w:rFonts w:hint="eastAsia"/>
                      <w:color w:val="auto"/>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4" w:type="dxa"/>
                  <w:tcBorders>
                    <w:tl2br w:val="nil"/>
                    <w:tr2bl w:val="nil"/>
                  </w:tcBorders>
                  <w:vAlign w:val="center"/>
                </w:tcPr>
                <w:p>
                  <w:pPr>
                    <w:wordWrap w:val="0"/>
                    <w:jc w:val="center"/>
                    <w:rPr>
                      <w:color w:val="auto"/>
                    </w:rPr>
                  </w:pPr>
                  <w:r>
                    <w:rPr>
                      <w:rFonts w:hint="eastAsia"/>
                      <w:color w:val="auto"/>
                    </w:rPr>
                    <w:t>土壤</w:t>
                  </w:r>
                </w:p>
              </w:tc>
              <w:tc>
                <w:tcPr>
                  <w:tcW w:w="3062" w:type="dxa"/>
                  <w:gridSpan w:val="4"/>
                  <w:tcBorders>
                    <w:tl2br w:val="nil"/>
                    <w:tr2bl w:val="nil"/>
                  </w:tcBorders>
                  <w:vAlign w:val="center"/>
                </w:tcPr>
                <w:p>
                  <w:pPr>
                    <w:wordWrap w:val="0"/>
                    <w:jc w:val="center"/>
                    <w:rPr>
                      <w:color w:val="auto"/>
                    </w:rPr>
                  </w:pPr>
                  <w:r>
                    <w:rPr>
                      <w:rFonts w:hint="eastAsia"/>
                      <w:color w:val="auto"/>
                    </w:rPr>
                    <w:t>项目占地区域</w:t>
                  </w:r>
                </w:p>
              </w:tc>
              <w:tc>
                <w:tcPr>
                  <w:tcW w:w="709" w:type="dxa"/>
                  <w:tcBorders>
                    <w:tl2br w:val="nil"/>
                    <w:tr2bl w:val="nil"/>
                  </w:tcBorders>
                  <w:vAlign w:val="center"/>
                </w:tcPr>
                <w:p>
                  <w:pPr>
                    <w:wordWrap w:val="0"/>
                    <w:jc w:val="center"/>
                    <w:rPr>
                      <w:color w:val="auto"/>
                    </w:rPr>
                  </w:pPr>
                  <w:r>
                    <w:rPr>
                      <w:rFonts w:hint="eastAsia"/>
                      <w:color w:val="auto"/>
                    </w:rPr>
                    <w:t>土壤</w:t>
                  </w:r>
                </w:p>
              </w:tc>
              <w:tc>
                <w:tcPr>
                  <w:tcW w:w="2147" w:type="dxa"/>
                  <w:tcBorders>
                    <w:tl2br w:val="nil"/>
                    <w:tr2bl w:val="nil"/>
                  </w:tcBorders>
                  <w:vAlign w:val="center"/>
                </w:tcPr>
                <w:p>
                  <w:pPr>
                    <w:wordWrap w:val="0"/>
                    <w:jc w:val="center"/>
                    <w:rPr>
                      <w:color w:val="auto"/>
                    </w:rPr>
                  </w:pPr>
                  <w:r>
                    <w:rPr>
                      <w:rFonts w:hint="eastAsia"/>
                      <w:color w:val="auto"/>
                    </w:rPr>
                    <w:t>《土壤环境质量 建设用地土壤污染风险管控标准（试行）》(GB36600-2018)表1第二类用地筛选值</w:t>
                  </w:r>
                </w:p>
              </w:tc>
              <w:tc>
                <w:tcPr>
                  <w:tcW w:w="868" w:type="dxa"/>
                  <w:tcBorders>
                    <w:tl2br w:val="nil"/>
                    <w:tr2bl w:val="nil"/>
                  </w:tcBorders>
                  <w:vAlign w:val="center"/>
                </w:tcPr>
                <w:p>
                  <w:pPr>
                    <w:wordWrap w:val="0"/>
                    <w:jc w:val="center"/>
                    <w:rPr>
                      <w:color w:val="auto"/>
                    </w:rPr>
                  </w:pPr>
                  <w:r>
                    <w:rPr>
                      <w:rFonts w:hint="eastAsia"/>
                      <w:color w:val="auto"/>
                    </w:rPr>
                    <w:t>/</w:t>
                  </w:r>
                </w:p>
              </w:tc>
              <w:tc>
                <w:tcPr>
                  <w:tcW w:w="897" w:type="dxa"/>
                  <w:tcBorders>
                    <w:tl2br w:val="nil"/>
                    <w:tr2bl w:val="nil"/>
                  </w:tcBorders>
                  <w:vAlign w:val="center"/>
                </w:tcPr>
                <w:p>
                  <w:pPr>
                    <w:wordWrap w:val="0"/>
                    <w:jc w:val="center"/>
                    <w:rPr>
                      <w:color w:val="auto"/>
                    </w:rPr>
                  </w:pPr>
                  <w:r>
                    <w:rPr>
                      <w:rFonts w:hint="eastAsia"/>
                      <w:color w:val="auto"/>
                    </w:rPr>
                    <w:t>/</w:t>
                  </w:r>
                </w:p>
              </w:tc>
            </w:tr>
          </w:tbl>
          <w:p>
            <w:pPr>
              <w:spacing w:line="500" w:lineRule="exact"/>
              <w:ind w:firstLine="480" w:firstLineChars="200"/>
              <w:jc w:val="left"/>
              <w:rPr>
                <w:snapToGrid w:val="0"/>
                <w:color w:val="auto"/>
                <w:kern w:val="0"/>
                <w:sz w:val="24"/>
              </w:rPr>
            </w:pPr>
            <w:r>
              <w:rPr>
                <w:snapToGrid w:val="0"/>
                <w:color w:val="auto"/>
                <w:kern w:val="0"/>
                <w:sz w:val="24"/>
              </w:rPr>
              <w:t>2、声环境保护目标</w:t>
            </w:r>
          </w:p>
          <w:p>
            <w:pPr>
              <w:spacing w:line="500" w:lineRule="exact"/>
              <w:ind w:firstLine="480" w:firstLineChars="200"/>
              <w:jc w:val="left"/>
              <w:rPr>
                <w:snapToGrid w:val="0"/>
                <w:color w:val="auto"/>
                <w:kern w:val="0"/>
                <w:sz w:val="24"/>
              </w:rPr>
            </w:pPr>
            <w:r>
              <w:rPr>
                <w:snapToGrid w:val="0"/>
                <w:color w:val="auto"/>
                <w:kern w:val="0"/>
                <w:sz w:val="24"/>
              </w:rPr>
              <w:t>建设项目厂界外50米范围内无声环境保护目标。</w:t>
            </w:r>
          </w:p>
          <w:p>
            <w:pPr>
              <w:spacing w:line="500" w:lineRule="exact"/>
              <w:ind w:firstLine="480" w:firstLineChars="200"/>
              <w:jc w:val="left"/>
              <w:rPr>
                <w:snapToGrid w:val="0"/>
                <w:color w:val="auto"/>
                <w:kern w:val="0"/>
                <w:sz w:val="24"/>
              </w:rPr>
            </w:pPr>
            <w:r>
              <w:rPr>
                <w:snapToGrid w:val="0"/>
                <w:color w:val="auto"/>
                <w:kern w:val="0"/>
                <w:sz w:val="24"/>
              </w:rPr>
              <w:t>3、地下水环境保护目标</w:t>
            </w:r>
          </w:p>
          <w:p>
            <w:pPr>
              <w:spacing w:line="500" w:lineRule="exact"/>
              <w:ind w:firstLine="480" w:firstLineChars="200"/>
              <w:jc w:val="left"/>
              <w:rPr>
                <w:snapToGrid w:val="0"/>
                <w:color w:val="auto"/>
                <w:kern w:val="0"/>
                <w:sz w:val="24"/>
              </w:rPr>
            </w:pPr>
            <w:r>
              <w:rPr>
                <w:snapToGrid w:val="0"/>
                <w:color w:val="auto"/>
                <w:kern w:val="0"/>
                <w:sz w:val="24"/>
              </w:rPr>
              <w:t>本项目厂界外500米范围内无地下水集中式饮用水水源和热水、矿泉水、温泉等特殊地下水资源等地下水环境保护目标</w:t>
            </w:r>
            <w:r>
              <w:rPr>
                <w:rFonts w:hint="eastAsia"/>
                <w:snapToGrid w:val="0"/>
                <w:color w:val="auto"/>
                <w:kern w:val="0"/>
                <w:sz w:val="24"/>
              </w:rPr>
              <w:t>，项目地下水保护目标为项目厂区范围内地下水环境</w:t>
            </w:r>
            <w:r>
              <w:rPr>
                <w:snapToGrid w:val="0"/>
                <w:color w:val="auto"/>
                <w:kern w:val="0"/>
                <w:sz w:val="24"/>
              </w:rPr>
              <w:t>。</w:t>
            </w:r>
          </w:p>
          <w:p>
            <w:pPr>
              <w:spacing w:line="500" w:lineRule="exact"/>
              <w:ind w:firstLine="480" w:firstLineChars="200"/>
              <w:jc w:val="left"/>
              <w:rPr>
                <w:snapToGrid w:val="0"/>
                <w:color w:val="auto"/>
                <w:kern w:val="0"/>
                <w:sz w:val="24"/>
              </w:rPr>
            </w:pPr>
            <w:r>
              <w:rPr>
                <w:snapToGrid w:val="0"/>
                <w:color w:val="auto"/>
                <w:kern w:val="0"/>
                <w:sz w:val="24"/>
              </w:rPr>
              <w:t>4、生态环境保护目标</w:t>
            </w:r>
          </w:p>
          <w:p>
            <w:pPr>
              <w:spacing w:line="500" w:lineRule="exact"/>
              <w:ind w:firstLine="480" w:firstLineChars="200"/>
              <w:jc w:val="left"/>
              <w:rPr>
                <w:snapToGrid w:val="0"/>
                <w:color w:val="auto"/>
                <w:kern w:val="0"/>
                <w:sz w:val="24"/>
              </w:rPr>
            </w:pPr>
            <w:r>
              <w:rPr>
                <w:rFonts w:hint="eastAsia"/>
                <w:color w:val="auto"/>
                <w:sz w:val="24"/>
              </w:rPr>
              <w:t>项目租用现有建设用地进行建设</w:t>
            </w:r>
            <w:r>
              <w:rPr>
                <w:snapToGrid w:val="0"/>
                <w:color w:val="auto"/>
                <w:kern w:val="0"/>
                <w:sz w:val="24"/>
              </w:rPr>
              <w:t>，占地范围内无生态保护目标</w:t>
            </w:r>
            <w:r>
              <w:rPr>
                <w:rFonts w:hint="eastAsia"/>
                <w:snapToGrid w:val="0"/>
                <w:color w:val="auto"/>
                <w:kern w:val="0"/>
                <w:sz w:val="24"/>
              </w:rPr>
              <w:t>。</w:t>
            </w:r>
          </w:p>
          <w:p>
            <w:pPr>
              <w:spacing w:line="500" w:lineRule="exact"/>
              <w:ind w:firstLine="480" w:firstLineChars="200"/>
              <w:jc w:val="left"/>
              <w:rPr>
                <w:snapToGrid w:val="0"/>
                <w:color w:val="auto"/>
                <w:kern w:val="0"/>
                <w:sz w:val="24"/>
              </w:rPr>
            </w:pPr>
          </w:p>
          <w:p>
            <w:pPr>
              <w:spacing w:line="500" w:lineRule="exact"/>
              <w:ind w:firstLine="480" w:firstLineChars="200"/>
              <w:jc w:val="left"/>
              <w:rPr>
                <w:snapToGrid w:val="0"/>
                <w:color w:val="auto"/>
                <w:kern w:val="0"/>
                <w:sz w:val="24"/>
              </w:rPr>
            </w:pPr>
          </w:p>
          <w:p>
            <w:pPr>
              <w:spacing w:line="500" w:lineRule="exact"/>
              <w:ind w:firstLine="480" w:firstLineChars="200"/>
              <w:jc w:val="left"/>
              <w:rPr>
                <w:snapToGrid w:val="0"/>
                <w:color w:val="auto"/>
                <w:kern w:val="0"/>
                <w:sz w:val="24"/>
              </w:rPr>
            </w:pPr>
          </w:p>
          <w:p>
            <w:pPr>
              <w:spacing w:line="500" w:lineRule="exact"/>
              <w:ind w:firstLine="480" w:firstLineChars="200"/>
              <w:jc w:val="left"/>
              <w:rPr>
                <w:snapToGrid w:val="0"/>
                <w:color w:val="auto"/>
                <w:kern w:val="0"/>
                <w:sz w:val="24"/>
              </w:rPr>
            </w:pPr>
          </w:p>
          <w:p>
            <w:pPr>
              <w:spacing w:line="500" w:lineRule="exact"/>
              <w:jc w:val="left"/>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46" w:hRule="atLeast"/>
          <w:jc w:val="center"/>
        </w:trPr>
        <w:tc>
          <w:tcPr>
            <w:tcW w:w="515" w:type="dxa"/>
            <w:tcMar>
              <w:left w:w="28" w:type="dxa"/>
              <w:right w:w="28" w:type="dxa"/>
            </w:tcMar>
            <w:vAlign w:val="center"/>
          </w:tcPr>
          <w:p>
            <w:pPr>
              <w:keepNext/>
              <w:widowControl/>
              <w:adjustRightInd w:val="0"/>
              <w:snapToGrid w:val="0"/>
              <w:spacing w:line="480" w:lineRule="exact"/>
              <w:jc w:val="center"/>
              <w:rPr>
                <w:color w:val="auto"/>
                <w:kern w:val="0"/>
                <w:sz w:val="24"/>
              </w:rPr>
            </w:pPr>
            <w:r>
              <w:rPr>
                <w:color w:val="auto"/>
                <w:kern w:val="0"/>
                <w:sz w:val="24"/>
              </w:rPr>
              <w:t>污染</w:t>
            </w:r>
          </w:p>
          <w:p>
            <w:pPr>
              <w:keepNext/>
              <w:widowControl/>
              <w:adjustRightInd w:val="0"/>
              <w:snapToGrid w:val="0"/>
              <w:spacing w:line="480" w:lineRule="exact"/>
              <w:jc w:val="center"/>
              <w:rPr>
                <w:color w:val="auto"/>
                <w:kern w:val="0"/>
                <w:sz w:val="24"/>
              </w:rPr>
            </w:pPr>
            <w:r>
              <w:rPr>
                <w:color w:val="auto"/>
                <w:kern w:val="0"/>
                <w:sz w:val="24"/>
              </w:rPr>
              <w:t>物排</w:t>
            </w:r>
          </w:p>
          <w:p>
            <w:pPr>
              <w:keepNext/>
              <w:widowControl/>
              <w:adjustRightInd w:val="0"/>
              <w:snapToGrid w:val="0"/>
              <w:spacing w:line="480" w:lineRule="exact"/>
              <w:jc w:val="center"/>
              <w:rPr>
                <w:color w:val="auto"/>
                <w:kern w:val="0"/>
                <w:sz w:val="24"/>
              </w:rPr>
            </w:pPr>
            <w:r>
              <w:rPr>
                <w:color w:val="auto"/>
                <w:kern w:val="0"/>
                <w:sz w:val="24"/>
              </w:rPr>
              <w:t>放控</w:t>
            </w:r>
          </w:p>
          <w:p>
            <w:pPr>
              <w:keepNext/>
              <w:widowControl/>
              <w:adjustRightInd w:val="0"/>
              <w:snapToGrid w:val="0"/>
              <w:spacing w:line="480" w:lineRule="exact"/>
              <w:jc w:val="center"/>
              <w:rPr>
                <w:color w:val="auto"/>
                <w:kern w:val="0"/>
                <w:sz w:val="24"/>
              </w:rPr>
            </w:pPr>
            <w:r>
              <w:rPr>
                <w:color w:val="auto"/>
                <w:kern w:val="0"/>
                <w:sz w:val="24"/>
              </w:rPr>
              <w:t>制标</w:t>
            </w:r>
          </w:p>
          <w:p>
            <w:pPr>
              <w:keepNext/>
              <w:widowControl/>
              <w:adjustRightInd w:val="0"/>
              <w:snapToGrid w:val="0"/>
              <w:spacing w:line="480" w:lineRule="exact"/>
              <w:jc w:val="center"/>
              <w:rPr>
                <w:color w:val="auto"/>
                <w:kern w:val="0"/>
                <w:szCs w:val="21"/>
              </w:rPr>
            </w:pPr>
            <w:r>
              <w:rPr>
                <w:color w:val="auto"/>
                <w:kern w:val="0"/>
                <w:sz w:val="24"/>
              </w:rPr>
              <w:t>准</w:t>
            </w:r>
          </w:p>
        </w:tc>
        <w:tc>
          <w:tcPr>
            <w:tcW w:w="8544" w:type="dxa"/>
            <w:vAlign w:val="center"/>
          </w:tcPr>
          <w:p>
            <w:pPr>
              <w:adjustRightInd w:val="0"/>
              <w:snapToGrid w:val="0"/>
              <w:spacing w:line="480" w:lineRule="exact"/>
              <w:ind w:firstLine="482" w:firstLineChars="200"/>
              <w:textAlignment w:val="baseline"/>
              <w:rPr>
                <w:b/>
                <w:color w:val="auto"/>
                <w:sz w:val="24"/>
              </w:rPr>
            </w:pPr>
            <w:bookmarkStart w:id="17" w:name="OLE_LINK74"/>
            <w:bookmarkStart w:id="18" w:name="OLE_LINK56"/>
            <w:r>
              <w:rPr>
                <w:rFonts w:hint="eastAsia"/>
                <w:b/>
                <w:color w:val="auto"/>
                <w:sz w:val="24"/>
              </w:rPr>
              <w:t>1废气排放标准</w:t>
            </w:r>
          </w:p>
          <w:p>
            <w:pPr>
              <w:pStyle w:val="41"/>
              <w:spacing w:line="480" w:lineRule="exact"/>
              <w:ind w:firstLine="482" w:firstLineChars="200"/>
              <w:rPr>
                <w:rFonts w:ascii="Times New Roman" w:eastAsia="宋体" w:cs="Times New Roman"/>
                <w:b/>
                <w:bCs/>
                <w:color w:val="auto"/>
              </w:rPr>
            </w:pPr>
            <w:r>
              <w:rPr>
                <w:rFonts w:hint="eastAsia" w:ascii="Times New Roman" w:eastAsia="宋体" w:cs="Times New Roman"/>
                <w:b/>
                <w:bCs/>
                <w:color w:val="auto"/>
              </w:rPr>
              <w:t>（1）施工期</w:t>
            </w:r>
          </w:p>
          <w:p>
            <w:pPr>
              <w:pStyle w:val="41"/>
              <w:spacing w:line="480" w:lineRule="exact"/>
              <w:ind w:firstLine="480" w:firstLineChars="200"/>
              <w:rPr>
                <w:rFonts w:ascii="Times New Roman" w:eastAsia="宋体" w:cs="Times New Roman"/>
                <w:color w:val="auto"/>
              </w:rPr>
            </w:pPr>
            <w:r>
              <w:rPr>
                <w:rFonts w:ascii="Times New Roman" w:eastAsia="宋体" w:cs="Times New Roman"/>
                <w:color w:val="auto"/>
              </w:rPr>
              <w:t>施工期扬尘排放执行《施工场地扬尘排放标准》（DB13/2934—2019）规定的浓度限值，具体标准值见下表。</w:t>
            </w:r>
          </w:p>
          <w:p>
            <w:pPr>
              <w:tabs>
                <w:tab w:val="left" w:pos="0"/>
                <w:tab w:val="left" w:pos="1020"/>
              </w:tabs>
              <w:spacing w:line="480" w:lineRule="exact"/>
              <w:ind w:firstLine="2650" w:firstLineChars="1100"/>
              <w:rPr>
                <w:b/>
                <w:bCs/>
                <w:color w:val="auto"/>
                <w:sz w:val="24"/>
              </w:rPr>
            </w:pPr>
            <w:r>
              <w:rPr>
                <w:b/>
                <w:bCs/>
                <w:color w:val="auto"/>
                <w:sz w:val="24"/>
              </w:rPr>
              <w:t>表</w:t>
            </w:r>
            <w:r>
              <w:rPr>
                <w:rFonts w:hint="eastAsia"/>
                <w:b/>
                <w:bCs/>
                <w:color w:val="auto"/>
                <w:sz w:val="24"/>
              </w:rPr>
              <w:t>23</w:t>
            </w:r>
            <w:r>
              <w:rPr>
                <w:b/>
                <w:bCs/>
                <w:color w:val="auto"/>
                <w:sz w:val="24"/>
              </w:rPr>
              <w:t xml:space="preserve">   扬尘排放浓度限值</w:t>
            </w:r>
          </w:p>
          <w:tbl>
            <w:tblPr>
              <w:tblStyle w:val="33"/>
              <w:tblW w:w="83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51"/>
              <w:gridCol w:w="3053"/>
              <w:gridCol w:w="30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51" w:type="dxa"/>
                  <w:vAlign w:val="center"/>
                </w:tcPr>
                <w:p>
                  <w:pPr>
                    <w:pStyle w:val="16"/>
                    <w:ind w:left="0" w:right="0" w:firstLine="0"/>
                    <w:jc w:val="center"/>
                    <w:rPr>
                      <w:color w:val="auto"/>
                      <w:sz w:val="21"/>
                      <w:szCs w:val="21"/>
                    </w:rPr>
                  </w:pPr>
                  <w:r>
                    <w:rPr>
                      <w:color w:val="auto"/>
                      <w:sz w:val="21"/>
                      <w:szCs w:val="21"/>
                    </w:rPr>
                    <w:t>控制项目</w:t>
                  </w:r>
                </w:p>
              </w:tc>
              <w:tc>
                <w:tcPr>
                  <w:tcW w:w="3053" w:type="dxa"/>
                  <w:vAlign w:val="center"/>
                </w:tcPr>
                <w:p>
                  <w:pPr>
                    <w:pStyle w:val="16"/>
                    <w:ind w:left="0" w:right="0" w:firstLine="0"/>
                    <w:jc w:val="center"/>
                    <w:rPr>
                      <w:color w:val="auto"/>
                      <w:sz w:val="21"/>
                      <w:szCs w:val="21"/>
                    </w:rPr>
                  </w:pPr>
                  <w:r>
                    <w:rPr>
                      <w:color w:val="auto"/>
                      <w:sz w:val="21"/>
                      <w:szCs w:val="21"/>
                    </w:rPr>
                    <w:t>监测点浓度限值</w:t>
                  </w:r>
                  <w:r>
                    <w:rPr>
                      <w:rFonts w:hint="eastAsia"/>
                      <w:color w:val="auto"/>
                      <w:kern w:val="0"/>
                      <w:sz w:val="21"/>
                      <w:szCs w:val="21"/>
                      <w:vertAlign w:val="superscript"/>
                      <w:lang w:bidi="ar"/>
                    </w:rPr>
                    <w:t>a</w:t>
                  </w:r>
                  <w:r>
                    <w:rPr>
                      <w:color w:val="auto"/>
                      <w:sz w:val="21"/>
                      <w:szCs w:val="21"/>
                    </w:rPr>
                    <w:t>（µg/m</w:t>
                  </w:r>
                  <w:r>
                    <w:rPr>
                      <w:color w:val="auto"/>
                      <w:sz w:val="21"/>
                      <w:szCs w:val="21"/>
                      <w:vertAlign w:val="superscript"/>
                    </w:rPr>
                    <w:t>3</w:t>
                  </w:r>
                  <w:r>
                    <w:rPr>
                      <w:color w:val="auto"/>
                      <w:sz w:val="21"/>
                      <w:szCs w:val="21"/>
                    </w:rPr>
                    <w:t xml:space="preserve"> ）</w:t>
                  </w:r>
                </w:p>
              </w:tc>
              <w:tc>
                <w:tcPr>
                  <w:tcW w:w="3082" w:type="dxa"/>
                  <w:tcBorders>
                    <w:right w:val="nil"/>
                  </w:tcBorders>
                  <w:vAlign w:val="center"/>
                </w:tcPr>
                <w:p>
                  <w:pPr>
                    <w:pStyle w:val="16"/>
                    <w:ind w:left="0" w:right="0" w:firstLine="0"/>
                    <w:jc w:val="center"/>
                    <w:rPr>
                      <w:color w:val="auto"/>
                      <w:sz w:val="21"/>
                      <w:szCs w:val="21"/>
                    </w:rPr>
                  </w:pPr>
                  <w:r>
                    <w:rPr>
                      <w:color w:val="auto"/>
                      <w:sz w:val="21"/>
                      <w:szCs w:val="21"/>
                    </w:rPr>
                    <w:t>达标判定依据（次/天）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51" w:type="dxa"/>
                  <w:tcBorders>
                    <w:left w:val="nil"/>
                  </w:tcBorders>
                  <w:vAlign w:val="center"/>
                </w:tcPr>
                <w:p>
                  <w:pPr>
                    <w:pStyle w:val="16"/>
                    <w:ind w:left="0" w:right="0" w:firstLine="0"/>
                    <w:jc w:val="center"/>
                    <w:rPr>
                      <w:color w:val="auto"/>
                      <w:sz w:val="21"/>
                      <w:szCs w:val="21"/>
                    </w:rPr>
                  </w:pPr>
                  <w:r>
                    <w:rPr>
                      <w:rFonts w:hint="eastAsia"/>
                      <w:color w:val="auto"/>
                      <w:sz w:val="21"/>
                      <w:szCs w:val="21"/>
                    </w:rPr>
                    <w:t>PM</w:t>
                  </w:r>
                  <w:r>
                    <w:rPr>
                      <w:rFonts w:hint="eastAsia"/>
                      <w:color w:val="auto"/>
                      <w:sz w:val="21"/>
                      <w:szCs w:val="21"/>
                      <w:vertAlign w:val="subscript"/>
                    </w:rPr>
                    <w:t>10</w:t>
                  </w:r>
                </w:p>
              </w:tc>
              <w:tc>
                <w:tcPr>
                  <w:tcW w:w="3053" w:type="dxa"/>
                  <w:vAlign w:val="center"/>
                </w:tcPr>
                <w:p>
                  <w:pPr>
                    <w:pStyle w:val="16"/>
                    <w:ind w:left="0" w:right="0" w:firstLine="0"/>
                    <w:jc w:val="center"/>
                    <w:rPr>
                      <w:color w:val="auto"/>
                      <w:sz w:val="21"/>
                      <w:szCs w:val="21"/>
                    </w:rPr>
                  </w:pPr>
                  <w:r>
                    <w:rPr>
                      <w:color w:val="auto"/>
                      <w:sz w:val="21"/>
                      <w:szCs w:val="21"/>
                    </w:rPr>
                    <w:t>80</w:t>
                  </w:r>
                </w:p>
              </w:tc>
              <w:tc>
                <w:tcPr>
                  <w:tcW w:w="3082" w:type="dxa"/>
                  <w:tcBorders>
                    <w:right w:val="nil"/>
                  </w:tcBorders>
                  <w:vAlign w:val="center"/>
                </w:tcPr>
                <w:p>
                  <w:pPr>
                    <w:pStyle w:val="16"/>
                    <w:ind w:left="0" w:right="0" w:firstLine="0"/>
                    <w:jc w:val="center"/>
                    <w:rPr>
                      <w:color w:val="auto"/>
                      <w:sz w:val="21"/>
                      <w:szCs w:val="21"/>
                    </w:rPr>
                  </w:pPr>
                  <w:r>
                    <w:rPr>
                      <w:color w:val="auto"/>
                      <w:sz w:val="21"/>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0" w:hRule="atLeast"/>
                <w:jc w:val="center"/>
              </w:trPr>
              <w:tc>
                <w:tcPr>
                  <w:tcW w:w="8386" w:type="dxa"/>
                  <w:gridSpan w:val="3"/>
                  <w:tcBorders>
                    <w:left w:val="nil"/>
                    <w:right w:val="nil"/>
                  </w:tcBorders>
                  <w:vAlign w:val="center"/>
                </w:tcPr>
                <w:p>
                  <w:pPr>
                    <w:widowControl/>
                    <w:jc w:val="left"/>
                    <w:rPr>
                      <w:color w:val="auto"/>
                      <w:szCs w:val="21"/>
                    </w:rPr>
                  </w:pPr>
                  <w:r>
                    <w:rPr>
                      <w:rFonts w:hint="eastAsia"/>
                      <w:color w:val="auto"/>
                      <w:kern w:val="0"/>
                      <w:szCs w:val="21"/>
                      <w:vertAlign w:val="superscript"/>
                      <w:lang w:bidi="ar"/>
                    </w:rPr>
                    <w:t>a</w:t>
                  </w:r>
                  <w:r>
                    <w:rPr>
                      <w:color w:val="auto"/>
                      <w:kern w:val="0"/>
                      <w:szCs w:val="21"/>
                      <w:lang w:bidi="ar"/>
                    </w:rPr>
                    <w:t>指监测点PM</w:t>
                  </w:r>
                  <w:r>
                    <w:rPr>
                      <w:color w:val="auto"/>
                      <w:kern w:val="0"/>
                      <w:szCs w:val="21"/>
                      <w:vertAlign w:val="subscript"/>
                      <w:lang w:bidi="ar"/>
                    </w:rPr>
                    <w:t>10</w:t>
                  </w:r>
                  <w:r>
                    <w:rPr>
                      <w:color w:val="auto"/>
                      <w:kern w:val="0"/>
                      <w:szCs w:val="21"/>
                      <w:lang w:bidi="ar"/>
                    </w:rPr>
                    <w:t>小时平均浓度实测值与同时段所属县（市、区）PM</w:t>
                  </w:r>
                  <w:r>
                    <w:rPr>
                      <w:color w:val="auto"/>
                      <w:kern w:val="0"/>
                      <w:szCs w:val="21"/>
                      <w:vertAlign w:val="subscript"/>
                      <w:lang w:bidi="ar"/>
                    </w:rPr>
                    <w:t>10</w:t>
                  </w:r>
                  <w:r>
                    <w:rPr>
                      <w:color w:val="auto"/>
                      <w:kern w:val="0"/>
                      <w:szCs w:val="21"/>
                      <w:lang w:bidi="ar"/>
                    </w:rPr>
                    <w:t>小时平均浓度的差值。当县（市、区）PM</w:t>
                  </w:r>
                  <w:r>
                    <w:rPr>
                      <w:color w:val="auto"/>
                      <w:kern w:val="0"/>
                      <w:szCs w:val="21"/>
                      <w:vertAlign w:val="subscript"/>
                      <w:lang w:bidi="ar"/>
                    </w:rPr>
                    <w:t>10</w:t>
                  </w:r>
                  <w:r>
                    <w:rPr>
                      <w:color w:val="auto"/>
                      <w:kern w:val="0"/>
                      <w:szCs w:val="21"/>
                      <w:lang w:bidi="ar"/>
                    </w:rPr>
                    <w:t>小时平均浓度值大于150µg/m</w:t>
                  </w:r>
                  <w:r>
                    <w:rPr>
                      <w:color w:val="auto"/>
                      <w:kern w:val="0"/>
                      <w:szCs w:val="21"/>
                      <w:vertAlign w:val="superscript"/>
                      <w:lang w:bidi="ar"/>
                    </w:rPr>
                    <w:t>3</w:t>
                  </w:r>
                  <w:r>
                    <w:rPr>
                      <w:color w:val="auto"/>
                      <w:kern w:val="0"/>
                      <w:szCs w:val="21"/>
                      <w:lang w:bidi="ar"/>
                    </w:rPr>
                    <w:t>时，以150µg/m</w:t>
                  </w:r>
                  <w:r>
                    <w:rPr>
                      <w:color w:val="auto"/>
                      <w:kern w:val="0"/>
                      <w:szCs w:val="21"/>
                      <w:vertAlign w:val="superscript"/>
                      <w:lang w:bidi="ar"/>
                    </w:rPr>
                    <w:t>3</w:t>
                  </w:r>
                  <w:r>
                    <w:rPr>
                      <w:color w:val="auto"/>
                      <w:kern w:val="0"/>
                      <w:szCs w:val="21"/>
                      <w:lang w:bidi="ar"/>
                    </w:rPr>
                    <w:t xml:space="preserve">计。 </w:t>
                  </w:r>
                </w:p>
              </w:tc>
            </w:tr>
          </w:tbl>
          <w:p>
            <w:pPr>
              <w:adjustRightInd w:val="0"/>
              <w:snapToGrid w:val="0"/>
              <w:spacing w:line="480" w:lineRule="exact"/>
              <w:ind w:firstLine="482" w:firstLineChars="200"/>
              <w:textAlignment w:val="baseline"/>
              <w:rPr>
                <w:b/>
                <w:bCs/>
                <w:color w:val="auto"/>
                <w:sz w:val="24"/>
              </w:rPr>
            </w:pPr>
            <w:r>
              <w:rPr>
                <w:rFonts w:hint="eastAsia"/>
                <w:b/>
                <w:bCs/>
                <w:color w:val="auto"/>
                <w:sz w:val="24"/>
              </w:rPr>
              <w:t>（2）运营期</w:t>
            </w:r>
          </w:p>
          <w:p>
            <w:pPr>
              <w:spacing w:line="480" w:lineRule="exact"/>
              <w:ind w:firstLine="480" w:firstLineChars="200"/>
              <w:rPr>
                <w:color w:val="auto"/>
                <w:sz w:val="24"/>
              </w:rPr>
            </w:pPr>
            <w:r>
              <w:rPr>
                <w:rFonts w:hint="eastAsia"/>
                <w:color w:val="auto"/>
                <w:sz w:val="24"/>
              </w:rPr>
              <w:t>①有组织</w:t>
            </w:r>
          </w:p>
          <w:p>
            <w:pPr>
              <w:spacing w:line="480" w:lineRule="exact"/>
              <w:ind w:firstLine="480" w:firstLineChars="200"/>
              <w:rPr>
                <w:color w:val="auto"/>
                <w:sz w:val="24"/>
              </w:rPr>
            </w:pPr>
            <w:r>
              <w:rPr>
                <w:rFonts w:hint="eastAsia"/>
                <w:color w:val="auto"/>
                <w:sz w:val="24"/>
              </w:rPr>
              <w:t>各工序有组织</w:t>
            </w:r>
            <w:r>
              <w:rPr>
                <w:color w:val="auto"/>
                <w:sz w:val="24"/>
              </w:rPr>
              <w:t>颗粒物执行《铸造工业大气污染物排放标准》（GB 39726—2020）表1排放限值要求，同时</w:t>
            </w:r>
            <w:r>
              <w:rPr>
                <w:rFonts w:hint="eastAsia"/>
                <w:color w:val="auto"/>
                <w:sz w:val="24"/>
              </w:rPr>
              <w:t>需</w:t>
            </w:r>
            <w:r>
              <w:rPr>
                <w:color w:val="auto"/>
                <w:sz w:val="24"/>
              </w:rPr>
              <w:t>满足《唐山市大气污染防治工作领导小组办公室&lt;唐山市钢铁行业整治提升工作方案&gt;等10项方案的通知》（唐气领办〔2021〕15号）中附件9《唐山市铸造行业整治提升工作方案》相关标准要求：10mg/m</w:t>
            </w:r>
            <w:r>
              <w:rPr>
                <w:color w:val="auto"/>
                <w:sz w:val="24"/>
                <w:vertAlign w:val="superscript"/>
              </w:rPr>
              <w:t>3</w:t>
            </w:r>
            <w:r>
              <w:rPr>
                <w:rFonts w:hint="eastAsia"/>
                <w:color w:val="auto"/>
                <w:sz w:val="24"/>
              </w:rPr>
              <w:t>。</w:t>
            </w:r>
          </w:p>
          <w:p>
            <w:pPr>
              <w:spacing w:line="480" w:lineRule="exact"/>
              <w:ind w:firstLine="480" w:firstLineChars="200"/>
              <w:rPr>
                <w:color w:val="auto"/>
                <w:sz w:val="24"/>
              </w:rPr>
            </w:pPr>
            <w:r>
              <w:rPr>
                <w:rFonts w:hint="eastAsia"/>
                <w:color w:val="auto"/>
                <w:sz w:val="24"/>
              </w:rPr>
              <w:t>②无组织</w:t>
            </w:r>
          </w:p>
          <w:p>
            <w:pPr>
              <w:autoSpaceDE w:val="0"/>
              <w:autoSpaceDN w:val="0"/>
              <w:adjustRightInd w:val="0"/>
              <w:spacing w:line="480" w:lineRule="exact"/>
              <w:ind w:firstLine="480" w:firstLineChars="200"/>
              <w:jc w:val="left"/>
              <w:rPr>
                <w:color w:val="auto"/>
                <w:sz w:val="24"/>
                <w:highlight w:val="yellow"/>
              </w:rPr>
            </w:pPr>
            <w:r>
              <w:rPr>
                <w:color w:val="auto"/>
                <w:sz w:val="24"/>
              </w:rPr>
              <w:t>无组织颗粒物排放</w:t>
            </w:r>
            <w:r>
              <w:rPr>
                <w:rFonts w:hint="eastAsia"/>
                <w:color w:val="auto"/>
                <w:sz w:val="24"/>
              </w:rPr>
              <w:t>需</w:t>
            </w:r>
            <w:r>
              <w:rPr>
                <w:color w:val="auto"/>
                <w:sz w:val="24"/>
              </w:rPr>
              <w:t>满足《铸造工业大气污染物排放标准》（GB39726—2020）附录A限值要求，同时</w:t>
            </w:r>
            <w:r>
              <w:rPr>
                <w:rFonts w:hint="eastAsia"/>
                <w:color w:val="auto"/>
                <w:sz w:val="24"/>
              </w:rPr>
              <w:t>需</w:t>
            </w:r>
            <w:r>
              <w:rPr>
                <w:color w:val="auto"/>
                <w:sz w:val="24"/>
              </w:rPr>
              <w:t>满足《唐山市大气污染防治工作领导小组办公室&lt;唐山市钢铁行业整治提升工作方案&gt;等10项方案的通知》（唐气领办〔2021〕15号）中附件9《唐山市铸造行业整治提升工作方案》相关标准要求：厂区边界颗粒物浓度不高于0.5mg/m</w:t>
            </w:r>
            <w:r>
              <w:rPr>
                <w:color w:val="auto"/>
                <w:sz w:val="24"/>
                <w:vertAlign w:val="superscript"/>
              </w:rPr>
              <w:t>3</w:t>
            </w:r>
            <w:r>
              <w:rPr>
                <w:color w:val="auto"/>
                <w:sz w:val="24"/>
              </w:rPr>
              <w:t>，车间边界颗粒物浓度不高于1.0mg/m</w:t>
            </w:r>
            <w:r>
              <w:rPr>
                <w:color w:val="auto"/>
                <w:sz w:val="24"/>
                <w:vertAlign w:val="superscript"/>
              </w:rPr>
              <w:t>3</w:t>
            </w:r>
            <w:r>
              <w:rPr>
                <w:rFonts w:hint="eastAsia"/>
                <w:color w:val="auto"/>
                <w:sz w:val="24"/>
              </w:rPr>
              <w:t>。</w:t>
            </w:r>
          </w:p>
          <w:p>
            <w:pPr>
              <w:autoSpaceDE w:val="0"/>
              <w:autoSpaceDN w:val="0"/>
              <w:adjustRightInd w:val="0"/>
              <w:spacing w:line="480" w:lineRule="exact"/>
              <w:ind w:firstLine="480" w:firstLineChars="200"/>
              <w:jc w:val="left"/>
              <w:rPr>
                <w:color w:val="auto"/>
                <w:sz w:val="24"/>
              </w:rPr>
            </w:pPr>
            <w:r>
              <w:rPr>
                <w:color w:val="auto"/>
                <w:sz w:val="24"/>
              </w:rPr>
              <w:t>标准限值见</w:t>
            </w:r>
            <w:r>
              <w:rPr>
                <w:rFonts w:hint="eastAsia"/>
                <w:color w:val="auto"/>
                <w:sz w:val="24"/>
              </w:rPr>
              <w:t>下表：</w:t>
            </w:r>
          </w:p>
          <w:p>
            <w:pPr>
              <w:autoSpaceDE w:val="0"/>
              <w:autoSpaceDN w:val="0"/>
              <w:adjustRightInd w:val="0"/>
              <w:spacing w:line="480" w:lineRule="exact"/>
              <w:jc w:val="center"/>
              <w:rPr>
                <w:b/>
                <w:color w:val="auto"/>
                <w:sz w:val="24"/>
              </w:rPr>
            </w:pPr>
            <w:r>
              <w:rPr>
                <w:b/>
                <w:color w:val="auto"/>
                <w:sz w:val="24"/>
              </w:rPr>
              <w:t>表</w:t>
            </w:r>
            <w:r>
              <w:rPr>
                <w:rFonts w:hint="eastAsia"/>
                <w:b/>
                <w:color w:val="auto"/>
                <w:sz w:val="24"/>
              </w:rPr>
              <w:t>24</w:t>
            </w:r>
            <w:r>
              <w:rPr>
                <w:b/>
                <w:color w:val="auto"/>
                <w:sz w:val="24"/>
              </w:rPr>
              <w:t xml:space="preserve">    废气污染物排放标准</w:t>
            </w:r>
          </w:p>
          <w:tbl>
            <w:tblPr>
              <w:tblStyle w:val="33"/>
              <w:tblW w:w="841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34"/>
              <w:gridCol w:w="867"/>
              <w:gridCol w:w="1156"/>
              <w:gridCol w:w="697"/>
              <w:gridCol w:w="749"/>
              <w:gridCol w:w="441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17" w:type="pct"/>
                  <w:tcBorders>
                    <w:tl2br w:val="nil"/>
                    <w:tr2bl w:val="nil"/>
                  </w:tcBorders>
                  <w:vAlign w:val="center"/>
                </w:tcPr>
                <w:p>
                  <w:pPr>
                    <w:jc w:val="center"/>
                    <w:rPr>
                      <w:color w:val="auto"/>
                      <w:szCs w:val="21"/>
                    </w:rPr>
                  </w:pPr>
                  <w:r>
                    <w:rPr>
                      <w:color w:val="auto"/>
                      <w:szCs w:val="21"/>
                    </w:rPr>
                    <w:t>类别</w:t>
                  </w:r>
                </w:p>
              </w:tc>
              <w:tc>
                <w:tcPr>
                  <w:tcW w:w="515" w:type="pct"/>
                  <w:tcBorders>
                    <w:tl2br w:val="nil"/>
                    <w:tr2bl w:val="nil"/>
                  </w:tcBorders>
                  <w:vAlign w:val="center"/>
                </w:tcPr>
                <w:p>
                  <w:pPr>
                    <w:jc w:val="center"/>
                    <w:rPr>
                      <w:color w:val="auto"/>
                      <w:szCs w:val="21"/>
                    </w:rPr>
                  </w:pPr>
                  <w:r>
                    <w:rPr>
                      <w:color w:val="auto"/>
                      <w:szCs w:val="21"/>
                    </w:rPr>
                    <w:t>污染源</w:t>
                  </w:r>
                </w:p>
              </w:tc>
              <w:tc>
                <w:tcPr>
                  <w:tcW w:w="687" w:type="pct"/>
                  <w:tcBorders>
                    <w:tl2br w:val="nil"/>
                    <w:tr2bl w:val="nil"/>
                  </w:tcBorders>
                  <w:vAlign w:val="center"/>
                </w:tcPr>
                <w:p>
                  <w:pPr>
                    <w:jc w:val="center"/>
                    <w:rPr>
                      <w:color w:val="auto"/>
                      <w:szCs w:val="21"/>
                    </w:rPr>
                  </w:pPr>
                  <w:r>
                    <w:rPr>
                      <w:color w:val="auto"/>
                      <w:szCs w:val="21"/>
                    </w:rPr>
                    <w:t>污染物名称</w:t>
                  </w:r>
                </w:p>
              </w:tc>
              <w:tc>
                <w:tcPr>
                  <w:tcW w:w="414" w:type="pct"/>
                  <w:tcBorders>
                    <w:tl2br w:val="nil"/>
                    <w:tr2bl w:val="nil"/>
                  </w:tcBorders>
                  <w:vAlign w:val="center"/>
                </w:tcPr>
                <w:p>
                  <w:pPr>
                    <w:jc w:val="center"/>
                    <w:rPr>
                      <w:color w:val="auto"/>
                      <w:szCs w:val="21"/>
                    </w:rPr>
                  </w:pPr>
                  <w:r>
                    <w:rPr>
                      <w:color w:val="auto"/>
                      <w:szCs w:val="21"/>
                    </w:rPr>
                    <w:t>标准值</w:t>
                  </w:r>
                </w:p>
              </w:tc>
              <w:tc>
                <w:tcPr>
                  <w:tcW w:w="445" w:type="pct"/>
                  <w:tcBorders>
                    <w:tl2br w:val="nil"/>
                    <w:tr2bl w:val="nil"/>
                  </w:tcBorders>
                  <w:vAlign w:val="center"/>
                </w:tcPr>
                <w:p>
                  <w:pPr>
                    <w:jc w:val="center"/>
                    <w:rPr>
                      <w:color w:val="auto"/>
                      <w:szCs w:val="21"/>
                    </w:rPr>
                  </w:pPr>
                  <w:r>
                    <w:rPr>
                      <w:color w:val="auto"/>
                      <w:szCs w:val="21"/>
                    </w:rPr>
                    <w:t>单位</w:t>
                  </w:r>
                </w:p>
              </w:tc>
              <w:tc>
                <w:tcPr>
                  <w:tcW w:w="2619" w:type="pct"/>
                  <w:tcBorders>
                    <w:tl2br w:val="nil"/>
                    <w:tr2bl w:val="nil"/>
                  </w:tcBorders>
                  <w:vAlign w:val="center"/>
                </w:tcPr>
                <w:p>
                  <w:pPr>
                    <w:pStyle w:val="17"/>
                    <w:jc w:val="center"/>
                    <w:rPr>
                      <w:rFonts w:ascii="Times New Roman" w:hAnsi="Times New Roman" w:cs="Times New Roman"/>
                      <w:color w:val="auto"/>
                    </w:rPr>
                  </w:pPr>
                  <w:r>
                    <w:rPr>
                      <w:rFonts w:ascii="Times New Roman" w:hAnsi="Times New Roman" w:cs="Times New Roman"/>
                      <w:color w:val="auto"/>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17" w:type="pct"/>
                  <w:vMerge w:val="restart"/>
                  <w:tcBorders>
                    <w:tl2br w:val="nil"/>
                    <w:tr2bl w:val="nil"/>
                  </w:tcBorders>
                  <w:vAlign w:val="center"/>
                </w:tcPr>
                <w:p>
                  <w:pPr>
                    <w:jc w:val="center"/>
                    <w:rPr>
                      <w:color w:val="auto"/>
                      <w:szCs w:val="21"/>
                    </w:rPr>
                  </w:pPr>
                  <w:r>
                    <w:rPr>
                      <w:color w:val="auto"/>
                      <w:szCs w:val="21"/>
                    </w:rPr>
                    <w:t>废气</w:t>
                  </w:r>
                </w:p>
              </w:tc>
              <w:tc>
                <w:tcPr>
                  <w:tcW w:w="515" w:type="pct"/>
                  <w:tcBorders>
                    <w:tl2br w:val="nil"/>
                    <w:tr2bl w:val="nil"/>
                  </w:tcBorders>
                  <w:vAlign w:val="center"/>
                </w:tcPr>
                <w:p>
                  <w:pPr>
                    <w:jc w:val="center"/>
                    <w:rPr>
                      <w:color w:val="auto"/>
                      <w:szCs w:val="21"/>
                    </w:rPr>
                  </w:pPr>
                  <w:r>
                    <w:rPr>
                      <w:rFonts w:hint="eastAsia"/>
                      <w:color w:val="auto"/>
                      <w:szCs w:val="21"/>
                    </w:rPr>
                    <w:t>各工序有组织含尘废气</w:t>
                  </w:r>
                </w:p>
              </w:tc>
              <w:tc>
                <w:tcPr>
                  <w:tcW w:w="687" w:type="pct"/>
                  <w:tcBorders>
                    <w:tl2br w:val="nil"/>
                    <w:tr2bl w:val="nil"/>
                  </w:tcBorders>
                  <w:vAlign w:val="center"/>
                </w:tcPr>
                <w:p>
                  <w:pPr>
                    <w:jc w:val="center"/>
                    <w:rPr>
                      <w:color w:val="auto"/>
                      <w:szCs w:val="21"/>
                    </w:rPr>
                  </w:pPr>
                  <w:r>
                    <w:rPr>
                      <w:color w:val="auto"/>
                      <w:szCs w:val="21"/>
                    </w:rPr>
                    <w:t>颗粒物</w:t>
                  </w:r>
                </w:p>
              </w:tc>
              <w:tc>
                <w:tcPr>
                  <w:tcW w:w="414" w:type="pct"/>
                  <w:tcBorders>
                    <w:tl2br w:val="nil"/>
                    <w:tr2bl w:val="nil"/>
                  </w:tcBorders>
                  <w:vAlign w:val="center"/>
                </w:tcPr>
                <w:p>
                  <w:pPr>
                    <w:pStyle w:val="17"/>
                    <w:jc w:val="center"/>
                    <w:rPr>
                      <w:rFonts w:ascii="Times New Roman" w:hAnsi="Times New Roman" w:cs="Times New Roman"/>
                      <w:color w:val="auto"/>
                    </w:rPr>
                  </w:pPr>
                  <w:r>
                    <w:rPr>
                      <w:rFonts w:hint="eastAsia" w:ascii="Times New Roman" w:hAnsi="Times New Roman" w:cs="Times New Roman"/>
                      <w:color w:val="auto"/>
                    </w:rPr>
                    <w:t>1</w:t>
                  </w:r>
                  <w:r>
                    <w:rPr>
                      <w:rFonts w:ascii="Times New Roman" w:hAnsi="Times New Roman" w:cs="Times New Roman"/>
                      <w:color w:val="auto"/>
                    </w:rPr>
                    <w:t>0</w:t>
                  </w:r>
                </w:p>
              </w:tc>
              <w:tc>
                <w:tcPr>
                  <w:tcW w:w="445" w:type="pct"/>
                  <w:tcBorders>
                    <w:tl2br w:val="nil"/>
                    <w:tr2bl w:val="nil"/>
                  </w:tcBorders>
                  <w:vAlign w:val="center"/>
                </w:tcPr>
                <w:p>
                  <w:pPr>
                    <w:jc w:val="center"/>
                    <w:rPr>
                      <w:color w:val="auto"/>
                      <w:szCs w:val="21"/>
                    </w:rPr>
                  </w:pPr>
                  <w:r>
                    <w:rPr>
                      <w:color w:val="auto"/>
                      <w:szCs w:val="21"/>
                    </w:rPr>
                    <w:t>mg/m</w:t>
                  </w:r>
                  <w:r>
                    <w:rPr>
                      <w:color w:val="auto"/>
                      <w:szCs w:val="21"/>
                      <w:vertAlign w:val="superscript"/>
                    </w:rPr>
                    <w:t>3</w:t>
                  </w:r>
                </w:p>
              </w:tc>
              <w:tc>
                <w:tcPr>
                  <w:tcW w:w="2619" w:type="pct"/>
                  <w:tcBorders>
                    <w:tl2br w:val="nil"/>
                    <w:tr2bl w:val="nil"/>
                  </w:tcBorders>
                  <w:vAlign w:val="center"/>
                </w:tcPr>
                <w:p>
                  <w:pPr>
                    <w:pStyle w:val="17"/>
                    <w:jc w:val="center"/>
                    <w:rPr>
                      <w:rFonts w:ascii="Times New Roman" w:hAnsi="Times New Roman" w:cs="Times New Roman"/>
                      <w:color w:val="auto"/>
                    </w:rPr>
                  </w:pPr>
                  <w:r>
                    <w:rPr>
                      <w:rFonts w:ascii="Times New Roman" w:hAnsi="Times New Roman" w:cs="Times New Roman"/>
                      <w:bCs/>
                      <w:color w:val="auto"/>
                    </w:rPr>
                    <w:t>《铸造工业大气污染物排放标准》（GB 39726—2020）表1/《唐山市大气污染防治工作领导小组办公室&lt;唐山市钢铁行业整治提升工作方案&gt;等10项方案的通知》（唐气领办〔2021〕15号）中附件9《唐山市铸造行业整治提升工作方案》相关标准要求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17" w:type="pct"/>
                  <w:vMerge w:val="continue"/>
                  <w:tcBorders>
                    <w:tl2br w:val="nil"/>
                    <w:tr2bl w:val="nil"/>
                  </w:tcBorders>
                  <w:vAlign w:val="center"/>
                </w:tcPr>
                <w:p>
                  <w:pPr>
                    <w:jc w:val="center"/>
                    <w:rPr>
                      <w:color w:val="auto"/>
                      <w:szCs w:val="21"/>
                    </w:rPr>
                  </w:pPr>
                </w:p>
              </w:tc>
              <w:tc>
                <w:tcPr>
                  <w:tcW w:w="515" w:type="pct"/>
                  <w:tcBorders>
                    <w:tl2br w:val="nil"/>
                    <w:tr2bl w:val="nil"/>
                  </w:tcBorders>
                  <w:vAlign w:val="center"/>
                </w:tcPr>
                <w:p>
                  <w:pPr>
                    <w:jc w:val="center"/>
                    <w:rPr>
                      <w:color w:val="auto"/>
                      <w:szCs w:val="21"/>
                    </w:rPr>
                  </w:pPr>
                  <w:r>
                    <w:rPr>
                      <w:color w:val="auto"/>
                      <w:szCs w:val="21"/>
                    </w:rPr>
                    <w:t>厂界无组织废气</w:t>
                  </w:r>
                </w:p>
              </w:tc>
              <w:tc>
                <w:tcPr>
                  <w:tcW w:w="687" w:type="pct"/>
                  <w:tcBorders>
                    <w:tl2br w:val="nil"/>
                    <w:tr2bl w:val="nil"/>
                  </w:tcBorders>
                  <w:vAlign w:val="center"/>
                </w:tcPr>
                <w:p>
                  <w:pPr>
                    <w:jc w:val="center"/>
                    <w:rPr>
                      <w:color w:val="auto"/>
                      <w:szCs w:val="21"/>
                    </w:rPr>
                  </w:pPr>
                  <w:r>
                    <w:rPr>
                      <w:color w:val="auto"/>
                      <w:szCs w:val="21"/>
                    </w:rPr>
                    <w:t>颗粒物</w:t>
                  </w:r>
                </w:p>
              </w:tc>
              <w:tc>
                <w:tcPr>
                  <w:tcW w:w="414" w:type="pct"/>
                  <w:tcBorders>
                    <w:tl2br w:val="nil"/>
                    <w:tr2bl w:val="nil"/>
                  </w:tcBorders>
                  <w:vAlign w:val="center"/>
                </w:tcPr>
                <w:p>
                  <w:pPr>
                    <w:pStyle w:val="17"/>
                    <w:jc w:val="center"/>
                    <w:rPr>
                      <w:rFonts w:ascii="Times New Roman" w:hAnsi="Times New Roman" w:cs="Times New Roman"/>
                      <w:color w:val="auto"/>
                    </w:rPr>
                  </w:pPr>
                  <w:r>
                    <w:rPr>
                      <w:rFonts w:hint="eastAsia" w:ascii="Times New Roman" w:hAnsi="Times New Roman" w:cs="Times New Roman"/>
                      <w:color w:val="auto"/>
                    </w:rPr>
                    <w:t>0.5</w:t>
                  </w:r>
                </w:p>
              </w:tc>
              <w:tc>
                <w:tcPr>
                  <w:tcW w:w="445" w:type="pct"/>
                  <w:tcBorders>
                    <w:tl2br w:val="nil"/>
                    <w:tr2bl w:val="nil"/>
                  </w:tcBorders>
                  <w:vAlign w:val="center"/>
                </w:tcPr>
                <w:p>
                  <w:pPr>
                    <w:jc w:val="center"/>
                    <w:rPr>
                      <w:color w:val="auto"/>
                      <w:szCs w:val="21"/>
                    </w:rPr>
                  </w:pPr>
                  <w:r>
                    <w:rPr>
                      <w:color w:val="auto"/>
                      <w:szCs w:val="21"/>
                    </w:rPr>
                    <w:t>mg/m</w:t>
                  </w:r>
                  <w:r>
                    <w:rPr>
                      <w:color w:val="auto"/>
                      <w:szCs w:val="21"/>
                      <w:vertAlign w:val="superscript"/>
                    </w:rPr>
                    <w:t>3</w:t>
                  </w:r>
                </w:p>
              </w:tc>
              <w:tc>
                <w:tcPr>
                  <w:tcW w:w="2619" w:type="pct"/>
                  <w:tcBorders>
                    <w:tl2br w:val="nil"/>
                    <w:tr2bl w:val="nil"/>
                  </w:tcBorders>
                  <w:vAlign w:val="center"/>
                </w:tcPr>
                <w:p>
                  <w:pPr>
                    <w:pStyle w:val="17"/>
                    <w:jc w:val="center"/>
                    <w:rPr>
                      <w:rFonts w:ascii="Times New Roman" w:hAnsi="Times New Roman" w:cs="Times New Roman"/>
                      <w:color w:val="auto"/>
                    </w:rPr>
                  </w:pPr>
                  <w:r>
                    <w:rPr>
                      <w:rFonts w:ascii="Times New Roman" w:hAnsi="Times New Roman" w:cs="Times New Roman"/>
                      <w:color w:val="auto"/>
                    </w:rPr>
                    <w:t>《唐山市大气污染防治工作领导小组办公室&lt;唐山市钢铁行业整治提升工作方案&gt;等10项方案的通知》（唐气领办〔2021〕15号）中附件9《唐山市铸造行业整治提升工作方案》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17" w:type="pct"/>
                  <w:vMerge w:val="continue"/>
                  <w:tcBorders>
                    <w:tl2br w:val="nil"/>
                    <w:tr2bl w:val="nil"/>
                  </w:tcBorders>
                  <w:vAlign w:val="center"/>
                </w:tcPr>
                <w:p>
                  <w:pPr>
                    <w:jc w:val="center"/>
                    <w:rPr>
                      <w:color w:val="auto"/>
                      <w:szCs w:val="21"/>
                    </w:rPr>
                  </w:pPr>
                </w:p>
              </w:tc>
              <w:tc>
                <w:tcPr>
                  <w:tcW w:w="515" w:type="pct"/>
                  <w:tcBorders>
                    <w:tl2br w:val="nil"/>
                    <w:tr2bl w:val="nil"/>
                  </w:tcBorders>
                  <w:vAlign w:val="center"/>
                </w:tcPr>
                <w:p>
                  <w:pPr>
                    <w:jc w:val="center"/>
                    <w:rPr>
                      <w:color w:val="auto"/>
                      <w:szCs w:val="21"/>
                    </w:rPr>
                  </w:pPr>
                  <w:r>
                    <w:rPr>
                      <w:rFonts w:hint="eastAsia"/>
                      <w:color w:val="auto"/>
                      <w:szCs w:val="21"/>
                    </w:rPr>
                    <w:t>熔炼车间外1米</w:t>
                  </w:r>
                  <w:r>
                    <w:rPr>
                      <w:color w:val="auto"/>
                      <w:szCs w:val="21"/>
                    </w:rPr>
                    <w:t>无组织废气</w:t>
                  </w:r>
                </w:p>
              </w:tc>
              <w:tc>
                <w:tcPr>
                  <w:tcW w:w="687" w:type="pct"/>
                  <w:tcBorders>
                    <w:tl2br w:val="nil"/>
                    <w:tr2bl w:val="nil"/>
                  </w:tcBorders>
                  <w:vAlign w:val="center"/>
                </w:tcPr>
                <w:p>
                  <w:pPr>
                    <w:jc w:val="center"/>
                    <w:rPr>
                      <w:color w:val="auto"/>
                      <w:szCs w:val="21"/>
                    </w:rPr>
                  </w:pPr>
                  <w:r>
                    <w:rPr>
                      <w:rFonts w:hint="eastAsia"/>
                      <w:color w:val="auto"/>
                      <w:szCs w:val="21"/>
                    </w:rPr>
                    <w:t>颗粒物</w:t>
                  </w:r>
                </w:p>
              </w:tc>
              <w:tc>
                <w:tcPr>
                  <w:tcW w:w="414" w:type="pct"/>
                  <w:tcBorders>
                    <w:tl2br w:val="nil"/>
                    <w:tr2bl w:val="nil"/>
                  </w:tcBorders>
                  <w:vAlign w:val="center"/>
                </w:tcPr>
                <w:p>
                  <w:pPr>
                    <w:pStyle w:val="17"/>
                    <w:jc w:val="center"/>
                    <w:rPr>
                      <w:rFonts w:ascii="Times New Roman" w:hAnsi="Times New Roman" w:cs="Times New Roman"/>
                      <w:color w:val="auto"/>
                    </w:rPr>
                  </w:pPr>
                  <w:r>
                    <w:rPr>
                      <w:rFonts w:hint="eastAsia" w:ascii="Times New Roman" w:hAnsi="Times New Roman" w:cs="Times New Roman"/>
                      <w:color w:val="auto"/>
                    </w:rPr>
                    <w:t>1.0</w:t>
                  </w:r>
                </w:p>
              </w:tc>
              <w:tc>
                <w:tcPr>
                  <w:tcW w:w="445" w:type="pct"/>
                  <w:tcBorders>
                    <w:tl2br w:val="nil"/>
                    <w:tr2bl w:val="nil"/>
                  </w:tcBorders>
                  <w:vAlign w:val="center"/>
                </w:tcPr>
                <w:p>
                  <w:pPr>
                    <w:jc w:val="center"/>
                    <w:rPr>
                      <w:color w:val="auto"/>
                      <w:szCs w:val="21"/>
                    </w:rPr>
                  </w:pPr>
                  <w:r>
                    <w:rPr>
                      <w:color w:val="auto"/>
                      <w:szCs w:val="21"/>
                    </w:rPr>
                    <w:t>mg/m</w:t>
                  </w:r>
                  <w:r>
                    <w:rPr>
                      <w:color w:val="auto"/>
                      <w:szCs w:val="21"/>
                      <w:vertAlign w:val="superscript"/>
                    </w:rPr>
                    <w:t>3</w:t>
                  </w:r>
                </w:p>
              </w:tc>
              <w:tc>
                <w:tcPr>
                  <w:tcW w:w="2619" w:type="pct"/>
                  <w:tcBorders>
                    <w:tl2br w:val="nil"/>
                    <w:tr2bl w:val="nil"/>
                  </w:tcBorders>
                  <w:vAlign w:val="center"/>
                </w:tcPr>
                <w:p>
                  <w:pPr>
                    <w:pStyle w:val="17"/>
                    <w:jc w:val="center"/>
                    <w:rPr>
                      <w:rFonts w:ascii="Times New Roman" w:hAnsi="Times New Roman" w:cs="Times New Roman"/>
                      <w:color w:val="auto"/>
                    </w:rPr>
                  </w:pPr>
                  <w:r>
                    <w:rPr>
                      <w:rFonts w:ascii="Times New Roman" w:hAnsi="Times New Roman" w:cs="Times New Roman"/>
                      <w:bCs/>
                      <w:color w:val="auto"/>
                    </w:rPr>
                    <w:t>《铸造工业大气污染物排放标准》（GB 39726—2020）附录A</w:t>
                  </w:r>
                  <w:r>
                    <w:rPr>
                      <w:rFonts w:ascii="Times New Roman" w:hAnsi="Times New Roman" w:cs="Times New Roman"/>
                      <w:color w:val="auto"/>
                    </w:rPr>
                    <w:t>/《唐山市大气污染防治工作领导小组办公室&lt;唐山市钢铁行业整治提升工作方案&gt;等10项方案的通知》（唐气领办〔2021〕15号）中附件9《唐山市铸造行业整治提升工作方案》</w:t>
                  </w:r>
                </w:p>
              </w:tc>
            </w:tr>
          </w:tbl>
          <w:p>
            <w:pPr>
              <w:adjustRightInd w:val="0"/>
              <w:snapToGrid w:val="0"/>
              <w:spacing w:line="480" w:lineRule="exact"/>
              <w:ind w:firstLine="482" w:firstLineChars="200"/>
              <w:textAlignment w:val="baseline"/>
              <w:rPr>
                <w:color w:val="auto"/>
                <w:sz w:val="24"/>
              </w:rPr>
            </w:pPr>
            <w:r>
              <w:rPr>
                <w:rFonts w:hint="eastAsia"/>
                <w:b/>
                <w:color w:val="auto"/>
                <w:sz w:val="24"/>
              </w:rPr>
              <w:t>2</w:t>
            </w:r>
            <w:r>
              <w:rPr>
                <w:b/>
                <w:color w:val="auto"/>
                <w:sz w:val="24"/>
              </w:rPr>
              <w:t>噪声排放标准</w:t>
            </w:r>
          </w:p>
          <w:p>
            <w:pPr>
              <w:spacing w:line="480" w:lineRule="exact"/>
              <w:ind w:firstLine="480" w:firstLineChars="200"/>
              <w:rPr>
                <w:color w:val="auto"/>
                <w:sz w:val="24"/>
              </w:rPr>
            </w:pPr>
            <w:r>
              <w:rPr>
                <w:rFonts w:hint="eastAsia"/>
                <w:bCs/>
                <w:color w:val="auto"/>
                <w:sz w:val="24"/>
              </w:rPr>
              <w:t>施工期噪声执行</w:t>
            </w:r>
            <w:r>
              <w:rPr>
                <w:color w:val="auto"/>
                <w:sz w:val="24"/>
                <w:lang w:val="zh-CN"/>
              </w:rPr>
              <w:t>《建筑施工场界环境噪声排放标准》(GB12523-2011)</w:t>
            </w:r>
            <w:r>
              <w:rPr>
                <w:rFonts w:hint="eastAsia"/>
                <w:color w:val="auto"/>
                <w:sz w:val="24"/>
                <w:lang w:val="zh-CN"/>
              </w:rPr>
              <w:t>的标准限值</w:t>
            </w:r>
            <w:r>
              <w:rPr>
                <w:color w:val="auto"/>
                <w:sz w:val="24"/>
              </w:rPr>
              <w:t>。</w:t>
            </w:r>
          </w:p>
          <w:p>
            <w:pPr>
              <w:spacing w:line="480" w:lineRule="exact"/>
              <w:ind w:firstLine="482" w:firstLineChars="200"/>
              <w:jc w:val="center"/>
              <w:rPr>
                <w:b/>
                <w:color w:val="auto"/>
                <w:sz w:val="24"/>
              </w:rPr>
            </w:pPr>
            <w:r>
              <w:rPr>
                <w:b/>
                <w:color w:val="auto"/>
                <w:sz w:val="24"/>
              </w:rPr>
              <w:t>表</w:t>
            </w:r>
            <w:r>
              <w:rPr>
                <w:rFonts w:hint="eastAsia"/>
                <w:b/>
                <w:color w:val="auto"/>
                <w:sz w:val="24"/>
              </w:rPr>
              <w:t>25</w:t>
            </w:r>
            <w:r>
              <w:rPr>
                <w:b/>
                <w:color w:val="auto"/>
                <w:sz w:val="24"/>
              </w:rPr>
              <w:t xml:space="preserve">  噪声污染物排放标准    单位：dB（A）</w:t>
            </w:r>
          </w:p>
          <w:tbl>
            <w:tblPr>
              <w:tblStyle w:val="33"/>
              <w:tblW w:w="82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124"/>
              <w:gridCol w:w="732"/>
              <w:gridCol w:w="2044"/>
              <w:gridCol w:w="34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39" w:type="dxa"/>
                  <w:vAlign w:val="center"/>
                </w:tcPr>
                <w:p>
                  <w:pPr>
                    <w:autoSpaceDE w:val="0"/>
                    <w:autoSpaceDN w:val="0"/>
                    <w:adjustRightInd w:val="0"/>
                    <w:snapToGrid w:val="0"/>
                    <w:jc w:val="center"/>
                    <w:rPr>
                      <w:color w:val="auto"/>
                      <w:szCs w:val="21"/>
                    </w:rPr>
                  </w:pPr>
                  <w:r>
                    <w:rPr>
                      <w:color w:val="auto"/>
                      <w:szCs w:val="21"/>
                    </w:rPr>
                    <w:t>类别</w:t>
                  </w:r>
                </w:p>
              </w:tc>
              <w:tc>
                <w:tcPr>
                  <w:tcW w:w="1124" w:type="dxa"/>
                  <w:vAlign w:val="center"/>
                </w:tcPr>
                <w:p>
                  <w:pPr>
                    <w:autoSpaceDE w:val="0"/>
                    <w:autoSpaceDN w:val="0"/>
                    <w:adjustRightInd w:val="0"/>
                    <w:snapToGrid w:val="0"/>
                    <w:jc w:val="center"/>
                    <w:rPr>
                      <w:color w:val="auto"/>
                      <w:szCs w:val="21"/>
                    </w:rPr>
                  </w:pPr>
                  <w:r>
                    <w:rPr>
                      <w:color w:val="auto"/>
                      <w:szCs w:val="21"/>
                    </w:rPr>
                    <w:t>污染因子</w:t>
                  </w:r>
                </w:p>
              </w:tc>
              <w:tc>
                <w:tcPr>
                  <w:tcW w:w="732" w:type="dxa"/>
                  <w:vAlign w:val="center"/>
                </w:tcPr>
                <w:p>
                  <w:pPr>
                    <w:autoSpaceDE w:val="0"/>
                    <w:autoSpaceDN w:val="0"/>
                    <w:adjustRightInd w:val="0"/>
                    <w:snapToGrid w:val="0"/>
                    <w:jc w:val="center"/>
                    <w:rPr>
                      <w:color w:val="auto"/>
                      <w:szCs w:val="21"/>
                    </w:rPr>
                  </w:pPr>
                  <w:r>
                    <w:rPr>
                      <w:color w:val="auto"/>
                      <w:szCs w:val="21"/>
                    </w:rPr>
                    <w:t>级别</w:t>
                  </w:r>
                </w:p>
              </w:tc>
              <w:tc>
                <w:tcPr>
                  <w:tcW w:w="2044" w:type="dxa"/>
                  <w:vAlign w:val="center"/>
                </w:tcPr>
                <w:p>
                  <w:pPr>
                    <w:autoSpaceDE w:val="0"/>
                    <w:autoSpaceDN w:val="0"/>
                    <w:adjustRightInd w:val="0"/>
                    <w:snapToGrid w:val="0"/>
                    <w:jc w:val="center"/>
                    <w:rPr>
                      <w:color w:val="auto"/>
                      <w:szCs w:val="21"/>
                    </w:rPr>
                  </w:pPr>
                  <w:r>
                    <w:rPr>
                      <w:color w:val="auto"/>
                      <w:szCs w:val="21"/>
                    </w:rPr>
                    <w:t>标准值</w:t>
                  </w:r>
                </w:p>
              </w:tc>
              <w:tc>
                <w:tcPr>
                  <w:tcW w:w="3430" w:type="dxa"/>
                  <w:tcBorders>
                    <w:right w:val="nil"/>
                  </w:tcBorders>
                  <w:vAlign w:val="center"/>
                </w:tcPr>
                <w:p>
                  <w:pPr>
                    <w:autoSpaceDE w:val="0"/>
                    <w:autoSpaceDN w:val="0"/>
                    <w:adjustRightInd w:val="0"/>
                    <w:snapToGrid w:val="0"/>
                    <w:jc w:val="center"/>
                    <w:rPr>
                      <w:color w:val="auto"/>
                      <w:szCs w:val="21"/>
                    </w:rPr>
                  </w:pPr>
                  <w:r>
                    <w:rPr>
                      <w:color w:val="auto"/>
                      <w:szCs w:val="21"/>
                    </w:rPr>
                    <w:t>标准名称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939" w:type="dxa"/>
                  <w:tcBorders>
                    <w:left w:val="nil"/>
                  </w:tcBorders>
                  <w:vAlign w:val="center"/>
                </w:tcPr>
                <w:p>
                  <w:pPr>
                    <w:widowControl/>
                    <w:adjustRightInd w:val="0"/>
                    <w:snapToGrid w:val="0"/>
                    <w:jc w:val="center"/>
                    <w:rPr>
                      <w:color w:val="auto"/>
                      <w:szCs w:val="21"/>
                    </w:rPr>
                  </w:pPr>
                  <w:r>
                    <w:rPr>
                      <w:color w:val="auto"/>
                    </w:rPr>
                    <w:t>施工期</w:t>
                  </w:r>
                </w:p>
              </w:tc>
              <w:tc>
                <w:tcPr>
                  <w:tcW w:w="1124" w:type="dxa"/>
                  <w:vAlign w:val="center"/>
                </w:tcPr>
                <w:p>
                  <w:pPr>
                    <w:widowControl/>
                    <w:adjustRightInd w:val="0"/>
                    <w:snapToGrid w:val="0"/>
                    <w:jc w:val="center"/>
                    <w:rPr>
                      <w:color w:val="auto"/>
                      <w:szCs w:val="21"/>
                    </w:rPr>
                  </w:pPr>
                  <w:r>
                    <w:rPr>
                      <w:color w:val="auto"/>
                      <w:szCs w:val="21"/>
                    </w:rPr>
                    <w:t>Leq</w:t>
                  </w:r>
                </w:p>
              </w:tc>
              <w:tc>
                <w:tcPr>
                  <w:tcW w:w="732" w:type="dxa"/>
                  <w:vAlign w:val="center"/>
                </w:tcPr>
                <w:p>
                  <w:pPr>
                    <w:widowControl/>
                    <w:adjustRightInd w:val="0"/>
                    <w:snapToGrid w:val="0"/>
                    <w:jc w:val="center"/>
                    <w:rPr>
                      <w:color w:val="auto"/>
                      <w:szCs w:val="21"/>
                    </w:rPr>
                  </w:pPr>
                  <w:r>
                    <w:rPr>
                      <w:rFonts w:hint="eastAsia"/>
                      <w:color w:val="auto"/>
                    </w:rPr>
                    <w:t>-</w:t>
                  </w:r>
                </w:p>
              </w:tc>
              <w:tc>
                <w:tcPr>
                  <w:tcW w:w="2044" w:type="dxa"/>
                  <w:vAlign w:val="center"/>
                </w:tcPr>
                <w:p>
                  <w:pPr>
                    <w:widowControl/>
                    <w:adjustRightInd w:val="0"/>
                    <w:snapToGrid w:val="0"/>
                    <w:jc w:val="center"/>
                    <w:rPr>
                      <w:color w:val="auto"/>
                      <w:szCs w:val="21"/>
                    </w:rPr>
                  </w:pPr>
                  <w:r>
                    <w:rPr>
                      <w:color w:val="auto"/>
                      <w:szCs w:val="21"/>
                    </w:rPr>
                    <w:t>昼间70；夜间55</w:t>
                  </w:r>
                </w:p>
              </w:tc>
              <w:tc>
                <w:tcPr>
                  <w:tcW w:w="3430" w:type="dxa"/>
                  <w:tcBorders>
                    <w:right w:val="nil"/>
                  </w:tcBorders>
                  <w:vAlign w:val="center"/>
                </w:tcPr>
                <w:p>
                  <w:pPr>
                    <w:widowControl/>
                    <w:adjustRightInd w:val="0"/>
                    <w:snapToGrid w:val="0"/>
                    <w:jc w:val="center"/>
                    <w:rPr>
                      <w:color w:val="auto"/>
                      <w:szCs w:val="21"/>
                    </w:rPr>
                  </w:pPr>
                  <w:r>
                    <w:rPr>
                      <w:color w:val="auto"/>
                      <w:lang w:val="zh-CN"/>
                    </w:rPr>
                    <w:t>《建筑施工场界环境噪声排放标准》(GB12523-2011)</w:t>
                  </w:r>
                </w:p>
              </w:tc>
            </w:tr>
          </w:tbl>
          <w:p>
            <w:pPr>
              <w:spacing w:line="480" w:lineRule="exact"/>
              <w:ind w:firstLine="480" w:firstLineChars="200"/>
              <w:rPr>
                <w:b/>
                <w:color w:val="auto"/>
                <w:sz w:val="24"/>
              </w:rPr>
            </w:pPr>
            <w:r>
              <w:rPr>
                <w:color w:val="auto"/>
                <w:sz w:val="24"/>
                <w:lang w:val="zh-CN"/>
              </w:rPr>
              <w:t>营运期</w:t>
            </w:r>
            <w:r>
              <w:rPr>
                <w:color w:val="auto"/>
                <w:sz w:val="24"/>
              </w:rPr>
              <w:t>厂界噪声执行《工业企业厂界环境噪声排放标准》(GB12348-2008)</w:t>
            </w:r>
            <w:r>
              <w:rPr>
                <w:rFonts w:hint="eastAsia"/>
                <w:color w:val="auto"/>
                <w:sz w:val="24"/>
              </w:rPr>
              <w:t>2</w:t>
            </w:r>
            <w:r>
              <w:rPr>
                <w:color w:val="auto"/>
                <w:sz w:val="24"/>
              </w:rPr>
              <w:t>类标准。其标准值见</w:t>
            </w:r>
            <w:r>
              <w:rPr>
                <w:rFonts w:hint="eastAsia"/>
                <w:color w:val="auto"/>
                <w:sz w:val="24"/>
              </w:rPr>
              <w:t>下表</w:t>
            </w:r>
            <w:r>
              <w:rPr>
                <w:color w:val="auto"/>
                <w:sz w:val="24"/>
              </w:rPr>
              <w:t>。</w:t>
            </w:r>
          </w:p>
          <w:p>
            <w:pPr>
              <w:spacing w:line="480" w:lineRule="exact"/>
              <w:ind w:firstLine="482" w:firstLineChars="200"/>
              <w:jc w:val="center"/>
              <w:rPr>
                <w:b/>
                <w:color w:val="auto"/>
                <w:sz w:val="24"/>
              </w:rPr>
            </w:pPr>
            <w:r>
              <w:rPr>
                <w:b/>
                <w:color w:val="auto"/>
                <w:sz w:val="24"/>
              </w:rPr>
              <w:t>表</w:t>
            </w:r>
            <w:r>
              <w:rPr>
                <w:rFonts w:hint="eastAsia"/>
                <w:b/>
                <w:color w:val="auto"/>
                <w:sz w:val="24"/>
              </w:rPr>
              <w:t xml:space="preserve">26   </w:t>
            </w:r>
            <w:r>
              <w:rPr>
                <w:b/>
                <w:color w:val="auto"/>
                <w:sz w:val="24"/>
              </w:rPr>
              <w:t xml:space="preserve"> 噪声污染物排放标准    单位：dB（A）</w:t>
            </w:r>
          </w:p>
          <w:tbl>
            <w:tblPr>
              <w:tblStyle w:val="33"/>
              <w:tblW w:w="837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98"/>
              <w:gridCol w:w="1075"/>
              <w:gridCol w:w="700"/>
              <w:gridCol w:w="1955"/>
              <w:gridCol w:w="374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98" w:type="dxa"/>
                  <w:vAlign w:val="center"/>
                </w:tcPr>
                <w:p>
                  <w:pPr>
                    <w:autoSpaceDE w:val="0"/>
                    <w:autoSpaceDN w:val="0"/>
                    <w:adjustRightInd w:val="0"/>
                    <w:snapToGrid w:val="0"/>
                    <w:jc w:val="center"/>
                    <w:rPr>
                      <w:color w:val="auto"/>
                      <w:szCs w:val="21"/>
                    </w:rPr>
                  </w:pPr>
                  <w:r>
                    <w:rPr>
                      <w:color w:val="auto"/>
                      <w:szCs w:val="21"/>
                    </w:rPr>
                    <w:t>类别</w:t>
                  </w:r>
                </w:p>
              </w:tc>
              <w:tc>
                <w:tcPr>
                  <w:tcW w:w="1075" w:type="dxa"/>
                  <w:vAlign w:val="center"/>
                </w:tcPr>
                <w:p>
                  <w:pPr>
                    <w:autoSpaceDE w:val="0"/>
                    <w:autoSpaceDN w:val="0"/>
                    <w:adjustRightInd w:val="0"/>
                    <w:snapToGrid w:val="0"/>
                    <w:jc w:val="center"/>
                    <w:rPr>
                      <w:color w:val="auto"/>
                      <w:szCs w:val="21"/>
                    </w:rPr>
                  </w:pPr>
                  <w:r>
                    <w:rPr>
                      <w:color w:val="auto"/>
                      <w:szCs w:val="21"/>
                    </w:rPr>
                    <w:t>污染因子</w:t>
                  </w:r>
                </w:p>
              </w:tc>
              <w:tc>
                <w:tcPr>
                  <w:tcW w:w="700" w:type="dxa"/>
                  <w:vAlign w:val="center"/>
                </w:tcPr>
                <w:p>
                  <w:pPr>
                    <w:autoSpaceDE w:val="0"/>
                    <w:autoSpaceDN w:val="0"/>
                    <w:adjustRightInd w:val="0"/>
                    <w:snapToGrid w:val="0"/>
                    <w:jc w:val="center"/>
                    <w:rPr>
                      <w:color w:val="auto"/>
                      <w:szCs w:val="21"/>
                    </w:rPr>
                  </w:pPr>
                  <w:r>
                    <w:rPr>
                      <w:color w:val="auto"/>
                      <w:szCs w:val="21"/>
                    </w:rPr>
                    <w:t>级别</w:t>
                  </w:r>
                </w:p>
              </w:tc>
              <w:tc>
                <w:tcPr>
                  <w:tcW w:w="1955" w:type="dxa"/>
                  <w:vAlign w:val="center"/>
                </w:tcPr>
                <w:p>
                  <w:pPr>
                    <w:autoSpaceDE w:val="0"/>
                    <w:autoSpaceDN w:val="0"/>
                    <w:adjustRightInd w:val="0"/>
                    <w:snapToGrid w:val="0"/>
                    <w:jc w:val="center"/>
                    <w:rPr>
                      <w:color w:val="auto"/>
                      <w:szCs w:val="21"/>
                    </w:rPr>
                  </w:pPr>
                  <w:r>
                    <w:rPr>
                      <w:color w:val="auto"/>
                      <w:szCs w:val="21"/>
                    </w:rPr>
                    <w:t>标准值</w:t>
                  </w:r>
                </w:p>
              </w:tc>
              <w:tc>
                <w:tcPr>
                  <w:tcW w:w="3748" w:type="dxa"/>
                  <w:tcBorders>
                    <w:right w:val="nil"/>
                  </w:tcBorders>
                  <w:vAlign w:val="center"/>
                </w:tcPr>
                <w:p>
                  <w:pPr>
                    <w:autoSpaceDE w:val="0"/>
                    <w:autoSpaceDN w:val="0"/>
                    <w:adjustRightInd w:val="0"/>
                    <w:snapToGrid w:val="0"/>
                    <w:jc w:val="center"/>
                    <w:rPr>
                      <w:color w:val="auto"/>
                      <w:szCs w:val="21"/>
                    </w:rPr>
                  </w:pPr>
                  <w:r>
                    <w:rPr>
                      <w:color w:val="auto"/>
                      <w:szCs w:val="21"/>
                    </w:rPr>
                    <w:t>标准名称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98" w:type="dxa"/>
                  <w:tcBorders>
                    <w:left w:val="nil"/>
                  </w:tcBorders>
                  <w:vAlign w:val="center"/>
                </w:tcPr>
                <w:p>
                  <w:pPr>
                    <w:adjustRightInd w:val="0"/>
                    <w:snapToGrid w:val="0"/>
                    <w:jc w:val="center"/>
                    <w:rPr>
                      <w:color w:val="auto"/>
                      <w:szCs w:val="21"/>
                    </w:rPr>
                  </w:pPr>
                  <w:r>
                    <w:rPr>
                      <w:color w:val="auto"/>
                      <w:szCs w:val="21"/>
                    </w:rPr>
                    <w:t>运营期</w:t>
                  </w:r>
                </w:p>
              </w:tc>
              <w:tc>
                <w:tcPr>
                  <w:tcW w:w="1075" w:type="dxa"/>
                  <w:vAlign w:val="center"/>
                </w:tcPr>
                <w:p>
                  <w:pPr>
                    <w:adjustRightInd w:val="0"/>
                    <w:snapToGrid w:val="0"/>
                    <w:jc w:val="center"/>
                    <w:rPr>
                      <w:color w:val="auto"/>
                      <w:szCs w:val="21"/>
                    </w:rPr>
                  </w:pPr>
                  <w:r>
                    <w:rPr>
                      <w:color w:val="auto"/>
                      <w:szCs w:val="21"/>
                    </w:rPr>
                    <w:t>Leq</w:t>
                  </w:r>
                </w:p>
              </w:tc>
              <w:tc>
                <w:tcPr>
                  <w:tcW w:w="700" w:type="dxa"/>
                  <w:vAlign w:val="center"/>
                </w:tcPr>
                <w:p>
                  <w:pPr>
                    <w:snapToGrid w:val="0"/>
                    <w:jc w:val="center"/>
                    <w:rPr>
                      <w:color w:val="auto"/>
                      <w:szCs w:val="21"/>
                    </w:rPr>
                  </w:pPr>
                  <w:r>
                    <w:rPr>
                      <w:rFonts w:hint="eastAsia"/>
                      <w:color w:val="auto"/>
                      <w:szCs w:val="21"/>
                    </w:rPr>
                    <w:t>2</w:t>
                  </w:r>
                  <w:r>
                    <w:rPr>
                      <w:color w:val="auto"/>
                      <w:szCs w:val="21"/>
                    </w:rPr>
                    <w:t>类</w:t>
                  </w:r>
                </w:p>
              </w:tc>
              <w:tc>
                <w:tcPr>
                  <w:tcW w:w="1955" w:type="dxa"/>
                  <w:vAlign w:val="center"/>
                </w:tcPr>
                <w:p>
                  <w:pPr>
                    <w:autoSpaceDE w:val="0"/>
                    <w:autoSpaceDN w:val="0"/>
                    <w:adjustRightInd w:val="0"/>
                    <w:snapToGrid w:val="0"/>
                    <w:jc w:val="center"/>
                    <w:rPr>
                      <w:color w:val="auto"/>
                      <w:szCs w:val="21"/>
                    </w:rPr>
                  </w:pPr>
                  <w:r>
                    <w:rPr>
                      <w:color w:val="auto"/>
                      <w:szCs w:val="21"/>
                    </w:rPr>
                    <w:t>昼间6</w:t>
                  </w:r>
                  <w:r>
                    <w:rPr>
                      <w:rFonts w:hint="eastAsia"/>
                      <w:color w:val="auto"/>
                      <w:szCs w:val="21"/>
                    </w:rPr>
                    <w:t>0</w:t>
                  </w:r>
                  <w:r>
                    <w:rPr>
                      <w:color w:val="auto"/>
                      <w:szCs w:val="21"/>
                    </w:rPr>
                    <w:t>；夜间5</w:t>
                  </w:r>
                  <w:r>
                    <w:rPr>
                      <w:rFonts w:hint="eastAsia"/>
                      <w:color w:val="auto"/>
                      <w:szCs w:val="21"/>
                    </w:rPr>
                    <w:t>0</w:t>
                  </w:r>
                </w:p>
              </w:tc>
              <w:tc>
                <w:tcPr>
                  <w:tcW w:w="3748" w:type="dxa"/>
                  <w:tcBorders>
                    <w:right w:val="nil"/>
                  </w:tcBorders>
                  <w:vAlign w:val="center"/>
                </w:tcPr>
                <w:p>
                  <w:pPr>
                    <w:autoSpaceDE w:val="0"/>
                    <w:autoSpaceDN w:val="0"/>
                    <w:adjustRightInd w:val="0"/>
                    <w:snapToGrid w:val="0"/>
                    <w:jc w:val="center"/>
                    <w:rPr>
                      <w:color w:val="auto"/>
                      <w:szCs w:val="21"/>
                    </w:rPr>
                  </w:pPr>
                  <w:r>
                    <w:rPr>
                      <w:color w:val="auto"/>
                      <w:szCs w:val="21"/>
                    </w:rPr>
                    <w:t>《工业企业厂界环境噪声排放标准》（GB12348-2008）</w:t>
                  </w:r>
                </w:p>
              </w:tc>
            </w:tr>
          </w:tbl>
          <w:p>
            <w:pPr>
              <w:adjustRightInd w:val="0"/>
              <w:snapToGrid w:val="0"/>
              <w:spacing w:line="480" w:lineRule="exact"/>
              <w:ind w:firstLine="482" w:firstLineChars="200"/>
              <w:textAlignment w:val="baseline"/>
              <w:rPr>
                <w:b/>
                <w:bCs/>
                <w:color w:val="auto"/>
                <w:kern w:val="0"/>
                <w:sz w:val="24"/>
              </w:rPr>
            </w:pPr>
            <w:r>
              <w:rPr>
                <w:rFonts w:hint="eastAsia"/>
                <w:b/>
                <w:bCs/>
                <w:color w:val="auto"/>
                <w:kern w:val="0"/>
                <w:sz w:val="24"/>
              </w:rPr>
              <w:t>4</w:t>
            </w:r>
            <w:r>
              <w:rPr>
                <w:b/>
                <w:bCs/>
                <w:color w:val="auto"/>
                <w:kern w:val="0"/>
                <w:sz w:val="24"/>
              </w:rPr>
              <w:t>固体废物排放标准</w:t>
            </w:r>
          </w:p>
          <w:p>
            <w:pPr>
              <w:spacing w:line="480" w:lineRule="exact"/>
              <w:ind w:firstLine="480" w:firstLineChars="200"/>
              <w:rPr>
                <w:color w:val="auto"/>
                <w:sz w:val="24"/>
                <w:lang w:val="zh-CN"/>
              </w:rPr>
            </w:pPr>
            <w:r>
              <w:rPr>
                <w:color w:val="auto"/>
                <w:sz w:val="24"/>
                <w:lang w:val="zh-CN"/>
              </w:rPr>
              <w:t>一般</w:t>
            </w:r>
            <w:r>
              <w:rPr>
                <w:color w:val="auto"/>
                <w:kern w:val="24"/>
                <w:sz w:val="24"/>
              </w:rPr>
              <w:t>固体废物执行《中华人民共和国固体废物污染环境防治法》中</w:t>
            </w:r>
            <w:r>
              <w:rPr>
                <w:rFonts w:hint="eastAsia"/>
                <w:color w:val="auto"/>
                <w:kern w:val="24"/>
                <w:sz w:val="24"/>
              </w:rPr>
              <w:t>相关规定</w:t>
            </w:r>
            <w:r>
              <w:rPr>
                <w:color w:val="auto"/>
                <w:kern w:val="0"/>
                <w:sz w:val="24"/>
              </w:rPr>
              <w:t>。</w:t>
            </w:r>
          </w:p>
          <w:p>
            <w:pPr>
              <w:widowControl/>
              <w:spacing w:line="500" w:lineRule="exact"/>
              <w:ind w:firstLine="480" w:firstLineChars="200"/>
              <w:rPr>
                <w:bCs/>
                <w:color w:val="auto"/>
                <w:sz w:val="24"/>
              </w:rPr>
            </w:pPr>
            <w:r>
              <w:rPr>
                <w:rFonts w:hint="eastAsia"/>
                <w:color w:val="auto"/>
                <w:kern w:val="0"/>
                <w:sz w:val="24"/>
              </w:rPr>
              <w:t>危险废物执行《危险废物贮存污染控制标准》（GB 18597-2023）</w:t>
            </w:r>
            <w:r>
              <w:rPr>
                <w:color w:val="auto"/>
                <w:sz w:val="24"/>
                <w:lang w:val="zh-CN"/>
              </w:rPr>
              <w:t>。</w:t>
            </w:r>
            <w:bookmarkEnd w:id="17"/>
            <w:bookmarkEnd w:id="18"/>
          </w:p>
          <w:p>
            <w:pPr>
              <w:widowControl/>
              <w:spacing w:line="500" w:lineRule="exact"/>
              <w:ind w:firstLine="480" w:firstLineChars="200"/>
              <w:rPr>
                <w:bCs/>
                <w:color w:val="auto"/>
                <w:sz w:val="24"/>
              </w:rPr>
            </w:pPr>
          </w:p>
          <w:p>
            <w:pPr>
              <w:widowControl/>
              <w:spacing w:line="500" w:lineRule="exact"/>
              <w:ind w:firstLine="480" w:firstLineChars="200"/>
              <w:rPr>
                <w:bCs/>
                <w:color w:val="auto"/>
                <w:sz w:val="24"/>
              </w:rPr>
            </w:pPr>
          </w:p>
          <w:p>
            <w:pPr>
              <w:widowControl/>
              <w:spacing w:line="500" w:lineRule="exact"/>
              <w:ind w:firstLine="480" w:firstLineChars="200"/>
              <w:rPr>
                <w:bCs/>
                <w:color w:val="auto"/>
                <w:sz w:val="24"/>
              </w:rPr>
            </w:pPr>
          </w:p>
          <w:p>
            <w:pPr>
              <w:widowControl/>
              <w:spacing w:line="500" w:lineRule="exact"/>
              <w:ind w:firstLine="480" w:firstLineChars="200"/>
              <w:rPr>
                <w:bCs/>
                <w:color w:val="auto"/>
                <w:sz w:val="24"/>
              </w:rPr>
            </w:pPr>
          </w:p>
          <w:p>
            <w:pPr>
              <w:widowControl/>
              <w:spacing w:line="500" w:lineRule="exact"/>
              <w:ind w:firstLine="480" w:firstLineChars="200"/>
              <w:rPr>
                <w:bCs/>
                <w:color w:val="auto"/>
                <w:sz w:val="24"/>
              </w:rPr>
            </w:pPr>
          </w:p>
          <w:p>
            <w:pPr>
              <w:widowControl/>
              <w:spacing w:line="500" w:lineRule="exact"/>
              <w:ind w:firstLine="480" w:firstLineChars="200"/>
              <w:rPr>
                <w:bCs/>
                <w:color w:val="auto"/>
                <w:sz w:val="24"/>
              </w:rPr>
            </w:pPr>
          </w:p>
          <w:p>
            <w:pPr>
              <w:widowControl/>
              <w:spacing w:line="500" w:lineRule="exact"/>
              <w:ind w:firstLine="480" w:firstLineChars="200"/>
              <w:rPr>
                <w:bCs/>
                <w:color w:val="auto"/>
                <w:sz w:val="24"/>
              </w:rPr>
            </w:pPr>
          </w:p>
          <w:p>
            <w:pPr>
              <w:widowControl/>
              <w:spacing w:line="500" w:lineRule="exact"/>
              <w:ind w:firstLine="480" w:firstLineChars="200"/>
              <w:rPr>
                <w:bCs/>
                <w:color w:val="auto"/>
                <w:sz w:val="24"/>
              </w:rPr>
            </w:pPr>
          </w:p>
          <w:p>
            <w:pPr>
              <w:widowControl/>
              <w:spacing w:line="500" w:lineRule="exact"/>
              <w:rPr>
                <w:color w:val="auto"/>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54" w:hRule="atLeast"/>
          <w:jc w:val="center"/>
        </w:trPr>
        <w:tc>
          <w:tcPr>
            <w:tcW w:w="515" w:type="dxa"/>
            <w:tcMar>
              <w:left w:w="28" w:type="dxa"/>
              <w:right w:w="28" w:type="dxa"/>
            </w:tcMar>
            <w:vAlign w:val="center"/>
          </w:tcPr>
          <w:p>
            <w:pPr>
              <w:keepNext/>
              <w:widowControl/>
              <w:adjustRightInd w:val="0"/>
              <w:snapToGrid w:val="0"/>
              <w:spacing w:line="480" w:lineRule="exact"/>
              <w:jc w:val="center"/>
              <w:rPr>
                <w:color w:val="auto"/>
                <w:kern w:val="0"/>
                <w:sz w:val="24"/>
              </w:rPr>
            </w:pPr>
            <w:r>
              <w:rPr>
                <w:color w:val="auto"/>
                <w:kern w:val="0"/>
                <w:sz w:val="24"/>
              </w:rPr>
              <w:t>总</w:t>
            </w:r>
          </w:p>
          <w:p>
            <w:pPr>
              <w:keepNext/>
              <w:widowControl/>
              <w:adjustRightInd w:val="0"/>
              <w:snapToGrid w:val="0"/>
              <w:spacing w:line="480" w:lineRule="exact"/>
              <w:jc w:val="center"/>
              <w:rPr>
                <w:color w:val="auto"/>
                <w:kern w:val="0"/>
                <w:sz w:val="24"/>
              </w:rPr>
            </w:pPr>
            <w:r>
              <w:rPr>
                <w:color w:val="auto"/>
                <w:kern w:val="0"/>
                <w:sz w:val="24"/>
              </w:rPr>
              <w:t>量</w:t>
            </w:r>
          </w:p>
          <w:p>
            <w:pPr>
              <w:keepNext/>
              <w:widowControl/>
              <w:adjustRightInd w:val="0"/>
              <w:snapToGrid w:val="0"/>
              <w:spacing w:line="480" w:lineRule="exact"/>
              <w:jc w:val="center"/>
              <w:rPr>
                <w:color w:val="auto"/>
                <w:kern w:val="0"/>
                <w:sz w:val="24"/>
              </w:rPr>
            </w:pPr>
            <w:r>
              <w:rPr>
                <w:color w:val="auto"/>
                <w:kern w:val="0"/>
                <w:sz w:val="24"/>
              </w:rPr>
              <w:t>控</w:t>
            </w:r>
          </w:p>
          <w:p>
            <w:pPr>
              <w:keepNext/>
              <w:widowControl/>
              <w:adjustRightInd w:val="0"/>
              <w:snapToGrid w:val="0"/>
              <w:spacing w:line="480" w:lineRule="exact"/>
              <w:jc w:val="center"/>
              <w:rPr>
                <w:color w:val="auto"/>
                <w:kern w:val="0"/>
                <w:sz w:val="24"/>
              </w:rPr>
            </w:pPr>
            <w:r>
              <w:rPr>
                <w:color w:val="auto"/>
                <w:kern w:val="0"/>
                <w:sz w:val="24"/>
              </w:rPr>
              <w:t>制</w:t>
            </w:r>
          </w:p>
          <w:p>
            <w:pPr>
              <w:keepNext/>
              <w:widowControl/>
              <w:adjustRightInd w:val="0"/>
              <w:snapToGrid w:val="0"/>
              <w:spacing w:line="480" w:lineRule="exact"/>
              <w:jc w:val="center"/>
              <w:rPr>
                <w:color w:val="auto"/>
                <w:kern w:val="0"/>
                <w:sz w:val="24"/>
              </w:rPr>
            </w:pPr>
            <w:r>
              <w:rPr>
                <w:color w:val="auto"/>
                <w:kern w:val="0"/>
                <w:sz w:val="24"/>
              </w:rPr>
              <w:t>指</w:t>
            </w:r>
          </w:p>
          <w:p>
            <w:pPr>
              <w:keepNext/>
              <w:widowControl/>
              <w:adjustRightInd w:val="0"/>
              <w:snapToGrid w:val="0"/>
              <w:spacing w:line="480" w:lineRule="exact"/>
              <w:jc w:val="center"/>
              <w:rPr>
                <w:color w:val="auto"/>
                <w:kern w:val="0"/>
                <w:sz w:val="24"/>
              </w:rPr>
            </w:pPr>
            <w:r>
              <w:rPr>
                <w:color w:val="auto"/>
                <w:kern w:val="0"/>
                <w:sz w:val="24"/>
              </w:rPr>
              <w:t>标</w:t>
            </w:r>
          </w:p>
        </w:tc>
        <w:tc>
          <w:tcPr>
            <w:tcW w:w="8544" w:type="dxa"/>
            <w:vAlign w:val="center"/>
          </w:tcPr>
          <w:p>
            <w:pPr>
              <w:spacing w:line="480" w:lineRule="exact"/>
              <w:ind w:firstLine="480" w:firstLineChars="200"/>
              <w:rPr>
                <w:color w:val="auto"/>
                <w:sz w:val="24"/>
              </w:rPr>
            </w:pPr>
            <w:r>
              <w:rPr>
                <w:color w:val="auto"/>
                <w:sz w:val="24"/>
              </w:rPr>
              <w:t>根据《关于印发&lt;建设项目主要污染物排放总量指标审核及管理暂行办法&gt;的通知》(环发[2014]197号)规定：“火电、钢铁、水泥、造纸、印染行业建设项目所需替代的主要污染物排放总量指标采用绩效方法核定。其他行业依据国家或地方污染物排放标准及单位产品基准排水量(行业最高允许排水量)、烟气量等予以核定。”本项目污染物排放总量按照国家或地方污染物排放标准核定。</w:t>
            </w:r>
          </w:p>
          <w:p>
            <w:pPr>
              <w:spacing w:line="480" w:lineRule="exact"/>
              <w:ind w:firstLine="480" w:firstLineChars="200"/>
              <w:rPr>
                <w:color w:val="auto"/>
                <w:sz w:val="24"/>
              </w:rPr>
            </w:pPr>
            <w:r>
              <w:rPr>
                <w:color w:val="auto"/>
                <w:sz w:val="24"/>
              </w:rPr>
              <w:t>（1）大气污染物总量控制目标值的确定</w:t>
            </w:r>
          </w:p>
          <w:p>
            <w:pPr>
              <w:spacing w:line="480" w:lineRule="exact"/>
              <w:ind w:firstLine="480" w:firstLineChars="200"/>
              <w:rPr>
                <w:color w:val="auto"/>
                <w:sz w:val="24"/>
              </w:rPr>
            </w:pPr>
            <w:r>
              <w:rPr>
                <w:rFonts w:hint="eastAsia"/>
                <w:color w:val="auto"/>
                <w:sz w:val="24"/>
              </w:rPr>
              <w:t>本项目废气污染源污染因子不涉及二氧化硫和氮氧化物，因此本评价建议大气污染物总量控制目标值为：二氧化硫0t/a、氮氧化物0t/a。</w:t>
            </w:r>
          </w:p>
          <w:p>
            <w:pPr>
              <w:spacing w:line="480" w:lineRule="exact"/>
              <w:ind w:firstLine="480" w:firstLineChars="200"/>
              <w:rPr>
                <w:color w:val="auto"/>
                <w:sz w:val="24"/>
              </w:rPr>
            </w:pPr>
            <w:r>
              <w:rPr>
                <w:rFonts w:hint="eastAsia"/>
                <w:color w:val="auto"/>
                <w:sz w:val="24"/>
              </w:rPr>
              <w:t>特征污染物颗粒物排放总量计算过程如下：</w:t>
            </w:r>
          </w:p>
          <w:p>
            <w:pPr>
              <w:spacing w:line="480" w:lineRule="exact"/>
              <w:ind w:firstLine="480" w:firstLineChars="200"/>
              <w:jc w:val="left"/>
              <w:rPr>
                <w:color w:val="auto"/>
                <w:kern w:val="0"/>
                <w:sz w:val="24"/>
              </w:rPr>
            </w:pPr>
            <w:r>
              <w:rPr>
                <w:rFonts w:hint="eastAsia"/>
                <w:bCs/>
                <w:color w:val="auto"/>
                <w:sz w:val="24"/>
              </w:rPr>
              <w:t>颗粒物：</w:t>
            </w:r>
            <w:r>
              <w:rPr>
                <w:rFonts w:hint="eastAsia"/>
                <w:color w:val="auto"/>
                <w:sz w:val="24"/>
              </w:rPr>
              <w:t>10</w:t>
            </w:r>
            <w:r>
              <w:rPr>
                <w:color w:val="auto"/>
                <w:sz w:val="24"/>
              </w:rPr>
              <w:t>mg/</w:t>
            </w:r>
            <w:r>
              <w:rPr>
                <w:color w:val="auto"/>
                <w:kern w:val="24"/>
                <w:sz w:val="24"/>
              </w:rPr>
              <w:t>m</w:t>
            </w:r>
            <w:r>
              <w:rPr>
                <w:color w:val="auto"/>
                <w:kern w:val="24"/>
                <w:sz w:val="24"/>
                <w:vertAlign w:val="superscript"/>
              </w:rPr>
              <w:t>3</w:t>
            </w:r>
            <w:r>
              <w:rPr>
                <w:bCs/>
                <w:snapToGrid w:val="0"/>
                <w:color w:val="auto"/>
                <w:kern w:val="0"/>
                <w:sz w:val="24"/>
              </w:rPr>
              <w:t>×</w:t>
            </w:r>
            <w:r>
              <w:rPr>
                <w:rFonts w:hint="eastAsia"/>
                <w:color w:val="auto"/>
                <w:sz w:val="24"/>
              </w:rPr>
              <w:t>27840万m</w:t>
            </w:r>
            <w:r>
              <w:rPr>
                <w:rFonts w:hint="eastAsia"/>
                <w:color w:val="auto"/>
                <w:sz w:val="24"/>
                <w:vertAlign w:val="superscript"/>
              </w:rPr>
              <w:t>3</w:t>
            </w:r>
            <w:r>
              <w:rPr>
                <w:rFonts w:hint="eastAsia"/>
                <w:color w:val="auto"/>
                <w:sz w:val="24"/>
              </w:rPr>
              <w:t>/a=2.784</w:t>
            </w:r>
            <w:r>
              <w:rPr>
                <w:color w:val="auto"/>
                <w:kern w:val="0"/>
                <w:sz w:val="24"/>
              </w:rPr>
              <w:t>t/a</w:t>
            </w:r>
            <w:r>
              <w:rPr>
                <w:rFonts w:hint="eastAsia"/>
                <w:color w:val="auto"/>
                <w:kern w:val="0"/>
                <w:sz w:val="24"/>
              </w:rPr>
              <w:t>；</w:t>
            </w:r>
          </w:p>
          <w:p>
            <w:pPr>
              <w:spacing w:line="480" w:lineRule="exact"/>
              <w:ind w:firstLine="480" w:firstLineChars="200"/>
              <w:rPr>
                <w:color w:val="auto"/>
                <w:sz w:val="24"/>
              </w:rPr>
            </w:pPr>
            <w:r>
              <w:rPr>
                <w:rFonts w:hint="eastAsia"/>
                <w:color w:val="auto"/>
                <w:sz w:val="24"/>
              </w:rPr>
              <w:t>（2）</w:t>
            </w:r>
            <w:r>
              <w:rPr>
                <w:color w:val="auto"/>
                <w:sz w:val="24"/>
              </w:rPr>
              <w:t>废水污染物总量控制目标值的确定</w:t>
            </w:r>
          </w:p>
          <w:p>
            <w:pPr>
              <w:adjustRightInd w:val="0"/>
              <w:snapToGrid w:val="0"/>
              <w:spacing w:line="460" w:lineRule="exact"/>
              <w:ind w:firstLine="480" w:firstLineChars="200"/>
              <w:rPr>
                <w:color w:val="auto"/>
                <w:sz w:val="24"/>
              </w:rPr>
            </w:pPr>
            <w:r>
              <w:rPr>
                <w:rFonts w:hint="eastAsia"/>
                <w:color w:val="auto"/>
                <w:sz w:val="24"/>
              </w:rPr>
              <w:t>本项目无生产废水外排，生活污水泼洒抑尘、不外排</w:t>
            </w:r>
            <w:r>
              <w:rPr>
                <w:color w:val="auto"/>
                <w:sz w:val="24"/>
              </w:rPr>
              <w:t>。因此本评价建议废水污染物总量控制目标值</w:t>
            </w:r>
            <w:r>
              <w:rPr>
                <w:rFonts w:hint="eastAsia"/>
                <w:color w:val="auto"/>
                <w:sz w:val="24"/>
              </w:rPr>
              <w:t>为：</w:t>
            </w:r>
            <w:r>
              <w:rPr>
                <w:color w:val="auto"/>
                <w:sz w:val="24"/>
              </w:rPr>
              <w:t>COD 0t/a、氨氮 0t/a。</w:t>
            </w:r>
          </w:p>
          <w:p>
            <w:pPr>
              <w:pStyle w:val="32"/>
              <w:spacing w:after="0" w:line="460" w:lineRule="exact"/>
              <w:ind w:left="0" w:leftChars="0" w:firstLine="0" w:firstLineChars="0"/>
              <w:jc w:val="center"/>
              <w:rPr>
                <w:b/>
                <w:bCs/>
                <w:color w:val="auto"/>
                <w:sz w:val="24"/>
                <w:szCs w:val="22"/>
              </w:rPr>
            </w:pPr>
          </w:p>
          <w:p>
            <w:pPr>
              <w:adjustRightInd w:val="0"/>
              <w:snapToGrid w:val="0"/>
              <w:spacing w:line="460" w:lineRule="exact"/>
              <w:ind w:firstLine="480" w:firstLineChars="200"/>
              <w:rPr>
                <w:color w:val="auto"/>
                <w:kern w:val="0"/>
                <w:sz w:val="24"/>
                <w:szCs w:val="22"/>
              </w:rPr>
            </w:pPr>
          </w:p>
          <w:p>
            <w:pPr>
              <w:adjustRightInd w:val="0"/>
              <w:snapToGrid w:val="0"/>
              <w:spacing w:line="460" w:lineRule="exact"/>
              <w:ind w:firstLine="480" w:firstLineChars="200"/>
              <w:rPr>
                <w:color w:val="auto"/>
                <w:kern w:val="0"/>
                <w:sz w:val="24"/>
                <w:szCs w:val="22"/>
              </w:rPr>
            </w:pPr>
          </w:p>
          <w:p>
            <w:pPr>
              <w:adjustRightInd w:val="0"/>
              <w:snapToGrid w:val="0"/>
              <w:spacing w:line="460" w:lineRule="exact"/>
              <w:ind w:firstLine="480" w:firstLineChars="200"/>
              <w:rPr>
                <w:color w:val="auto"/>
                <w:kern w:val="0"/>
                <w:sz w:val="24"/>
                <w:szCs w:val="22"/>
              </w:rPr>
            </w:pPr>
          </w:p>
          <w:p>
            <w:pPr>
              <w:adjustRightInd w:val="0"/>
              <w:snapToGrid w:val="0"/>
              <w:spacing w:line="460" w:lineRule="exact"/>
              <w:ind w:firstLine="480" w:firstLineChars="200"/>
              <w:rPr>
                <w:color w:val="auto"/>
                <w:kern w:val="0"/>
                <w:sz w:val="24"/>
                <w:szCs w:val="22"/>
              </w:rPr>
            </w:pPr>
          </w:p>
          <w:p>
            <w:pPr>
              <w:adjustRightInd w:val="0"/>
              <w:snapToGrid w:val="0"/>
              <w:spacing w:line="460" w:lineRule="exact"/>
              <w:ind w:firstLine="480" w:firstLineChars="200"/>
              <w:rPr>
                <w:color w:val="auto"/>
                <w:kern w:val="0"/>
                <w:sz w:val="24"/>
                <w:szCs w:val="22"/>
              </w:rPr>
            </w:pPr>
          </w:p>
          <w:p>
            <w:pPr>
              <w:adjustRightInd w:val="0"/>
              <w:snapToGrid w:val="0"/>
              <w:spacing w:line="460" w:lineRule="exact"/>
              <w:ind w:firstLine="480" w:firstLineChars="200"/>
              <w:rPr>
                <w:color w:val="auto"/>
                <w:kern w:val="0"/>
                <w:sz w:val="24"/>
                <w:szCs w:val="22"/>
              </w:rPr>
            </w:pPr>
          </w:p>
          <w:p>
            <w:pPr>
              <w:adjustRightInd w:val="0"/>
              <w:snapToGrid w:val="0"/>
              <w:spacing w:line="460" w:lineRule="exact"/>
              <w:ind w:firstLine="480" w:firstLineChars="200"/>
              <w:rPr>
                <w:color w:val="auto"/>
                <w:kern w:val="0"/>
                <w:sz w:val="24"/>
                <w:szCs w:val="22"/>
              </w:rPr>
            </w:pPr>
          </w:p>
          <w:p>
            <w:pPr>
              <w:adjustRightInd w:val="0"/>
              <w:snapToGrid w:val="0"/>
              <w:spacing w:line="460" w:lineRule="exact"/>
              <w:ind w:firstLine="480" w:firstLineChars="200"/>
              <w:rPr>
                <w:color w:val="auto"/>
                <w:kern w:val="0"/>
                <w:sz w:val="24"/>
                <w:szCs w:val="22"/>
              </w:rPr>
            </w:pPr>
          </w:p>
          <w:p>
            <w:pPr>
              <w:adjustRightInd w:val="0"/>
              <w:snapToGrid w:val="0"/>
              <w:spacing w:line="460" w:lineRule="exact"/>
              <w:ind w:firstLine="480" w:firstLineChars="200"/>
              <w:rPr>
                <w:color w:val="auto"/>
                <w:kern w:val="0"/>
                <w:sz w:val="24"/>
                <w:szCs w:val="22"/>
              </w:rPr>
            </w:pPr>
          </w:p>
          <w:p>
            <w:pPr>
              <w:adjustRightInd w:val="0"/>
              <w:snapToGrid w:val="0"/>
              <w:spacing w:line="460" w:lineRule="exact"/>
              <w:ind w:firstLine="480" w:firstLineChars="200"/>
              <w:rPr>
                <w:color w:val="auto"/>
                <w:kern w:val="0"/>
                <w:sz w:val="24"/>
                <w:szCs w:val="22"/>
              </w:rPr>
            </w:pPr>
          </w:p>
          <w:p>
            <w:pPr>
              <w:adjustRightInd w:val="0"/>
              <w:snapToGrid w:val="0"/>
              <w:spacing w:line="460" w:lineRule="exact"/>
              <w:ind w:firstLine="480" w:firstLineChars="200"/>
              <w:rPr>
                <w:color w:val="auto"/>
                <w:kern w:val="0"/>
                <w:sz w:val="24"/>
                <w:szCs w:val="22"/>
              </w:rPr>
            </w:pPr>
          </w:p>
          <w:p>
            <w:pPr>
              <w:adjustRightInd w:val="0"/>
              <w:snapToGrid w:val="0"/>
              <w:spacing w:line="460" w:lineRule="exact"/>
              <w:ind w:firstLine="480" w:firstLineChars="200"/>
              <w:rPr>
                <w:color w:val="auto"/>
                <w:kern w:val="0"/>
                <w:sz w:val="24"/>
                <w:szCs w:val="22"/>
              </w:rPr>
            </w:pPr>
          </w:p>
          <w:p>
            <w:pPr>
              <w:adjustRightInd w:val="0"/>
              <w:snapToGrid w:val="0"/>
              <w:spacing w:line="500" w:lineRule="exact"/>
              <w:rPr>
                <w:color w:val="auto"/>
                <w:kern w:val="0"/>
                <w:szCs w:val="21"/>
              </w:rPr>
            </w:pPr>
          </w:p>
        </w:tc>
      </w:tr>
    </w:tbl>
    <w:p>
      <w:pPr>
        <w:pStyle w:val="29"/>
        <w:keepNext/>
        <w:widowControl w:val="0"/>
        <w:jc w:val="center"/>
        <w:rPr>
          <w:rFonts w:ascii="Times New Roman" w:hAnsi="Times New Roman" w:eastAsia="黑体"/>
          <w:snapToGrid w:val="0"/>
          <w:color w:val="auto"/>
          <w:sz w:val="30"/>
          <w:szCs w:val="30"/>
        </w:rPr>
      </w:pPr>
    </w:p>
    <w:p>
      <w:pPr>
        <w:pStyle w:val="19"/>
        <w:rPr>
          <w:color w:val="auto"/>
        </w:rPr>
        <w:sectPr>
          <w:pgSz w:w="11905" w:h="16838"/>
          <w:pgMar w:top="1701" w:right="1531" w:bottom="1701" w:left="1531" w:header="851" w:footer="1077" w:gutter="0"/>
          <w:cols w:space="720" w:num="1"/>
          <w:docGrid w:linePitch="312" w:charSpace="0"/>
        </w:sectPr>
      </w:pPr>
    </w:p>
    <w:p>
      <w:pPr>
        <w:pStyle w:val="29"/>
        <w:numPr>
          <w:ilvl w:val="0"/>
          <w:numId w:val="3"/>
        </w:numPr>
        <w:jc w:val="center"/>
        <w:outlineLvl w:val="0"/>
        <w:rPr>
          <w:rFonts w:ascii="Times New Roman" w:hAnsi="Times New Roman" w:eastAsia="黑体"/>
          <w:snapToGrid w:val="0"/>
          <w:color w:val="auto"/>
          <w:sz w:val="30"/>
          <w:szCs w:val="30"/>
        </w:rPr>
      </w:pPr>
      <w:r>
        <w:rPr>
          <w:rFonts w:ascii="Times New Roman" w:hAnsi="Times New Roman" w:eastAsia="黑体"/>
          <w:snapToGrid w:val="0"/>
          <w:color w:val="auto"/>
          <w:sz w:val="30"/>
          <w:szCs w:val="30"/>
        </w:rPr>
        <w:t>主要环境影响和保护措施</w:t>
      </w:r>
      <w:bookmarkEnd w:id="15"/>
      <w:bookmarkEnd w:id="16"/>
    </w:p>
    <w:tbl>
      <w:tblPr>
        <w:tblStyle w:val="34"/>
        <w:tblW w:w="0" w:type="auto"/>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pPr>
              <w:adjustRightInd w:val="0"/>
              <w:snapToGrid w:val="0"/>
              <w:jc w:val="center"/>
              <w:rPr>
                <w:rFonts w:cs="宋体"/>
                <w:bCs/>
                <w:color w:val="auto"/>
                <w:sz w:val="24"/>
              </w:rPr>
            </w:pPr>
            <w:r>
              <w:rPr>
                <w:rFonts w:cs="宋体"/>
                <w:bCs/>
                <w:color w:val="auto"/>
                <w:sz w:val="24"/>
              </w:rPr>
              <w:t>施工期环境保护</w:t>
            </w:r>
            <w:r>
              <w:rPr>
                <w:rFonts w:hint="eastAsia" w:cs="宋体"/>
                <w:bCs/>
                <w:color w:val="auto"/>
                <w:sz w:val="24"/>
              </w:rPr>
              <w:t>措施</w:t>
            </w:r>
          </w:p>
        </w:tc>
        <w:tc>
          <w:tcPr>
            <w:tcW w:w="12648" w:type="dxa"/>
          </w:tcPr>
          <w:p>
            <w:pPr>
              <w:spacing w:before="240" w:line="480" w:lineRule="exact"/>
              <w:ind w:firstLine="480" w:firstLineChars="200"/>
              <w:rPr>
                <w:color w:val="auto"/>
                <w:sz w:val="24"/>
              </w:rPr>
            </w:pPr>
            <w:r>
              <w:rPr>
                <w:rFonts w:hint="eastAsia"/>
                <w:color w:val="auto"/>
                <w:sz w:val="24"/>
              </w:rPr>
              <w:t>本项目租用现有车间利旧改新进行建设。施工期基本不涉及土建施工，施工期主要工程内容为车间内部结构改造、设备安装，施工周期相对较短，施工期环境影响主要为施工期废水和噪声影响、固体废物影响。</w:t>
            </w:r>
          </w:p>
          <w:p>
            <w:pPr>
              <w:spacing w:line="480" w:lineRule="exact"/>
              <w:ind w:firstLine="480" w:firstLineChars="200"/>
              <w:rPr>
                <w:color w:val="auto"/>
                <w:sz w:val="24"/>
              </w:rPr>
            </w:pPr>
            <w:r>
              <w:rPr>
                <w:rFonts w:hint="eastAsia"/>
                <w:color w:val="auto"/>
                <w:sz w:val="24"/>
              </w:rPr>
              <w:t>1</w:t>
            </w:r>
            <w:r>
              <w:rPr>
                <w:color w:val="auto"/>
                <w:sz w:val="24"/>
              </w:rPr>
              <w:t>、施工期废水影响分析</w:t>
            </w:r>
          </w:p>
          <w:p>
            <w:pPr>
              <w:spacing w:line="480" w:lineRule="exact"/>
              <w:ind w:firstLine="480" w:firstLineChars="200"/>
              <w:rPr>
                <w:color w:val="auto"/>
                <w:sz w:val="24"/>
              </w:rPr>
            </w:pPr>
            <w:r>
              <w:rPr>
                <w:rFonts w:hint="eastAsia"/>
                <w:color w:val="auto"/>
                <w:sz w:val="24"/>
              </w:rPr>
              <w:t>本项目</w:t>
            </w:r>
            <w:r>
              <w:rPr>
                <w:color w:val="auto"/>
                <w:sz w:val="24"/>
              </w:rPr>
              <w:t>施工期产生的废水主要是清洗车辆废水和施工人员产生的少量生活污水。由于清洗车辆产生的废水量较小，且主要污染物为泥沙，采取施工过程中在临时施工区设置沉淀池，生产废水经沉淀池净化后，全部回用，不外排。生活污水主要为施工人员洗漱用水，</w:t>
            </w:r>
            <w:r>
              <w:rPr>
                <w:rFonts w:hint="eastAsia"/>
                <w:color w:val="auto"/>
                <w:sz w:val="24"/>
              </w:rPr>
              <w:t>直接泼洒地面抑尘</w:t>
            </w:r>
            <w:r>
              <w:rPr>
                <w:color w:val="auto"/>
                <w:sz w:val="24"/>
              </w:rPr>
              <w:t>，不会对周边环境产生明显影响。</w:t>
            </w:r>
          </w:p>
          <w:p>
            <w:pPr>
              <w:spacing w:line="480" w:lineRule="exact"/>
              <w:ind w:firstLine="480" w:firstLineChars="200"/>
              <w:rPr>
                <w:color w:val="auto"/>
                <w:sz w:val="24"/>
              </w:rPr>
            </w:pPr>
            <w:r>
              <w:rPr>
                <w:rFonts w:hint="eastAsia"/>
                <w:color w:val="auto"/>
                <w:sz w:val="24"/>
              </w:rPr>
              <w:t>2</w:t>
            </w:r>
            <w:r>
              <w:rPr>
                <w:color w:val="auto"/>
                <w:sz w:val="24"/>
              </w:rPr>
              <w:t>、施工期噪声影响分析</w:t>
            </w:r>
          </w:p>
          <w:p>
            <w:pPr>
              <w:spacing w:line="480" w:lineRule="exact"/>
              <w:ind w:firstLine="480" w:firstLineChars="200"/>
              <w:rPr>
                <w:color w:val="auto"/>
                <w:sz w:val="24"/>
              </w:rPr>
            </w:pPr>
            <w:r>
              <w:rPr>
                <w:color w:val="auto"/>
                <w:sz w:val="24"/>
              </w:rPr>
              <w:t>施工噪声主要为设备吊装等施工机械产生的噪声。</w:t>
            </w:r>
          </w:p>
          <w:p>
            <w:pPr>
              <w:spacing w:line="480" w:lineRule="exact"/>
              <w:ind w:firstLine="480" w:firstLineChars="200"/>
              <w:rPr>
                <w:color w:val="auto"/>
                <w:sz w:val="24"/>
              </w:rPr>
            </w:pPr>
            <w:r>
              <w:rPr>
                <w:color w:val="auto"/>
                <w:sz w:val="24"/>
              </w:rPr>
              <w:t>本评价提出以下几点建议：</w:t>
            </w:r>
          </w:p>
          <w:p>
            <w:pPr>
              <w:numPr>
                <w:ilvl w:val="0"/>
                <w:numId w:val="4"/>
              </w:numPr>
              <w:spacing w:line="480" w:lineRule="exact"/>
              <w:ind w:firstLine="480" w:firstLineChars="200"/>
              <w:rPr>
                <w:color w:val="auto"/>
                <w:sz w:val="24"/>
              </w:rPr>
            </w:pPr>
            <w:r>
              <w:rPr>
                <w:color w:val="auto"/>
                <w:sz w:val="24"/>
              </w:rPr>
              <w:t>合理安排施工时间，尽量减轻对周围声环境的影响；</w:t>
            </w:r>
          </w:p>
          <w:p>
            <w:pPr>
              <w:numPr>
                <w:ilvl w:val="0"/>
                <w:numId w:val="4"/>
              </w:numPr>
              <w:spacing w:line="480" w:lineRule="exact"/>
              <w:ind w:firstLine="480" w:firstLineChars="200"/>
              <w:rPr>
                <w:color w:val="auto"/>
                <w:sz w:val="24"/>
              </w:rPr>
            </w:pPr>
            <w:r>
              <w:rPr>
                <w:color w:val="auto"/>
                <w:sz w:val="24"/>
              </w:rPr>
              <w:t>利用距离衰减措施，在不影响施工情况下，将强噪声设备尽量分散布置使用；</w:t>
            </w:r>
          </w:p>
          <w:p>
            <w:pPr>
              <w:numPr>
                <w:ilvl w:val="0"/>
                <w:numId w:val="4"/>
              </w:numPr>
              <w:spacing w:line="480" w:lineRule="exact"/>
              <w:ind w:firstLine="480" w:firstLineChars="200"/>
              <w:rPr>
                <w:color w:val="auto"/>
                <w:sz w:val="24"/>
              </w:rPr>
            </w:pPr>
            <w:r>
              <w:rPr>
                <w:color w:val="auto"/>
                <w:sz w:val="24"/>
              </w:rPr>
              <w:t>车辆出入现场时应低速、禁鸣；</w:t>
            </w:r>
          </w:p>
          <w:p>
            <w:pPr>
              <w:spacing w:line="480" w:lineRule="exact"/>
              <w:ind w:firstLine="480" w:firstLineChars="200"/>
              <w:rPr>
                <w:color w:val="auto"/>
                <w:sz w:val="24"/>
              </w:rPr>
            </w:pPr>
            <w:r>
              <w:rPr>
                <w:color w:val="auto"/>
                <w:sz w:val="24"/>
              </w:rPr>
              <w:t>(4)土石方或建筑材料、设备运输车辆通过时人口密集区应减速、禁鸣。通过采取以上降噪措施后，可最大限度的降低施工噪声对周围声环境的影响，随着施工期的结束，施工噪声的影响也将结束。</w:t>
            </w:r>
          </w:p>
          <w:p>
            <w:pPr>
              <w:spacing w:line="480" w:lineRule="exact"/>
              <w:ind w:firstLine="480" w:firstLineChars="200"/>
              <w:rPr>
                <w:color w:val="auto"/>
                <w:sz w:val="24"/>
              </w:rPr>
            </w:pPr>
            <w:r>
              <w:rPr>
                <w:rFonts w:hint="eastAsia"/>
                <w:color w:val="auto"/>
                <w:sz w:val="24"/>
              </w:rPr>
              <w:t>3</w:t>
            </w:r>
            <w:r>
              <w:rPr>
                <w:color w:val="auto"/>
                <w:sz w:val="24"/>
              </w:rPr>
              <w:t>、固体废物影响分析</w:t>
            </w:r>
          </w:p>
          <w:p>
            <w:pPr>
              <w:spacing w:line="480" w:lineRule="exact"/>
              <w:ind w:firstLine="480" w:firstLineChars="200"/>
              <w:rPr>
                <w:color w:val="auto"/>
                <w:sz w:val="24"/>
              </w:rPr>
            </w:pPr>
            <w:r>
              <w:rPr>
                <w:rFonts w:hint="eastAsia"/>
                <w:color w:val="auto"/>
                <w:sz w:val="24"/>
              </w:rPr>
              <w:t>本项目</w:t>
            </w:r>
            <w:r>
              <w:rPr>
                <w:color w:val="auto"/>
                <w:sz w:val="24"/>
              </w:rPr>
              <w:t>施工期产生的固体废物主要为施工人员产生的生活垃圾。根据《国家危险废物名录》及《危险废物鉴别标准》(GB5085.1～7-2019)，施工过程中产生的固体废物均属一般固体废物，不属于危险废物。</w:t>
            </w:r>
          </w:p>
          <w:p>
            <w:pPr>
              <w:spacing w:line="480" w:lineRule="exact"/>
              <w:ind w:firstLine="480" w:firstLineChars="200"/>
              <w:rPr>
                <w:color w:val="auto"/>
                <w:sz w:val="24"/>
              </w:rPr>
            </w:pPr>
            <w:r>
              <w:rPr>
                <w:color w:val="auto"/>
                <w:sz w:val="24"/>
              </w:rPr>
              <w:t>施工人员产生的生活垃圾送环卫部门指定地点处置。</w:t>
            </w:r>
          </w:p>
          <w:p>
            <w:pPr>
              <w:spacing w:line="480" w:lineRule="exact"/>
              <w:ind w:firstLine="480" w:firstLineChars="200"/>
              <w:rPr>
                <w:bCs/>
                <w:color w:val="auto"/>
                <w:szCs w:val="21"/>
              </w:rPr>
            </w:pPr>
            <w:r>
              <w:rPr>
                <w:color w:val="auto"/>
                <w:sz w:val="24"/>
              </w:rPr>
              <w:t>综上所述，施工期产生的固体废物全部得到妥善处置，不会对周围环境产生明显影响</w:t>
            </w:r>
            <w:r>
              <w:rPr>
                <w:rFonts w:hint="eastAsia"/>
                <w:bCs/>
                <w:color w:val="auto"/>
                <w:spacing w:val="1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pPr>
              <w:adjustRightInd w:val="0"/>
              <w:snapToGrid w:val="0"/>
              <w:jc w:val="center"/>
              <w:rPr>
                <w:color w:val="auto"/>
                <w:szCs w:val="21"/>
              </w:rPr>
            </w:pPr>
            <w:r>
              <w:rPr>
                <w:rFonts w:hint="eastAsia" w:cs="宋体"/>
                <w:bCs/>
                <w:color w:val="auto"/>
                <w:sz w:val="24"/>
              </w:rPr>
              <w:t>运营期环境影响和保护措施</w:t>
            </w:r>
          </w:p>
        </w:tc>
        <w:tc>
          <w:tcPr>
            <w:tcW w:w="12648" w:type="dxa"/>
          </w:tcPr>
          <w:p>
            <w:pPr>
              <w:adjustRightInd w:val="0"/>
              <w:snapToGrid w:val="0"/>
              <w:spacing w:line="500" w:lineRule="exact"/>
              <w:rPr>
                <w:b/>
                <w:bCs/>
                <w:color w:val="auto"/>
                <w:sz w:val="24"/>
              </w:rPr>
            </w:pPr>
            <w:r>
              <w:rPr>
                <w:rFonts w:hint="eastAsia"/>
                <w:b/>
                <w:bCs/>
                <w:color w:val="auto"/>
                <w:sz w:val="24"/>
              </w:rPr>
              <w:t>1、废气</w:t>
            </w:r>
          </w:p>
          <w:p>
            <w:pPr>
              <w:adjustRightInd w:val="0"/>
              <w:snapToGrid w:val="0"/>
              <w:spacing w:line="500" w:lineRule="exact"/>
              <w:ind w:firstLine="480" w:firstLineChars="200"/>
              <w:rPr>
                <w:color w:val="auto"/>
                <w:sz w:val="24"/>
              </w:rPr>
            </w:pPr>
            <w:r>
              <w:rPr>
                <w:rFonts w:hint="eastAsia"/>
                <w:color w:val="auto"/>
                <w:sz w:val="24"/>
              </w:rPr>
              <w:t>1.1污染物排放情况</w:t>
            </w:r>
          </w:p>
          <w:p>
            <w:pPr>
              <w:spacing w:line="500" w:lineRule="exact"/>
              <w:jc w:val="center"/>
              <w:rPr>
                <w:b/>
                <w:bCs/>
                <w:color w:val="auto"/>
                <w:sz w:val="24"/>
              </w:rPr>
            </w:pPr>
            <w:r>
              <w:rPr>
                <w:rFonts w:hint="eastAsia"/>
                <w:b/>
                <w:bCs/>
                <w:color w:val="auto"/>
                <w:sz w:val="24"/>
              </w:rPr>
              <w:t>表27    废气污染物排放源情况一览表</w:t>
            </w:r>
          </w:p>
          <w:tbl>
            <w:tblPr>
              <w:tblStyle w:val="33"/>
              <w:tblW w:w="1252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728"/>
              <w:gridCol w:w="833"/>
              <w:gridCol w:w="622"/>
              <w:gridCol w:w="642"/>
              <w:gridCol w:w="530"/>
              <w:gridCol w:w="738"/>
              <w:gridCol w:w="716"/>
              <w:gridCol w:w="589"/>
              <w:gridCol w:w="727"/>
              <w:gridCol w:w="529"/>
              <w:gridCol w:w="727"/>
              <w:gridCol w:w="491"/>
              <w:gridCol w:w="571"/>
              <w:gridCol w:w="749"/>
              <w:gridCol w:w="333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290" w:type="pct"/>
                  <w:vMerge w:val="restart"/>
                  <w:tcBorders>
                    <w:tl2br w:val="nil"/>
                    <w:tr2bl w:val="nil"/>
                  </w:tcBorders>
                  <w:vAlign w:val="center"/>
                </w:tcPr>
                <w:p>
                  <w:pPr>
                    <w:snapToGrid w:val="0"/>
                    <w:jc w:val="center"/>
                    <w:rPr>
                      <w:color w:val="auto"/>
                      <w:szCs w:val="21"/>
                    </w:rPr>
                  </w:pPr>
                  <w:r>
                    <w:rPr>
                      <w:color w:val="auto"/>
                      <w:szCs w:val="21"/>
                    </w:rPr>
                    <w:t>产污</w:t>
                  </w:r>
                  <w:r>
                    <w:rPr>
                      <w:rFonts w:hint="eastAsia"/>
                      <w:color w:val="auto"/>
                      <w:szCs w:val="21"/>
                    </w:rPr>
                    <w:t>环节</w:t>
                  </w:r>
                </w:p>
              </w:tc>
              <w:tc>
                <w:tcPr>
                  <w:tcW w:w="332" w:type="pct"/>
                  <w:vMerge w:val="restart"/>
                  <w:tcBorders>
                    <w:tl2br w:val="nil"/>
                    <w:tr2bl w:val="nil"/>
                  </w:tcBorders>
                  <w:vAlign w:val="center"/>
                </w:tcPr>
                <w:p>
                  <w:pPr>
                    <w:adjustRightInd w:val="0"/>
                    <w:snapToGrid w:val="0"/>
                    <w:jc w:val="center"/>
                    <w:rPr>
                      <w:color w:val="auto"/>
                      <w:szCs w:val="21"/>
                    </w:rPr>
                  </w:pPr>
                  <w:r>
                    <w:rPr>
                      <w:color w:val="auto"/>
                      <w:szCs w:val="21"/>
                    </w:rPr>
                    <w:t>污染物</w:t>
                  </w:r>
                  <w:r>
                    <w:rPr>
                      <w:rFonts w:hint="eastAsia"/>
                      <w:color w:val="auto"/>
                      <w:szCs w:val="21"/>
                    </w:rPr>
                    <w:t>种类</w:t>
                  </w:r>
                </w:p>
              </w:tc>
              <w:tc>
                <w:tcPr>
                  <w:tcW w:w="504" w:type="pct"/>
                  <w:gridSpan w:val="2"/>
                  <w:tcBorders>
                    <w:tl2br w:val="nil"/>
                    <w:tr2bl w:val="nil"/>
                  </w:tcBorders>
                  <w:vAlign w:val="center"/>
                </w:tcPr>
                <w:p>
                  <w:pPr>
                    <w:adjustRightInd w:val="0"/>
                    <w:snapToGrid w:val="0"/>
                    <w:jc w:val="center"/>
                    <w:rPr>
                      <w:color w:val="auto"/>
                      <w:szCs w:val="21"/>
                    </w:rPr>
                  </w:pPr>
                  <w:r>
                    <w:rPr>
                      <w:rFonts w:hint="eastAsia"/>
                      <w:color w:val="auto"/>
                      <w:szCs w:val="21"/>
                    </w:rPr>
                    <w:t>产生情况</w:t>
                  </w:r>
                </w:p>
              </w:tc>
              <w:tc>
                <w:tcPr>
                  <w:tcW w:w="211" w:type="pct"/>
                  <w:vMerge w:val="restart"/>
                  <w:tcBorders>
                    <w:tl2br w:val="nil"/>
                    <w:tr2bl w:val="nil"/>
                  </w:tcBorders>
                  <w:vAlign w:val="center"/>
                </w:tcPr>
                <w:p>
                  <w:pPr>
                    <w:adjustRightInd w:val="0"/>
                    <w:snapToGrid w:val="0"/>
                    <w:jc w:val="center"/>
                    <w:rPr>
                      <w:color w:val="auto"/>
                      <w:szCs w:val="21"/>
                    </w:rPr>
                  </w:pPr>
                  <w:r>
                    <w:rPr>
                      <w:color w:val="auto"/>
                      <w:kern w:val="0"/>
                      <w:szCs w:val="21"/>
                      <w:lang w:bidi="ar"/>
                    </w:rPr>
                    <w:t>排放形式</w:t>
                  </w:r>
                </w:p>
              </w:tc>
              <w:tc>
                <w:tcPr>
                  <w:tcW w:w="1316" w:type="pct"/>
                  <w:gridSpan w:val="5"/>
                  <w:tcBorders>
                    <w:tl2br w:val="nil"/>
                    <w:tr2bl w:val="nil"/>
                  </w:tcBorders>
                  <w:vAlign w:val="center"/>
                </w:tcPr>
                <w:p>
                  <w:pPr>
                    <w:adjustRightInd w:val="0"/>
                    <w:snapToGrid w:val="0"/>
                    <w:jc w:val="center"/>
                    <w:rPr>
                      <w:color w:val="auto"/>
                      <w:szCs w:val="21"/>
                    </w:rPr>
                  </w:pPr>
                  <w:r>
                    <w:rPr>
                      <w:rFonts w:hint="eastAsia"/>
                      <w:color w:val="auto"/>
                      <w:kern w:val="0"/>
                      <w:szCs w:val="21"/>
                      <w:lang w:bidi="ar"/>
                    </w:rPr>
                    <w:t>污染治理设施</w:t>
                  </w:r>
                </w:p>
              </w:tc>
              <w:tc>
                <w:tcPr>
                  <w:tcW w:w="714" w:type="pct"/>
                  <w:gridSpan w:val="3"/>
                  <w:tcBorders>
                    <w:tl2br w:val="nil"/>
                    <w:tr2bl w:val="nil"/>
                  </w:tcBorders>
                  <w:vAlign w:val="center"/>
                </w:tcPr>
                <w:p>
                  <w:pPr>
                    <w:adjustRightInd w:val="0"/>
                    <w:snapToGrid w:val="0"/>
                    <w:jc w:val="center"/>
                    <w:rPr>
                      <w:color w:val="auto"/>
                      <w:szCs w:val="21"/>
                    </w:rPr>
                  </w:pPr>
                  <w:r>
                    <w:rPr>
                      <w:color w:val="auto"/>
                      <w:szCs w:val="21"/>
                    </w:rPr>
                    <w:t>排放情况</w:t>
                  </w:r>
                </w:p>
              </w:tc>
              <w:tc>
                <w:tcPr>
                  <w:tcW w:w="299" w:type="pct"/>
                  <w:vMerge w:val="restart"/>
                  <w:tcBorders>
                    <w:tl2br w:val="nil"/>
                    <w:tr2bl w:val="nil"/>
                  </w:tcBorders>
                  <w:vAlign w:val="center"/>
                </w:tcPr>
                <w:p>
                  <w:pPr>
                    <w:adjustRightInd w:val="0"/>
                    <w:snapToGrid w:val="0"/>
                    <w:jc w:val="center"/>
                    <w:rPr>
                      <w:color w:val="auto"/>
                      <w:szCs w:val="21"/>
                    </w:rPr>
                  </w:pPr>
                  <w:r>
                    <w:rPr>
                      <w:color w:val="auto"/>
                      <w:kern w:val="0"/>
                      <w:szCs w:val="21"/>
                      <w:lang w:bidi="ar"/>
                    </w:rPr>
                    <w:t>有组织排放口编号</w:t>
                  </w:r>
                </w:p>
              </w:tc>
              <w:tc>
                <w:tcPr>
                  <w:tcW w:w="1330" w:type="pct"/>
                  <w:vMerge w:val="restart"/>
                  <w:tcBorders>
                    <w:tl2br w:val="nil"/>
                    <w:tr2bl w:val="nil"/>
                  </w:tcBorders>
                  <w:vAlign w:val="center"/>
                </w:tcPr>
                <w:p>
                  <w:pPr>
                    <w:adjustRightInd w:val="0"/>
                    <w:snapToGrid w:val="0"/>
                    <w:jc w:val="center"/>
                    <w:rPr>
                      <w:color w:val="auto"/>
                      <w:szCs w:val="21"/>
                    </w:rPr>
                  </w:pPr>
                  <w:r>
                    <w:rPr>
                      <w:rFonts w:hint="eastAsia"/>
                      <w:color w:val="auto"/>
                      <w:szCs w:val="21"/>
                    </w:rPr>
                    <w:t>排放</w:t>
                  </w:r>
                  <w:r>
                    <w:rPr>
                      <w:color w:val="auto"/>
                      <w:szCs w:val="21"/>
                    </w:rPr>
                    <w:t>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290" w:type="pct"/>
                  <w:vMerge w:val="continue"/>
                  <w:tcBorders>
                    <w:tl2br w:val="nil"/>
                    <w:tr2bl w:val="nil"/>
                  </w:tcBorders>
                  <w:vAlign w:val="center"/>
                </w:tcPr>
                <w:p>
                  <w:pPr>
                    <w:snapToGrid w:val="0"/>
                    <w:jc w:val="center"/>
                    <w:rPr>
                      <w:color w:val="auto"/>
                      <w:szCs w:val="21"/>
                    </w:rPr>
                  </w:pPr>
                </w:p>
              </w:tc>
              <w:tc>
                <w:tcPr>
                  <w:tcW w:w="332" w:type="pct"/>
                  <w:vMerge w:val="continue"/>
                  <w:tcBorders>
                    <w:tl2br w:val="nil"/>
                    <w:tr2bl w:val="nil"/>
                  </w:tcBorders>
                  <w:vAlign w:val="center"/>
                </w:tcPr>
                <w:p>
                  <w:pPr>
                    <w:adjustRightInd w:val="0"/>
                    <w:snapToGrid w:val="0"/>
                    <w:jc w:val="center"/>
                    <w:rPr>
                      <w:color w:val="auto"/>
                      <w:szCs w:val="21"/>
                    </w:rPr>
                  </w:pPr>
                </w:p>
              </w:tc>
              <w:tc>
                <w:tcPr>
                  <w:tcW w:w="248" w:type="pct"/>
                  <w:tcBorders>
                    <w:tl2br w:val="nil"/>
                    <w:tr2bl w:val="nil"/>
                  </w:tcBorders>
                  <w:vAlign w:val="center"/>
                </w:tcPr>
                <w:p>
                  <w:pPr>
                    <w:adjustRightInd w:val="0"/>
                    <w:snapToGrid w:val="0"/>
                    <w:jc w:val="center"/>
                    <w:rPr>
                      <w:color w:val="auto"/>
                      <w:szCs w:val="21"/>
                    </w:rPr>
                  </w:pPr>
                  <w:r>
                    <w:rPr>
                      <w:rFonts w:hint="eastAsia"/>
                      <w:color w:val="auto"/>
                      <w:szCs w:val="21"/>
                    </w:rPr>
                    <w:t>产生</w:t>
                  </w:r>
                </w:p>
                <w:p>
                  <w:pPr>
                    <w:adjustRightInd w:val="0"/>
                    <w:snapToGrid w:val="0"/>
                    <w:jc w:val="center"/>
                    <w:rPr>
                      <w:color w:val="auto"/>
                      <w:szCs w:val="21"/>
                    </w:rPr>
                  </w:pPr>
                  <w:r>
                    <w:rPr>
                      <w:color w:val="auto"/>
                      <w:szCs w:val="21"/>
                    </w:rPr>
                    <w:t>浓度</w:t>
                  </w:r>
                </w:p>
                <w:p>
                  <w:pPr>
                    <w:adjustRightInd w:val="0"/>
                    <w:snapToGrid w:val="0"/>
                    <w:jc w:val="center"/>
                    <w:rPr>
                      <w:color w:val="auto"/>
                      <w:szCs w:val="21"/>
                    </w:rPr>
                  </w:pPr>
                  <w:r>
                    <w:rPr>
                      <w:color w:val="auto"/>
                      <w:szCs w:val="21"/>
                    </w:rPr>
                    <w:t>mg/m</w:t>
                  </w:r>
                  <w:r>
                    <w:rPr>
                      <w:color w:val="auto"/>
                      <w:szCs w:val="21"/>
                      <w:vertAlign w:val="superscript"/>
                    </w:rPr>
                    <w:t>3</w:t>
                  </w:r>
                </w:p>
              </w:tc>
              <w:tc>
                <w:tcPr>
                  <w:tcW w:w="256" w:type="pct"/>
                  <w:tcBorders>
                    <w:tl2br w:val="nil"/>
                    <w:tr2bl w:val="nil"/>
                  </w:tcBorders>
                  <w:vAlign w:val="center"/>
                </w:tcPr>
                <w:p>
                  <w:pPr>
                    <w:adjustRightInd w:val="0"/>
                    <w:snapToGrid w:val="0"/>
                    <w:jc w:val="center"/>
                    <w:rPr>
                      <w:color w:val="auto"/>
                      <w:szCs w:val="21"/>
                    </w:rPr>
                  </w:pPr>
                  <w:r>
                    <w:rPr>
                      <w:rFonts w:hint="eastAsia"/>
                      <w:color w:val="auto"/>
                      <w:szCs w:val="21"/>
                    </w:rPr>
                    <w:t>产生</w:t>
                  </w:r>
                  <w:r>
                    <w:rPr>
                      <w:color w:val="auto"/>
                      <w:szCs w:val="21"/>
                    </w:rPr>
                    <w:t>量</w:t>
                  </w:r>
                </w:p>
                <w:p>
                  <w:pPr>
                    <w:adjustRightInd w:val="0"/>
                    <w:snapToGrid w:val="0"/>
                    <w:jc w:val="center"/>
                    <w:rPr>
                      <w:color w:val="auto"/>
                      <w:szCs w:val="21"/>
                    </w:rPr>
                  </w:pPr>
                  <w:r>
                    <w:rPr>
                      <w:color w:val="auto"/>
                      <w:szCs w:val="21"/>
                    </w:rPr>
                    <w:t>t/a</w:t>
                  </w:r>
                </w:p>
              </w:tc>
              <w:tc>
                <w:tcPr>
                  <w:tcW w:w="211" w:type="pct"/>
                  <w:vMerge w:val="continue"/>
                  <w:tcBorders>
                    <w:tl2br w:val="nil"/>
                    <w:tr2bl w:val="nil"/>
                  </w:tcBorders>
                  <w:vAlign w:val="center"/>
                </w:tcPr>
                <w:p>
                  <w:pPr>
                    <w:adjustRightInd w:val="0"/>
                    <w:snapToGrid w:val="0"/>
                    <w:jc w:val="center"/>
                    <w:rPr>
                      <w:color w:val="auto"/>
                      <w:szCs w:val="21"/>
                    </w:rPr>
                  </w:pPr>
                </w:p>
              </w:tc>
              <w:tc>
                <w:tcPr>
                  <w:tcW w:w="294" w:type="pct"/>
                  <w:tcBorders>
                    <w:tl2br w:val="nil"/>
                    <w:tr2bl w:val="nil"/>
                  </w:tcBorders>
                  <w:vAlign w:val="center"/>
                </w:tcPr>
                <w:p>
                  <w:pPr>
                    <w:adjustRightInd w:val="0"/>
                    <w:snapToGrid w:val="0"/>
                    <w:jc w:val="center"/>
                    <w:rPr>
                      <w:color w:val="auto"/>
                      <w:szCs w:val="21"/>
                    </w:rPr>
                  </w:pPr>
                  <w:r>
                    <w:rPr>
                      <w:color w:val="auto"/>
                      <w:kern w:val="0"/>
                      <w:szCs w:val="21"/>
                      <w:lang w:bidi="ar"/>
                    </w:rPr>
                    <w:t>治理设施名称</w:t>
                  </w:r>
                </w:p>
              </w:tc>
              <w:tc>
                <w:tcPr>
                  <w:tcW w:w="286" w:type="pct"/>
                  <w:tcBorders>
                    <w:tl2br w:val="nil"/>
                    <w:tr2bl w:val="nil"/>
                  </w:tcBorders>
                  <w:vAlign w:val="center"/>
                </w:tcPr>
                <w:p>
                  <w:pPr>
                    <w:adjustRightInd w:val="0"/>
                    <w:snapToGrid w:val="0"/>
                    <w:jc w:val="center"/>
                    <w:rPr>
                      <w:color w:val="auto"/>
                      <w:szCs w:val="21"/>
                    </w:rPr>
                  </w:pPr>
                  <w:r>
                    <w:rPr>
                      <w:rFonts w:hint="eastAsia"/>
                      <w:color w:val="auto"/>
                      <w:szCs w:val="21"/>
                    </w:rPr>
                    <w:t>处理能力(</w:t>
                  </w:r>
                  <w:r>
                    <w:rPr>
                      <w:color w:val="auto"/>
                      <w:szCs w:val="21"/>
                    </w:rPr>
                    <w:t>m</w:t>
                  </w:r>
                  <w:r>
                    <w:rPr>
                      <w:color w:val="auto"/>
                      <w:szCs w:val="21"/>
                      <w:vertAlign w:val="superscript"/>
                    </w:rPr>
                    <w:t>3</w:t>
                  </w:r>
                  <w:r>
                    <w:rPr>
                      <w:color w:val="auto"/>
                      <w:szCs w:val="21"/>
                    </w:rPr>
                    <w:t>/h</w:t>
                  </w:r>
                  <w:r>
                    <w:rPr>
                      <w:rFonts w:hint="eastAsia"/>
                      <w:color w:val="auto"/>
                      <w:szCs w:val="21"/>
                    </w:rPr>
                    <w:t>)</w:t>
                  </w:r>
                </w:p>
              </w:tc>
              <w:tc>
                <w:tcPr>
                  <w:tcW w:w="235" w:type="pct"/>
                  <w:tcBorders>
                    <w:tl2br w:val="nil"/>
                    <w:tr2bl w:val="nil"/>
                  </w:tcBorders>
                  <w:vAlign w:val="center"/>
                </w:tcPr>
                <w:p>
                  <w:pPr>
                    <w:adjustRightInd w:val="0"/>
                    <w:snapToGrid w:val="0"/>
                    <w:jc w:val="center"/>
                    <w:rPr>
                      <w:color w:val="auto"/>
                      <w:szCs w:val="21"/>
                    </w:rPr>
                  </w:pPr>
                  <w:r>
                    <w:rPr>
                      <w:rFonts w:hint="eastAsia"/>
                      <w:color w:val="auto"/>
                      <w:szCs w:val="21"/>
                    </w:rPr>
                    <w:t>收集效率（%）</w:t>
                  </w:r>
                </w:p>
              </w:tc>
              <w:tc>
                <w:tcPr>
                  <w:tcW w:w="290" w:type="pct"/>
                  <w:tcBorders>
                    <w:tl2br w:val="nil"/>
                    <w:tr2bl w:val="nil"/>
                  </w:tcBorders>
                  <w:vAlign w:val="center"/>
                </w:tcPr>
                <w:p>
                  <w:pPr>
                    <w:adjustRightInd w:val="0"/>
                    <w:snapToGrid w:val="0"/>
                    <w:jc w:val="center"/>
                    <w:rPr>
                      <w:color w:val="auto"/>
                      <w:szCs w:val="21"/>
                    </w:rPr>
                  </w:pPr>
                  <w:r>
                    <w:rPr>
                      <w:rFonts w:hint="eastAsia"/>
                      <w:color w:val="auto"/>
                      <w:szCs w:val="21"/>
                    </w:rPr>
                    <w:t>治理工艺去除率</w:t>
                  </w:r>
                </w:p>
              </w:tc>
              <w:tc>
                <w:tcPr>
                  <w:tcW w:w="209" w:type="pct"/>
                  <w:tcBorders>
                    <w:tl2br w:val="nil"/>
                    <w:tr2bl w:val="nil"/>
                  </w:tcBorders>
                  <w:vAlign w:val="center"/>
                </w:tcPr>
                <w:p>
                  <w:pPr>
                    <w:adjustRightInd w:val="0"/>
                    <w:snapToGrid w:val="0"/>
                    <w:jc w:val="center"/>
                    <w:rPr>
                      <w:color w:val="auto"/>
                      <w:szCs w:val="21"/>
                    </w:rPr>
                  </w:pPr>
                  <w:r>
                    <w:rPr>
                      <w:rFonts w:hint="eastAsia"/>
                      <w:color w:val="auto"/>
                      <w:kern w:val="0"/>
                      <w:szCs w:val="21"/>
                      <w:lang w:bidi="ar"/>
                    </w:rPr>
                    <w:t>是否可行技术</w:t>
                  </w:r>
                </w:p>
              </w:tc>
              <w:tc>
                <w:tcPr>
                  <w:tcW w:w="290" w:type="pct"/>
                  <w:tcBorders>
                    <w:tl2br w:val="nil"/>
                    <w:tr2bl w:val="nil"/>
                  </w:tcBorders>
                  <w:vAlign w:val="center"/>
                </w:tcPr>
                <w:p>
                  <w:pPr>
                    <w:adjustRightInd w:val="0"/>
                    <w:snapToGrid w:val="0"/>
                    <w:jc w:val="center"/>
                    <w:rPr>
                      <w:color w:val="auto"/>
                      <w:szCs w:val="21"/>
                    </w:rPr>
                  </w:pPr>
                  <w:r>
                    <w:rPr>
                      <w:color w:val="auto"/>
                      <w:szCs w:val="21"/>
                    </w:rPr>
                    <w:t>排放</w:t>
                  </w:r>
                </w:p>
                <w:p>
                  <w:pPr>
                    <w:adjustRightInd w:val="0"/>
                    <w:snapToGrid w:val="0"/>
                    <w:jc w:val="center"/>
                    <w:rPr>
                      <w:color w:val="auto"/>
                      <w:szCs w:val="21"/>
                    </w:rPr>
                  </w:pPr>
                  <w:r>
                    <w:rPr>
                      <w:color w:val="auto"/>
                      <w:szCs w:val="21"/>
                    </w:rPr>
                    <w:t>浓度</w:t>
                  </w:r>
                </w:p>
                <w:p>
                  <w:pPr>
                    <w:adjustRightInd w:val="0"/>
                    <w:snapToGrid w:val="0"/>
                    <w:jc w:val="center"/>
                    <w:rPr>
                      <w:color w:val="auto"/>
                      <w:szCs w:val="21"/>
                    </w:rPr>
                  </w:pPr>
                  <w:r>
                    <w:rPr>
                      <w:color w:val="auto"/>
                      <w:szCs w:val="21"/>
                    </w:rPr>
                    <w:t>mg/m</w:t>
                  </w:r>
                  <w:r>
                    <w:rPr>
                      <w:color w:val="auto"/>
                      <w:szCs w:val="21"/>
                      <w:vertAlign w:val="superscript"/>
                    </w:rPr>
                    <w:t>3</w:t>
                  </w:r>
                </w:p>
              </w:tc>
              <w:tc>
                <w:tcPr>
                  <w:tcW w:w="196" w:type="pct"/>
                  <w:tcBorders>
                    <w:tl2br w:val="nil"/>
                    <w:tr2bl w:val="nil"/>
                  </w:tcBorders>
                  <w:vAlign w:val="center"/>
                </w:tcPr>
                <w:p>
                  <w:pPr>
                    <w:adjustRightInd w:val="0"/>
                    <w:snapToGrid w:val="0"/>
                    <w:jc w:val="center"/>
                    <w:rPr>
                      <w:color w:val="auto"/>
                      <w:szCs w:val="21"/>
                    </w:rPr>
                  </w:pPr>
                  <w:r>
                    <w:rPr>
                      <w:rFonts w:hint="eastAsia"/>
                      <w:color w:val="auto"/>
                      <w:szCs w:val="21"/>
                    </w:rPr>
                    <w:t>排放</w:t>
                  </w:r>
                </w:p>
                <w:p>
                  <w:pPr>
                    <w:adjustRightInd w:val="0"/>
                    <w:snapToGrid w:val="0"/>
                    <w:jc w:val="center"/>
                    <w:rPr>
                      <w:color w:val="auto"/>
                      <w:szCs w:val="21"/>
                    </w:rPr>
                  </w:pPr>
                  <w:r>
                    <w:rPr>
                      <w:rFonts w:hint="eastAsia"/>
                      <w:color w:val="auto"/>
                      <w:szCs w:val="21"/>
                    </w:rPr>
                    <w:t>速率</w:t>
                  </w:r>
                </w:p>
                <w:p>
                  <w:pPr>
                    <w:adjustRightInd w:val="0"/>
                    <w:snapToGrid w:val="0"/>
                    <w:jc w:val="center"/>
                    <w:rPr>
                      <w:color w:val="auto"/>
                      <w:szCs w:val="21"/>
                    </w:rPr>
                  </w:pPr>
                  <w:r>
                    <w:rPr>
                      <w:rFonts w:hint="eastAsia"/>
                      <w:color w:val="auto"/>
                      <w:szCs w:val="21"/>
                    </w:rPr>
                    <w:t>kg</w:t>
                  </w:r>
                  <w:r>
                    <w:rPr>
                      <w:color w:val="auto"/>
                      <w:szCs w:val="21"/>
                    </w:rPr>
                    <w:t>/h</w:t>
                  </w:r>
                </w:p>
              </w:tc>
              <w:tc>
                <w:tcPr>
                  <w:tcW w:w="226" w:type="pct"/>
                  <w:tcBorders>
                    <w:tl2br w:val="nil"/>
                    <w:tr2bl w:val="nil"/>
                  </w:tcBorders>
                  <w:vAlign w:val="center"/>
                </w:tcPr>
                <w:p>
                  <w:pPr>
                    <w:adjustRightInd w:val="0"/>
                    <w:snapToGrid w:val="0"/>
                    <w:jc w:val="center"/>
                    <w:rPr>
                      <w:color w:val="auto"/>
                      <w:szCs w:val="21"/>
                    </w:rPr>
                  </w:pPr>
                  <w:r>
                    <w:rPr>
                      <w:color w:val="auto"/>
                      <w:szCs w:val="21"/>
                    </w:rPr>
                    <w:t>排放量</w:t>
                  </w:r>
                </w:p>
                <w:p>
                  <w:pPr>
                    <w:adjustRightInd w:val="0"/>
                    <w:snapToGrid w:val="0"/>
                    <w:jc w:val="center"/>
                    <w:rPr>
                      <w:color w:val="auto"/>
                      <w:szCs w:val="21"/>
                    </w:rPr>
                  </w:pPr>
                  <w:r>
                    <w:rPr>
                      <w:color w:val="auto"/>
                      <w:szCs w:val="21"/>
                    </w:rPr>
                    <w:t>t/a</w:t>
                  </w:r>
                </w:p>
              </w:tc>
              <w:tc>
                <w:tcPr>
                  <w:tcW w:w="299" w:type="pct"/>
                  <w:vMerge w:val="continue"/>
                  <w:tcBorders>
                    <w:tl2br w:val="nil"/>
                    <w:tr2bl w:val="nil"/>
                  </w:tcBorders>
                  <w:vAlign w:val="center"/>
                </w:tcPr>
                <w:p>
                  <w:pPr>
                    <w:adjustRightInd w:val="0"/>
                    <w:snapToGrid w:val="0"/>
                    <w:jc w:val="center"/>
                    <w:rPr>
                      <w:color w:val="auto"/>
                      <w:szCs w:val="21"/>
                    </w:rPr>
                  </w:pPr>
                </w:p>
              </w:tc>
              <w:tc>
                <w:tcPr>
                  <w:tcW w:w="1330" w:type="pct"/>
                  <w:vMerge w:val="continue"/>
                  <w:tcBorders>
                    <w:tl2br w:val="nil"/>
                    <w:tr2bl w:val="nil"/>
                  </w:tcBorders>
                  <w:vAlign w:val="center"/>
                </w:tcPr>
                <w:p>
                  <w:pPr>
                    <w:adjustRightInd w:val="0"/>
                    <w:snapToGrid w:val="0"/>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42" w:hRule="atLeast"/>
                <w:jc w:val="center"/>
              </w:trPr>
              <w:tc>
                <w:tcPr>
                  <w:tcW w:w="290" w:type="pct"/>
                  <w:tcBorders>
                    <w:tl2br w:val="nil"/>
                    <w:tr2bl w:val="nil"/>
                  </w:tcBorders>
                  <w:vAlign w:val="center"/>
                </w:tcPr>
                <w:p>
                  <w:pPr>
                    <w:adjustRightInd w:val="0"/>
                    <w:snapToGrid w:val="0"/>
                    <w:jc w:val="center"/>
                    <w:rPr>
                      <w:color w:val="auto"/>
                      <w:szCs w:val="21"/>
                    </w:rPr>
                  </w:pPr>
                  <w:r>
                    <w:rPr>
                      <w:rFonts w:hint="eastAsia"/>
                      <w:color w:val="auto"/>
                      <w:szCs w:val="21"/>
                    </w:rPr>
                    <w:t>熔炼</w:t>
                  </w:r>
                </w:p>
              </w:tc>
              <w:tc>
                <w:tcPr>
                  <w:tcW w:w="332" w:type="pct"/>
                  <w:tcBorders>
                    <w:tl2br w:val="nil"/>
                    <w:tr2bl w:val="nil"/>
                  </w:tcBorders>
                  <w:vAlign w:val="center"/>
                </w:tcPr>
                <w:p>
                  <w:pPr>
                    <w:adjustRightInd w:val="0"/>
                    <w:snapToGrid w:val="0"/>
                    <w:jc w:val="center"/>
                    <w:rPr>
                      <w:color w:val="auto"/>
                      <w:szCs w:val="21"/>
                    </w:rPr>
                  </w:pPr>
                  <w:r>
                    <w:rPr>
                      <w:rFonts w:hint="eastAsia"/>
                      <w:color w:val="auto"/>
                      <w:szCs w:val="21"/>
                    </w:rPr>
                    <w:t>颗粒物</w:t>
                  </w:r>
                </w:p>
              </w:tc>
              <w:tc>
                <w:tcPr>
                  <w:tcW w:w="248" w:type="pct"/>
                  <w:tcBorders>
                    <w:tl2br w:val="nil"/>
                    <w:tr2bl w:val="nil"/>
                  </w:tcBorders>
                  <w:vAlign w:val="center"/>
                </w:tcPr>
                <w:p>
                  <w:pPr>
                    <w:adjustRightInd w:val="0"/>
                    <w:snapToGrid w:val="0"/>
                    <w:jc w:val="center"/>
                    <w:rPr>
                      <w:color w:val="auto"/>
                      <w:szCs w:val="21"/>
                    </w:rPr>
                  </w:pPr>
                  <w:r>
                    <w:rPr>
                      <w:rFonts w:hint="eastAsia"/>
                      <w:color w:val="auto"/>
                      <w:szCs w:val="21"/>
                    </w:rPr>
                    <w:t>54.9</w:t>
                  </w:r>
                </w:p>
              </w:tc>
              <w:tc>
                <w:tcPr>
                  <w:tcW w:w="256" w:type="pct"/>
                  <w:tcBorders>
                    <w:tl2br w:val="nil"/>
                    <w:tr2bl w:val="nil"/>
                  </w:tcBorders>
                  <w:vAlign w:val="center"/>
                </w:tcPr>
                <w:p>
                  <w:pPr>
                    <w:adjustRightInd w:val="0"/>
                    <w:snapToGrid w:val="0"/>
                    <w:jc w:val="center"/>
                    <w:rPr>
                      <w:color w:val="auto"/>
                      <w:szCs w:val="21"/>
                    </w:rPr>
                  </w:pPr>
                  <w:r>
                    <w:rPr>
                      <w:rFonts w:hint="eastAsia"/>
                      <w:color w:val="auto"/>
                      <w:szCs w:val="21"/>
                    </w:rPr>
                    <w:t>2.635</w:t>
                  </w:r>
                </w:p>
              </w:tc>
              <w:tc>
                <w:tcPr>
                  <w:tcW w:w="211" w:type="pct"/>
                  <w:tcBorders>
                    <w:tl2br w:val="nil"/>
                    <w:tr2bl w:val="nil"/>
                  </w:tcBorders>
                  <w:vAlign w:val="center"/>
                </w:tcPr>
                <w:p>
                  <w:pPr>
                    <w:adjustRightInd w:val="0"/>
                    <w:snapToGrid w:val="0"/>
                    <w:jc w:val="center"/>
                    <w:rPr>
                      <w:color w:val="auto"/>
                      <w:szCs w:val="21"/>
                    </w:rPr>
                  </w:pPr>
                  <w:r>
                    <w:rPr>
                      <w:rFonts w:hint="eastAsia"/>
                      <w:color w:val="auto"/>
                      <w:szCs w:val="21"/>
                    </w:rPr>
                    <w:t>有组织</w:t>
                  </w:r>
                </w:p>
              </w:tc>
              <w:tc>
                <w:tcPr>
                  <w:tcW w:w="294" w:type="pct"/>
                  <w:tcBorders>
                    <w:tl2br w:val="nil"/>
                    <w:tr2bl w:val="nil"/>
                  </w:tcBorders>
                  <w:vAlign w:val="center"/>
                </w:tcPr>
                <w:p>
                  <w:pPr>
                    <w:adjustRightInd w:val="0"/>
                    <w:snapToGrid w:val="0"/>
                    <w:jc w:val="center"/>
                    <w:rPr>
                      <w:color w:val="auto"/>
                      <w:szCs w:val="21"/>
                    </w:rPr>
                  </w:pPr>
                  <w:r>
                    <w:rPr>
                      <w:rFonts w:hint="eastAsia"/>
                      <w:color w:val="auto"/>
                      <w:szCs w:val="21"/>
                    </w:rPr>
                    <w:t>袋式除尘器(覆膜)</w:t>
                  </w:r>
                </w:p>
              </w:tc>
              <w:tc>
                <w:tcPr>
                  <w:tcW w:w="286" w:type="pct"/>
                  <w:tcBorders>
                    <w:tl2br w:val="nil"/>
                    <w:tr2bl w:val="nil"/>
                  </w:tcBorders>
                  <w:vAlign w:val="center"/>
                </w:tcPr>
                <w:p>
                  <w:pPr>
                    <w:adjustRightInd w:val="0"/>
                    <w:snapToGrid w:val="0"/>
                    <w:jc w:val="center"/>
                    <w:rPr>
                      <w:color w:val="auto"/>
                      <w:szCs w:val="21"/>
                    </w:rPr>
                  </w:pPr>
                  <w:r>
                    <w:rPr>
                      <w:rFonts w:hint="eastAsia"/>
                      <w:color w:val="auto"/>
                      <w:szCs w:val="21"/>
                    </w:rPr>
                    <w:t>10000</w:t>
                  </w:r>
                </w:p>
              </w:tc>
              <w:tc>
                <w:tcPr>
                  <w:tcW w:w="235" w:type="pct"/>
                  <w:tcBorders>
                    <w:tl2br w:val="nil"/>
                    <w:tr2bl w:val="nil"/>
                  </w:tcBorders>
                  <w:vAlign w:val="center"/>
                </w:tcPr>
                <w:p>
                  <w:pPr>
                    <w:adjustRightInd w:val="0"/>
                    <w:snapToGrid w:val="0"/>
                    <w:jc w:val="center"/>
                    <w:rPr>
                      <w:color w:val="auto"/>
                      <w:szCs w:val="21"/>
                    </w:rPr>
                  </w:pPr>
                  <w:r>
                    <w:rPr>
                      <w:rFonts w:hint="eastAsia"/>
                      <w:color w:val="auto"/>
                      <w:szCs w:val="21"/>
                    </w:rPr>
                    <w:t>95</w:t>
                  </w:r>
                </w:p>
              </w:tc>
              <w:tc>
                <w:tcPr>
                  <w:tcW w:w="290" w:type="pct"/>
                  <w:tcBorders>
                    <w:tl2br w:val="nil"/>
                    <w:tr2bl w:val="nil"/>
                  </w:tcBorders>
                  <w:vAlign w:val="center"/>
                </w:tcPr>
                <w:p>
                  <w:pPr>
                    <w:adjustRightInd w:val="0"/>
                    <w:snapToGrid w:val="0"/>
                    <w:jc w:val="center"/>
                    <w:rPr>
                      <w:color w:val="auto"/>
                      <w:szCs w:val="21"/>
                    </w:rPr>
                  </w:pPr>
                  <w:r>
                    <w:rPr>
                      <w:rFonts w:hint="eastAsia"/>
                      <w:color w:val="auto"/>
                      <w:szCs w:val="21"/>
                    </w:rPr>
                    <w:t>99%</w:t>
                  </w:r>
                </w:p>
              </w:tc>
              <w:tc>
                <w:tcPr>
                  <w:tcW w:w="209" w:type="pct"/>
                  <w:tcBorders>
                    <w:tl2br w:val="nil"/>
                    <w:tr2bl w:val="nil"/>
                  </w:tcBorders>
                  <w:vAlign w:val="center"/>
                </w:tcPr>
                <w:p>
                  <w:pPr>
                    <w:adjustRightInd w:val="0"/>
                    <w:snapToGrid w:val="0"/>
                    <w:jc w:val="center"/>
                    <w:rPr>
                      <w:color w:val="auto"/>
                      <w:kern w:val="0"/>
                      <w:szCs w:val="21"/>
                      <w:lang w:bidi="ar"/>
                    </w:rPr>
                  </w:pPr>
                  <w:r>
                    <w:rPr>
                      <w:rFonts w:hint="eastAsia"/>
                      <w:color w:val="auto"/>
                      <w:kern w:val="0"/>
                      <w:szCs w:val="21"/>
                      <w:lang w:bidi="ar"/>
                    </w:rPr>
                    <w:t>是</w:t>
                  </w:r>
                </w:p>
              </w:tc>
              <w:tc>
                <w:tcPr>
                  <w:tcW w:w="290" w:type="pct"/>
                  <w:tcBorders>
                    <w:tl2br w:val="nil"/>
                    <w:tr2bl w:val="nil"/>
                  </w:tcBorders>
                  <w:vAlign w:val="center"/>
                </w:tcPr>
                <w:p>
                  <w:pPr>
                    <w:adjustRightInd w:val="0"/>
                    <w:snapToGrid w:val="0"/>
                    <w:jc w:val="center"/>
                    <w:rPr>
                      <w:color w:val="auto"/>
                      <w:szCs w:val="21"/>
                    </w:rPr>
                  </w:pPr>
                  <w:r>
                    <w:rPr>
                      <w:rFonts w:hint="eastAsia"/>
                      <w:color w:val="auto"/>
                      <w:szCs w:val="21"/>
                    </w:rPr>
                    <w:t>0.5</w:t>
                  </w:r>
                </w:p>
              </w:tc>
              <w:tc>
                <w:tcPr>
                  <w:tcW w:w="196" w:type="pct"/>
                  <w:tcBorders>
                    <w:tl2br w:val="nil"/>
                    <w:tr2bl w:val="nil"/>
                  </w:tcBorders>
                  <w:vAlign w:val="center"/>
                </w:tcPr>
                <w:p>
                  <w:pPr>
                    <w:adjustRightInd w:val="0"/>
                    <w:snapToGrid w:val="0"/>
                    <w:jc w:val="center"/>
                    <w:rPr>
                      <w:color w:val="auto"/>
                      <w:szCs w:val="21"/>
                    </w:rPr>
                  </w:pPr>
                  <w:r>
                    <w:rPr>
                      <w:rFonts w:hint="eastAsia"/>
                      <w:color w:val="auto"/>
                      <w:szCs w:val="21"/>
                    </w:rPr>
                    <w:t>0.005</w:t>
                  </w:r>
                </w:p>
              </w:tc>
              <w:tc>
                <w:tcPr>
                  <w:tcW w:w="226" w:type="pct"/>
                  <w:tcBorders>
                    <w:tl2br w:val="nil"/>
                    <w:tr2bl w:val="nil"/>
                  </w:tcBorders>
                  <w:vAlign w:val="center"/>
                </w:tcPr>
                <w:p>
                  <w:pPr>
                    <w:adjustRightInd w:val="0"/>
                    <w:snapToGrid w:val="0"/>
                    <w:jc w:val="center"/>
                    <w:rPr>
                      <w:color w:val="auto"/>
                      <w:szCs w:val="21"/>
                    </w:rPr>
                  </w:pPr>
                  <w:r>
                    <w:rPr>
                      <w:rFonts w:hint="eastAsia"/>
                      <w:color w:val="auto"/>
                      <w:szCs w:val="21"/>
                    </w:rPr>
                    <w:t>0.025</w:t>
                  </w:r>
                </w:p>
              </w:tc>
              <w:tc>
                <w:tcPr>
                  <w:tcW w:w="299" w:type="pct"/>
                  <w:tcBorders>
                    <w:tl2br w:val="nil"/>
                    <w:tr2bl w:val="nil"/>
                  </w:tcBorders>
                  <w:vAlign w:val="center"/>
                </w:tcPr>
                <w:p>
                  <w:pPr>
                    <w:adjustRightInd w:val="0"/>
                    <w:snapToGrid w:val="0"/>
                    <w:jc w:val="center"/>
                    <w:rPr>
                      <w:color w:val="auto"/>
                      <w:szCs w:val="21"/>
                    </w:rPr>
                  </w:pPr>
                  <w:r>
                    <w:rPr>
                      <w:rFonts w:hint="eastAsia"/>
                      <w:color w:val="auto"/>
                      <w:szCs w:val="21"/>
                    </w:rPr>
                    <w:t>DA001</w:t>
                  </w:r>
                </w:p>
              </w:tc>
              <w:tc>
                <w:tcPr>
                  <w:tcW w:w="1330" w:type="pct"/>
                  <w:vMerge w:val="restart"/>
                  <w:tcBorders>
                    <w:tl2br w:val="nil"/>
                    <w:tr2bl w:val="nil"/>
                  </w:tcBorders>
                  <w:vAlign w:val="center"/>
                </w:tcPr>
                <w:p>
                  <w:pPr>
                    <w:adjustRightInd w:val="0"/>
                    <w:snapToGrid w:val="0"/>
                    <w:jc w:val="center"/>
                    <w:rPr>
                      <w:color w:val="auto"/>
                      <w:szCs w:val="21"/>
                    </w:rPr>
                  </w:pPr>
                  <w:r>
                    <w:rPr>
                      <w:bCs/>
                      <w:color w:val="auto"/>
                      <w:szCs w:val="21"/>
                    </w:rPr>
                    <w:t>《铸造工业大气污染物排放标准》（GB 39726—2020）表1/《唐山市大气污染防治工作领导小组办公室&lt;唐山市钢铁行业整治提升工作方案&gt;等10项方案的通知》（唐气领办〔2021〕15号）中附件9《唐山市铸造行业整治提升工作方案》相关标准要求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42" w:hRule="atLeast"/>
                <w:jc w:val="center"/>
              </w:trPr>
              <w:tc>
                <w:tcPr>
                  <w:tcW w:w="290" w:type="pct"/>
                  <w:tcBorders>
                    <w:tl2br w:val="nil"/>
                    <w:tr2bl w:val="nil"/>
                  </w:tcBorders>
                  <w:vAlign w:val="center"/>
                </w:tcPr>
                <w:p>
                  <w:pPr>
                    <w:adjustRightInd w:val="0"/>
                    <w:snapToGrid w:val="0"/>
                    <w:jc w:val="center"/>
                    <w:rPr>
                      <w:color w:val="auto"/>
                      <w:szCs w:val="21"/>
                    </w:rPr>
                  </w:pPr>
                  <w:r>
                    <w:rPr>
                      <w:rFonts w:hint="eastAsia"/>
                      <w:color w:val="auto"/>
                      <w:szCs w:val="21"/>
                    </w:rPr>
                    <w:t>浇注、</w:t>
                  </w:r>
                  <w:r>
                    <w:rPr>
                      <w:color w:val="auto"/>
                      <w:szCs w:val="21"/>
                    </w:rPr>
                    <w:t>砂处理</w:t>
                  </w:r>
                  <w:r>
                    <w:rPr>
                      <w:rFonts w:hint="eastAsia"/>
                      <w:color w:val="auto"/>
                      <w:szCs w:val="21"/>
                    </w:rPr>
                    <w:t>、混砂、打磨以及顶吸</w:t>
                  </w:r>
                </w:p>
              </w:tc>
              <w:tc>
                <w:tcPr>
                  <w:tcW w:w="332" w:type="pct"/>
                  <w:tcBorders>
                    <w:tl2br w:val="nil"/>
                    <w:tr2bl w:val="nil"/>
                  </w:tcBorders>
                  <w:vAlign w:val="center"/>
                </w:tcPr>
                <w:p>
                  <w:pPr>
                    <w:adjustRightInd w:val="0"/>
                    <w:snapToGrid w:val="0"/>
                    <w:jc w:val="center"/>
                    <w:rPr>
                      <w:color w:val="auto"/>
                      <w:szCs w:val="21"/>
                    </w:rPr>
                  </w:pPr>
                  <w:r>
                    <w:rPr>
                      <w:rFonts w:hint="eastAsia"/>
                      <w:color w:val="auto"/>
                      <w:szCs w:val="21"/>
                    </w:rPr>
                    <w:t>颗粒物</w:t>
                  </w:r>
                </w:p>
              </w:tc>
              <w:tc>
                <w:tcPr>
                  <w:tcW w:w="248" w:type="pct"/>
                  <w:tcBorders>
                    <w:tl2br w:val="nil"/>
                    <w:tr2bl w:val="nil"/>
                  </w:tcBorders>
                  <w:vAlign w:val="center"/>
                </w:tcPr>
                <w:p>
                  <w:pPr>
                    <w:adjustRightInd w:val="0"/>
                    <w:snapToGrid w:val="0"/>
                    <w:jc w:val="center"/>
                    <w:rPr>
                      <w:color w:val="auto"/>
                      <w:szCs w:val="21"/>
                    </w:rPr>
                  </w:pPr>
                  <w:r>
                    <w:rPr>
                      <w:rFonts w:hint="eastAsia"/>
                      <w:color w:val="auto"/>
                      <w:szCs w:val="21"/>
                    </w:rPr>
                    <w:t>170.76</w:t>
                  </w:r>
                </w:p>
              </w:tc>
              <w:tc>
                <w:tcPr>
                  <w:tcW w:w="256" w:type="pct"/>
                  <w:tcBorders>
                    <w:tl2br w:val="nil"/>
                    <w:tr2bl w:val="nil"/>
                  </w:tcBorders>
                  <w:vAlign w:val="center"/>
                </w:tcPr>
                <w:p>
                  <w:pPr>
                    <w:adjustRightInd w:val="0"/>
                    <w:snapToGrid w:val="0"/>
                    <w:jc w:val="center"/>
                    <w:rPr>
                      <w:color w:val="auto"/>
                      <w:szCs w:val="21"/>
                    </w:rPr>
                  </w:pPr>
                  <w:r>
                    <w:rPr>
                      <w:rFonts w:hint="eastAsia"/>
                      <w:color w:val="auto"/>
                      <w:szCs w:val="21"/>
                    </w:rPr>
                    <w:t>39.344</w:t>
                  </w:r>
                </w:p>
              </w:tc>
              <w:tc>
                <w:tcPr>
                  <w:tcW w:w="211" w:type="pct"/>
                  <w:tcBorders>
                    <w:tl2br w:val="nil"/>
                    <w:tr2bl w:val="nil"/>
                  </w:tcBorders>
                  <w:vAlign w:val="center"/>
                </w:tcPr>
                <w:p>
                  <w:pPr>
                    <w:adjustRightInd w:val="0"/>
                    <w:snapToGrid w:val="0"/>
                    <w:jc w:val="center"/>
                    <w:rPr>
                      <w:color w:val="auto"/>
                      <w:szCs w:val="21"/>
                    </w:rPr>
                  </w:pPr>
                  <w:r>
                    <w:rPr>
                      <w:rFonts w:hint="eastAsia"/>
                      <w:color w:val="auto"/>
                      <w:szCs w:val="21"/>
                    </w:rPr>
                    <w:t>有组织</w:t>
                  </w:r>
                </w:p>
              </w:tc>
              <w:tc>
                <w:tcPr>
                  <w:tcW w:w="294" w:type="pct"/>
                  <w:tcBorders>
                    <w:tl2br w:val="nil"/>
                    <w:tr2bl w:val="nil"/>
                  </w:tcBorders>
                  <w:vAlign w:val="center"/>
                </w:tcPr>
                <w:p>
                  <w:pPr>
                    <w:adjustRightInd w:val="0"/>
                    <w:snapToGrid w:val="0"/>
                    <w:jc w:val="center"/>
                    <w:rPr>
                      <w:color w:val="auto"/>
                      <w:szCs w:val="21"/>
                    </w:rPr>
                  </w:pPr>
                  <w:r>
                    <w:rPr>
                      <w:rFonts w:hint="eastAsia"/>
                      <w:color w:val="auto"/>
                      <w:szCs w:val="21"/>
                    </w:rPr>
                    <w:t>袋式除尘器(覆膜)</w:t>
                  </w:r>
                </w:p>
              </w:tc>
              <w:tc>
                <w:tcPr>
                  <w:tcW w:w="286" w:type="pct"/>
                  <w:tcBorders>
                    <w:tl2br w:val="nil"/>
                    <w:tr2bl w:val="nil"/>
                  </w:tcBorders>
                  <w:vAlign w:val="center"/>
                </w:tcPr>
                <w:p>
                  <w:pPr>
                    <w:adjustRightInd w:val="0"/>
                    <w:snapToGrid w:val="0"/>
                    <w:jc w:val="center"/>
                    <w:rPr>
                      <w:color w:val="auto"/>
                      <w:szCs w:val="21"/>
                    </w:rPr>
                  </w:pPr>
                  <w:r>
                    <w:rPr>
                      <w:rFonts w:hint="eastAsia"/>
                      <w:color w:val="auto"/>
                      <w:szCs w:val="21"/>
                    </w:rPr>
                    <w:t>48000</w:t>
                  </w:r>
                </w:p>
              </w:tc>
              <w:tc>
                <w:tcPr>
                  <w:tcW w:w="235" w:type="pct"/>
                  <w:tcBorders>
                    <w:tl2br w:val="nil"/>
                    <w:tr2bl w:val="nil"/>
                  </w:tcBorders>
                  <w:vAlign w:val="center"/>
                </w:tcPr>
                <w:p>
                  <w:pPr>
                    <w:adjustRightInd w:val="0"/>
                    <w:snapToGrid w:val="0"/>
                    <w:jc w:val="center"/>
                    <w:rPr>
                      <w:color w:val="auto"/>
                      <w:szCs w:val="21"/>
                    </w:rPr>
                  </w:pPr>
                  <w:r>
                    <w:rPr>
                      <w:rFonts w:hint="eastAsia"/>
                      <w:color w:val="auto"/>
                      <w:szCs w:val="21"/>
                    </w:rPr>
                    <w:t>95</w:t>
                  </w:r>
                </w:p>
              </w:tc>
              <w:tc>
                <w:tcPr>
                  <w:tcW w:w="290" w:type="pct"/>
                  <w:tcBorders>
                    <w:tl2br w:val="nil"/>
                    <w:tr2bl w:val="nil"/>
                  </w:tcBorders>
                  <w:vAlign w:val="center"/>
                </w:tcPr>
                <w:p>
                  <w:pPr>
                    <w:adjustRightInd w:val="0"/>
                    <w:snapToGrid w:val="0"/>
                    <w:jc w:val="center"/>
                    <w:rPr>
                      <w:color w:val="auto"/>
                      <w:szCs w:val="21"/>
                    </w:rPr>
                  </w:pPr>
                  <w:r>
                    <w:rPr>
                      <w:rFonts w:hint="eastAsia"/>
                      <w:color w:val="auto"/>
                      <w:szCs w:val="21"/>
                    </w:rPr>
                    <w:t>99%</w:t>
                  </w:r>
                </w:p>
              </w:tc>
              <w:tc>
                <w:tcPr>
                  <w:tcW w:w="209" w:type="pct"/>
                  <w:tcBorders>
                    <w:tl2br w:val="nil"/>
                    <w:tr2bl w:val="nil"/>
                  </w:tcBorders>
                  <w:vAlign w:val="center"/>
                </w:tcPr>
                <w:p>
                  <w:pPr>
                    <w:adjustRightInd w:val="0"/>
                    <w:snapToGrid w:val="0"/>
                    <w:jc w:val="center"/>
                    <w:rPr>
                      <w:color w:val="auto"/>
                      <w:kern w:val="0"/>
                      <w:szCs w:val="21"/>
                      <w:lang w:bidi="ar"/>
                    </w:rPr>
                  </w:pPr>
                  <w:r>
                    <w:rPr>
                      <w:rFonts w:hint="eastAsia"/>
                      <w:color w:val="auto"/>
                      <w:kern w:val="0"/>
                      <w:szCs w:val="21"/>
                      <w:lang w:bidi="ar"/>
                    </w:rPr>
                    <w:t>是</w:t>
                  </w:r>
                </w:p>
              </w:tc>
              <w:tc>
                <w:tcPr>
                  <w:tcW w:w="290" w:type="pct"/>
                  <w:tcBorders>
                    <w:tl2br w:val="nil"/>
                    <w:tr2bl w:val="nil"/>
                  </w:tcBorders>
                  <w:vAlign w:val="center"/>
                </w:tcPr>
                <w:p>
                  <w:pPr>
                    <w:adjustRightInd w:val="0"/>
                    <w:snapToGrid w:val="0"/>
                    <w:jc w:val="center"/>
                    <w:rPr>
                      <w:color w:val="auto"/>
                      <w:szCs w:val="21"/>
                    </w:rPr>
                  </w:pPr>
                  <w:r>
                    <w:rPr>
                      <w:rFonts w:hint="eastAsia"/>
                      <w:color w:val="auto"/>
                      <w:szCs w:val="21"/>
                    </w:rPr>
                    <w:t>1.625</w:t>
                  </w:r>
                </w:p>
              </w:tc>
              <w:tc>
                <w:tcPr>
                  <w:tcW w:w="196" w:type="pct"/>
                  <w:tcBorders>
                    <w:tl2br w:val="nil"/>
                    <w:tr2bl w:val="nil"/>
                  </w:tcBorders>
                  <w:vAlign w:val="center"/>
                </w:tcPr>
                <w:p>
                  <w:pPr>
                    <w:adjustRightInd w:val="0"/>
                    <w:snapToGrid w:val="0"/>
                    <w:jc w:val="center"/>
                    <w:rPr>
                      <w:color w:val="auto"/>
                      <w:szCs w:val="21"/>
                    </w:rPr>
                  </w:pPr>
                  <w:r>
                    <w:rPr>
                      <w:rFonts w:hint="eastAsia"/>
                      <w:color w:val="auto"/>
                      <w:szCs w:val="21"/>
                    </w:rPr>
                    <w:t>0.078</w:t>
                  </w:r>
                </w:p>
              </w:tc>
              <w:tc>
                <w:tcPr>
                  <w:tcW w:w="226" w:type="pct"/>
                  <w:tcBorders>
                    <w:tl2br w:val="nil"/>
                    <w:tr2bl w:val="nil"/>
                  </w:tcBorders>
                  <w:vAlign w:val="center"/>
                </w:tcPr>
                <w:p>
                  <w:pPr>
                    <w:adjustRightInd w:val="0"/>
                    <w:snapToGrid w:val="0"/>
                    <w:jc w:val="center"/>
                    <w:rPr>
                      <w:color w:val="auto"/>
                      <w:szCs w:val="21"/>
                    </w:rPr>
                  </w:pPr>
                  <w:r>
                    <w:rPr>
                      <w:rFonts w:hint="eastAsia"/>
                      <w:color w:val="auto"/>
                      <w:szCs w:val="21"/>
                    </w:rPr>
                    <w:t>0.373</w:t>
                  </w:r>
                </w:p>
              </w:tc>
              <w:tc>
                <w:tcPr>
                  <w:tcW w:w="299" w:type="pct"/>
                  <w:tcBorders>
                    <w:tl2br w:val="nil"/>
                    <w:tr2bl w:val="nil"/>
                  </w:tcBorders>
                  <w:vAlign w:val="center"/>
                </w:tcPr>
                <w:p>
                  <w:pPr>
                    <w:adjustRightInd w:val="0"/>
                    <w:snapToGrid w:val="0"/>
                    <w:jc w:val="center"/>
                    <w:rPr>
                      <w:color w:val="auto"/>
                      <w:szCs w:val="21"/>
                    </w:rPr>
                  </w:pPr>
                  <w:r>
                    <w:rPr>
                      <w:rFonts w:hint="eastAsia"/>
                      <w:color w:val="auto"/>
                      <w:szCs w:val="21"/>
                    </w:rPr>
                    <w:t>DA002</w:t>
                  </w:r>
                </w:p>
              </w:tc>
              <w:tc>
                <w:tcPr>
                  <w:tcW w:w="1330" w:type="pct"/>
                  <w:vMerge w:val="continue"/>
                  <w:tcBorders>
                    <w:tl2br w:val="nil"/>
                    <w:tr2bl w:val="nil"/>
                  </w:tcBorders>
                  <w:vAlign w:val="center"/>
                </w:tcPr>
                <w:p>
                  <w:pPr>
                    <w:adjustRightInd w:val="0"/>
                    <w:snapToGrid w:val="0"/>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290" w:type="pct"/>
                  <w:vMerge w:val="restart"/>
                  <w:tcBorders>
                    <w:tl2br w:val="nil"/>
                    <w:tr2bl w:val="nil"/>
                  </w:tcBorders>
                  <w:vAlign w:val="center"/>
                </w:tcPr>
                <w:p>
                  <w:pPr>
                    <w:snapToGrid w:val="0"/>
                    <w:jc w:val="center"/>
                    <w:rPr>
                      <w:color w:val="auto"/>
                      <w:szCs w:val="21"/>
                    </w:rPr>
                  </w:pPr>
                  <w:r>
                    <w:rPr>
                      <w:rFonts w:hint="eastAsia"/>
                      <w:color w:val="auto"/>
                      <w:szCs w:val="21"/>
                    </w:rPr>
                    <w:t>无组织</w:t>
                  </w:r>
                </w:p>
              </w:tc>
              <w:tc>
                <w:tcPr>
                  <w:tcW w:w="332" w:type="pct"/>
                  <w:vMerge w:val="restart"/>
                  <w:tcBorders>
                    <w:tl2br w:val="nil"/>
                    <w:tr2bl w:val="nil"/>
                  </w:tcBorders>
                  <w:vAlign w:val="center"/>
                </w:tcPr>
                <w:p>
                  <w:pPr>
                    <w:jc w:val="center"/>
                    <w:rPr>
                      <w:color w:val="auto"/>
                      <w:szCs w:val="21"/>
                    </w:rPr>
                  </w:pPr>
                  <w:r>
                    <w:rPr>
                      <w:color w:val="auto"/>
                      <w:szCs w:val="21"/>
                    </w:rPr>
                    <w:t>颗粒物</w:t>
                  </w:r>
                </w:p>
              </w:tc>
              <w:tc>
                <w:tcPr>
                  <w:tcW w:w="248" w:type="pct"/>
                  <w:vMerge w:val="restart"/>
                  <w:tcBorders>
                    <w:tl2br w:val="nil"/>
                    <w:tr2bl w:val="nil"/>
                  </w:tcBorders>
                  <w:vAlign w:val="center"/>
                </w:tcPr>
                <w:p>
                  <w:pPr>
                    <w:snapToGrid w:val="0"/>
                    <w:jc w:val="center"/>
                    <w:rPr>
                      <w:color w:val="auto"/>
                      <w:szCs w:val="21"/>
                    </w:rPr>
                  </w:pPr>
                  <w:r>
                    <w:rPr>
                      <w:rFonts w:hint="eastAsia"/>
                      <w:color w:val="auto"/>
                      <w:szCs w:val="21"/>
                    </w:rPr>
                    <w:t>-</w:t>
                  </w:r>
                </w:p>
              </w:tc>
              <w:tc>
                <w:tcPr>
                  <w:tcW w:w="256" w:type="pct"/>
                  <w:vMerge w:val="restart"/>
                  <w:tcBorders>
                    <w:tl2br w:val="nil"/>
                    <w:tr2bl w:val="nil"/>
                  </w:tcBorders>
                  <w:vAlign w:val="center"/>
                </w:tcPr>
                <w:p>
                  <w:pPr>
                    <w:snapToGrid w:val="0"/>
                    <w:jc w:val="center"/>
                    <w:rPr>
                      <w:color w:val="auto"/>
                      <w:szCs w:val="21"/>
                    </w:rPr>
                  </w:pPr>
                  <w:r>
                    <w:rPr>
                      <w:rFonts w:hint="eastAsia"/>
                      <w:color w:val="auto"/>
                      <w:szCs w:val="21"/>
                    </w:rPr>
                    <w:t>0.1</w:t>
                  </w:r>
                </w:p>
              </w:tc>
              <w:tc>
                <w:tcPr>
                  <w:tcW w:w="211" w:type="pct"/>
                  <w:vMerge w:val="restart"/>
                  <w:tcBorders>
                    <w:tl2br w:val="nil"/>
                    <w:tr2bl w:val="nil"/>
                  </w:tcBorders>
                  <w:vAlign w:val="center"/>
                </w:tcPr>
                <w:p>
                  <w:pPr>
                    <w:jc w:val="center"/>
                    <w:rPr>
                      <w:color w:val="auto"/>
                      <w:szCs w:val="21"/>
                    </w:rPr>
                  </w:pPr>
                  <w:r>
                    <w:rPr>
                      <w:rFonts w:hint="eastAsia"/>
                      <w:color w:val="auto"/>
                      <w:szCs w:val="21"/>
                    </w:rPr>
                    <w:t>无组织</w:t>
                  </w:r>
                </w:p>
              </w:tc>
              <w:tc>
                <w:tcPr>
                  <w:tcW w:w="294" w:type="pct"/>
                  <w:vMerge w:val="restart"/>
                  <w:tcBorders>
                    <w:tl2br w:val="nil"/>
                    <w:tr2bl w:val="nil"/>
                  </w:tcBorders>
                  <w:vAlign w:val="center"/>
                </w:tcPr>
                <w:p>
                  <w:pPr>
                    <w:snapToGrid w:val="0"/>
                    <w:jc w:val="center"/>
                    <w:rPr>
                      <w:color w:val="auto"/>
                      <w:szCs w:val="21"/>
                    </w:rPr>
                  </w:pPr>
                  <w:r>
                    <w:rPr>
                      <w:rFonts w:hint="eastAsia"/>
                      <w:bCs/>
                      <w:snapToGrid w:val="0"/>
                      <w:color w:val="auto"/>
                      <w:kern w:val="0"/>
                      <w:szCs w:val="21"/>
                    </w:rPr>
                    <w:t>项目于封闭生产车间内运行</w:t>
                  </w:r>
                </w:p>
              </w:tc>
              <w:tc>
                <w:tcPr>
                  <w:tcW w:w="286" w:type="pct"/>
                  <w:vMerge w:val="restart"/>
                  <w:tcBorders>
                    <w:tl2br w:val="nil"/>
                    <w:tr2bl w:val="nil"/>
                  </w:tcBorders>
                  <w:vAlign w:val="center"/>
                </w:tcPr>
                <w:p>
                  <w:pPr>
                    <w:snapToGrid w:val="0"/>
                    <w:jc w:val="center"/>
                    <w:rPr>
                      <w:color w:val="auto"/>
                      <w:szCs w:val="21"/>
                    </w:rPr>
                  </w:pPr>
                  <w:r>
                    <w:rPr>
                      <w:rFonts w:hint="eastAsia"/>
                      <w:color w:val="auto"/>
                      <w:szCs w:val="21"/>
                    </w:rPr>
                    <w:t>-</w:t>
                  </w:r>
                </w:p>
              </w:tc>
              <w:tc>
                <w:tcPr>
                  <w:tcW w:w="235" w:type="pct"/>
                  <w:vMerge w:val="restart"/>
                  <w:tcBorders>
                    <w:tl2br w:val="nil"/>
                    <w:tr2bl w:val="nil"/>
                  </w:tcBorders>
                  <w:vAlign w:val="center"/>
                </w:tcPr>
                <w:p>
                  <w:pPr>
                    <w:snapToGrid w:val="0"/>
                    <w:jc w:val="center"/>
                    <w:rPr>
                      <w:color w:val="auto"/>
                      <w:szCs w:val="21"/>
                    </w:rPr>
                  </w:pPr>
                  <w:r>
                    <w:rPr>
                      <w:rFonts w:hint="eastAsia"/>
                      <w:color w:val="auto"/>
                      <w:szCs w:val="21"/>
                    </w:rPr>
                    <w:t>-</w:t>
                  </w:r>
                </w:p>
              </w:tc>
              <w:tc>
                <w:tcPr>
                  <w:tcW w:w="290" w:type="pct"/>
                  <w:vMerge w:val="restart"/>
                  <w:tcBorders>
                    <w:tl2br w:val="nil"/>
                    <w:tr2bl w:val="nil"/>
                  </w:tcBorders>
                  <w:vAlign w:val="center"/>
                </w:tcPr>
                <w:p>
                  <w:pPr>
                    <w:snapToGrid w:val="0"/>
                    <w:jc w:val="center"/>
                    <w:rPr>
                      <w:color w:val="auto"/>
                      <w:szCs w:val="21"/>
                    </w:rPr>
                  </w:pPr>
                  <w:r>
                    <w:rPr>
                      <w:rFonts w:hint="eastAsia"/>
                      <w:color w:val="auto"/>
                      <w:szCs w:val="21"/>
                    </w:rPr>
                    <w:t>99%</w:t>
                  </w:r>
                </w:p>
              </w:tc>
              <w:tc>
                <w:tcPr>
                  <w:tcW w:w="209" w:type="pct"/>
                  <w:vMerge w:val="restart"/>
                  <w:tcBorders>
                    <w:tl2br w:val="nil"/>
                    <w:tr2bl w:val="nil"/>
                  </w:tcBorders>
                  <w:vAlign w:val="center"/>
                </w:tcPr>
                <w:p>
                  <w:pPr>
                    <w:snapToGrid w:val="0"/>
                    <w:jc w:val="center"/>
                    <w:rPr>
                      <w:color w:val="auto"/>
                      <w:szCs w:val="21"/>
                    </w:rPr>
                  </w:pPr>
                  <w:r>
                    <w:rPr>
                      <w:rFonts w:hint="eastAsia"/>
                      <w:color w:val="auto"/>
                      <w:szCs w:val="21"/>
                    </w:rPr>
                    <w:t>是</w:t>
                  </w:r>
                </w:p>
              </w:tc>
              <w:tc>
                <w:tcPr>
                  <w:tcW w:w="290" w:type="pct"/>
                  <w:vMerge w:val="restart"/>
                  <w:tcBorders>
                    <w:tl2br w:val="nil"/>
                    <w:tr2bl w:val="nil"/>
                  </w:tcBorders>
                  <w:vAlign w:val="center"/>
                </w:tcPr>
                <w:p>
                  <w:pPr>
                    <w:snapToGrid w:val="0"/>
                    <w:jc w:val="center"/>
                    <w:rPr>
                      <w:color w:val="auto"/>
                      <w:szCs w:val="21"/>
                    </w:rPr>
                  </w:pPr>
                  <w:r>
                    <w:rPr>
                      <w:rFonts w:hint="eastAsia"/>
                      <w:color w:val="auto"/>
                      <w:szCs w:val="21"/>
                    </w:rPr>
                    <w:t>-</w:t>
                  </w:r>
                </w:p>
              </w:tc>
              <w:tc>
                <w:tcPr>
                  <w:tcW w:w="196" w:type="pct"/>
                  <w:vMerge w:val="restart"/>
                  <w:tcBorders>
                    <w:tl2br w:val="nil"/>
                    <w:tr2bl w:val="nil"/>
                  </w:tcBorders>
                  <w:vAlign w:val="center"/>
                </w:tcPr>
                <w:p>
                  <w:pPr>
                    <w:jc w:val="center"/>
                    <w:rPr>
                      <w:color w:val="auto"/>
                      <w:szCs w:val="21"/>
                    </w:rPr>
                  </w:pPr>
                  <w:r>
                    <w:rPr>
                      <w:rFonts w:hint="eastAsia"/>
                      <w:color w:val="auto"/>
                      <w:szCs w:val="21"/>
                    </w:rPr>
                    <w:t>0.0004</w:t>
                  </w:r>
                </w:p>
              </w:tc>
              <w:tc>
                <w:tcPr>
                  <w:tcW w:w="226" w:type="pct"/>
                  <w:vMerge w:val="restart"/>
                  <w:tcBorders>
                    <w:tl2br w:val="nil"/>
                    <w:tr2bl w:val="nil"/>
                  </w:tcBorders>
                  <w:vAlign w:val="center"/>
                </w:tcPr>
                <w:p>
                  <w:pPr>
                    <w:snapToGrid w:val="0"/>
                    <w:jc w:val="center"/>
                    <w:rPr>
                      <w:color w:val="auto"/>
                      <w:szCs w:val="21"/>
                    </w:rPr>
                  </w:pPr>
                  <w:r>
                    <w:rPr>
                      <w:rFonts w:hint="eastAsia"/>
                      <w:color w:val="auto"/>
                      <w:szCs w:val="21"/>
                    </w:rPr>
                    <w:t>0.001</w:t>
                  </w:r>
                </w:p>
              </w:tc>
              <w:tc>
                <w:tcPr>
                  <w:tcW w:w="299" w:type="pct"/>
                  <w:vMerge w:val="restart"/>
                  <w:tcBorders>
                    <w:tl2br w:val="nil"/>
                    <w:tr2bl w:val="nil"/>
                  </w:tcBorders>
                  <w:vAlign w:val="center"/>
                </w:tcPr>
                <w:p>
                  <w:pPr>
                    <w:jc w:val="center"/>
                    <w:rPr>
                      <w:color w:val="auto"/>
                      <w:szCs w:val="21"/>
                    </w:rPr>
                  </w:pPr>
                  <w:r>
                    <w:rPr>
                      <w:rFonts w:hint="eastAsia"/>
                      <w:color w:val="auto"/>
                      <w:szCs w:val="21"/>
                    </w:rPr>
                    <w:t>-</w:t>
                  </w:r>
                </w:p>
              </w:tc>
              <w:tc>
                <w:tcPr>
                  <w:tcW w:w="1330" w:type="pct"/>
                  <w:tcBorders>
                    <w:tl2br w:val="nil"/>
                    <w:tr2bl w:val="nil"/>
                  </w:tcBorders>
                  <w:vAlign w:val="center"/>
                </w:tcPr>
                <w:p>
                  <w:pPr>
                    <w:jc w:val="center"/>
                    <w:rPr>
                      <w:color w:val="auto"/>
                      <w:szCs w:val="21"/>
                    </w:rPr>
                  </w:pPr>
                  <w:r>
                    <w:rPr>
                      <w:rFonts w:hint="eastAsia"/>
                      <w:color w:val="auto"/>
                    </w:rPr>
                    <w:t>厂界：</w:t>
                  </w:r>
                  <w:r>
                    <w:rPr>
                      <w:color w:val="auto"/>
                    </w:rPr>
                    <w:t>《唐山市大气污染防治工作领导小组办公室&lt;唐山市钢铁行业整治提升工作方案&gt;等10项方案的通知》（唐气领办〔2021〕15号）中附件9《唐山市铸造行业整治提升工作方案》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770" w:hRule="atLeast"/>
                <w:jc w:val="center"/>
              </w:trPr>
              <w:tc>
                <w:tcPr>
                  <w:tcW w:w="290" w:type="pct"/>
                  <w:vMerge w:val="continue"/>
                  <w:tcBorders>
                    <w:tl2br w:val="nil"/>
                    <w:tr2bl w:val="nil"/>
                  </w:tcBorders>
                  <w:vAlign w:val="center"/>
                </w:tcPr>
                <w:p>
                  <w:pPr>
                    <w:jc w:val="center"/>
                    <w:rPr>
                      <w:color w:val="auto"/>
                    </w:rPr>
                  </w:pPr>
                </w:p>
              </w:tc>
              <w:tc>
                <w:tcPr>
                  <w:tcW w:w="332" w:type="pct"/>
                  <w:vMerge w:val="continue"/>
                  <w:tcBorders>
                    <w:tl2br w:val="nil"/>
                    <w:tr2bl w:val="nil"/>
                  </w:tcBorders>
                  <w:vAlign w:val="center"/>
                </w:tcPr>
                <w:p>
                  <w:pPr>
                    <w:jc w:val="center"/>
                    <w:rPr>
                      <w:color w:val="auto"/>
                    </w:rPr>
                  </w:pPr>
                </w:p>
              </w:tc>
              <w:tc>
                <w:tcPr>
                  <w:tcW w:w="248" w:type="pct"/>
                  <w:vMerge w:val="continue"/>
                  <w:tcBorders>
                    <w:tl2br w:val="nil"/>
                    <w:tr2bl w:val="nil"/>
                  </w:tcBorders>
                  <w:vAlign w:val="center"/>
                </w:tcPr>
                <w:p>
                  <w:pPr>
                    <w:jc w:val="center"/>
                    <w:rPr>
                      <w:color w:val="auto"/>
                    </w:rPr>
                  </w:pPr>
                </w:p>
              </w:tc>
              <w:tc>
                <w:tcPr>
                  <w:tcW w:w="256" w:type="pct"/>
                  <w:vMerge w:val="continue"/>
                  <w:tcBorders>
                    <w:tl2br w:val="nil"/>
                    <w:tr2bl w:val="nil"/>
                  </w:tcBorders>
                  <w:vAlign w:val="center"/>
                </w:tcPr>
                <w:p>
                  <w:pPr>
                    <w:jc w:val="center"/>
                    <w:rPr>
                      <w:color w:val="auto"/>
                    </w:rPr>
                  </w:pPr>
                </w:p>
              </w:tc>
              <w:tc>
                <w:tcPr>
                  <w:tcW w:w="211" w:type="pct"/>
                  <w:vMerge w:val="continue"/>
                  <w:tcBorders>
                    <w:tl2br w:val="nil"/>
                    <w:tr2bl w:val="nil"/>
                  </w:tcBorders>
                  <w:vAlign w:val="center"/>
                </w:tcPr>
                <w:p>
                  <w:pPr>
                    <w:jc w:val="center"/>
                    <w:rPr>
                      <w:color w:val="auto"/>
                    </w:rPr>
                  </w:pPr>
                </w:p>
              </w:tc>
              <w:tc>
                <w:tcPr>
                  <w:tcW w:w="294" w:type="pct"/>
                  <w:vMerge w:val="continue"/>
                  <w:tcBorders>
                    <w:tl2br w:val="nil"/>
                    <w:tr2bl w:val="nil"/>
                  </w:tcBorders>
                  <w:vAlign w:val="center"/>
                </w:tcPr>
                <w:p>
                  <w:pPr>
                    <w:jc w:val="center"/>
                    <w:rPr>
                      <w:color w:val="auto"/>
                    </w:rPr>
                  </w:pPr>
                </w:p>
              </w:tc>
              <w:tc>
                <w:tcPr>
                  <w:tcW w:w="286" w:type="pct"/>
                  <w:vMerge w:val="continue"/>
                  <w:tcBorders>
                    <w:tl2br w:val="nil"/>
                    <w:tr2bl w:val="nil"/>
                  </w:tcBorders>
                  <w:vAlign w:val="center"/>
                </w:tcPr>
                <w:p>
                  <w:pPr>
                    <w:jc w:val="center"/>
                    <w:rPr>
                      <w:color w:val="auto"/>
                    </w:rPr>
                  </w:pPr>
                </w:p>
              </w:tc>
              <w:tc>
                <w:tcPr>
                  <w:tcW w:w="235" w:type="pct"/>
                  <w:vMerge w:val="continue"/>
                  <w:tcBorders>
                    <w:tl2br w:val="nil"/>
                    <w:tr2bl w:val="nil"/>
                  </w:tcBorders>
                  <w:vAlign w:val="center"/>
                </w:tcPr>
                <w:p>
                  <w:pPr>
                    <w:jc w:val="center"/>
                    <w:rPr>
                      <w:color w:val="auto"/>
                    </w:rPr>
                  </w:pPr>
                </w:p>
              </w:tc>
              <w:tc>
                <w:tcPr>
                  <w:tcW w:w="290" w:type="pct"/>
                  <w:vMerge w:val="continue"/>
                  <w:tcBorders>
                    <w:tl2br w:val="nil"/>
                    <w:tr2bl w:val="nil"/>
                  </w:tcBorders>
                  <w:vAlign w:val="center"/>
                </w:tcPr>
                <w:p>
                  <w:pPr>
                    <w:jc w:val="center"/>
                    <w:rPr>
                      <w:color w:val="auto"/>
                    </w:rPr>
                  </w:pPr>
                </w:p>
              </w:tc>
              <w:tc>
                <w:tcPr>
                  <w:tcW w:w="209" w:type="pct"/>
                  <w:vMerge w:val="continue"/>
                  <w:tcBorders>
                    <w:tl2br w:val="nil"/>
                    <w:tr2bl w:val="nil"/>
                  </w:tcBorders>
                  <w:vAlign w:val="center"/>
                </w:tcPr>
                <w:p>
                  <w:pPr>
                    <w:jc w:val="center"/>
                    <w:rPr>
                      <w:color w:val="auto"/>
                    </w:rPr>
                  </w:pPr>
                </w:p>
              </w:tc>
              <w:tc>
                <w:tcPr>
                  <w:tcW w:w="290" w:type="pct"/>
                  <w:vMerge w:val="continue"/>
                  <w:tcBorders>
                    <w:tl2br w:val="nil"/>
                    <w:tr2bl w:val="nil"/>
                  </w:tcBorders>
                  <w:vAlign w:val="center"/>
                </w:tcPr>
                <w:p>
                  <w:pPr>
                    <w:jc w:val="center"/>
                    <w:rPr>
                      <w:color w:val="auto"/>
                    </w:rPr>
                  </w:pPr>
                </w:p>
              </w:tc>
              <w:tc>
                <w:tcPr>
                  <w:tcW w:w="196" w:type="pct"/>
                  <w:vMerge w:val="continue"/>
                  <w:tcBorders>
                    <w:tl2br w:val="nil"/>
                    <w:tr2bl w:val="nil"/>
                  </w:tcBorders>
                  <w:vAlign w:val="center"/>
                </w:tcPr>
                <w:p>
                  <w:pPr>
                    <w:jc w:val="center"/>
                    <w:rPr>
                      <w:color w:val="auto"/>
                    </w:rPr>
                  </w:pPr>
                </w:p>
              </w:tc>
              <w:tc>
                <w:tcPr>
                  <w:tcW w:w="226" w:type="pct"/>
                  <w:vMerge w:val="continue"/>
                  <w:tcBorders>
                    <w:tl2br w:val="nil"/>
                    <w:tr2bl w:val="nil"/>
                  </w:tcBorders>
                  <w:vAlign w:val="center"/>
                </w:tcPr>
                <w:p>
                  <w:pPr>
                    <w:jc w:val="center"/>
                    <w:rPr>
                      <w:color w:val="auto"/>
                    </w:rPr>
                  </w:pPr>
                </w:p>
              </w:tc>
              <w:tc>
                <w:tcPr>
                  <w:tcW w:w="299" w:type="pct"/>
                  <w:vMerge w:val="continue"/>
                  <w:tcBorders>
                    <w:tl2br w:val="nil"/>
                    <w:tr2bl w:val="nil"/>
                  </w:tcBorders>
                  <w:vAlign w:val="center"/>
                </w:tcPr>
                <w:p>
                  <w:pPr>
                    <w:jc w:val="center"/>
                    <w:rPr>
                      <w:color w:val="auto"/>
                    </w:rPr>
                  </w:pPr>
                </w:p>
              </w:tc>
              <w:tc>
                <w:tcPr>
                  <w:tcW w:w="1330" w:type="pct"/>
                  <w:tcBorders>
                    <w:tl2br w:val="nil"/>
                    <w:tr2bl w:val="nil"/>
                  </w:tcBorders>
                  <w:vAlign w:val="center"/>
                </w:tcPr>
                <w:p>
                  <w:pPr>
                    <w:jc w:val="center"/>
                    <w:rPr>
                      <w:color w:val="auto"/>
                    </w:rPr>
                  </w:pPr>
                  <w:r>
                    <w:rPr>
                      <w:rFonts w:hint="eastAsia"/>
                      <w:bCs/>
                      <w:color w:val="auto"/>
                      <w:szCs w:val="21"/>
                    </w:rPr>
                    <w:t>熔炼车间外1m：</w:t>
                  </w:r>
                  <w:r>
                    <w:rPr>
                      <w:bCs/>
                      <w:color w:val="auto"/>
                      <w:szCs w:val="21"/>
                    </w:rPr>
                    <w:t>《铸造工业大气污染物排放标准》（GB 39726—2020）附录A</w:t>
                  </w:r>
                  <w:r>
                    <w:rPr>
                      <w:color w:val="auto"/>
                    </w:rPr>
                    <w:t>/《唐山市大气污染防治工作领导小组办公室&lt;唐山市钢铁行业整治提升工作方案&gt;等10项方案的通知》（唐气领办〔2021〕15号）中附件9《唐山市铸造行业整治提升工作方案》</w:t>
                  </w:r>
                </w:p>
              </w:tc>
            </w:tr>
          </w:tbl>
          <w:p>
            <w:pPr>
              <w:tabs>
                <w:tab w:val="left" w:pos="1902"/>
              </w:tabs>
              <w:spacing w:line="480" w:lineRule="exact"/>
              <w:jc w:val="center"/>
              <w:rPr>
                <w:b/>
                <w:bCs/>
                <w:color w:val="auto"/>
                <w:sz w:val="24"/>
              </w:rPr>
            </w:pPr>
            <w:r>
              <w:rPr>
                <w:rFonts w:hint="eastAsia"/>
                <w:b/>
                <w:bCs/>
                <w:color w:val="auto"/>
                <w:sz w:val="24"/>
              </w:rPr>
              <w:t>表28    废气排放口基本情况一览表</w:t>
            </w:r>
          </w:p>
          <w:tbl>
            <w:tblPr>
              <w:tblStyle w:val="33"/>
              <w:tblW w:w="4996"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1126"/>
              <w:gridCol w:w="1854"/>
              <w:gridCol w:w="1213"/>
              <w:gridCol w:w="1951"/>
              <w:gridCol w:w="1415"/>
              <w:gridCol w:w="1181"/>
              <w:gridCol w:w="1079"/>
              <w:gridCol w:w="1124"/>
              <w:gridCol w:w="1479"/>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tblHeader/>
                <w:jc w:val="center"/>
              </w:trPr>
              <w:tc>
                <w:tcPr>
                  <w:tcW w:w="453" w:type="pct"/>
                  <w:vMerge w:val="restart"/>
                  <w:tcBorders>
                    <w:tl2br w:val="nil"/>
                    <w:tr2bl w:val="nil"/>
                  </w:tcBorders>
                  <w:vAlign w:val="center"/>
                </w:tcPr>
                <w:p>
                  <w:pPr>
                    <w:pStyle w:val="78"/>
                    <w:widowControl/>
                    <w:jc w:val="center"/>
                    <w:rPr>
                      <w:rFonts w:ascii="Times New Roman" w:hAnsi="Times New Roman"/>
                      <w:color w:val="auto"/>
                      <w:kern w:val="0"/>
                      <w:szCs w:val="21"/>
                      <w:lang w:bidi="ar"/>
                    </w:rPr>
                  </w:pPr>
                  <w:r>
                    <w:rPr>
                      <w:rFonts w:ascii="Times New Roman" w:hAnsi="Times New Roman"/>
                      <w:color w:val="auto"/>
                      <w:kern w:val="0"/>
                      <w:szCs w:val="21"/>
                      <w:lang w:bidi="ar"/>
                    </w:rPr>
                    <w:t>排放口编号</w:t>
                  </w:r>
                </w:p>
              </w:tc>
              <w:tc>
                <w:tcPr>
                  <w:tcW w:w="746" w:type="pct"/>
                  <w:vMerge w:val="restart"/>
                  <w:tcBorders>
                    <w:tl2br w:val="nil"/>
                    <w:tr2bl w:val="nil"/>
                  </w:tcBorders>
                  <w:vAlign w:val="center"/>
                </w:tcPr>
                <w:p>
                  <w:pPr>
                    <w:pStyle w:val="78"/>
                    <w:widowControl/>
                    <w:jc w:val="center"/>
                    <w:rPr>
                      <w:rFonts w:ascii="Times New Roman" w:hAnsi="Times New Roman"/>
                      <w:color w:val="auto"/>
                      <w:kern w:val="0"/>
                      <w:szCs w:val="21"/>
                      <w:lang w:bidi="ar"/>
                    </w:rPr>
                  </w:pPr>
                  <w:r>
                    <w:rPr>
                      <w:rFonts w:hint="eastAsia" w:ascii="Times New Roman" w:hAnsi="Times New Roman"/>
                      <w:color w:val="auto"/>
                      <w:kern w:val="0"/>
                      <w:szCs w:val="21"/>
                      <w:lang w:bidi="ar"/>
                    </w:rPr>
                    <w:t>排放口名称</w:t>
                  </w:r>
                </w:p>
              </w:tc>
              <w:tc>
                <w:tcPr>
                  <w:tcW w:w="488" w:type="pct"/>
                  <w:vMerge w:val="restart"/>
                  <w:tcBorders>
                    <w:tl2br w:val="nil"/>
                    <w:tr2bl w:val="nil"/>
                  </w:tcBorders>
                  <w:vAlign w:val="center"/>
                </w:tcPr>
                <w:p>
                  <w:pPr>
                    <w:pStyle w:val="78"/>
                    <w:widowControl/>
                    <w:jc w:val="center"/>
                    <w:rPr>
                      <w:rFonts w:ascii="Times New Roman" w:hAnsi="Times New Roman"/>
                      <w:color w:val="auto"/>
                      <w:kern w:val="0"/>
                      <w:szCs w:val="21"/>
                      <w:lang w:bidi="ar"/>
                    </w:rPr>
                  </w:pPr>
                  <w:r>
                    <w:rPr>
                      <w:rFonts w:hint="eastAsia" w:ascii="Times New Roman" w:hAnsi="Times New Roman"/>
                      <w:color w:val="auto"/>
                      <w:kern w:val="0"/>
                      <w:szCs w:val="21"/>
                      <w:lang w:bidi="ar"/>
                    </w:rPr>
                    <w:t>污染物种类</w:t>
                  </w:r>
                </w:p>
              </w:tc>
              <w:tc>
                <w:tcPr>
                  <w:tcW w:w="1354" w:type="pct"/>
                  <w:gridSpan w:val="2"/>
                  <w:tcBorders>
                    <w:tl2br w:val="nil"/>
                    <w:tr2bl w:val="nil"/>
                  </w:tcBorders>
                  <w:vAlign w:val="center"/>
                </w:tcPr>
                <w:p>
                  <w:pPr>
                    <w:pStyle w:val="78"/>
                    <w:widowControl/>
                    <w:jc w:val="center"/>
                    <w:rPr>
                      <w:rFonts w:ascii="Times New Roman" w:hAnsi="Times New Roman"/>
                      <w:color w:val="auto"/>
                      <w:kern w:val="0"/>
                      <w:szCs w:val="21"/>
                      <w:lang w:bidi="ar"/>
                    </w:rPr>
                  </w:pPr>
                  <w:r>
                    <w:rPr>
                      <w:rFonts w:ascii="Times New Roman" w:hAnsi="Times New Roman"/>
                      <w:color w:val="auto"/>
                      <w:kern w:val="0"/>
                      <w:szCs w:val="21"/>
                      <w:lang w:bidi="ar"/>
                    </w:rPr>
                    <w:t>排放口地理坐标</w:t>
                  </w:r>
                </w:p>
              </w:tc>
              <w:tc>
                <w:tcPr>
                  <w:tcW w:w="475" w:type="pct"/>
                  <w:vMerge w:val="restart"/>
                  <w:tcBorders>
                    <w:tl2br w:val="nil"/>
                    <w:tr2bl w:val="nil"/>
                  </w:tcBorders>
                  <w:vAlign w:val="center"/>
                </w:tcPr>
                <w:p>
                  <w:pPr>
                    <w:pStyle w:val="78"/>
                    <w:widowControl/>
                    <w:jc w:val="center"/>
                    <w:rPr>
                      <w:rFonts w:ascii="Times New Roman" w:hAnsi="Times New Roman"/>
                      <w:color w:val="auto"/>
                      <w:kern w:val="0"/>
                      <w:szCs w:val="21"/>
                      <w:lang w:bidi="ar"/>
                    </w:rPr>
                  </w:pPr>
                  <w:r>
                    <w:rPr>
                      <w:rFonts w:ascii="Times New Roman" w:hAnsi="Times New Roman"/>
                      <w:color w:val="auto"/>
                      <w:kern w:val="0"/>
                      <w:szCs w:val="21"/>
                      <w:lang w:bidi="ar"/>
                    </w:rPr>
                    <w:t>排气筒</w:t>
                  </w:r>
                </w:p>
                <w:p>
                  <w:pPr>
                    <w:pStyle w:val="78"/>
                    <w:widowControl/>
                    <w:jc w:val="center"/>
                    <w:rPr>
                      <w:rFonts w:ascii="Times New Roman" w:hAnsi="Times New Roman"/>
                      <w:color w:val="auto"/>
                      <w:kern w:val="0"/>
                      <w:szCs w:val="21"/>
                      <w:lang w:bidi="ar"/>
                    </w:rPr>
                  </w:pPr>
                  <w:r>
                    <w:rPr>
                      <w:rFonts w:ascii="Times New Roman" w:hAnsi="Times New Roman"/>
                      <w:color w:val="auto"/>
                      <w:kern w:val="0"/>
                      <w:szCs w:val="21"/>
                      <w:lang w:bidi="ar"/>
                    </w:rPr>
                    <w:t>高度（m）</w:t>
                  </w:r>
                </w:p>
              </w:tc>
              <w:tc>
                <w:tcPr>
                  <w:tcW w:w="434" w:type="pct"/>
                  <w:vMerge w:val="restart"/>
                  <w:tcBorders>
                    <w:tl2br w:val="nil"/>
                    <w:tr2bl w:val="nil"/>
                  </w:tcBorders>
                  <w:vAlign w:val="center"/>
                </w:tcPr>
                <w:p>
                  <w:pPr>
                    <w:pStyle w:val="78"/>
                    <w:widowControl/>
                    <w:jc w:val="center"/>
                    <w:rPr>
                      <w:rFonts w:ascii="Times New Roman" w:hAnsi="Times New Roman"/>
                      <w:color w:val="auto"/>
                      <w:kern w:val="0"/>
                      <w:szCs w:val="21"/>
                      <w:lang w:bidi="ar"/>
                    </w:rPr>
                  </w:pPr>
                  <w:r>
                    <w:rPr>
                      <w:rFonts w:ascii="Times New Roman" w:hAnsi="Times New Roman"/>
                      <w:color w:val="auto"/>
                      <w:kern w:val="0"/>
                      <w:szCs w:val="21"/>
                      <w:lang w:bidi="ar"/>
                    </w:rPr>
                    <w:t>排气筒</w:t>
                  </w:r>
                </w:p>
                <w:p>
                  <w:pPr>
                    <w:pStyle w:val="78"/>
                    <w:widowControl/>
                    <w:jc w:val="center"/>
                    <w:rPr>
                      <w:rFonts w:ascii="Times New Roman" w:hAnsi="Times New Roman"/>
                      <w:color w:val="auto"/>
                      <w:kern w:val="0"/>
                      <w:szCs w:val="21"/>
                      <w:lang w:bidi="ar"/>
                    </w:rPr>
                  </w:pPr>
                  <w:r>
                    <w:rPr>
                      <w:rFonts w:ascii="Times New Roman" w:hAnsi="Times New Roman"/>
                      <w:color w:val="auto"/>
                      <w:kern w:val="0"/>
                      <w:szCs w:val="21"/>
                      <w:lang w:bidi="ar"/>
                    </w:rPr>
                    <w:t>内径</w:t>
                  </w:r>
                  <w:r>
                    <w:rPr>
                      <w:rFonts w:hint="eastAsia" w:ascii="Times New Roman" w:hAnsi="Times New Roman"/>
                      <w:color w:val="auto"/>
                      <w:kern w:val="0"/>
                      <w:szCs w:val="21"/>
                      <w:lang w:bidi="ar"/>
                    </w:rPr>
                    <w:t>（m）</w:t>
                  </w:r>
                </w:p>
              </w:tc>
              <w:tc>
                <w:tcPr>
                  <w:tcW w:w="452" w:type="pct"/>
                  <w:vMerge w:val="restart"/>
                  <w:tcBorders>
                    <w:tl2br w:val="nil"/>
                    <w:tr2bl w:val="nil"/>
                  </w:tcBorders>
                  <w:vAlign w:val="center"/>
                </w:tcPr>
                <w:p>
                  <w:pPr>
                    <w:pStyle w:val="78"/>
                    <w:widowControl/>
                    <w:jc w:val="center"/>
                    <w:rPr>
                      <w:rFonts w:ascii="Times New Roman" w:hAnsi="Times New Roman"/>
                      <w:color w:val="auto"/>
                      <w:kern w:val="0"/>
                      <w:szCs w:val="21"/>
                      <w:lang w:bidi="ar"/>
                    </w:rPr>
                  </w:pPr>
                  <w:r>
                    <w:rPr>
                      <w:rFonts w:ascii="Times New Roman" w:hAnsi="Times New Roman"/>
                      <w:color w:val="auto"/>
                      <w:kern w:val="0"/>
                      <w:szCs w:val="21"/>
                      <w:lang w:bidi="ar"/>
                    </w:rPr>
                    <w:t>排气</w:t>
                  </w:r>
                </w:p>
                <w:p>
                  <w:pPr>
                    <w:pStyle w:val="78"/>
                    <w:widowControl/>
                    <w:jc w:val="center"/>
                    <w:rPr>
                      <w:rFonts w:ascii="Times New Roman" w:hAnsi="Times New Roman"/>
                      <w:color w:val="auto"/>
                      <w:kern w:val="0"/>
                      <w:szCs w:val="21"/>
                      <w:lang w:bidi="ar"/>
                    </w:rPr>
                  </w:pPr>
                  <w:r>
                    <w:rPr>
                      <w:rFonts w:ascii="Times New Roman" w:hAnsi="Times New Roman"/>
                      <w:color w:val="auto"/>
                      <w:kern w:val="0"/>
                      <w:szCs w:val="21"/>
                      <w:lang w:bidi="ar"/>
                    </w:rPr>
                    <w:t>温度</w:t>
                  </w:r>
                  <w:r>
                    <w:rPr>
                      <w:rFonts w:hint="eastAsia" w:ascii="Times New Roman" w:hAnsi="Times New Roman"/>
                      <w:color w:val="auto"/>
                      <w:kern w:val="0"/>
                      <w:szCs w:val="21"/>
                      <w:lang w:bidi="ar"/>
                    </w:rPr>
                    <w:t>（℃）</w:t>
                  </w:r>
                </w:p>
              </w:tc>
              <w:tc>
                <w:tcPr>
                  <w:tcW w:w="595" w:type="pct"/>
                  <w:vMerge w:val="restart"/>
                  <w:tcBorders>
                    <w:tl2br w:val="nil"/>
                    <w:tr2bl w:val="nil"/>
                  </w:tcBorders>
                  <w:vAlign w:val="center"/>
                </w:tcPr>
                <w:p>
                  <w:pPr>
                    <w:pStyle w:val="78"/>
                    <w:widowControl/>
                    <w:jc w:val="center"/>
                    <w:rPr>
                      <w:rFonts w:ascii="Times New Roman" w:hAnsi="Times New Roman"/>
                      <w:color w:val="auto"/>
                      <w:kern w:val="0"/>
                      <w:szCs w:val="21"/>
                      <w:lang w:bidi="ar"/>
                    </w:rPr>
                  </w:pPr>
                  <w:r>
                    <w:rPr>
                      <w:rFonts w:hint="eastAsia" w:ascii="Times New Roman" w:hAnsi="Times New Roman"/>
                      <w:color w:val="auto"/>
                      <w:kern w:val="0"/>
                      <w:szCs w:val="21"/>
                      <w:lang w:bidi="ar"/>
                    </w:rPr>
                    <w:t>排放口类型</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tblHeader/>
                <w:jc w:val="center"/>
              </w:trPr>
              <w:tc>
                <w:tcPr>
                  <w:tcW w:w="453" w:type="pct"/>
                  <w:vMerge w:val="continue"/>
                  <w:tcBorders>
                    <w:tl2br w:val="nil"/>
                    <w:tr2bl w:val="nil"/>
                  </w:tcBorders>
                  <w:vAlign w:val="center"/>
                </w:tcPr>
                <w:p>
                  <w:pPr>
                    <w:pStyle w:val="78"/>
                    <w:widowControl/>
                    <w:jc w:val="center"/>
                    <w:rPr>
                      <w:rFonts w:ascii="Times New Roman" w:hAnsi="Times New Roman"/>
                      <w:color w:val="auto"/>
                      <w:kern w:val="0"/>
                      <w:szCs w:val="21"/>
                      <w:lang w:bidi="ar"/>
                    </w:rPr>
                  </w:pPr>
                </w:p>
              </w:tc>
              <w:tc>
                <w:tcPr>
                  <w:tcW w:w="746" w:type="pct"/>
                  <w:vMerge w:val="continue"/>
                  <w:tcBorders>
                    <w:tl2br w:val="nil"/>
                    <w:tr2bl w:val="nil"/>
                  </w:tcBorders>
                  <w:vAlign w:val="center"/>
                </w:tcPr>
                <w:p>
                  <w:pPr>
                    <w:pStyle w:val="78"/>
                    <w:widowControl/>
                    <w:jc w:val="center"/>
                    <w:rPr>
                      <w:rFonts w:ascii="Times New Roman" w:hAnsi="Times New Roman"/>
                      <w:color w:val="auto"/>
                      <w:kern w:val="0"/>
                      <w:szCs w:val="21"/>
                      <w:lang w:bidi="ar"/>
                    </w:rPr>
                  </w:pPr>
                </w:p>
              </w:tc>
              <w:tc>
                <w:tcPr>
                  <w:tcW w:w="488" w:type="pct"/>
                  <w:vMerge w:val="continue"/>
                  <w:tcBorders>
                    <w:tl2br w:val="nil"/>
                    <w:tr2bl w:val="nil"/>
                  </w:tcBorders>
                  <w:vAlign w:val="center"/>
                </w:tcPr>
                <w:p>
                  <w:pPr>
                    <w:pStyle w:val="78"/>
                    <w:widowControl/>
                    <w:jc w:val="center"/>
                    <w:rPr>
                      <w:rFonts w:ascii="Times New Roman" w:hAnsi="Times New Roman"/>
                      <w:color w:val="auto"/>
                      <w:kern w:val="0"/>
                      <w:szCs w:val="21"/>
                      <w:lang w:bidi="ar"/>
                    </w:rPr>
                  </w:pPr>
                </w:p>
              </w:tc>
              <w:tc>
                <w:tcPr>
                  <w:tcW w:w="785" w:type="pct"/>
                  <w:tcBorders>
                    <w:tl2br w:val="nil"/>
                    <w:tr2bl w:val="nil"/>
                  </w:tcBorders>
                  <w:vAlign w:val="center"/>
                </w:tcPr>
                <w:p>
                  <w:pPr>
                    <w:pStyle w:val="78"/>
                    <w:widowControl/>
                    <w:jc w:val="center"/>
                    <w:rPr>
                      <w:rFonts w:ascii="Times New Roman" w:hAnsi="Times New Roman"/>
                      <w:color w:val="auto"/>
                      <w:kern w:val="0"/>
                      <w:szCs w:val="21"/>
                      <w:lang w:bidi="ar"/>
                    </w:rPr>
                  </w:pPr>
                  <w:r>
                    <w:rPr>
                      <w:rFonts w:ascii="Times New Roman" w:hAnsi="Times New Roman"/>
                      <w:color w:val="auto"/>
                      <w:kern w:val="0"/>
                      <w:szCs w:val="21"/>
                      <w:lang w:bidi="ar"/>
                    </w:rPr>
                    <w:t>经度</w:t>
                  </w:r>
                </w:p>
              </w:tc>
              <w:tc>
                <w:tcPr>
                  <w:tcW w:w="569" w:type="pct"/>
                  <w:tcBorders>
                    <w:tl2br w:val="nil"/>
                    <w:tr2bl w:val="nil"/>
                  </w:tcBorders>
                  <w:vAlign w:val="center"/>
                </w:tcPr>
                <w:p>
                  <w:pPr>
                    <w:pStyle w:val="78"/>
                    <w:widowControl/>
                    <w:jc w:val="center"/>
                    <w:rPr>
                      <w:rFonts w:ascii="Times New Roman" w:hAnsi="Times New Roman"/>
                      <w:color w:val="auto"/>
                      <w:kern w:val="0"/>
                      <w:szCs w:val="21"/>
                      <w:lang w:bidi="ar"/>
                    </w:rPr>
                  </w:pPr>
                  <w:r>
                    <w:rPr>
                      <w:rFonts w:ascii="Times New Roman" w:hAnsi="Times New Roman"/>
                      <w:color w:val="auto"/>
                      <w:kern w:val="0"/>
                      <w:szCs w:val="21"/>
                      <w:lang w:bidi="ar"/>
                    </w:rPr>
                    <w:t>纬度</w:t>
                  </w:r>
                </w:p>
              </w:tc>
              <w:tc>
                <w:tcPr>
                  <w:tcW w:w="475" w:type="pct"/>
                  <w:vMerge w:val="continue"/>
                  <w:tcBorders>
                    <w:tl2br w:val="nil"/>
                    <w:tr2bl w:val="nil"/>
                  </w:tcBorders>
                  <w:vAlign w:val="center"/>
                </w:tcPr>
                <w:p>
                  <w:pPr>
                    <w:pStyle w:val="78"/>
                    <w:widowControl/>
                    <w:jc w:val="center"/>
                    <w:rPr>
                      <w:rFonts w:ascii="Times New Roman" w:hAnsi="Times New Roman"/>
                      <w:color w:val="auto"/>
                      <w:kern w:val="0"/>
                      <w:szCs w:val="21"/>
                      <w:lang w:bidi="ar"/>
                    </w:rPr>
                  </w:pPr>
                </w:p>
              </w:tc>
              <w:tc>
                <w:tcPr>
                  <w:tcW w:w="434" w:type="pct"/>
                  <w:vMerge w:val="continue"/>
                  <w:tcBorders>
                    <w:tl2br w:val="nil"/>
                    <w:tr2bl w:val="nil"/>
                  </w:tcBorders>
                  <w:vAlign w:val="center"/>
                </w:tcPr>
                <w:p>
                  <w:pPr>
                    <w:pStyle w:val="78"/>
                    <w:widowControl/>
                    <w:jc w:val="center"/>
                    <w:rPr>
                      <w:rFonts w:ascii="Times New Roman" w:hAnsi="Times New Roman"/>
                      <w:color w:val="auto"/>
                      <w:kern w:val="0"/>
                      <w:szCs w:val="21"/>
                      <w:lang w:bidi="ar"/>
                    </w:rPr>
                  </w:pPr>
                </w:p>
              </w:tc>
              <w:tc>
                <w:tcPr>
                  <w:tcW w:w="452" w:type="pct"/>
                  <w:vMerge w:val="continue"/>
                  <w:tcBorders>
                    <w:tl2br w:val="nil"/>
                    <w:tr2bl w:val="nil"/>
                  </w:tcBorders>
                  <w:vAlign w:val="center"/>
                </w:tcPr>
                <w:p>
                  <w:pPr>
                    <w:pStyle w:val="78"/>
                    <w:widowControl/>
                    <w:jc w:val="center"/>
                    <w:rPr>
                      <w:rFonts w:ascii="Times New Roman" w:hAnsi="Times New Roman"/>
                      <w:color w:val="auto"/>
                      <w:kern w:val="0"/>
                      <w:szCs w:val="21"/>
                      <w:lang w:bidi="ar"/>
                    </w:rPr>
                  </w:pPr>
                </w:p>
              </w:tc>
              <w:tc>
                <w:tcPr>
                  <w:tcW w:w="595" w:type="pct"/>
                  <w:vMerge w:val="continue"/>
                  <w:tcBorders>
                    <w:tl2br w:val="nil"/>
                    <w:tr2bl w:val="nil"/>
                  </w:tcBorders>
                  <w:vAlign w:val="center"/>
                </w:tcPr>
                <w:p>
                  <w:pPr>
                    <w:pStyle w:val="78"/>
                    <w:widowControl/>
                    <w:jc w:val="center"/>
                    <w:rPr>
                      <w:rFonts w:ascii="Times New Roman" w:hAnsi="Times New Roman"/>
                      <w:color w:val="auto"/>
                      <w:kern w:val="0"/>
                      <w:szCs w:val="21"/>
                      <w:lang w:bidi="ar"/>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tblHeader/>
                <w:jc w:val="center"/>
              </w:trPr>
              <w:tc>
                <w:tcPr>
                  <w:tcW w:w="453" w:type="pct"/>
                  <w:tcBorders>
                    <w:tl2br w:val="nil"/>
                    <w:tr2bl w:val="nil"/>
                  </w:tcBorders>
                  <w:vAlign w:val="center"/>
                </w:tcPr>
                <w:p>
                  <w:pPr>
                    <w:jc w:val="center"/>
                    <w:rPr>
                      <w:color w:val="auto"/>
                      <w:szCs w:val="21"/>
                    </w:rPr>
                  </w:pPr>
                  <w:r>
                    <w:rPr>
                      <w:rFonts w:hint="eastAsia"/>
                      <w:color w:val="auto"/>
                      <w:szCs w:val="21"/>
                    </w:rPr>
                    <w:t>DA001</w:t>
                  </w:r>
                </w:p>
              </w:tc>
              <w:tc>
                <w:tcPr>
                  <w:tcW w:w="746" w:type="pct"/>
                  <w:tcBorders>
                    <w:tl2br w:val="nil"/>
                    <w:tr2bl w:val="nil"/>
                  </w:tcBorders>
                  <w:vAlign w:val="center"/>
                </w:tcPr>
                <w:p>
                  <w:pPr>
                    <w:snapToGrid w:val="0"/>
                    <w:jc w:val="center"/>
                    <w:rPr>
                      <w:color w:val="auto"/>
                      <w:szCs w:val="21"/>
                    </w:rPr>
                  </w:pPr>
                  <w:r>
                    <w:rPr>
                      <w:rFonts w:hint="eastAsia"/>
                      <w:color w:val="auto"/>
                      <w:szCs w:val="21"/>
                    </w:rPr>
                    <w:t>熔炼</w:t>
                  </w:r>
                </w:p>
              </w:tc>
              <w:tc>
                <w:tcPr>
                  <w:tcW w:w="488" w:type="pct"/>
                  <w:tcBorders>
                    <w:tl2br w:val="nil"/>
                    <w:tr2bl w:val="nil"/>
                  </w:tcBorders>
                  <w:vAlign w:val="center"/>
                </w:tcPr>
                <w:p>
                  <w:pPr>
                    <w:autoSpaceDE w:val="0"/>
                    <w:autoSpaceDN w:val="0"/>
                    <w:adjustRightInd w:val="0"/>
                    <w:jc w:val="center"/>
                    <w:rPr>
                      <w:bCs/>
                      <w:color w:val="auto"/>
                      <w:kern w:val="0"/>
                      <w:szCs w:val="21"/>
                    </w:rPr>
                  </w:pPr>
                  <w:r>
                    <w:rPr>
                      <w:bCs/>
                      <w:color w:val="auto"/>
                      <w:kern w:val="0"/>
                      <w:szCs w:val="21"/>
                      <w:lang w:val="zh-CN"/>
                    </w:rPr>
                    <w:t>颗粒物</w:t>
                  </w:r>
                </w:p>
              </w:tc>
              <w:tc>
                <w:tcPr>
                  <w:tcW w:w="785" w:type="pct"/>
                  <w:tcBorders>
                    <w:tl2br w:val="nil"/>
                    <w:tr2bl w:val="nil"/>
                  </w:tcBorders>
                  <w:vAlign w:val="center"/>
                </w:tcPr>
                <w:p>
                  <w:pPr>
                    <w:jc w:val="center"/>
                    <w:rPr>
                      <w:color w:val="auto"/>
                      <w:szCs w:val="21"/>
                    </w:rPr>
                  </w:pPr>
                  <w:r>
                    <w:rPr>
                      <w:color w:val="auto"/>
                      <w:szCs w:val="21"/>
                    </w:rPr>
                    <w:t>117°59′24.723″</w:t>
                  </w:r>
                </w:p>
              </w:tc>
              <w:tc>
                <w:tcPr>
                  <w:tcW w:w="569" w:type="pct"/>
                  <w:tcBorders>
                    <w:tl2br w:val="nil"/>
                    <w:tr2bl w:val="nil"/>
                  </w:tcBorders>
                  <w:vAlign w:val="center"/>
                </w:tcPr>
                <w:p>
                  <w:pPr>
                    <w:jc w:val="center"/>
                    <w:rPr>
                      <w:color w:val="auto"/>
                      <w:szCs w:val="21"/>
                    </w:rPr>
                  </w:pPr>
                  <w:r>
                    <w:rPr>
                      <w:color w:val="auto"/>
                      <w:szCs w:val="21"/>
                    </w:rPr>
                    <w:t>40°</w:t>
                  </w:r>
                  <w:r>
                    <w:rPr>
                      <w:rFonts w:hint="eastAsia"/>
                      <w:color w:val="auto"/>
                      <w:szCs w:val="21"/>
                    </w:rPr>
                    <w:t>10</w:t>
                  </w:r>
                  <w:r>
                    <w:rPr>
                      <w:color w:val="auto"/>
                      <w:szCs w:val="21"/>
                    </w:rPr>
                    <w:t>′</w:t>
                  </w:r>
                  <w:r>
                    <w:rPr>
                      <w:rFonts w:hint="eastAsia"/>
                      <w:color w:val="auto"/>
                      <w:szCs w:val="21"/>
                    </w:rPr>
                    <w:t>5.066</w:t>
                  </w:r>
                  <w:r>
                    <w:rPr>
                      <w:color w:val="auto"/>
                      <w:szCs w:val="21"/>
                    </w:rPr>
                    <w:t>″</w:t>
                  </w:r>
                </w:p>
              </w:tc>
              <w:tc>
                <w:tcPr>
                  <w:tcW w:w="475" w:type="pct"/>
                  <w:tcBorders>
                    <w:tl2br w:val="nil"/>
                    <w:tr2bl w:val="nil"/>
                  </w:tcBorders>
                  <w:vAlign w:val="center"/>
                </w:tcPr>
                <w:p>
                  <w:pPr>
                    <w:jc w:val="center"/>
                    <w:rPr>
                      <w:color w:val="auto"/>
                      <w:szCs w:val="21"/>
                    </w:rPr>
                  </w:pPr>
                  <w:r>
                    <w:rPr>
                      <w:rFonts w:hint="eastAsia"/>
                      <w:color w:val="auto"/>
                      <w:szCs w:val="21"/>
                    </w:rPr>
                    <w:t>15</w:t>
                  </w:r>
                </w:p>
              </w:tc>
              <w:tc>
                <w:tcPr>
                  <w:tcW w:w="434" w:type="pct"/>
                  <w:tcBorders>
                    <w:tl2br w:val="nil"/>
                    <w:tr2bl w:val="nil"/>
                  </w:tcBorders>
                  <w:vAlign w:val="center"/>
                </w:tcPr>
                <w:p>
                  <w:pPr>
                    <w:pStyle w:val="78"/>
                    <w:widowControl/>
                    <w:jc w:val="center"/>
                    <w:rPr>
                      <w:rFonts w:ascii="Times New Roman" w:hAnsi="Times New Roman"/>
                      <w:color w:val="auto"/>
                      <w:kern w:val="0"/>
                      <w:szCs w:val="21"/>
                      <w:lang w:bidi="ar"/>
                    </w:rPr>
                  </w:pPr>
                  <w:r>
                    <w:rPr>
                      <w:rFonts w:hint="eastAsia" w:ascii="Times New Roman" w:hAnsi="Times New Roman"/>
                      <w:color w:val="auto"/>
                      <w:kern w:val="0"/>
                      <w:szCs w:val="21"/>
                      <w:lang w:bidi="ar"/>
                    </w:rPr>
                    <w:t>0.5</w:t>
                  </w:r>
                </w:p>
              </w:tc>
              <w:tc>
                <w:tcPr>
                  <w:tcW w:w="452" w:type="pct"/>
                  <w:tcBorders>
                    <w:tl2br w:val="nil"/>
                    <w:tr2bl w:val="nil"/>
                  </w:tcBorders>
                  <w:vAlign w:val="center"/>
                </w:tcPr>
                <w:p>
                  <w:pPr>
                    <w:jc w:val="center"/>
                    <w:rPr>
                      <w:color w:val="auto"/>
                      <w:szCs w:val="21"/>
                    </w:rPr>
                  </w:pPr>
                  <w:r>
                    <w:rPr>
                      <w:rFonts w:hint="eastAsia"/>
                      <w:color w:val="auto"/>
                      <w:szCs w:val="21"/>
                    </w:rPr>
                    <w:t>80</w:t>
                  </w:r>
                </w:p>
              </w:tc>
              <w:tc>
                <w:tcPr>
                  <w:tcW w:w="595" w:type="pct"/>
                  <w:tcBorders>
                    <w:tl2br w:val="nil"/>
                    <w:tr2bl w:val="nil"/>
                  </w:tcBorders>
                  <w:vAlign w:val="center"/>
                </w:tcPr>
                <w:p>
                  <w:pPr>
                    <w:pStyle w:val="78"/>
                    <w:widowControl/>
                    <w:jc w:val="center"/>
                    <w:rPr>
                      <w:rFonts w:ascii="Times New Roman" w:hAnsi="Times New Roman"/>
                      <w:color w:val="auto"/>
                      <w:kern w:val="0"/>
                      <w:szCs w:val="21"/>
                      <w:lang w:bidi="ar"/>
                    </w:rPr>
                  </w:pPr>
                  <w:r>
                    <w:rPr>
                      <w:rFonts w:hint="eastAsia" w:ascii="宋体" w:hAnsi="宋体"/>
                      <w:color w:val="auto"/>
                      <w:szCs w:val="21"/>
                    </w:rPr>
                    <w:t>一般排放口</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tblHeader/>
                <w:jc w:val="center"/>
              </w:trPr>
              <w:tc>
                <w:tcPr>
                  <w:tcW w:w="453" w:type="pct"/>
                  <w:tcBorders>
                    <w:tl2br w:val="nil"/>
                    <w:tr2bl w:val="nil"/>
                  </w:tcBorders>
                  <w:vAlign w:val="center"/>
                </w:tcPr>
                <w:p>
                  <w:pPr>
                    <w:pStyle w:val="78"/>
                    <w:widowControl/>
                    <w:jc w:val="center"/>
                    <w:rPr>
                      <w:rFonts w:ascii="Times New Roman" w:hAnsi="Times New Roman"/>
                      <w:color w:val="auto"/>
                      <w:kern w:val="0"/>
                      <w:szCs w:val="21"/>
                      <w:lang w:bidi="ar"/>
                    </w:rPr>
                  </w:pPr>
                  <w:r>
                    <w:rPr>
                      <w:rFonts w:hint="eastAsia" w:ascii="Times New Roman" w:hAnsi="Times New Roman"/>
                      <w:color w:val="auto"/>
                      <w:kern w:val="0"/>
                      <w:szCs w:val="21"/>
                      <w:lang w:bidi="ar"/>
                    </w:rPr>
                    <w:t>DA002</w:t>
                  </w:r>
                </w:p>
              </w:tc>
              <w:tc>
                <w:tcPr>
                  <w:tcW w:w="746" w:type="pct"/>
                  <w:tcBorders>
                    <w:tl2br w:val="nil"/>
                    <w:tr2bl w:val="nil"/>
                  </w:tcBorders>
                  <w:vAlign w:val="center"/>
                </w:tcPr>
                <w:p>
                  <w:pPr>
                    <w:pStyle w:val="78"/>
                    <w:widowControl/>
                    <w:jc w:val="center"/>
                    <w:rPr>
                      <w:rFonts w:ascii="Times New Roman" w:hAnsi="Times New Roman"/>
                      <w:color w:val="auto"/>
                      <w:kern w:val="0"/>
                      <w:szCs w:val="21"/>
                      <w:lang w:bidi="ar"/>
                    </w:rPr>
                  </w:pPr>
                  <w:r>
                    <w:rPr>
                      <w:rFonts w:hint="eastAsia" w:ascii="Times New Roman" w:hAnsi="Times New Roman"/>
                      <w:color w:val="auto"/>
                      <w:kern w:val="0"/>
                      <w:szCs w:val="21"/>
                      <w:lang w:bidi="ar"/>
                    </w:rPr>
                    <w:t>浇注、</w:t>
                  </w:r>
                  <w:r>
                    <w:rPr>
                      <w:rFonts w:ascii="Times New Roman" w:hAnsi="Times New Roman"/>
                      <w:color w:val="auto"/>
                      <w:kern w:val="0"/>
                      <w:szCs w:val="21"/>
                      <w:lang w:bidi="ar"/>
                    </w:rPr>
                    <w:t>砂处理</w:t>
                  </w:r>
                  <w:r>
                    <w:rPr>
                      <w:rFonts w:hint="eastAsia" w:ascii="Times New Roman" w:hAnsi="Times New Roman"/>
                      <w:color w:val="auto"/>
                      <w:kern w:val="0"/>
                      <w:szCs w:val="21"/>
                      <w:lang w:bidi="ar"/>
                    </w:rPr>
                    <w:t>、混砂、打磨以及顶吸</w:t>
                  </w:r>
                </w:p>
              </w:tc>
              <w:tc>
                <w:tcPr>
                  <w:tcW w:w="488" w:type="pct"/>
                  <w:tcBorders>
                    <w:tl2br w:val="nil"/>
                    <w:tr2bl w:val="nil"/>
                  </w:tcBorders>
                  <w:vAlign w:val="center"/>
                </w:tcPr>
                <w:p>
                  <w:pPr>
                    <w:autoSpaceDE w:val="0"/>
                    <w:autoSpaceDN w:val="0"/>
                    <w:adjustRightInd w:val="0"/>
                    <w:jc w:val="center"/>
                    <w:rPr>
                      <w:bCs/>
                      <w:color w:val="auto"/>
                      <w:kern w:val="0"/>
                      <w:szCs w:val="21"/>
                    </w:rPr>
                  </w:pPr>
                  <w:r>
                    <w:rPr>
                      <w:rFonts w:hint="eastAsia"/>
                      <w:bCs/>
                      <w:color w:val="auto"/>
                      <w:kern w:val="0"/>
                      <w:szCs w:val="21"/>
                    </w:rPr>
                    <w:t>颗粒物</w:t>
                  </w:r>
                </w:p>
              </w:tc>
              <w:tc>
                <w:tcPr>
                  <w:tcW w:w="785" w:type="pct"/>
                  <w:tcBorders>
                    <w:tl2br w:val="nil"/>
                    <w:tr2bl w:val="nil"/>
                  </w:tcBorders>
                  <w:vAlign w:val="center"/>
                </w:tcPr>
                <w:p>
                  <w:pPr>
                    <w:jc w:val="center"/>
                    <w:rPr>
                      <w:color w:val="auto"/>
                      <w:szCs w:val="21"/>
                    </w:rPr>
                  </w:pPr>
                  <w:r>
                    <w:rPr>
                      <w:color w:val="auto"/>
                      <w:szCs w:val="21"/>
                    </w:rPr>
                    <w:t>117°5</w:t>
                  </w:r>
                  <w:r>
                    <w:rPr>
                      <w:rFonts w:hint="eastAsia"/>
                      <w:color w:val="auto"/>
                      <w:szCs w:val="21"/>
                    </w:rPr>
                    <w:t>9</w:t>
                  </w:r>
                  <w:r>
                    <w:rPr>
                      <w:color w:val="auto"/>
                      <w:szCs w:val="21"/>
                    </w:rPr>
                    <w:t>′</w:t>
                  </w:r>
                  <w:r>
                    <w:rPr>
                      <w:rFonts w:hint="eastAsia"/>
                      <w:color w:val="auto"/>
                      <w:szCs w:val="21"/>
                    </w:rPr>
                    <w:t>24.588</w:t>
                  </w:r>
                  <w:r>
                    <w:rPr>
                      <w:color w:val="auto"/>
                      <w:szCs w:val="21"/>
                    </w:rPr>
                    <w:t>″</w:t>
                  </w:r>
                </w:p>
              </w:tc>
              <w:tc>
                <w:tcPr>
                  <w:tcW w:w="569" w:type="pct"/>
                  <w:tcBorders>
                    <w:tl2br w:val="nil"/>
                    <w:tr2bl w:val="nil"/>
                  </w:tcBorders>
                  <w:vAlign w:val="center"/>
                </w:tcPr>
                <w:p>
                  <w:pPr>
                    <w:jc w:val="center"/>
                    <w:rPr>
                      <w:color w:val="auto"/>
                      <w:szCs w:val="21"/>
                    </w:rPr>
                  </w:pPr>
                  <w:r>
                    <w:rPr>
                      <w:color w:val="auto"/>
                      <w:szCs w:val="21"/>
                    </w:rPr>
                    <w:t>40°</w:t>
                  </w:r>
                  <w:r>
                    <w:rPr>
                      <w:rFonts w:hint="eastAsia"/>
                      <w:color w:val="auto"/>
                      <w:szCs w:val="21"/>
                    </w:rPr>
                    <w:t>10</w:t>
                  </w:r>
                  <w:r>
                    <w:rPr>
                      <w:color w:val="auto"/>
                      <w:szCs w:val="21"/>
                    </w:rPr>
                    <w:t>′</w:t>
                  </w:r>
                  <w:r>
                    <w:rPr>
                      <w:rFonts w:hint="eastAsia"/>
                      <w:color w:val="auto"/>
                      <w:szCs w:val="21"/>
                    </w:rPr>
                    <w:t>4.168</w:t>
                  </w:r>
                  <w:r>
                    <w:rPr>
                      <w:color w:val="auto"/>
                      <w:szCs w:val="21"/>
                    </w:rPr>
                    <w:t>″</w:t>
                  </w:r>
                </w:p>
              </w:tc>
              <w:tc>
                <w:tcPr>
                  <w:tcW w:w="475" w:type="pct"/>
                  <w:tcBorders>
                    <w:tl2br w:val="nil"/>
                    <w:tr2bl w:val="nil"/>
                  </w:tcBorders>
                  <w:vAlign w:val="center"/>
                </w:tcPr>
                <w:p>
                  <w:pPr>
                    <w:jc w:val="center"/>
                    <w:rPr>
                      <w:color w:val="auto"/>
                      <w:szCs w:val="21"/>
                    </w:rPr>
                  </w:pPr>
                  <w:r>
                    <w:rPr>
                      <w:rFonts w:hint="eastAsia"/>
                      <w:color w:val="auto"/>
                      <w:szCs w:val="21"/>
                    </w:rPr>
                    <w:t>15</w:t>
                  </w:r>
                </w:p>
              </w:tc>
              <w:tc>
                <w:tcPr>
                  <w:tcW w:w="434" w:type="pct"/>
                  <w:tcBorders>
                    <w:tl2br w:val="nil"/>
                    <w:tr2bl w:val="nil"/>
                  </w:tcBorders>
                  <w:vAlign w:val="center"/>
                </w:tcPr>
                <w:p>
                  <w:pPr>
                    <w:pStyle w:val="78"/>
                    <w:widowControl/>
                    <w:jc w:val="center"/>
                    <w:rPr>
                      <w:rFonts w:ascii="Times New Roman" w:hAnsi="Times New Roman"/>
                      <w:color w:val="auto"/>
                      <w:kern w:val="0"/>
                      <w:szCs w:val="21"/>
                      <w:lang w:bidi="ar"/>
                    </w:rPr>
                  </w:pPr>
                  <w:r>
                    <w:rPr>
                      <w:rFonts w:hint="eastAsia" w:ascii="Times New Roman" w:hAnsi="Times New Roman"/>
                      <w:color w:val="auto"/>
                      <w:kern w:val="0"/>
                      <w:szCs w:val="21"/>
                      <w:lang w:bidi="ar"/>
                    </w:rPr>
                    <w:t>1.0</w:t>
                  </w:r>
                </w:p>
              </w:tc>
              <w:tc>
                <w:tcPr>
                  <w:tcW w:w="452" w:type="pct"/>
                  <w:tcBorders>
                    <w:tl2br w:val="nil"/>
                    <w:tr2bl w:val="nil"/>
                  </w:tcBorders>
                  <w:vAlign w:val="center"/>
                </w:tcPr>
                <w:p>
                  <w:pPr>
                    <w:jc w:val="center"/>
                    <w:rPr>
                      <w:color w:val="auto"/>
                      <w:szCs w:val="21"/>
                    </w:rPr>
                  </w:pPr>
                  <w:r>
                    <w:rPr>
                      <w:rFonts w:hint="eastAsia"/>
                      <w:color w:val="auto"/>
                      <w:szCs w:val="21"/>
                    </w:rPr>
                    <w:t>20</w:t>
                  </w:r>
                </w:p>
              </w:tc>
              <w:tc>
                <w:tcPr>
                  <w:tcW w:w="595" w:type="pct"/>
                  <w:tcBorders>
                    <w:tl2br w:val="nil"/>
                    <w:tr2bl w:val="nil"/>
                  </w:tcBorders>
                  <w:vAlign w:val="center"/>
                </w:tcPr>
                <w:p>
                  <w:pPr>
                    <w:pStyle w:val="78"/>
                    <w:widowControl/>
                    <w:jc w:val="center"/>
                    <w:rPr>
                      <w:rFonts w:ascii="宋体" w:hAnsi="宋体"/>
                      <w:color w:val="auto"/>
                      <w:szCs w:val="21"/>
                    </w:rPr>
                  </w:pPr>
                  <w:r>
                    <w:rPr>
                      <w:rFonts w:hint="eastAsia" w:ascii="宋体" w:hAnsi="宋体"/>
                      <w:color w:val="auto"/>
                      <w:szCs w:val="21"/>
                    </w:rPr>
                    <w:t>一般排放口</w:t>
                  </w:r>
                </w:p>
              </w:tc>
            </w:tr>
          </w:tbl>
          <w:p>
            <w:pPr>
              <w:tabs>
                <w:tab w:val="left" w:pos="1902"/>
              </w:tabs>
              <w:spacing w:line="480" w:lineRule="exact"/>
              <w:jc w:val="center"/>
              <w:rPr>
                <w:b/>
                <w:bCs/>
                <w:color w:val="auto"/>
                <w:sz w:val="24"/>
              </w:rPr>
            </w:pPr>
            <w:r>
              <w:rPr>
                <w:b/>
                <w:bCs/>
                <w:color w:val="auto"/>
                <w:sz w:val="24"/>
              </w:rPr>
              <w:t>表</w:t>
            </w:r>
            <w:r>
              <w:rPr>
                <w:rFonts w:hint="eastAsia"/>
                <w:b/>
                <w:bCs/>
                <w:color w:val="auto"/>
                <w:sz w:val="24"/>
              </w:rPr>
              <w:t>29</w:t>
            </w:r>
            <w:r>
              <w:rPr>
                <w:b/>
                <w:bCs/>
                <w:color w:val="auto"/>
                <w:sz w:val="24"/>
              </w:rPr>
              <w:t xml:space="preserve">  污染源非正常排放量核算表</w:t>
            </w:r>
          </w:p>
          <w:tbl>
            <w:tblPr>
              <w:tblStyle w:val="33"/>
              <w:tblW w:w="4997"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846"/>
              <w:gridCol w:w="1196"/>
              <w:gridCol w:w="1070"/>
              <w:gridCol w:w="1104"/>
              <w:gridCol w:w="1437"/>
              <w:gridCol w:w="1308"/>
              <w:gridCol w:w="1036"/>
              <w:gridCol w:w="887"/>
              <w:gridCol w:w="3541"/>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40" w:type="pct"/>
                  <w:tcBorders>
                    <w:tl2br w:val="nil"/>
                    <w:tr2bl w:val="nil"/>
                  </w:tcBorders>
                  <w:vAlign w:val="center"/>
                </w:tcPr>
                <w:p>
                  <w:pPr>
                    <w:jc w:val="center"/>
                    <w:rPr>
                      <w:color w:val="auto"/>
                      <w:szCs w:val="21"/>
                    </w:rPr>
                  </w:pPr>
                  <w:r>
                    <w:rPr>
                      <w:color w:val="auto"/>
                      <w:szCs w:val="21"/>
                    </w:rPr>
                    <w:t>序号</w:t>
                  </w:r>
                </w:p>
              </w:tc>
              <w:tc>
                <w:tcPr>
                  <w:tcW w:w="481" w:type="pct"/>
                  <w:tcBorders>
                    <w:tl2br w:val="nil"/>
                    <w:tr2bl w:val="nil"/>
                  </w:tcBorders>
                  <w:vAlign w:val="center"/>
                </w:tcPr>
                <w:p>
                  <w:pPr>
                    <w:jc w:val="center"/>
                    <w:rPr>
                      <w:color w:val="auto"/>
                      <w:szCs w:val="21"/>
                    </w:rPr>
                  </w:pPr>
                  <w:r>
                    <w:rPr>
                      <w:color w:val="auto"/>
                      <w:szCs w:val="21"/>
                    </w:rPr>
                    <w:t>污染源</w:t>
                  </w:r>
                </w:p>
              </w:tc>
              <w:tc>
                <w:tcPr>
                  <w:tcW w:w="430" w:type="pct"/>
                  <w:tcBorders>
                    <w:tl2br w:val="nil"/>
                    <w:tr2bl w:val="nil"/>
                  </w:tcBorders>
                  <w:vAlign w:val="center"/>
                </w:tcPr>
                <w:p>
                  <w:pPr>
                    <w:jc w:val="center"/>
                    <w:rPr>
                      <w:color w:val="auto"/>
                      <w:szCs w:val="21"/>
                    </w:rPr>
                  </w:pPr>
                  <w:r>
                    <w:rPr>
                      <w:color w:val="auto"/>
                      <w:szCs w:val="21"/>
                    </w:rPr>
                    <w:t>非正常排放原因</w:t>
                  </w:r>
                </w:p>
              </w:tc>
              <w:tc>
                <w:tcPr>
                  <w:tcW w:w="444" w:type="pct"/>
                  <w:tcBorders>
                    <w:tl2br w:val="nil"/>
                    <w:tr2bl w:val="nil"/>
                  </w:tcBorders>
                  <w:vAlign w:val="center"/>
                </w:tcPr>
                <w:p>
                  <w:pPr>
                    <w:jc w:val="center"/>
                    <w:rPr>
                      <w:color w:val="auto"/>
                      <w:szCs w:val="21"/>
                    </w:rPr>
                  </w:pPr>
                  <w:r>
                    <w:rPr>
                      <w:color w:val="auto"/>
                      <w:szCs w:val="21"/>
                    </w:rPr>
                    <w:t>污染物</w:t>
                  </w:r>
                </w:p>
              </w:tc>
              <w:tc>
                <w:tcPr>
                  <w:tcW w:w="577" w:type="pct"/>
                  <w:tcBorders>
                    <w:tl2br w:val="nil"/>
                    <w:tr2bl w:val="nil"/>
                  </w:tcBorders>
                  <w:vAlign w:val="center"/>
                </w:tcPr>
                <w:p>
                  <w:pPr>
                    <w:jc w:val="center"/>
                    <w:rPr>
                      <w:color w:val="auto"/>
                      <w:szCs w:val="21"/>
                    </w:rPr>
                  </w:pPr>
                  <w:r>
                    <w:rPr>
                      <w:color w:val="auto"/>
                      <w:szCs w:val="21"/>
                    </w:rPr>
                    <w:t>非正常排放浓度（mg/m</w:t>
                  </w:r>
                  <w:r>
                    <w:rPr>
                      <w:color w:val="auto"/>
                      <w:szCs w:val="21"/>
                      <w:vertAlign w:val="superscript"/>
                    </w:rPr>
                    <w:t>3</w:t>
                  </w:r>
                  <w:r>
                    <w:rPr>
                      <w:color w:val="auto"/>
                      <w:szCs w:val="21"/>
                    </w:rPr>
                    <w:t>）</w:t>
                  </w:r>
                </w:p>
              </w:tc>
              <w:tc>
                <w:tcPr>
                  <w:tcW w:w="525" w:type="pct"/>
                  <w:tcBorders>
                    <w:tl2br w:val="nil"/>
                    <w:tr2bl w:val="nil"/>
                  </w:tcBorders>
                  <w:vAlign w:val="center"/>
                </w:tcPr>
                <w:p>
                  <w:pPr>
                    <w:jc w:val="center"/>
                    <w:rPr>
                      <w:color w:val="auto"/>
                      <w:szCs w:val="21"/>
                    </w:rPr>
                  </w:pPr>
                  <w:r>
                    <w:rPr>
                      <w:color w:val="auto"/>
                      <w:szCs w:val="21"/>
                    </w:rPr>
                    <w:t>非正常排放速率/(kg/h)</w:t>
                  </w:r>
                </w:p>
              </w:tc>
              <w:tc>
                <w:tcPr>
                  <w:tcW w:w="417" w:type="pct"/>
                  <w:tcBorders>
                    <w:tl2br w:val="nil"/>
                    <w:tr2bl w:val="nil"/>
                  </w:tcBorders>
                  <w:vAlign w:val="center"/>
                </w:tcPr>
                <w:p>
                  <w:pPr>
                    <w:jc w:val="center"/>
                    <w:rPr>
                      <w:color w:val="auto"/>
                      <w:szCs w:val="21"/>
                    </w:rPr>
                  </w:pPr>
                  <w:r>
                    <w:rPr>
                      <w:color w:val="auto"/>
                      <w:szCs w:val="21"/>
                    </w:rPr>
                    <w:t>单次持续时间/h</w:t>
                  </w:r>
                </w:p>
              </w:tc>
              <w:tc>
                <w:tcPr>
                  <w:tcW w:w="357" w:type="pct"/>
                  <w:tcBorders>
                    <w:tl2br w:val="nil"/>
                    <w:tr2bl w:val="nil"/>
                  </w:tcBorders>
                  <w:vAlign w:val="center"/>
                </w:tcPr>
                <w:p>
                  <w:pPr>
                    <w:jc w:val="center"/>
                    <w:rPr>
                      <w:color w:val="auto"/>
                      <w:szCs w:val="21"/>
                    </w:rPr>
                  </w:pPr>
                  <w:r>
                    <w:rPr>
                      <w:color w:val="auto"/>
                      <w:szCs w:val="21"/>
                    </w:rPr>
                    <w:t>发生频次/次</w:t>
                  </w:r>
                </w:p>
              </w:tc>
              <w:tc>
                <w:tcPr>
                  <w:tcW w:w="1424" w:type="pct"/>
                  <w:tcBorders>
                    <w:tl2br w:val="nil"/>
                    <w:tr2bl w:val="nil"/>
                  </w:tcBorders>
                  <w:vAlign w:val="center"/>
                </w:tcPr>
                <w:p>
                  <w:pPr>
                    <w:pStyle w:val="80"/>
                    <w:widowControl/>
                    <w:adjustRightInd w:val="0"/>
                    <w:snapToGrid w:val="0"/>
                    <w:rPr>
                      <w:color w:val="auto"/>
                      <w:szCs w:val="21"/>
                    </w:rPr>
                  </w:pPr>
                  <w:r>
                    <w:rPr>
                      <w:color w:val="auto"/>
                      <w:szCs w:val="21"/>
                    </w:rPr>
                    <w:t>应对措施</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340" w:type="pct"/>
                  <w:tcBorders>
                    <w:tl2br w:val="nil"/>
                    <w:tr2bl w:val="nil"/>
                  </w:tcBorders>
                  <w:vAlign w:val="center"/>
                </w:tcPr>
                <w:p>
                  <w:pPr>
                    <w:jc w:val="center"/>
                    <w:rPr>
                      <w:color w:val="auto"/>
                      <w:szCs w:val="21"/>
                    </w:rPr>
                  </w:pPr>
                  <w:r>
                    <w:rPr>
                      <w:rFonts w:hint="eastAsia"/>
                      <w:color w:val="auto"/>
                      <w:szCs w:val="21"/>
                    </w:rPr>
                    <w:t>1</w:t>
                  </w:r>
                </w:p>
              </w:tc>
              <w:tc>
                <w:tcPr>
                  <w:tcW w:w="481" w:type="pct"/>
                  <w:tcBorders>
                    <w:tl2br w:val="nil"/>
                    <w:tr2bl w:val="nil"/>
                  </w:tcBorders>
                  <w:vAlign w:val="center"/>
                </w:tcPr>
                <w:p>
                  <w:pPr>
                    <w:jc w:val="center"/>
                    <w:rPr>
                      <w:color w:val="auto"/>
                      <w:szCs w:val="21"/>
                    </w:rPr>
                  </w:pPr>
                  <w:r>
                    <w:rPr>
                      <w:rFonts w:hint="eastAsia"/>
                      <w:color w:val="auto"/>
                      <w:szCs w:val="21"/>
                    </w:rPr>
                    <w:t>DA001</w:t>
                  </w:r>
                </w:p>
              </w:tc>
              <w:tc>
                <w:tcPr>
                  <w:tcW w:w="430" w:type="pct"/>
                  <w:tcBorders>
                    <w:tl2br w:val="nil"/>
                    <w:tr2bl w:val="nil"/>
                  </w:tcBorders>
                  <w:vAlign w:val="center"/>
                </w:tcPr>
                <w:p>
                  <w:pPr>
                    <w:jc w:val="center"/>
                    <w:rPr>
                      <w:color w:val="auto"/>
                      <w:szCs w:val="21"/>
                      <w:lang w:val="zh-CN"/>
                    </w:rPr>
                  </w:pPr>
                  <w:r>
                    <w:rPr>
                      <w:color w:val="auto"/>
                      <w:szCs w:val="21"/>
                    </w:rPr>
                    <w:t>设施故障</w:t>
                  </w:r>
                </w:p>
              </w:tc>
              <w:tc>
                <w:tcPr>
                  <w:tcW w:w="444" w:type="pct"/>
                  <w:tcBorders>
                    <w:tl2br w:val="nil"/>
                    <w:tr2bl w:val="nil"/>
                  </w:tcBorders>
                  <w:vAlign w:val="center"/>
                </w:tcPr>
                <w:p>
                  <w:pPr>
                    <w:autoSpaceDE w:val="0"/>
                    <w:autoSpaceDN w:val="0"/>
                    <w:adjustRightInd w:val="0"/>
                    <w:jc w:val="center"/>
                    <w:rPr>
                      <w:bCs/>
                      <w:color w:val="auto"/>
                      <w:kern w:val="0"/>
                      <w:szCs w:val="21"/>
                    </w:rPr>
                  </w:pPr>
                  <w:r>
                    <w:rPr>
                      <w:rFonts w:hint="eastAsia"/>
                      <w:bCs/>
                      <w:color w:val="auto"/>
                      <w:kern w:val="0"/>
                      <w:szCs w:val="21"/>
                    </w:rPr>
                    <w:t>颗粒物</w:t>
                  </w:r>
                </w:p>
              </w:tc>
              <w:tc>
                <w:tcPr>
                  <w:tcW w:w="577" w:type="pct"/>
                  <w:tcBorders>
                    <w:tl2br w:val="nil"/>
                    <w:tr2bl w:val="nil"/>
                  </w:tcBorders>
                  <w:vAlign w:val="center"/>
                </w:tcPr>
                <w:p>
                  <w:pPr>
                    <w:jc w:val="center"/>
                    <w:rPr>
                      <w:color w:val="auto"/>
                      <w:szCs w:val="21"/>
                    </w:rPr>
                  </w:pPr>
                  <w:r>
                    <w:rPr>
                      <w:rFonts w:hint="eastAsia"/>
                      <w:color w:val="auto"/>
                      <w:szCs w:val="21"/>
                    </w:rPr>
                    <w:t>27.45</w:t>
                  </w:r>
                </w:p>
              </w:tc>
              <w:tc>
                <w:tcPr>
                  <w:tcW w:w="525" w:type="pct"/>
                  <w:tcBorders>
                    <w:tl2br w:val="nil"/>
                    <w:tr2bl w:val="nil"/>
                  </w:tcBorders>
                  <w:vAlign w:val="center"/>
                </w:tcPr>
                <w:p>
                  <w:pPr>
                    <w:jc w:val="center"/>
                    <w:rPr>
                      <w:color w:val="auto"/>
                      <w:szCs w:val="21"/>
                    </w:rPr>
                  </w:pPr>
                  <w:r>
                    <w:rPr>
                      <w:rFonts w:hint="eastAsia"/>
                      <w:color w:val="auto"/>
                      <w:szCs w:val="21"/>
                    </w:rPr>
                    <w:t>0.2745</w:t>
                  </w:r>
                </w:p>
              </w:tc>
              <w:tc>
                <w:tcPr>
                  <w:tcW w:w="417" w:type="pct"/>
                  <w:tcBorders>
                    <w:tl2br w:val="nil"/>
                    <w:tr2bl w:val="nil"/>
                  </w:tcBorders>
                  <w:vAlign w:val="center"/>
                </w:tcPr>
                <w:p>
                  <w:pPr>
                    <w:jc w:val="center"/>
                    <w:rPr>
                      <w:color w:val="auto"/>
                      <w:szCs w:val="21"/>
                    </w:rPr>
                  </w:pPr>
                  <w:r>
                    <w:rPr>
                      <w:rFonts w:hint="eastAsia"/>
                      <w:color w:val="auto"/>
                      <w:szCs w:val="21"/>
                    </w:rPr>
                    <w:t>0.5</w:t>
                  </w:r>
                </w:p>
              </w:tc>
              <w:tc>
                <w:tcPr>
                  <w:tcW w:w="357" w:type="pct"/>
                  <w:tcBorders>
                    <w:tl2br w:val="nil"/>
                    <w:tr2bl w:val="nil"/>
                  </w:tcBorders>
                  <w:vAlign w:val="center"/>
                </w:tcPr>
                <w:p>
                  <w:pPr>
                    <w:jc w:val="center"/>
                    <w:rPr>
                      <w:color w:val="auto"/>
                      <w:szCs w:val="21"/>
                    </w:rPr>
                  </w:pPr>
                  <w:r>
                    <w:rPr>
                      <w:rFonts w:hint="eastAsia"/>
                      <w:color w:val="auto"/>
                      <w:szCs w:val="21"/>
                    </w:rPr>
                    <w:t>2</w:t>
                  </w:r>
                </w:p>
              </w:tc>
              <w:tc>
                <w:tcPr>
                  <w:tcW w:w="1424" w:type="pct"/>
                  <w:tcBorders>
                    <w:tl2br w:val="nil"/>
                    <w:tr2bl w:val="nil"/>
                  </w:tcBorders>
                  <w:vAlign w:val="center"/>
                </w:tcPr>
                <w:p>
                  <w:pPr>
                    <w:jc w:val="center"/>
                    <w:rPr>
                      <w:color w:val="auto"/>
                      <w:szCs w:val="21"/>
                    </w:rPr>
                  </w:pPr>
                  <w:r>
                    <w:rPr>
                      <w:color w:val="auto"/>
                      <w:szCs w:val="21"/>
                    </w:rPr>
                    <w:t>采用双路供电，并加强日常对</w:t>
                  </w:r>
                  <w:r>
                    <w:rPr>
                      <w:rFonts w:hint="eastAsia"/>
                      <w:color w:val="auto"/>
                      <w:szCs w:val="21"/>
                    </w:rPr>
                    <w:t>脉冲布袋除尘器</w:t>
                  </w:r>
                  <w:r>
                    <w:rPr>
                      <w:color w:val="auto"/>
                      <w:szCs w:val="21"/>
                    </w:rPr>
                    <w:t>的维护，加强日常检查和管理，及时发现设备故障</w:t>
                  </w:r>
                  <w:r>
                    <w:rPr>
                      <w:rFonts w:hint="eastAsia"/>
                      <w:color w:val="auto"/>
                      <w:szCs w:val="21"/>
                    </w:rPr>
                    <w:t>并停产检修</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340" w:type="pct"/>
                  <w:tcBorders>
                    <w:tl2br w:val="nil"/>
                    <w:tr2bl w:val="nil"/>
                  </w:tcBorders>
                  <w:vAlign w:val="center"/>
                </w:tcPr>
                <w:p>
                  <w:pPr>
                    <w:jc w:val="center"/>
                    <w:rPr>
                      <w:color w:val="auto"/>
                      <w:szCs w:val="21"/>
                    </w:rPr>
                  </w:pPr>
                  <w:r>
                    <w:rPr>
                      <w:rFonts w:hint="eastAsia"/>
                      <w:color w:val="auto"/>
                      <w:szCs w:val="21"/>
                    </w:rPr>
                    <w:t>2</w:t>
                  </w:r>
                </w:p>
              </w:tc>
              <w:tc>
                <w:tcPr>
                  <w:tcW w:w="481" w:type="pct"/>
                  <w:tcBorders>
                    <w:tl2br w:val="nil"/>
                    <w:tr2bl w:val="nil"/>
                  </w:tcBorders>
                  <w:vAlign w:val="center"/>
                </w:tcPr>
                <w:p>
                  <w:pPr>
                    <w:pStyle w:val="78"/>
                    <w:widowControl/>
                    <w:jc w:val="center"/>
                    <w:rPr>
                      <w:rFonts w:ascii="Times New Roman" w:hAnsi="Times New Roman"/>
                      <w:color w:val="auto"/>
                      <w:kern w:val="0"/>
                      <w:szCs w:val="21"/>
                      <w:lang w:bidi="ar"/>
                    </w:rPr>
                  </w:pPr>
                  <w:r>
                    <w:rPr>
                      <w:rFonts w:hint="eastAsia" w:ascii="Times New Roman" w:hAnsi="Times New Roman"/>
                      <w:color w:val="auto"/>
                      <w:kern w:val="0"/>
                      <w:szCs w:val="21"/>
                      <w:lang w:bidi="ar"/>
                    </w:rPr>
                    <w:t>DA002</w:t>
                  </w:r>
                </w:p>
              </w:tc>
              <w:tc>
                <w:tcPr>
                  <w:tcW w:w="430" w:type="pct"/>
                  <w:tcBorders>
                    <w:tl2br w:val="nil"/>
                    <w:tr2bl w:val="nil"/>
                  </w:tcBorders>
                  <w:vAlign w:val="center"/>
                </w:tcPr>
                <w:p>
                  <w:pPr>
                    <w:jc w:val="center"/>
                    <w:rPr>
                      <w:color w:val="auto"/>
                      <w:szCs w:val="21"/>
                    </w:rPr>
                  </w:pPr>
                  <w:r>
                    <w:rPr>
                      <w:color w:val="auto"/>
                      <w:szCs w:val="21"/>
                    </w:rPr>
                    <w:t>设施故障</w:t>
                  </w:r>
                </w:p>
              </w:tc>
              <w:tc>
                <w:tcPr>
                  <w:tcW w:w="444" w:type="pct"/>
                  <w:tcBorders>
                    <w:tl2br w:val="nil"/>
                    <w:tr2bl w:val="nil"/>
                  </w:tcBorders>
                  <w:vAlign w:val="center"/>
                </w:tcPr>
                <w:p>
                  <w:pPr>
                    <w:autoSpaceDE w:val="0"/>
                    <w:autoSpaceDN w:val="0"/>
                    <w:adjustRightInd w:val="0"/>
                    <w:jc w:val="center"/>
                    <w:rPr>
                      <w:bCs/>
                      <w:color w:val="auto"/>
                      <w:kern w:val="0"/>
                      <w:szCs w:val="21"/>
                    </w:rPr>
                  </w:pPr>
                  <w:r>
                    <w:rPr>
                      <w:rFonts w:hint="eastAsia"/>
                      <w:bCs/>
                      <w:color w:val="auto"/>
                      <w:kern w:val="0"/>
                      <w:szCs w:val="21"/>
                    </w:rPr>
                    <w:t>颗粒物</w:t>
                  </w:r>
                </w:p>
              </w:tc>
              <w:tc>
                <w:tcPr>
                  <w:tcW w:w="577" w:type="pct"/>
                  <w:tcBorders>
                    <w:tl2br w:val="nil"/>
                    <w:tr2bl w:val="nil"/>
                  </w:tcBorders>
                  <w:vAlign w:val="center"/>
                </w:tcPr>
                <w:p>
                  <w:pPr>
                    <w:jc w:val="center"/>
                    <w:rPr>
                      <w:color w:val="auto"/>
                      <w:szCs w:val="21"/>
                    </w:rPr>
                  </w:pPr>
                  <w:r>
                    <w:rPr>
                      <w:rFonts w:hint="eastAsia"/>
                      <w:color w:val="auto"/>
                      <w:szCs w:val="21"/>
                    </w:rPr>
                    <w:t>85.38</w:t>
                  </w:r>
                </w:p>
              </w:tc>
              <w:tc>
                <w:tcPr>
                  <w:tcW w:w="525" w:type="pct"/>
                  <w:tcBorders>
                    <w:tl2br w:val="nil"/>
                    <w:tr2bl w:val="nil"/>
                  </w:tcBorders>
                  <w:vAlign w:val="center"/>
                </w:tcPr>
                <w:p>
                  <w:pPr>
                    <w:jc w:val="center"/>
                    <w:rPr>
                      <w:color w:val="auto"/>
                      <w:szCs w:val="21"/>
                    </w:rPr>
                  </w:pPr>
                  <w:r>
                    <w:rPr>
                      <w:rFonts w:hint="eastAsia"/>
                      <w:color w:val="auto"/>
                      <w:szCs w:val="21"/>
                    </w:rPr>
                    <w:t>4.1</w:t>
                  </w:r>
                </w:p>
              </w:tc>
              <w:tc>
                <w:tcPr>
                  <w:tcW w:w="417" w:type="pct"/>
                  <w:tcBorders>
                    <w:tl2br w:val="nil"/>
                    <w:tr2bl w:val="nil"/>
                  </w:tcBorders>
                  <w:vAlign w:val="center"/>
                </w:tcPr>
                <w:p>
                  <w:pPr>
                    <w:jc w:val="center"/>
                    <w:rPr>
                      <w:color w:val="auto"/>
                      <w:szCs w:val="21"/>
                    </w:rPr>
                  </w:pPr>
                  <w:r>
                    <w:rPr>
                      <w:rFonts w:hint="eastAsia"/>
                      <w:color w:val="auto"/>
                      <w:szCs w:val="21"/>
                    </w:rPr>
                    <w:t>0.5</w:t>
                  </w:r>
                </w:p>
              </w:tc>
              <w:tc>
                <w:tcPr>
                  <w:tcW w:w="357" w:type="pct"/>
                  <w:tcBorders>
                    <w:tl2br w:val="nil"/>
                    <w:tr2bl w:val="nil"/>
                  </w:tcBorders>
                  <w:vAlign w:val="center"/>
                </w:tcPr>
                <w:p>
                  <w:pPr>
                    <w:jc w:val="center"/>
                    <w:rPr>
                      <w:color w:val="auto"/>
                      <w:szCs w:val="21"/>
                    </w:rPr>
                  </w:pPr>
                  <w:r>
                    <w:rPr>
                      <w:rFonts w:hint="eastAsia"/>
                      <w:color w:val="auto"/>
                      <w:szCs w:val="21"/>
                    </w:rPr>
                    <w:t>2</w:t>
                  </w:r>
                </w:p>
              </w:tc>
              <w:tc>
                <w:tcPr>
                  <w:tcW w:w="1424" w:type="pct"/>
                  <w:tcBorders>
                    <w:tl2br w:val="nil"/>
                    <w:tr2bl w:val="nil"/>
                  </w:tcBorders>
                  <w:vAlign w:val="center"/>
                </w:tcPr>
                <w:p>
                  <w:pPr>
                    <w:jc w:val="center"/>
                    <w:rPr>
                      <w:color w:val="auto"/>
                      <w:szCs w:val="21"/>
                    </w:rPr>
                  </w:pPr>
                  <w:r>
                    <w:rPr>
                      <w:color w:val="auto"/>
                      <w:szCs w:val="21"/>
                    </w:rPr>
                    <w:t>采用双路供电，并加强日常对</w:t>
                  </w:r>
                  <w:r>
                    <w:rPr>
                      <w:rFonts w:hint="eastAsia"/>
                      <w:color w:val="auto"/>
                      <w:szCs w:val="21"/>
                    </w:rPr>
                    <w:t>脉冲布袋除尘器</w:t>
                  </w:r>
                  <w:r>
                    <w:rPr>
                      <w:color w:val="auto"/>
                      <w:szCs w:val="21"/>
                    </w:rPr>
                    <w:t>的维护，加强日常检查和管理，及时发现设备故障</w:t>
                  </w:r>
                  <w:r>
                    <w:rPr>
                      <w:rFonts w:hint="eastAsia"/>
                      <w:color w:val="auto"/>
                      <w:szCs w:val="21"/>
                    </w:rPr>
                    <w:t>并停产检修</w:t>
                  </w:r>
                </w:p>
              </w:tc>
            </w:tr>
          </w:tbl>
          <w:p>
            <w:pPr>
              <w:tabs>
                <w:tab w:val="left" w:pos="1902"/>
              </w:tabs>
              <w:spacing w:line="480" w:lineRule="exact"/>
              <w:jc w:val="center"/>
              <w:rPr>
                <w:b/>
                <w:bCs/>
                <w:color w:val="auto"/>
                <w:sz w:val="24"/>
              </w:rPr>
            </w:pPr>
          </w:p>
          <w:p>
            <w:pPr>
              <w:tabs>
                <w:tab w:val="left" w:pos="1902"/>
              </w:tabs>
              <w:spacing w:line="480" w:lineRule="exact"/>
              <w:jc w:val="center"/>
              <w:rPr>
                <w:b/>
                <w:bCs/>
                <w:color w:val="auto"/>
                <w:sz w:val="24"/>
              </w:rPr>
            </w:pPr>
          </w:p>
          <w:p>
            <w:pPr>
              <w:adjustRightInd w:val="0"/>
              <w:snapToGrid w:val="0"/>
              <w:spacing w:line="480" w:lineRule="exact"/>
              <w:rPr>
                <w:color w:val="auto"/>
                <w:sz w:val="24"/>
              </w:rPr>
            </w:pPr>
          </w:p>
        </w:tc>
      </w:tr>
    </w:tbl>
    <w:p>
      <w:pPr>
        <w:adjustRightInd w:val="0"/>
        <w:snapToGrid w:val="0"/>
        <w:rPr>
          <w:bCs/>
          <w:color w:val="auto"/>
          <w:szCs w:val="21"/>
        </w:rPr>
        <w:sectPr>
          <w:pgSz w:w="16840" w:h="11907" w:orient="landscape"/>
          <w:pgMar w:top="1531" w:right="1701" w:bottom="1531" w:left="2127" w:header="851" w:footer="851" w:gutter="0"/>
          <w:cols w:space="720" w:num="1"/>
          <w:docGrid w:linePitch="312" w:charSpace="0"/>
        </w:sectPr>
      </w:pPr>
    </w:p>
    <w:tbl>
      <w:tblPr>
        <w:tblStyle w:val="33"/>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30"/>
        <w:gridCol w:w="86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2" w:hRule="atLeast"/>
          <w:jc w:val="center"/>
        </w:trPr>
        <w:tc>
          <w:tcPr>
            <w:tcW w:w="455" w:type="dxa"/>
            <w:tcMar>
              <w:left w:w="28" w:type="dxa"/>
              <w:right w:w="28" w:type="dxa"/>
            </w:tcMar>
            <w:vAlign w:val="center"/>
          </w:tcPr>
          <w:p>
            <w:pPr>
              <w:adjustRightInd w:val="0"/>
              <w:snapToGrid w:val="0"/>
              <w:spacing w:line="480" w:lineRule="exact"/>
              <w:jc w:val="center"/>
              <w:rPr>
                <w:bCs/>
                <w:color w:val="auto"/>
                <w:szCs w:val="21"/>
              </w:rPr>
            </w:pPr>
            <w:r>
              <w:rPr>
                <w:bCs/>
                <w:color w:val="auto"/>
                <w:szCs w:val="21"/>
              </w:rPr>
              <w:t>运</w:t>
            </w:r>
          </w:p>
          <w:p>
            <w:pPr>
              <w:adjustRightInd w:val="0"/>
              <w:snapToGrid w:val="0"/>
              <w:spacing w:line="480" w:lineRule="exact"/>
              <w:jc w:val="center"/>
              <w:rPr>
                <w:bCs/>
                <w:color w:val="auto"/>
                <w:szCs w:val="21"/>
              </w:rPr>
            </w:pPr>
            <w:r>
              <w:rPr>
                <w:bCs/>
                <w:color w:val="auto"/>
                <w:szCs w:val="21"/>
              </w:rPr>
              <w:t>营</w:t>
            </w:r>
          </w:p>
          <w:p>
            <w:pPr>
              <w:adjustRightInd w:val="0"/>
              <w:snapToGrid w:val="0"/>
              <w:spacing w:line="480" w:lineRule="exact"/>
              <w:jc w:val="center"/>
              <w:rPr>
                <w:bCs/>
                <w:color w:val="auto"/>
                <w:szCs w:val="21"/>
              </w:rPr>
            </w:pPr>
            <w:r>
              <w:rPr>
                <w:bCs/>
                <w:color w:val="auto"/>
                <w:szCs w:val="21"/>
              </w:rPr>
              <w:t>期</w:t>
            </w:r>
          </w:p>
          <w:p>
            <w:pPr>
              <w:adjustRightInd w:val="0"/>
              <w:snapToGrid w:val="0"/>
              <w:spacing w:line="480" w:lineRule="exact"/>
              <w:jc w:val="center"/>
              <w:rPr>
                <w:bCs/>
                <w:color w:val="auto"/>
                <w:szCs w:val="21"/>
              </w:rPr>
            </w:pPr>
            <w:r>
              <w:rPr>
                <w:bCs/>
                <w:color w:val="auto"/>
                <w:szCs w:val="21"/>
              </w:rPr>
              <w:t>环</w:t>
            </w:r>
          </w:p>
          <w:p>
            <w:pPr>
              <w:adjustRightInd w:val="0"/>
              <w:snapToGrid w:val="0"/>
              <w:spacing w:line="480" w:lineRule="exact"/>
              <w:jc w:val="center"/>
              <w:rPr>
                <w:bCs/>
                <w:color w:val="auto"/>
                <w:szCs w:val="21"/>
              </w:rPr>
            </w:pPr>
            <w:r>
              <w:rPr>
                <w:bCs/>
                <w:color w:val="auto"/>
                <w:szCs w:val="21"/>
              </w:rPr>
              <w:t>境</w:t>
            </w:r>
          </w:p>
          <w:p>
            <w:pPr>
              <w:adjustRightInd w:val="0"/>
              <w:snapToGrid w:val="0"/>
              <w:spacing w:line="480" w:lineRule="exact"/>
              <w:jc w:val="center"/>
              <w:rPr>
                <w:bCs/>
                <w:color w:val="auto"/>
                <w:szCs w:val="21"/>
              </w:rPr>
            </w:pPr>
            <w:r>
              <w:rPr>
                <w:bCs/>
                <w:color w:val="auto"/>
                <w:szCs w:val="21"/>
              </w:rPr>
              <w:t>影</w:t>
            </w:r>
          </w:p>
          <w:p>
            <w:pPr>
              <w:adjustRightInd w:val="0"/>
              <w:snapToGrid w:val="0"/>
              <w:spacing w:line="480" w:lineRule="exact"/>
              <w:jc w:val="center"/>
              <w:rPr>
                <w:bCs/>
                <w:color w:val="auto"/>
                <w:szCs w:val="21"/>
              </w:rPr>
            </w:pPr>
            <w:r>
              <w:rPr>
                <w:bCs/>
                <w:color w:val="auto"/>
                <w:szCs w:val="21"/>
              </w:rPr>
              <w:t>响</w:t>
            </w:r>
          </w:p>
          <w:p>
            <w:pPr>
              <w:adjustRightInd w:val="0"/>
              <w:snapToGrid w:val="0"/>
              <w:spacing w:line="480" w:lineRule="exact"/>
              <w:jc w:val="center"/>
              <w:rPr>
                <w:bCs/>
                <w:color w:val="auto"/>
                <w:szCs w:val="21"/>
              </w:rPr>
            </w:pPr>
            <w:r>
              <w:rPr>
                <w:bCs/>
                <w:color w:val="auto"/>
                <w:szCs w:val="21"/>
              </w:rPr>
              <w:t>和</w:t>
            </w:r>
          </w:p>
          <w:p>
            <w:pPr>
              <w:adjustRightInd w:val="0"/>
              <w:snapToGrid w:val="0"/>
              <w:spacing w:line="480" w:lineRule="exact"/>
              <w:jc w:val="center"/>
              <w:rPr>
                <w:bCs/>
                <w:color w:val="auto"/>
                <w:szCs w:val="21"/>
              </w:rPr>
            </w:pPr>
            <w:r>
              <w:rPr>
                <w:bCs/>
                <w:color w:val="auto"/>
                <w:szCs w:val="21"/>
              </w:rPr>
              <w:t>保</w:t>
            </w:r>
          </w:p>
          <w:p>
            <w:pPr>
              <w:adjustRightInd w:val="0"/>
              <w:snapToGrid w:val="0"/>
              <w:spacing w:line="480" w:lineRule="exact"/>
              <w:jc w:val="center"/>
              <w:rPr>
                <w:bCs/>
                <w:color w:val="auto"/>
                <w:szCs w:val="21"/>
              </w:rPr>
            </w:pPr>
            <w:r>
              <w:rPr>
                <w:bCs/>
                <w:color w:val="auto"/>
                <w:szCs w:val="21"/>
              </w:rPr>
              <w:t>护</w:t>
            </w:r>
          </w:p>
          <w:p>
            <w:pPr>
              <w:adjustRightInd w:val="0"/>
              <w:snapToGrid w:val="0"/>
              <w:spacing w:line="480" w:lineRule="exact"/>
              <w:jc w:val="center"/>
              <w:rPr>
                <w:bCs/>
                <w:color w:val="auto"/>
                <w:szCs w:val="21"/>
              </w:rPr>
            </w:pPr>
            <w:r>
              <w:rPr>
                <w:bCs/>
                <w:color w:val="auto"/>
                <w:szCs w:val="21"/>
              </w:rPr>
              <w:t>措</w:t>
            </w:r>
          </w:p>
          <w:p>
            <w:pPr>
              <w:adjustRightInd w:val="0"/>
              <w:snapToGrid w:val="0"/>
              <w:spacing w:line="480" w:lineRule="exact"/>
              <w:jc w:val="center"/>
              <w:rPr>
                <w:bCs/>
                <w:color w:val="auto"/>
                <w:szCs w:val="21"/>
              </w:rPr>
            </w:pPr>
            <w:r>
              <w:rPr>
                <w:bCs/>
                <w:color w:val="auto"/>
                <w:szCs w:val="21"/>
              </w:rPr>
              <w:t>施</w:t>
            </w:r>
          </w:p>
        </w:tc>
        <w:tc>
          <w:tcPr>
            <w:tcW w:w="8526" w:type="dxa"/>
            <w:vAlign w:val="center"/>
          </w:tcPr>
          <w:p>
            <w:pPr>
              <w:spacing w:line="500" w:lineRule="exact"/>
              <w:ind w:firstLine="480" w:firstLineChars="200"/>
              <w:rPr>
                <w:color w:val="auto"/>
                <w:sz w:val="24"/>
              </w:rPr>
            </w:pPr>
            <w:r>
              <w:rPr>
                <w:rFonts w:hint="eastAsia"/>
                <w:color w:val="auto"/>
                <w:sz w:val="24"/>
              </w:rPr>
              <w:t>1.2废气影响分</w:t>
            </w:r>
          </w:p>
          <w:p>
            <w:pPr>
              <w:spacing w:line="480" w:lineRule="exact"/>
              <w:ind w:firstLine="480" w:firstLineChars="200"/>
              <w:rPr>
                <w:color w:val="auto"/>
                <w:sz w:val="24"/>
              </w:rPr>
            </w:pPr>
            <w:r>
              <w:rPr>
                <w:rFonts w:hint="eastAsia"/>
                <w:color w:val="auto"/>
                <w:sz w:val="24"/>
              </w:rPr>
              <w:t>本项目各工序废气收集治理严格按照</w:t>
            </w:r>
            <w:r>
              <w:rPr>
                <w:color w:val="auto"/>
                <w:sz w:val="24"/>
              </w:rPr>
              <w:t>《唐山市大气污染防治工作领导小组办公室&lt;唐山市钢铁行业整治提升工作方案&gt;等10项方案的通知》（唐气领办〔2021〕15号）中附件9《唐山市铸造行业整治提升工作方案》</w:t>
            </w:r>
            <w:r>
              <w:rPr>
                <w:rFonts w:hint="eastAsia"/>
                <w:color w:val="auto"/>
                <w:sz w:val="24"/>
              </w:rPr>
              <w:t>相关要求进行。</w:t>
            </w:r>
          </w:p>
          <w:p>
            <w:pPr>
              <w:spacing w:line="480" w:lineRule="exact"/>
              <w:ind w:firstLine="480" w:firstLineChars="200"/>
              <w:rPr>
                <w:color w:val="auto"/>
                <w:sz w:val="24"/>
              </w:rPr>
            </w:pPr>
            <w:r>
              <w:rPr>
                <w:rFonts w:hint="eastAsia"/>
                <w:color w:val="auto"/>
                <w:sz w:val="24"/>
              </w:rPr>
              <w:t>（1）有组织废气</w:t>
            </w:r>
          </w:p>
          <w:p>
            <w:pPr>
              <w:spacing w:line="480" w:lineRule="exact"/>
              <w:ind w:firstLine="480" w:firstLineChars="200"/>
              <w:rPr>
                <w:color w:val="auto"/>
                <w:sz w:val="24"/>
              </w:rPr>
            </w:pPr>
            <w:r>
              <w:rPr>
                <w:rFonts w:hint="eastAsia"/>
                <w:color w:val="auto"/>
                <w:sz w:val="24"/>
              </w:rPr>
              <w:t>①电炉熔炼废气</w:t>
            </w:r>
          </w:p>
          <w:p>
            <w:pPr>
              <w:spacing w:line="480" w:lineRule="exact"/>
              <w:ind w:firstLine="480" w:firstLineChars="200"/>
              <w:rPr>
                <w:color w:val="auto"/>
                <w:sz w:val="24"/>
              </w:rPr>
            </w:pPr>
            <w:r>
              <w:rPr>
                <w:rFonts w:hint="eastAsia"/>
                <w:color w:val="auto"/>
                <w:sz w:val="24"/>
              </w:rPr>
              <w:t>针对电炉熔炼废气设置1套袋式除尘器（覆膜），风机采用变频风机，袋式除尘器处理能力为10000</w:t>
            </w:r>
            <w:r>
              <w:rPr>
                <w:color w:val="auto"/>
                <w:sz w:val="24"/>
              </w:rPr>
              <w:t>m</w:t>
            </w:r>
            <w:r>
              <w:rPr>
                <w:color w:val="auto"/>
                <w:sz w:val="24"/>
                <w:vertAlign w:val="superscript"/>
              </w:rPr>
              <w:t>3</w:t>
            </w:r>
            <w:r>
              <w:rPr>
                <w:color w:val="auto"/>
                <w:sz w:val="24"/>
              </w:rPr>
              <w:t>/h</w:t>
            </w:r>
            <w:r>
              <w:rPr>
                <w:rFonts w:hint="eastAsia"/>
                <w:color w:val="auto"/>
                <w:sz w:val="24"/>
              </w:rPr>
              <w:t xml:space="preserve">，除尘效率 </w:t>
            </w:r>
            <w:r>
              <w:rPr>
                <w:color w:val="auto"/>
                <w:sz w:val="24"/>
              </w:rPr>
              <w:t>99%</w:t>
            </w:r>
            <w:r>
              <w:rPr>
                <w:rFonts w:hint="eastAsia"/>
                <w:color w:val="auto"/>
                <w:sz w:val="24"/>
              </w:rPr>
              <w:t>。</w:t>
            </w:r>
          </w:p>
          <w:p>
            <w:pPr>
              <w:spacing w:line="480" w:lineRule="exact"/>
              <w:ind w:firstLine="480" w:firstLineChars="200"/>
              <w:rPr>
                <w:color w:val="auto"/>
                <w:sz w:val="24"/>
              </w:rPr>
            </w:pPr>
            <w:r>
              <w:rPr>
                <w:rFonts w:hint="eastAsia"/>
                <w:color w:val="auto"/>
                <w:sz w:val="24"/>
              </w:rPr>
              <w:t>熔炼过程中会产生颗粒物，根据《排放源统计调查产排污核算方法和系数手册》黑色金属铸造行业熔炼工序工业颗粒物产污系数</w:t>
            </w:r>
            <w:r>
              <w:rPr>
                <w:color w:val="auto"/>
                <w:sz w:val="24"/>
              </w:rPr>
              <w:t>0.479kg/t-</w:t>
            </w:r>
            <w:r>
              <w:rPr>
                <w:rFonts w:hint="eastAsia"/>
                <w:color w:val="auto"/>
                <w:sz w:val="24"/>
              </w:rPr>
              <w:t>产品，项目每年生产铸件55</w:t>
            </w:r>
            <w:r>
              <w:rPr>
                <w:color w:val="auto"/>
                <w:sz w:val="24"/>
              </w:rPr>
              <w:t>00t</w:t>
            </w:r>
            <w:r>
              <w:rPr>
                <w:rFonts w:hint="eastAsia"/>
                <w:color w:val="auto"/>
                <w:sz w:val="24"/>
              </w:rPr>
              <w:t>，则颗粒物产生量2.635</w:t>
            </w:r>
            <w:r>
              <w:rPr>
                <w:color w:val="auto"/>
                <w:sz w:val="24"/>
              </w:rPr>
              <w:t>t/a</w:t>
            </w:r>
            <w:r>
              <w:rPr>
                <w:rFonts w:hint="eastAsia"/>
                <w:color w:val="auto"/>
                <w:sz w:val="24"/>
              </w:rPr>
              <w:t>。</w:t>
            </w:r>
          </w:p>
          <w:p>
            <w:pPr>
              <w:pStyle w:val="16"/>
              <w:spacing w:line="460" w:lineRule="exact"/>
              <w:ind w:firstLine="480" w:firstLineChars="200"/>
              <w:rPr>
                <w:color w:val="auto"/>
                <w:kern w:val="0"/>
                <w:sz w:val="24"/>
              </w:rPr>
            </w:pPr>
            <w:r>
              <w:rPr>
                <w:color w:val="auto"/>
                <w:sz w:val="24"/>
              </w:rPr>
              <w:t>集气罩上吸风量</w:t>
            </w:r>
            <w:r>
              <w:rPr>
                <w:color w:val="auto"/>
                <w:kern w:val="0"/>
                <w:sz w:val="24"/>
              </w:rPr>
              <w:t>的计算公式：</w:t>
            </w:r>
          </w:p>
          <w:p>
            <w:pPr>
              <w:adjustRightInd w:val="0"/>
              <w:snapToGrid w:val="0"/>
              <w:spacing w:line="480" w:lineRule="exact"/>
              <w:ind w:firstLine="2640" w:firstLineChars="1100"/>
              <w:rPr>
                <w:color w:val="auto"/>
                <w:kern w:val="0"/>
                <w:sz w:val="24"/>
              </w:rPr>
            </w:pPr>
            <w:r>
              <w:rPr>
                <w:color w:val="auto"/>
                <w:sz w:val="24"/>
              </w:rPr>
              <w:t>Q=3600GhV</w:t>
            </w:r>
            <w:r>
              <w:rPr>
                <w:color w:val="auto"/>
                <w:sz w:val="24"/>
                <w:vertAlign w:val="subscript"/>
              </w:rPr>
              <w:t xml:space="preserve"> p2</w:t>
            </w:r>
          </w:p>
          <w:p>
            <w:pPr>
              <w:adjustRightInd w:val="0"/>
              <w:snapToGrid w:val="0"/>
              <w:spacing w:line="480" w:lineRule="exact"/>
              <w:ind w:firstLine="480" w:firstLineChars="200"/>
              <w:rPr>
                <w:color w:val="auto"/>
                <w:kern w:val="0"/>
                <w:sz w:val="24"/>
              </w:rPr>
            </w:pPr>
            <w:r>
              <w:rPr>
                <w:color w:val="auto"/>
                <w:kern w:val="0"/>
                <w:sz w:val="24"/>
              </w:rPr>
              <w:t>式中：Q：吸风量m</w:t>
            </w:r>
            <w:r>
              <w:rPr>
                <w:color w:val="auto"/>
                <w:kern w:val="0"/>
                <w:sz w:val="24"/>
                <w:vertAlign w:val="superscript"/>
              </w:rPr>
              <w:t>3</w:t>
            </w:r>
            <w:r>
              <w:rPr>
                <w:color w:val="auto"/>
                <w:kern w:val="0"/>
                <w:sz w:val="24"/>
              </w:rPr>
              <w:t>/h；</w:t>
            </w:r>
            <w:r>
              <w:rPr>
                <w:color w:val="auto"/>
                <w:sz w:val="24"/>
              </w:rPr>
              <w:t>G：罩口周边长，</w:t>
            </w:r>
            <w:r>
              <w:rPr>
                <w:color w:val="auto"/>
                <w:kern w:val="0"/>
                <w:sz w:val="24"/>
              </w:rPr>
              <w:t>m；</w:t>
            </w:r>
          </w:p>
          <w:p>
            <w:pPr>
              <w:adjustRightInd w:val="0"/>
              <w:snapToGrid w:val="0"/>
              <w:spacing w:line="480" w:lineRule="exact"/>
              <w:ind w:firstLine="1200" w:firstLineChars="500"/>
              <w:rPr>
                <w:color w:val="auto"/>
                <w:kern w:val="0"/>
                <w:sz w:val="24"/>
              </w:rPr>
            </w:pPr>
            <w:r>
              <w:rPr>
                <w:color w:val="auto"/>
                <w:sz w:val="24"/>
              </w:rPr>
              <w:t>h：吸尘罩口与废气源的高度，m，本项目取0.</w:t>
            </w:r>
            <w:r>
              <w:rPr>
                <w:rFonts w:hint="eastAsia"/>
                <w:color w:val="auto"/>
                <w:sz w:val="24"/>
              </w:rPr>
              <w:t>8</w:t>
            </w:r>
            <w:r>
              <w:rPr>
                <w:color w:val="auto"/>
                <w:sz w:val="24"/>
              </w:rPr>
              <w:t>m；</w:t>
            </w:r>
          </w:p>
          <w:p>
            <w:pPr>
              <w:adjustRightInd w:val="0"/>
              <w:snapToGrid w:val="0"/>
              <w:spacing w:line="480" w:lineRule="exact"/>
              <w:ind w:firstLine="1200" w:firstLineChars="500"/>
              <w:rPr>
                <w:color w:val="auto"/>
                <w:kern w:val="0"/>
                <w:sz w:val="24"/>
              </w:rPr>
            </w:pPr>
            <w:r>
              <w:rPr>
                <w:color w:val="auto"/>
                <w:sz w:val="24"/>
              </w:rPr>
              <w:t>V</w:t>
            </w:r>
            <w:r>
              <w:rPr>
                <w:color w:val="auto"/>
                <w:sz w:val="24"/>
                <w:vertAlign w:val="subscript"/>
              </w:rPr>
              <w:t>p2</w:t>
            </w:r>
            <w:r>
              <w:rPr>
                <w:color w:val="auto"/>
                <w:sz w:val="24"/>
              </w:rPr>
              <w:t>：罩口周边截面上的平均风速m/s</w:t>
            </w:r>
            <w:r>
              <w:rPr>
                <w:color w:val="auto"/>
                <w:kern w:val="0"/>
                <w:sz w:val="24"/>
              </w:rPr>
              <w:t>，本次取0.8m/s</w:t>
            </w:r>
            <w:r>
              <w:rPr>
                <w:rFonts w:hint="eastAsia"/>
                <w:color w:val="auto"/>
                <w:kern w:val="0"/>
                <w:sz w:val="24"/>
              </w:rPr>
              <w:t>；</w:t>
            </w:r>
          </w:p>
          <w:p>
            <w:pPr>
              <w:adjustRightInd w:val="0"/>
              <w:snapToGrid w:val="0"/>
              <w:spacing w:line="480" w:lineRule="exact"/>
              <w:ind w:firstLine="1200" w:firstLineChars="500"/>
              <w:rPr>
                <w:color w:val="auto"/>
                <w:kern w:val="0"/>
                <w:sz w:val="24"/>
              </w:rPr>
            </w:pPr>
            <w:r>
              <w:rPr>
                <w:color w:val="auto"/>
                <w:kern w:val="0"/>
                <w:sz w:val="24"/>
              </w:rPr>
              <w:t>风损约10%~20%，本次取</w:t>
            </w:r>
            <w:r>
              <w:rPr>
                <w:rFonts w:hint="eastAsia"/>
                <w:color w:val="auto"/>
                <w:kern w:val="0"/>
                <w:sz w:val="24"/>
              </w:rPr>
              <w:t>15</w:t>
            </w:r>
            <w:r>
              <w:rPr>
                <w:color w:val="auto"/>
                <w:kern w:val="0"/>
                <w:sz w:val="24"/>
              </w:rPr>
              <w:t>%。</w:t>
            </w:r>
          </w:p>
          <w:p>
            <w:pPr>
              <w:pStyle w:val="41"/>
              <w:spacing w:line="480" w:lineRule="exact"/>
              <w:jc w:val="center"/>
              <w:textAlignment w:val="auto"/>
              <w:rPr>
                <w:rFonts w:ascii="Times New Roman" w:eastAsia="宋体" w:cs="Times New Roman"/>
                <w:b/>
                <w:bCs/>
                <w:color w:val="auto"/>
              </w:rPr>
            </w:pPr>
            <w:r>
              <w:rPr>
                <w:rFonts w:ascii="Times New Roman" w:eastAsia="宋体" w:cs="Times New Roman"/>
                <w:b/>
                <w:bCs/>
                <w:color w:val="auto"/>
              </w:rPr>
              <w:t>表</w:t>
            </w:r>
            <w:r>
              <w:rPr>
                <w:rFonts w:hint="eastAsia" w:ascii="Times New Roman" w:eastAsia="宋体" w:cs="Times New Roman"/>
                <w:b/>
                <w:bCs/>
                <w:color w:val="auto"/>
              </w:rPr>
              <w:t>30  集气罩上吸风口参数一览表</w:t>
            </w:r>
          </w:p>
          <w:tbl>
            <w:tblPr>
              <w:tblStyle w:val="33"/>
              <w:tblW w:w="840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91"/>
              <w:gridCol w:w="2136"/>
              <w:gridCol w:w="1809"/>
              <w:gridCol w:w="1263"/>
              <w:gridCol w:w="1624"/>
              <w:gridCol w:w="68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29" w:hRule="atLeast"/>
                <w:jc w:val="center"/>
              </w:trPr>
              <w:tc>
                <w:tcPr>
                  <w:tcW w:w="530" w:type="pct"/>
                  <w:vAlign w:val="center"/>
                </w:tcPr>
                <w:p>
                  <w:pPr>
                    <w:pStyle w:val="41"/>
                    <w:jc w:val="center"/>
                    <w:rPr>
                      <w:rFonts w:ascii="Times New Roman" w:eastAsia="宋体" w:cs="Times New Roman"/>
                      <w:color w:val="auto"/>
                      <w:sz w:val="21"/>
                      <w:szCs w:val="21"/>
                    </w:rPr>
                  </w:pPr>
                  <w:r>
                    <w:rPr>
                      <w:rFonts w:ascii="Times New Roman" w:eastAsia="宋体" w:cs="Times New Roman"/>
                      <w:color w:val="auto"/>
                      <w:sz w:val="21"/>
                      <w:szCs w:val="21"/>
                    </w:rPr>
                    <w:t>构筑物</w:t>
                  </w:r>
                </w:p>
              </w:tc>
              <w:tc>
                <w:tcPr>
                  <w:tcW w:w="1270" w:type="pct"/>
                  <w:vAlign w:val="center"/>
                </w:tcPr>
                <w:p>
                  <w:pPr>
                    <w:pStyle w:val="41"/>
                    <w:jc w:val="center"/>
                    <w:rPr>
                      <w:rFonts w:ascii="Times New Roman" w:eastAsia="宋体" w:cs="Times New Roman"/>
                      <w:color w:val="auto"/>
                      <w:sz w:val="21"/>
                      <w:szCs w:val="21"/>
                    </w:rPr>
                  </w:pPr>
                  <w:r>
                    <w:rPr>
                      <w:rFonts w:ascii="Times New Roman" w:eastAsia="宋体" w:cs="Times New Roman"/>
                      <w:color w:val="auto"/>
                      <w:sz w:val="21"/>
                      <w:szCs w:val="21"/>
                    </w:rPr>
                    <w:t>罩口周边长</w:t>
                  </w:r>
                  <w:r>
                    <w:rPr>
                      <w:rFonts w:hint="eastAsia" w:ascii="Times New Roman" w:eastAsia="宋体" w:cs="Times New Roman"/>
                      <w:color w:val="auto"/>
                      <w:sz w:val="21"/>
                      <w:szCs w:val="21"/>
                    </w:rPr>
                    <w:t>(m)</w:t>
                  </w:r>
                </w:p>
              </w:tc>
              <w:tc>
                <w:tcPr>
                  <w:tcW w:w="1076" w:type="pct"/>
                  <w:vAlign w:val="center"/>
                </w:tcPr>
                <w:p>
                  <w:pPr>
                    <w:pStyle w:val="41"/>
                    <w:jc w:val="center"/>
                    <w:rPr>
                      <w:rFonts w:ascii="Times New Roman" w:eastAsia="宋体" w:cs="Times New Roman"/>
                      <w:color w:val="auto"/>
                      <w:sz w:val="21"/>
                      <w:szCs w:val="21"/>
                    </w:rPr>
                  </w:pPr>
                  <w:r>
                    <w:rPr>
                      <w:rFonts w:ascii="Times New Roman" w:eastAsia="宋体" w:cs="Times New Roman"/>
                      <w:color w:val="auto"/>
                      <w:sz w:val="21"/>
                      <w:szCs w:val="21"/>
                    </w:rPr>
                    <w:t>吸尘罩口与废气源的高度</w:t>
                  </w:r>
                  <w:r>
                    <w:rPr>
                      <w:rFonts w:hint="eastAsia" w:ascii="Times New Roman" w:eastAsia="宋体" w:cs="Times New Roman"/>
                      <w:color w:val="auto"/>
                      <w:sz w:val="21"/>
                      <w:szCs w:val="21"/>
                    </w:rPr>
                    <w:t>(m)</w:t>
                  </w:r>
                </w:p>
              </w:tc>
              <w:tc>
                <w:tcPr>
                  <w:tcW w:w="751" w:type="pct"/>
                  <w:vAlign w:val="center"/>
                </w:tcPr>
                <w:p>
                  <w:pPr>
                    <w:pStyle w:val="41"/>
                    <w:jc w:val="center"/>
                    <w:rPr>
                      <w:rFonts w:ascii="Times New Roman" w:eastAsia="宋体" w:cs="Times New Roman"/>
                      <w:color w:val="auto"/>
                      <w:sz w:val="21"/>
                      <w:szCs w:val="21"/>
                    </w:rPr>
                  </w:pPr>
                  <w:r>
                    <w:rPr>
                      <w:rFonts w:hint="eastAsia" w:ascii="Times New Roman" w:eastAsia="宋体" w:cs="Times New Roman"/>
                      <w:color w:val="auto"/>
                      <w:sz w:val="21"/>
                      <w:szCs w:val="21"/>
                    </w:rPr>
                    <w:t>风速(m/s)</w:t>
                  </w:r>
                </w:p>
              </w:tc>
              <w:tc>
                <w:tcPr>
                  <w:tcW w:w="966" w:type="pct"/>
                  <w:vAlign w:val="center"/>
                </w:tcPr>
                <w:p>
                  <w:pPr>
                    <w:pStyle w:val="41"/>
                    <w:jc w:val="center"/>
                    <w:rPr>
                      <w:rFonts w:ascii="Times New Roman" w:eastAsia="宋体" w:cs="Times New Roman"/>
                      <w:color w:val="auto"/>
                      <w:sz w:val="21"/>
                      <w:szCs w:val="21"/>
                    </w:rPr>
                  </w:pPr>
                  <w:r>
                    <w:rPr>
                      <w:rFonts w:ascii="Times New Roman" w:eastAsia="宋体" w:cs="Times New Roman"/>
                      <w:color w:val="auto"/>
                      <w:sz w:val="21"/>
                      <w:szCs w:val="21"/>
                    </w:rPr>
                    <w:t>分配风量(m</w:t>
                  </w:r>
                  <w:r>
                    <w:rPr>
                      <w:rFonts w:ascii="Times New Roman" w:eastAsia="宋体" w:cs="Times New Roman"/>
                      <w:color w:val="auto"/>
                      <w:sz w:val="21"/>
                      <w:szCs w:val="21"/>
                      <w:vertAlign w:val="superscript"/>
                    </w:rPr>
                    <w:t>3</w:t>
                  </w:r>
                  <w:r>
                    <w:rPr>
                      <w:rFonts w:ascii="Times New Roman" w:eastAsia="宋体" w:cs="Times New Roman"/>
                      <w:color w:val="auto"/>
                      <w:sz w:val="21"/>
                      <w:szCs w:val="21"/>
                    </w:rPr>
                    <w:t>/h)</w:t>
                  </w:r>
                </w:p>
              </w:tc>
              <w:tc>
                <w:tcPr>
                  <w:tcW w:w="405" w:type="pct"/>
                  <w:tcBorders>
                    <w:right w:val="nil"/>
                  </w:tcBorders>
                  <w:vAlign w:val="center"/>
                </w:tcPr>
                <w:p>
                  <w:pPr>
                    <w:pStyle w:val="41"/>
                    <w:jc w:val="center"/>
                    <w:rPr>
                      <w:rFonts w:ascii="Times New Roman" w:eastAsia="宋体" w:cs="Times New Roman"/>
                      <w:color w:val="auto"/>
                      <w:sz w:val="21"/>
                      <w:szCs w:val="21"/>
                    </w:rPr>
                  </w:pPr>
                  <w:r>
                    <w:rPr>
                      <w:rFonts w:ascii="Times New Roman" w:eastAsia="宋体" w:cs="Times New Roman"/>
                      <w:color w:val="auto"/>
                      <w:sz w:val="21"/>
                      <w:szCs w:val="21"/>
                    </w:rPr>
                    <w:t>数量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30" w:type="pct"/>
                  <w:tcBorders>
                    <w:left w:val="nil"/>
                  </w:tcBorders>
                  <w:vAlign w:val="center"/>
                </w:tcPr>
                <w:p>
                  <w:pPr>
                    <w:pStyle w:val="41"/>
                    <w:jc w:val="center"/>
                    <w:rPr>
                      <w:rFonts w:ascii="Times New Roman" w:eastAsia="宋体" w:cs="Times New Roman"/>
                      <w:color w:val="auto"/>
                      <w:sz w:val="21"/>
                      <w:szCs w:val="21"/>
                    </w:rPr>
                  </w:pPr>
                  <w:r>
                    <w:rPr>
                      <w:rFonts w:hint="eastAsia" w:ascii="Times New Roman" w:eastAsia="宋体" w:cs="Times New Roman"/>
                      <w:color w:val="auto"/>
                      <w:sz w:val="21"/>
                      <w:szCs w:val="21"/>
                    </w:rPr>
                    <w:t>熔炼</w:t>
                  </w:r>
                </w:p>
              </w:tc>
              <w:tc>
                <w:tcPr>
                  <w:tcW w:w="1270" w:type="pct"/>
                  <w:vAlign w:val="center"/>
                </w:tcPr>
                <w:p>
                  <w:pPr>
                    <w:widowControl/>
                    <w:jc w:val="center"/>
                    <w:textAlignment w:val="center"/>
                    <w:rPr>
                      <w:color w:val="auto"/>
                      <w:szCs w:val="21"/>
                    </w:rPr>
                  </w:pPr>
                  <w:r>
                    <w:rPr>
                      <w:rFonts w:hint="eastAsia"/>
                      <w:color w:val="auto"/>
                      <w:szCs w:val="21"/>
                    </w:rPr>
                    <w:t>1+1+0.8+0.8=3.6</w:t>
                  </w:r>
                </w:p>
              </w:tc>
              <w:tc>
                <w:tcPr>
                  <w:tcW w:w="1076" w:type="pct"/>
                  <w:vAlign w:val="center"/>
                </w:tcPr>
                <w:p>
                  <w:pPr>
                    <w:widowControl/>
                    <w:jc w:val="center"/>
                    <w:textAlignment w:val="center"/>
                    <w:rPr>
                      <w:color w:val="auto"/>
                      <w:szCs w:val="21"/>
                    </w:rPr>
                  </w:pPr>
                  <w:r>
                    <w:rPr>
                      <w:rFonts w:hint="eastAsia"/>
                      <w:color w:val="auto"/>
                      <w:szCs w:val="21"/>
                    </w:rPr>
                    <w:t>0.8</w:t>
                  </w:r>
                </w:p>
              </w:tc>
              <w:tc>
                <w:tcPr>
                  <w:tcW w:w="751" w:type="pct"/>
                  <w:vAlign w:val="center"/>
                </w:tcPr>
                <w:p>
                  <w:pPr>
                    <w:widowControl/>
                    <w:jc w:val="center"/>
                    <w:textAlignment w:val="center"/>
                    <w:rPr>
                      <w:color w:val="auto"/>
                      <w:szCs w:val="21"/>
                    </w:rPr>
                  </w:pPr>
                  <w:r>
                    <w:rPr>
                      <w:rFonts w:hint="eastAsia"/>
                      <w:color w:val="auto"/>
                      <w:szCs w:val="21"/>
                    </w:rPr>
                    <w:t>0.8</w:t>
                  </w:r>
                </w:p>
              </w:tc>
              <w:tc>
                <w:tcPr>
                  <w:tcW w:w="966" w:type="pct"/>
                  <w:vAlign w:val="center"/>
                </w:tcPr>
                <w:p>
                  <w:pPr>
                    <w:widowControl/>
                    <w:jc w:val="center"/>
                    <w:textAlignment w:val="center"/>
                    <w:rPr>
                      <w:color w:val="auto"/>
                      <w:szCs w:val="21"/>
                    </w:rPr>
                  </w:pPr>
                  <w:r>
                    <w:rPr>
                      <w:rFonts w:hint="eastAsia"/>
                      <w:color w:val="auto"/>
                      <w:szCs w:val="21"/>
                    </w:rPr>
                    <w:t>8294</w:t>
                  </w:r>
                </w:p>
              </w:tc>
              <w:tc>
                <w:tcPr>
                  <w:tcW w:w="405" w:type="pct"/>
                  <w:tcBorders>
                    <w:right w:val="nil"/>
                  </w:tcBorders>
                  <w:vAlign w:val="center"/>
                </w:tcPr>
                <w:p>
                  <w:pPr>
                    <w:widowControl/>
                    <w:jc w:val="center"/>
                    <w:textAlignment w:val="center"/>
                    <w:rPr>
                      <w:color w:val="auto"/>
                      <w:szCs w:val="21"/>
                    </w:rPr>
                  </w:pPr>
                  <w:r>
                    <w:rPr>
                      <w:color w:val="auto"/>
                      <w:szCs w:val="21"/>
                    </w:rPr>
                    <w:t>1</w:t>
                  </w:r>
                </w:p>
              </w:tc>
            </w:tr>
          </w:tbl>
          <w:p>
            <w:pPr>
              <w:adjustRightInd w:val="0"/>
              <w:snapToGrid w:val="0"/>
              <w:spacing w:line="480" w:lineRule="exact"/>
              <w:ind w:firstLine="480" w:firstLineChars="200"/>
              <w:rPr>
                <w:color w:val="auto"/>
                <w:sz w:val="24"/>
              </w:rPr>
            </w:pPr>
            <w:r>
              <w:rPr>
                <w:rFonts w:hint="eastAsia"/>
                <w:bCs/>
                <w:color w:val="auto"/>
                <w:sz w:val="24"/>
              </w:rPr>
              <w:t>据此核算，所需风量为9758</w:t>
            </w:r>
            <w:r>
              <w:rPr>
                <w:bCs/>
                <w:color w:val="auto"/>
                <w:sz w:val="24"/>
              </w:rPr>
              <w:t>m</w:t>
            </w:r>
            <w:r>
              <w:rPr>
                <w:bCs/>
                <w:color w:val="auto"/>
                <w:sz w:val="24"/>
                <w:vertAlign w:val="superscript"/>
              </w:rPr>
              <w:t>3</w:t>
            </w:r>
            <w:r>
              <w:rPr>
                <w:bCs/>
                <w:color w:val="auto"/>
                <w:sz w:val="24"/>
              </w:rPr>
              <w:t>/h</w:t>
            </w:r>
            <w:r>
              <w:rPr>
                <w:rFonts w:hint="eastAsia"/>
                <w:bCs/>
                <w:color w:val="auto"/>
                <w:sz w:val="24"/>
              </w:rPr>
              <w:t>，</w:t>
            </w:r>
            <w:r>
              <w:rPr>
                <w:bCs/>
                <w:color w:val="auto"/>
                <w:sz w:val="24"/>
              </w:rPr>
              <w:t>风机设计风量</w:t>
            </w:r>
            <w:r>
              <w:rPr>
                <w:rFonts w:hint="eastAsia"/>
                <w:bCs/>
                <w:color w:val="auto"/>
                <w:sz w:val="24"/>
              </w:rPr>
              <w:t>为</w:t>
            </w:r>
            <w:r>
              <w:rPr>
                <w:rFonts w:hint="eastAsia"/>
                <w:color w:val="auto"/>
                <w:kern w:val="0"/>
                <w:sz w:val="24"/>
                <w:lang w:bidi="ar"/>
              </w:rPr>
              <w:t>10000</w:t>
            </w:r>
            <w:r>
              <w:rPr>
                <w:bCs/>
                <w:color w:val="auto"/>
                <w:sz w:val="24"/>
              </w:rPr>
              <w:t>m</w:t>
            </w:r>
            <w:r>
              <w:rPr>
                <w:bCs/>
                <w:color w:val="auto"/>
                <w:sz w:val="24"/>
                <w:vertAlign w:val="superscript"/>
              </w:rPr>
              <w:t>3</w:t>
            </w:r>
            <w:r>
              <w:rPr>
                <w:bCs/>
                <w:color w:val="auto"/>
                <w:sz w:val="24"/>
              </w:rPr>
              <w:t>/h</w:t>
            </w:r>
            <w:r>
              <w:rPr>
                <w:rFonts w:hint="eastAsia"/>
                <w:bCs/>
                <w:color w:val="auto"/>
                <w:sz w:val="24"/>
              </w:rPr>
              <w:t>，</w:t>
            </w:r>
            <w:r>
              <w:rPr>
                <w:rFonts w:hint="eastAsia"/>
                <w:color w:val="auto"/>
                <w:sz w:val="24"/>
              </w:rPr>
              <w:t>可满足生产需求。</w:t>
            </w:r>
          </w:p>
          <w:p>
            <w:pPr>
              <w:widowControl/>
              <w:autoSpaceDE w:val="0"/>
              <w:autoSpaceDN w:val="0"/>
              <w:adjustRightInd w:val="0"/>
              <w:spacing w:line="500" w:lineRule="exact"/>
              <w:ind w:firstLine="480" w:firstLineChars="200"/>
              <w:rPr>
                <w:color w:val="auto"/>
                <w:sz w:val="24"/>
              </w:rPr>
            </w:pPr>
            <w:r>
              <w:rPr>
                <w:rFonts w:hint="eastAsia"/>
                <w:color w:val="auto"/>
                <w:sz w:val="24"/>
              </w:rPr>
              <w:t>熔炼工序年运行4800h，集气罩废气捕集效率为95%；脉冲布袋除尘器处理效率为99%。</w:t>
            </w:r>
          </w:p>
          <w:p>
            <w:pPr>
              <w:pStyle w:val="41"/>
              <w:spacing w:line="480" w:lineRule="exact"/>
              <w:jc w:val="center"/>
              <w:textAlignment w:val="auto"/>
              <w:rPr>
                <w:rFonts w:ascii="Times New Roman" w:eastAsia="宋体" w:cs="Times New Roman"/>
                <w:b/>
                <w:bCs/>
                <w:color w:val="auto"/>
              </w:rPr>
            </w:pPr>
            <w:r>
              <w:rPr>
                <w:rFonts w:ascii="Times New Roman" w:eastAsia="宋体" w:cs="Times New Roman"/>
                <w:b/>
                <w:bCs/>
                <w:color w:val="auto"/>
              </w:rPr>
              <w:t>表</w:t>
            </w:r>
            <w:r>
              <w:rPr>
                <w:rFonts w:hint="eastAsia" w:ascii="Times New Roman" w:eastAsia="宋体" w:cs="Times New Roman"/>
                <w:b/>
                <w:bCs/>
                <w:color w:val="auto"/>
              </w:rPr>
              <w:t>31    颗粒物产排情况一览表</w:t>
            </w:r>
          </w:p>
          <w:tbl>
            <w:tblPr>
              <w:tblStyle w:val="33"/>
              <w:tblW w:w="834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267"/>
              <w:gridCol w:w="846"/>
              <w:gridCol w:w="1565"/>
              <w:gridCol w:w="1219"/>
              <w:gridCol w:w="1219"/>
              <w:gridCol w:w="1221"/>
              <w:gridCol w:w="101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90" w:hRule="atLeast"/>
                <w:jc w:val="center"/>
              </w:trPr>
              <w:tc>
                <w:tcPr>
                  <w:tcW w:w="1299" w:type="dxa"/>
                  <w:vAlign w:val="center"/>
                </w:tcPr>
                <w:p>
                  <w:pPr>
                    <w:pStyle w:val="41"/>
                    <w:jc w:val="center"/>
                    <w:rPr>
                      <w:rFonts w:ascii="Times New Roman" w:eastAsia="宋体" w:cs="Times New Roman"/>
                      <w:color w:val="auto"/>
                      <w:sz w:val="21"/>
                      <w:szCs w:val="21"/>
                    </w:rPr>
                  </w:pPr>
                  <w:r>
                    <w:rPr>
                      <w:rFonts w:hint="eastAsia" w:ascii="Times New Roman" w:eastAsia="宋体" w:cs="Times New Roman"/>
                      <w:color w:val="auto"/>
                      <w:sz w:val="21"/>
                      <w:szCs w:val="21"/>
                    </w:rPr>
                    <w:t>工序</w:t>
                  </w:r>
                </w:p>
              </w:tc>
              <w:tc>
                <w:tcPr>
                  <w:tcW w:w="826" w:type="dxa"/>
                  <w:vAlign w:val="center"/>
                </w:tcPr>
                <w:p>
                  <w:pPr>
                    <w:pStyle w:val="41"/>
                    <w:jc w:val="center"/>
                    <w:rPr>
                      <w:rFonts w:ascii="Times New Roman" w:eastAsia="宋体" w:cs="Times New Roman"/>
                      <w:color w:val="auto"/>
                      <w:sz w:val="21"/>
                      <w:szCs w:val="21"/>
                    </w:rPr>
                  </w:pPr>
                  <w:r>
                    <w:rPr>
                      <w:rFonts w:hint="eastAsia" w:ascii="Times New Roman" w:eastAsia="宋体" w:cs="Times New Roman"/>
                      <w:color w:val="auto"/>
                      <w:sz w:val="21"/>
                      <w:szCs w:val="21"/>
                    </w:rPr>
                    <w:t>产生量（t/a）</w:t>
                  </w:r>
                </w:p>
              </w:tc>
              <w:tc>
                <w:tcPr>
                  <w:tcW w:w="1592" w:type="dxa"/>
                  <w:vAlign w:val="center"/>
                </w:tcPr>
                <w:p>
                  <w:pPr>
                    <w:pStyle w:val="41"/>
                    <w:jc w:val="center"/>
                    <w:rPr>
                      <w:rFonts w:ascii="Times New Roman" w:eastAsia="宋体" w:cs="Times New Roman"/>
                      <w:color w:val="auto"/>
                      <w:sz w:val="21"/>
                      <w:szCs w:val="21"/>
                    </w:rPr>
                  </w:pPr>
                  <w:r>
                    <w:rPr>
                      <w:rFonts w:hint="eastAsia" w:ascii="Times New Roman" w:eastAsia="宋体" w:cs="Times New Roman"/>
                      <w:color w:val="auto"/>
                      <w:sz w:val="21"/>
                      <w:szCs w:val="21"/>
                    </w:rPr>
                    <w:t>引入脉冲布袋除尘器量（t/a）</w:t>
                  </w:r>
                </w:p>
              </w:tc>
              <w:tc>
                <w:tcPr>
                  <w:tcW w:w="1233" w:type="dxa"/>
                  <w:vAlign w:val="center"/>
                </w:tcPr>
                <w:p>
                  <w:pPr>
                    <w:pStyle w:val="41"/>
                    <w:jc w:val="center"/>
                    <w:rPr>
                      <w:rFonts w:ascii="Times New Roman" w:eastAsia="宋体" w:cs="Times New Roman"/>
                      <w:color w:val="auto"/>
                      <w:sz w:val="21"/>
                      <w:szCs w:val="21"/>
                    </w:rPr>
                  </w:pPr>
                  <w:r>
                    <w:rPr>
                      <w:rFonts w:hint="eastAsia" w:ascii="Times New Roman" w:eastAsia="宋体" w:cs="Times New Roman"/>
                      <w:color w:val="auto"/>
                      <w:sz w:val="21"/>
                      <w:szCs w:val="21"/>
                    </w:rPr>
                    <w:t>未被捕集量（t/a）</w:t>
                  </w:r>
                </w:p>
              </w:tc>
              <w:tc>
                <w:tcPr>
                  <w:tcW w:w="1233" w:type="dxa"/>
                  <w:vAlign w:val="center"/>
                </w:tcPr>
                <w:p>
                  <w:pPr>
                    <w:pStyle w:val="41"/>
                    <w:jc w:val="center"/>
                    <w:rPr>
                      <w:rFonts w:ascii="Times New Roman" w:eastAsia="宋体" w:cs="Times New Roman"/>
                      <w:color w:val="auto"/>
                      <w:sz w:val="21"/>
                      <w:szCs w:val="21"/>
                    </w:rPr>
                  </w:pPr>
                  <w:r>
                    <w:rPr>
                      <w:rFonts w:hint="eastAsia" w:ascii="Times New Roman" w:eastAsia="宋体" w:cs="Times New Roman"/>
                      <w:color w:val="auto"/>
                      <w:sz w:val="21"/>
                      <w:szCs w:val="21"/>
                    </w:rPr>
                    <w:t>处理后排放量（t/a）</w:t>
                  </w:r>
                </w:p>
              </w:tc>
              <w:tc>
                <w:tcPr>
                  <w:tcW w:w="1233" w:type="dxa"/>
                  <w:vAlign w:val="center"/>
                </w:tcPr>
                <w:p>
                  <w:pPr>
                    <w:pStyle w:val="41"/>
                    <w:jc w:val="center"/>
                    <w:rPr>
                      <w:rFonts w:ascii="Times New Roman" w:eastAsia="宋体" w:cs="Times New Roman"/>
                      <w:color w:val="auto"/>
                      <w:sz w:val="21"/>
                      <w:szCs w:val="21"/>
                    </w:rPr>
                  </w:pPr>
                  <w:r>
                    <w:rPr>
                      <w:rFonts w:hint="eastAsia" w:ascii="Times New Roman" w:eastAsia="宋体" w:cs="Times New Roman"/>
                      <w:color w:val="auto"/>
                      <w:sz w:val="21"/>
                      <w:szCs w:val="21"/>
                    </w:rPr>
                    <w:t>年运行时间（h/a）</w:t>
                  </w:r>
                </w:p>
              </w:tc>
              <w:tc>
                <w:tcPr>
                  <w:tcW w:w="931" w:type="dxa"/>
                  <w:tcBorders>
                    <w:right w:val="nil"/>
                  </w:tcBorders>
                  <w:vAlign w:val="center"/>
                </w:tcPr>
                <w:p>
                  <w:pPr>
                    <w:pStyle w:val="41"/>
                    <w:jc w:val="center"/>
                    <w:rPr>
                      <w:rFonts w:ascii="Times New Roman" w:eastAsia="宋体" w:cs="Times New Roman"/>
                      <w:color w:val="auto"/>
                      <w:sz w:val="21"/>
                      <w:szCs w:val="21"/>
                    </w:rPr>
                  </w:pPr>
                  <w:r>
                    <w:rPr>
                      <w:rFonts w:hint="eastAsia" w:ascii="Times New Roman" w:eastAsia="宋体" w:cs="Times New Roman"/>
                      <w:color w:val="auto"/>
                      <w:sz w:val="21"/>
                      <w:szCs w:val="21"/>
                    </w:rPr>
                    <w:t>排放速率（kg/h）</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299" w:type="dxa"/>
                  <w:tcBorders>
                    <w:left w:val="nil"/>
                  </w:tcBorders>
                  <w:vAlign w:val="center"/>
                </w:tcPr>
                <w:p>
                  <w:pPr>
                    <w:pStyle w:val="41"/>
                    <w:jc w:val="center"/>
                    <w:rPr>
                      <w:rFonts w:ascii="Times New Roman" w:eastAsia="宋体" w:cs="Times New Roman"/>
                      <w:color w:val="auto"/>
                      <w:sz w:val="21"/>
                      <w:szCs w:val="21"/>
                    </w:rPr>
                  </w:pPr>
                  <w:r>
                    <w:rPr>
                      <w:rFonts w:hint="eastAsia" w:ascii="Times New Roman" w:eastAsia="宋体" w:cs="Times New Roman"/>
                      <w:color w:val="auto"/>
                      <w:sz w:val="21"/>
                      <w:szCs w:val="21"/>
                    </w:rPr>
                    <w:t>熔炼</w:t>
                  </w:r>
                </w:p>
              </w:tc>
              <w:tc>
                <w:tcPr>
                  <w:tcW w:w="826" w:type="dxa"/>
                  <w:vAlign w:val="center"/>
                </w:tcPr>
                <w:p>
                  <w:pPr>
                    <w:widowControl/>
                    <w:jc w:val="center"/>
                    <w:textAlignment w:val="center"/>
                    <w:rPr>
                      <w:color w:val="auto"/>
                      <w:szCs w:val="21"/>
                    </w:rPr>
                  </w:pPr>
                  <w:r>
                    <w:rPr>
                      <w:rFonts w:hint="eastAsia"/>
                      <w:color w:val="auto"/>
                      <w:szCs w:val="21"/>
                    </w:rPr>
                    <w:t>2.635</w:t>
                  </w:r>
                </w:p>
              </w:tc>
              <w:tc>
                <w:tcPr>
                  <w:tcW w:w="1592" w:type="dxa"/>
                  <w:vAlign w:val="center"/>
                </w:tcPr>
                <w:p>
                  <w:pPr>
                    <w:widowControl/>
                    <w:jc w:val="center"/>
                    <w:textAlignment w:val="center"/>
                    <w:rPr>
                      <w:color w:val="auto"/>
                      <w:szCs w:val="21"/>
                    </w:rPr>
                  </w:pPr>
                  <w:r>
                    <w:rPr>
                      <w:rFonts w:hint="eastAsia"/>
                      <w:color w:val="auto"/>
                      <w:szCs w:val="21"/>
                    </w:rPr>
                    <w:t>2.503</w:t>
                  </w:r>
                </w:p>
              </w:tc>
              <w:tc>
                <w:tcPr>
                  <w:tcW w:w="1233" w:type="dxa"/>
                  <w:vAlign w:val="center"/>
                </w:tcPr>
                <w:p>
                  <w:pPr>
                    <w:widowControl/>
                    <w:jc w:val="center"/>
                    <w:textAlignment w:val="center"/>
                    <w:rPr>
                      <w:color w:val="auto"/>
                      <w:szCs w:val="21"/>
                    </w:rPr>
                  </w:pPr>
                  <w:r>
                    <w:rPr>
                      <w:rFonts w:hint="eastAsia"/>
                      <w:color w:val="auto"/>
                      <w:szCs w:val="21"/>
                    </w:rPr>
                    <w:t>0.132</w:t>
                  </w:r>
                </w:p>
              </w:tc>
              <w:tc>
                <w:tcPr>
                  <w:tcW w:w="1233" w:type="dxa"/>
                  <w:vAlign w:val="center"/>
                </w:tcPr>
                <w:p>
                  <w:pPr>
                    <w:widowControl/>
                    <w:jc w:val="center"/>
                    <w:textAlignment w:val="center"/>
                    <w:rPr>
                      <w:color w:val="auto"/>
                      <w:szCs w:val="21"/>
                    </w:rPr>
                  </w:pPr>
                  <w:r>
                    <w:rPr>
                      <w:rFonts w:hint="eastAsia"/>
                      <w:color w:val="auto"/>
                      <w:szCs w:val="21"/>
                    </w:rPr>
                    <w:t>0.025</w:t>
                  </w:r>
                </w:p>
              </w:tc>
              <w:tc>
                <w:tcPr>
                  <w:tcW w:w="1233" w:type="dxa"/>
                  <w:vAlign w:val="center"/>
                </w:tcPr>
                <w:p>
                  <w:pPr>
                    <w:widowControl/>
                    <w:jc w:val="center"/>
                    <w:textAlignment w:val="center"/>
                    <w:rPr>
                      <w:color w:val="auto"/>
                      <w:szCs w:val="21"/>
                    </w:rPr>
                  </w:pPr>
                  <w:r>
                    <w:rPr>
                      <w:rFonts w:hint="eastAsia"/>
                      <w:color w:val="auto"/>
                      <w:szCs w:val="21"/>
                    </w:rPr>
                    <w:t>4800</w:t>
                  </w:r>
                </w:p>
              </w:tc>
              <w:tc>
                <w:tcPr>
                  <w:tcW w:w="931" w:type="dxa"/>
                  <w:tcBorders>
                    <w:right w:val="nil"/>
                  </w:tcBorders>
                  <w:vAlign w:val="center"/>
                </w:tcPr>
                <w:p>
                  <w:pPr>
                    <w:widowControl/>
                    <w:jc w:val="center"/>
                    <w:textAlignment w:val="center"/>
                    <w:rPr>
                      <w:color w:val="auto"/>
                      <w:szCs w:val="21"/>
                    </w:rPr>
                  </w:pPr>
                  <w:r>
                    <w:rPr>
                      <w:rFonts w:hint="eastAsia"/>
                      <w:color w:val="auto"/>
                      <w:szCs w:val="21"/>
                    </w:rPr>
                    <w:t>0.01</w:t>
                  </w:r>
                </w:p>
              </w:tc>
            </w:tr>
          </w:tbl>
          <w:p>
            <w:pPr>
              <w:widowControl/>
              <w:autoSpaceDE w:val="0"/>
              <w:autoSpaceDN w:val="0"/>
              <w:adjustRightInd w:val="0"/>
              <w:spacing w:line="500" w:lineRule="exact"/>
              <w:ind w:firstLine="480" w:firstLineChars="200"/>
              <w:rPr>
                <w:color w:val="auto"/>
                <w:sz w:val="24"/>
              </w:rPr>
            </w:pPr>
            <w:r>
              <w:rPr>
                <w:rFonts w:hint="eastAsia"/>
                <w:color w:val="auto"/>
                <w:sz w:val="24"/>
              </w:rPr>
              <w:t>经分析，项目颗粒物排放速率为0.005kg/h，颗粒物排放浓度为0.5</w:t>
            </w:r>
            <w:r>
              <w:rPr>
                <w:rFonts w:hint="eastAsia"/>
                <w:snapToGrid w:val="0"/>
                <w:color w:val="auto"/>
                <w:kern w:val="0"/>
                <w:sz w:val="24"/>
              </w:rPr>
              <w:t>mg/m</w:t>
            </w:r>
            <w:r>
              <w:rPr>
                <w:rFonts w:hint="eastAsia"/>
                <w:snapToGrid w:val="0"/>
                <w:color w:val="auto"/>
                <w:kern w:val="0"/>
                <w:sz w:val="24"/>
                <w:vertAlign w:val="superscript"/>
              </w:rPr>
              <w:t>3</w:t>
            </w:r>
            <w:r>
              <w:rPr>
                <w:rFonts w:hint="eastAsia"/>
                <w:snapToGrid w:val="0"/>
                <w:color w:val="auto"/>
                <w:kern w:val="0"/>
                <w:sz w:val="24"/>
              </w:rPr>
              <w:t>，</w:t>
            </w:r>
            <w:r>
              <w:rPr>
                <w:rFonts w:hint="eastAsia"/>
                <w:color w:val="auto"/>
                <w:sz w:val="24"/>
              </w:rPr>
              <w:t>有组织颗粒物排放</w:t>
            </w:r>
            <w:r>
              <w:rPr>
                <w:color w:val="auto"/>
                <w:sz w:val="24"/>
              </w:rPr>
              <w:t>满足</w:t>
            </w:r>
            <w:r>
              <w:rPr>
                <w:bCs/>
                <w:color w:val="auto"/>
                <w:sz w:val="24"/>
              </w:rPr>
              <w:t>《铸造工业大气污染物排放标准》（GB 39726—2020）表1/《唐山市大气污染防治工作领导小组办公室&lt;唐山市钢铁行业整治提升工作方案&gt;等10项方案的通知》（唐气领办〔2021〕15号）中附件9《唐山市铸造行业整治提升工作方案》相关标准要求</w:t>
            </w:r>
            <w:r>
              <w:rPr>
                <w:color w:val="auto"/>
                <w:sz w:val="24"/>
              </w:rPr>
              <w:t>：10mg/m</w:t>
            </w:r>
            <w:r>
              <w:rPr>
                <w:color w:val="auto"/>
                <w:sz w:val="24"/>
                <w:vertAlign w:val="superscript"/>
              </w:rPr>
              <w:t>3</w:t>
            </w:r>
            <w:r>
              <w:rPr>
                <w:color w:val="auto"/>
                <w:sz w:val="24"/>
              </w:rPr>
              <w:t>。</w:t>
            </w:r>
          </w:p>
          <w:p>
            <w:pPr>
              <w:spacing w:line="480" w:lineRule="exact"/>
              <w:ind w:firstLine="480" w:firstLineChars="200"/>
              <w:rPr>
                <w:color w:val="auto"/>
                <w:sz w:val="24"/>
              </w:rPr>
            </w:pPr>
            <w:r>
              <w:rPr>
                <w:rFonts w:hint="eastAsia"/>
                <w:color w:val="auto"/>
                <w:sz w:val="24"/>
              </w:rPr>
              <w:t>②浇注、砂处理、混砂、打磨工序以及顶吸废气</w:t>
            </w:r>
          </w:p>
          <w:p>
            <w:pPr>
              <w:spacing w:line="480" w:lineRule="exact"/>
              <w:ind w:firstLine="480" w:firstLineChars="200"/>
              <w:rPr>
                <w:color w:val="auto"/>
                <w:sz w:val="24"/>
              </w:rPr>
            </w:pPr>
            <w:r>
              <w:rPr>
                <w:rFonts w:hint="eastAsia"/>
                <w:color w:val="auto"/>
                <w:sz w:val="24"/>
              </w:rPr>
              <w:t>根据《排放源统计调查产排污核算方法和系数手册》黑色金属铸造行业浇注工序颗粒物产污系数0.56</w:t>
            </w:r>
            <w:r>
              <w:rPr>
                <w:color w:val="auto"/>
                <w:sz w:val="24"/>
              </w:rPr>
              <w:t>kg/t-</w:t>
            </w:r>
            <w:r>
              <w:rPr>
                <w:rFonts w:hint="eastAsia"/>
                <w:color w:val="auto"/>
                <w:sz w:val="24"/>
              </w:rPr>
              <w:t>产品，项目每年生产铸件55</w:t>
            </w:r>
            <w:r>
              <w:rPr>
                <w:color w:val="auto"/>
                <w:sz w:val="24"/>
              </w:rPr>
              <w:t>00t</w:t>
            </w:r>
            <w:r>
              <w:rPr>
                <w:rFonts w:hint="eastAsia"/>
                <w:color w:val="auto"/>
                <w:sz w:val="24"/>
              </w:rPr>
              <w:t>，则颗粒物产生量3.08</w:t>
            </w:r>
            <w:r>
              <w:rPr>
                <w:color w:val="auto"/>
                <w:sz w:val="24"/>
              </w:rPr>
              <w:t>t/a</w:t>
            </w:r>
            <w:r>
              <w:rPr>
                <w:rFonts w:hint="eastAsia"/>
                <w:color w:val="auto"/>
                <w:sz w:val="24"/>
              </w:rPr>
              <w:t>。</w:t>
            </w:r>
          </w:p>
          <w:p>
            <w:pPr>
              <w:spacing w:line="480" w:lineRule="exact"/>
              <w:ind w:firstLine="480" w:firstLineChars="200"/>
              <w:rPr>
                <w:color w:val="auto"/>
                <w:sz w:val="24"/>
              </w:rPr>
            </w:pPr>
            <w:r>
              <w:rPr>
                <w:rFonts w:hint="eastAsia"/>
                <w:color w:val="auto"/>
                <w:sz w:val="24"/>
              </w:rPr>
              <w:t>浇注完成后的翻箱落砂、砂处理均在密闭空间内进行，翻箱落砂处设置密闭集气罩，经自动化砂处理生产线处理后回用。根据《排放源统计调查产排污核算方法和系数手册》黑色金属铸造行业砂处理工序颗粒物产污系数为3.48</w:t>
            </w:r>
            <w:r>
              <w:rPr>
                <w:color w:val="auto"/>
                <w:sz w:val="24"/>
              </w:rPr>
              <w:t>kg/t-</w:t>
            </w:r>
            <w:r>
              <w:rPr>
                <w:rFonts w:hint="eastAsia"/>
                <w:color w:val="auto"/>
                <w:sz w:val="24"/>
              </w:rPr>
              <w:t>产品，产品产量5500t/a，则砂处理产生颗粒物为19.14</w:t>
            </w:r>
            <w:r>
              <w:rPr>
                <w:color w:val="auto"/>
                <w:sz w:val="24"/>
              </w:rPr>
              <w:t>t/a</w:t>
            </w:r>
            <w:r>
              <w:rPr>
                <w:rFonts w:hint="eastAsia"/>
                <w:color w:val="auto"/>
                <w:sz w:val="24"/>
              </w:rPr>
              <w:t>。</w:t>
            </w:r>
          </w:p>
          <w:p>
            <w:pPr>
              <w:spacing w:line="480" w:lineRule="exact"/>
              <w:ind w:firstLine="480" w:firstLineChars="200"/>
              <w:rPr>
                <w:color w:val="auto"/>
              </w:rPr>
            </w:pPr>
            <w:r>
              <w:rPr>
                <w:rFonts w:hint="eastAsia"/>
                <w:color w:val="auto"/>
                <w:sz w:val="24"/>
              </w:rPr>
              <w:t>根据《排放源统计调查产排污核算方法和系数手册》黑色金属铸造行业混砂造型工序颗粒物产污系数0.56</w:t>
            </w:r>
            <w:r>
              <w:rPr>
                <w:color w:val="auto"/>
                <w:sz w:val="24"/>
              </w:rPr>
              <w:t>kg/t-</w:t>
            </w:r>
            <w:r>
              <w:rPr>
                <w:rFonts w:hint="eastAsia"/>
                <w:color w:val="auto"/>
                <w:sz w:val="24"/>
              </w:rPr>
              <w:t>产品，项目每年生产铸件55</w:t>
            </w:r>
            <w:r>
              <w:rPr>
                <w:color w:val="auto"/>
                <w:sz w:val="24"/>
              </w:rPr>
              <w:t>00t</w:t>
            </w:r>
            <w:r>
              <w:rPr>
                <w:rFonts w:hint="eastAsia"/>
                <w:color w:val="auto"/>
                <w:sz w:val="24"/>
              </w:rPr>
              <w:t>，则颗粒物产生量3.08</w:t>
            </w:r>
            <w:r>
              <w:rPr>
                <w:color w:val="auto"/>
                <w:sz w:val="24"/>
              </w:rPr>
              <w:t>t/a</w:t>
            </w:r>
            <w:r>
              <w:rPr>
                <w:rFonts w:hint="eastAsia"/>
                <w:color w:val="auto"/>
                <w:sz w:val="24"/>
              </w:rPr>
              <w:t>。</w:t>
            </w:r>
          </w:p>
          <w:p>
            <w:pPr>
              <w:spacing w:line="480" w:lineRule="exact"/>
              <w:ind w:firstLine="480" w:firstLineChars="200"/>
              <w:rPr>
                <w:color w:val="auto"/>
                <w:sz w:val="24"/>
              </w:rPr>
            </w:pPr>
            <w:r>
              <w:rPr>
                <w:rFonts w:hint="eastAsia"/>
                <w:color w:val="auto"/>
                <w:sz w:val="24"/>
              </w:rPr>
              <w:t>参照</w:t>
            </w:r>
            <w:r>
              <w:rPr>
                <w:color w:val="auto"/>
                <w:sz w:val="24"/>
              </w:rPr>
              <w:t>《排放源统计调查产排污核算方法和系数手册》</w:t>
            </w:r>
            <w:r>
              <w:rPr>
                <w:rFonts w:hint="eastAsia"/>
                <w:color w:val="auto"/>
                <w:sz w:val="24"/>
              </w:rPr>
              <w:t>黑色金属铸造行业</w:t>
            </w:r>
            <w:r>
              <w:rPr>
                <w:color w:val="auto"/>
                <w:sz w:val="24"/>
              </w:rPr>
              <w:t>抛丸工序颗粒物产污系数为2.19kg/t-产品，需</w:t>
            </w:r>
            <w:r>
              <w:rPr>
                <w:rFonts w:hint="eastAsia"/>
                <w:color w:val="auto"/>
                <w:sz w:val="24"/>
              </w:rPr>
              <w:t>打磨</w:t>
            </w:r>
            <w:r>
              <w:rPr>
                <w:color w:val="auto"/>
                <w:sz w:val="24"/>
              </w:rPr>
              <w:t>工件按</w:t>
            </w:r>
            <w:r>
              <w:rPr>
                <w:rFonts w:hint="eastAsia"/>
                <w:color w:val="auto"/>
                <w:sz w:val="24"/>
              </w:rPr>
              <w:t>55</w:t>
            </w:r>
            <w:r>
              <w:rPr>
                <w:color w:val="auto"/>
                <w:sz w:val="24"/>
              </w:rPr>
              <w:t>00t/a计算，则颗粒物产生量为</w:t>
            </w:r>
            <w:r>
              <w:rPr>
                <w:rFonts w:hint="eastAsia"/>
                <w:color w:val="auto"/>
                <w:sz w:val="24"/>
              </w:rPr>
              <w:t>12.045</w:t>
            </w:r>
            <w:r>
              <w:rPr>
                <w:color w:val="auto"/>
                <w:sz w:val="24"/>
              </w:rPr>
              <w:t>t/a</w:t>
            </w:r>
            <w:r>
              <w:rPr>
                <w:rFonts w:hint="eastAsia"/>
                <w:color w:val="auto"/>
                <w:sz w:val="24"/>
              </w:rPr>
              <w:t>。</w:t>
            </w:r>
          </w:p>
          <w:p>
            <w:pPr>
              <w:spacing w:line="480" w:lineRule="exact"/>
              <w:ind w:firstLine="480" w:firstLineChars="200"/>
              <w:rPr>
                <w:color w:val="auto"/>
              </w:rPr>
            </w:pPr>
            <w:r>
              <w:rPr>
                <w:rFonts w:hint="eastAsia"/>
                <w:color w:val="auto"/>
                <w:sz w:val="24"/>
              </w:rPr>
              <w:t>上述工序未被收集的粉尘通过车间顶吸进入二次除尘装置。</w:t>
            </w:r>
          </w:p>
          <w:p>
            <w:pPr>
              <w:adjustRightInd w:val="0"/>
              <w:snapToGrid w:val="0"/>
              <w:spacing w:line="480" w:lineRule="exact"/>
              <w:ind w:firstLine="480" w:firstLineChars="200"/>
              <w:rPr>
                <w:color w:val="auto"/>
                <w:kern w:val="0"/>
                <w:sz w:val="24"/>
              </w:rPr>
            </w:pPr>
            <w:r>
              <w:rPr>
                <w:rFonts w:hint="eastAsia"/>
                <w:color w:val="auto"/>
                <w:sz w:val="24"/>
              </w:rPr>
              <w:t>上述废气颗粒物经各自集气装置收集后进入同1套袋式除尘器（覆膜）处理后经</w:t>
            </w:r>
            <w:r>
              <w:rPr>
                <w:color w:val="auto"/>
                <w:sz w:val="24"/>
              </w:rPr>
              <w:t>15m</w:t>
            </w:r>
            <w:r>
              <w:rPr>
                <w:rFonts w:hint="eastAsia"/>
                <w:color w:val="auto"/>
                <w:sz w:val="24"/>
              </w:rPr>
              <w:t>高排气筒排放，各工序集气管道设置分控阀门，风机采用变频风机。</w:t>
            </w:r>
          </w:p>
          <w:p>
            <w:pPr>
              <w:pStyle w:val="16"/>
              <w:spacing w:line="460" w:lineRule="exact"/>
              <w:ind w:firstLine="480" w:firstLineChars="200"/>
              <w:rPr>
                <w:color w:val="auto"/>
                <w:kern w:val="0"/>
                <w:sz w:val="24"/>
              </w:rPr>
            </w:pPr>
            <w:r>
              <w:rPr>
                <w:color w:val="auto"/>
                <w:sz w:val="24"/>
              </w:rPr>
              <w:t>集气罩上吸风量</w:t>
            </w:r>
            <w:r>
              <w:rPr>
                <w:color w:val="auto"/>
                <w:kern w:val="0"/>
                <w:sz w:val="24"/>
              </w:rPr>
              <w:t>的计算公式：</w:t>
            </w:r>
          </w:p>
          <w:p>
            <w:pPr>
              <w:adjustRightInd w:val="0"/>
              <w:snapToGrid w:val="0"/>
              <w:spacing w:line="480" w:lineRule="exact"/>
              <w:ind w:firstLine="2640" w:firstLineChars="1100"/>
              <w:rPr>
                <w:color w:val="auto"/>
                <w:kern w:val="0"/>
                <w:sz w:val="24"/>
              </w:rPr>
            </w:pPr>
            <w:r>
              <w:rPr>
                <w:color w:val="auto"/>
                <w:sz w:val="24"/>
              </w:rPr>
              <w:t>Q=3600GhV</w:t>
            </w:r>
            <w:r>
              <w:rPr>
                <w:color w:val="auto"/>
                <w:sz w:val="24"/>
                <w:vertAlign w:val="subscript"/>
              </w:rPr>
              <w:t xml:space="preserve"> p2</w:t>
            </w:r>
          </w:p>
          <w:p>
            <w:pPr>
              <w:adjustRightInd w:val="0"/>
              <w:snapToGrid w:val="0"/>
              <w:spacing w:line="480" w:lineRule="exact"/>
              <w:ind w:firstLine="480" w:firstLineChars="200"/>
              <w:rPr>
                <w:color w:val="auto"/>
                <w:kern w:val="0"/>
                <w:sz w:val="24"/>
              </w:rPr>
            </w:pPr>
            <w:r>
              <w:rPr>
                <w:color w:val="auto"/>
                <w:kern w:val="0"/>
                <w:sz w:val="24"/>
              </w:rPr>
              <w:t>式中：Q：吸风量m</w:t>
            </w:r>
            <w:r>
              <w:rPr>
                <w:color w:val="auto"/>
                <w:kern w:val="0"/>
                <w:sz w:val="24"/>
                <w:vertAlign w:val="superscript"/>
              </w:rPr>
              <w:t>3</w:t>
            </w:r>
            <w:r>
              <w:rPr>
                <w:color w:val="auto"/>
                <w:kern w:val="0"/>
                <w:sz w:val="24"/>
              </w:rPr>
              <w:t>/h；</w:t>
            </w:r>
          </w:p>
          <w:p>
            <w:pPr>
              <w:adjustRightInd w:val="0"/>
              <w:snapToGrid w:val="0"/>
              <w:spacing w:line="480" w:lineRule="exact"/>
              <w:ind w:firstLine="1200" w:firstLineChars="500"/>
              <w:rPr>
                <w:color w:val="auto"/>
                <w:kern w:val="0"/>
                <w:sz w:val="24"/>
              </w:rPr>
            </w:pPr>
            <w:r>
              <w:rPr>
                <w:color w:val="auto"/>
                <w:sz w:val="24"/>
              </w:rPr>
              <w:t>G：罩口周边长，</w:t>
            </w:r>
            <w:r>
              <w:rPr>
                <w:color w:val="auto"/>
                <w:kern w:val="0"/>
                <w:sz w:val="24"/>
              </w:rPr>
              <w:t>m；</w:t>
            </w:r>
          </w:p>
          <w:p>
            <w:pPr>
              <w:adjustRightInd w:val="0"/>
              <w:snapToGrid w:val="0"/>
              <w:spacing w:line="480" w:lineRule="exact"/>
              <w:ind w:firstLine="1200" w:firstLineChars="500"/>
              <w:rPr>
                <w:color w:val="auto"/>
                <w:kern w:val="0"/>
                <w:sz w:val="24"/>
              </w:rPr>
            </w:pPr>
            <w:r>
              <w:rPr>
                <w:color w:val="auto"/>
                <w:sz w:val="24"/>
              </w:rPr>
              <w:t>h：吸尘罩口与废气源的高度，m，本项目取0.</w:t>
            </w:r>
            <w:r>
              <w:rPr>
                <w:rFonts w:hint="eastAsia"/>
                <w:color w:val="auto"/>
                <w:sz w:val="24"/>
              </w:rPr>
              <w:t>8</w:t>
            </w:r>
            <w:r>
              <w:rPr>
                <w:color w:val="auto"/>
                <w:sz w:val="24"/>
              </w:rPr>
              <w:t>m；</w:t>
            </w:r>
          </w:p>
          <w:p>
            <w:pPr>
              <w:adjustRightInd w:val="0"/>
              <w:snapToGrid w:val="0"/>
              <w:spacing w:line="480" w:lineRule="exact"/>
              <w:ind w:firstLine="1200" w:firstLineChars="500"/>
              <w:rPr>
                <w:color w:val="auto"/>
                <w:kern w:val="0"/>
                <w:sz w:val="24"/>
              </w:rPr>
            </w:pPr>
            <w:r>
              <w:rPr>
                <w:color w:val="auto"/>
                <w:sz w:val="24"/>
              </w:rPr>
              <w:t>V</w:t>
            </w:r>
            <w:r>
              <w:rPr>
                <w:color w:val="auto"/>
                <w:sz w:val="24"/>
                <w:vertAlign w:val="subscript"/>
              </w:rPr>
              <w:t>p2</w:t>
            </w:r>
            <w:r>
              <w:rPr>
                <w:color w:val="auto"/>
                <w:sz w:val="24"/>
              </w:rPr>
              <w:t>：罩口周边截面上的平均风速m/s</w:t>
            </w:r>
            <w:r>
              <w:rPr>
                <w:color w:val="auto"/>
                <w:kern w:val="0"/>
                <w:sz w:val="24"/>
              </w:rPr>
              <w:t>，本次取0.8m/s</w:t>
            </w:r>
            <w:r>
              <w:rPr>
                <w:rFonts w:hint="eastAsia"/>
                <w:color w:val="auto"/>
                <w:kern w:val="0"/>
                <w:sz w:val="24"/>
              </w:rPr>
              <w:t>；</w:t>
            </w:r>
          </w:p>
          <w:p>
            <w:pPr>
              <w:adjustRightInd w:val="0"/>
              <w:snapToGrid w:val="0"/>
              <w:spacing w:line="480" w:lineRule="exact"/>
              <w:ind w:firstLine="1200" w:firstLineChars="500"/>
              <w:rPr>
                <w:color w:val="auto"/>
                <w:kern w:val="0"/>
                <w:sz w:val="24"/>
              </w:rPr>
            </w:pPr>
            <w:r>
              <w:rPr>
                <w:color w:val="auto"/>
                <w:kern w:val="0"/>
                <w:sz w:val="24"/>
              </w:rPr>
              <w:t>风损约10%~20%，本次取</w:t>
            </w:r>
            <w:r>
              <w:rPr>
                <w:rFonts w:hint="eastAsia"/>
                <w:color w:val="auto"/>
                <w:kern w:val="0"/>
                <w:sz w:val="24"/>
              </w:rPr>
              <w:t>15</w:t>
            </w:r>
            <w:r>
              <w:rPr>
                <w:color w:val="auto"/>
                <w:kern w:val="0"/>
                <w:sz w:val="24"/>
              </w:rPr>
              <w:t>%。</w:t>
            </w:r>
          </w:p>
          <w:p>
            <w:pPr>
              <w:pStyle w:val="41"/>
              <w:spacing w:line="480" w:lineRule="exact"/>
              <w:jc w:val="center"/>
              <w:textAlignment w:val="auto"/>
              <w:rPr>
                <w:rFonts w:ascii="Times New Roman" w:eastAsia="宋体" w:cs="Times New Roman"/>
                <w:b/>
                <w:bCs/>
                <w:color w:val="auto"/>
              </w:rPr>
            </w:pPr>
            <w:r>
              <w:rPr>
                <w:rFonts w:ascii="Times New Roman" w:eastAsia="宋体" w:cs="Times New Roman"/>
                <w:b/>
                <w:bCs/>
                <w:color w:val="auto"/>
              </w:rPr>
              <w:t>表</w:t>
            </w:r>
            <w:r>
              <w:rPr>
                <w:rFonts w:hint="eastAsia" w:ascii="Times New Roman" w:eastAsia="宋体" w:cs="Times New Roman"/>
                <w:b/>
                <w:bCs/>
                <w:color w:val="auto"/>
              </w:rPr>
              <w:t>32  集气罩上吸风口参数一览表</w:t>
            </w:r>
          </w:p>
          <w:tbl>
            <w:tblPr>
              <w:tblStyle w:val="33"/>
              <w:tblW w:w="4991"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096"/>
              <w:gridCol w:w="2003"/>
              <w:gridCol w:w="1786"/>
              <w:gridCol w:w="1241"/>
              <w:gridCol w:w="1603"/>
              <w:gridCol w:w="66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26" w:hRule="atLeast"/>
                <w:jc w:val="center"/>
              </w:trPr>
              <w:tc>
                <w:tcPr>
                  <w:tcW w:w="653" w:type="pct"/>
                  <w:vAlign w:val="center"/>
                </w:tcPr>
                <w:p>
                  <w:pPr>
                    <w:pStyle w:val="41"/>
                    <w:jc w:val="center"/>
                    <w:rPr>
                      <w:rFonts w:ascii="Times New Roman" w:eastAsia="宋体" w:cs="Times New Roman"/>
                      <w:color w:val="auto"/>
                      <w:sz w:val="21"/>
                      <w:szCs w:val="21"/>
                    </w:rPr>
                  </w:pPr>
                  <w:r>
                    <w:rPr>
                      <w:rFonts w:ascii="Times New Roman" w:eastAsia="宋体" w:cs="Times New Roman"/>
                      <w:color w:val="auto"/>
                      <w:sz w:val="21"/>
                      <w:szCs w:val="21"/>
                    </w:rPr>
                    <w:t>构筑物</w:t>
                  </w:r>
                </w:p>
              </w:tc>
              <w:tc>
                <w:tcPr>
                  <w:tcW w:w="1193" w:type="pct"/>
                  <w:vAlign w:val="center"/>
                </w:tcPr>
                <w:p>
                  <w:pPr>
                    <w:pStyle w:val="41"/>
                    <w:jc w:val="center"/>
                    <w:rPr>
                      <w:rFonts w:ascii="Times New Roman" w:eastAsia="宋体" w:cs="Times New Roman"/>
                      <w:color w:val="auto"/>
                      <w:sz w:val="21"/>
                      <w:szCs w:val="21"/>
                    </w:rPr>
                  </w:pPr>
                  <w:r>
                    <w:rPr>
                      <w:rFonts w:ascii="Times New Roman" w:eastAsia="宋体" w:cs="Times New Roman"/>
                      <w:color w:val="auto"/>
                      <w:sz w:val="21"/>
                      <w:szCs w:val="21"/>
                    </w:rPr>
                    <w:t>罩口周边长</w:t>
                  </w:r>
                  <w:r>
                    <w:rPr>
                      <w:rFonts w:hint="eastAsia" w:ascii="Times New Roman" w:eastAsia="宋体" w:cs="Times New Roman"/>
                      <w:color w:val="auto"/>
                      <w:sz w:val="21"/>
                      <w:szCs w:val="21"/>
                    </w:rPr>
                    <w:t>(m)</w:t>
                  </w:r>
                </w:p>
              </w:tc>
              <w:tc>
                <w:tcPr>
                  <w:tcW w:w="1064" w:type="pct"/>
                  <w:vAlign w:val="center"/>
                </w:tcPr>
                <w:p>
                  <w:pPr>
                    <w:pStyle w:val="41"/>
                    <w:jc w:val="center"/>
                    <w:rPr>
                      <w:rFonts w:ascii="Times New Roman" w:eastAsia="宋体" w:cs="Times New Roman"/>
                      <w:color w:val="auto"/>
                      <w:sz w:val="21"/>
                      <w:szCs w:val="21"/>
                    </w:rPr>
                  </w:pPr>
                  <w:r>
                    <w:rPr>
                      <w:rFonts w:ascii="Times New Roman" w:eastAsia="宋体" w:cs="Times New Roman"/>
                      <w:color w:val="auto"/>
                      <w:sz w:val="21"/>
                      <w:szCs w:val="21"/>
                    </w:rPr>
                    <w:t>吸尘罩口与废气源的高度</w:t>
                  </w:r>
                  <w:r>
                    <w:rPr>
                      <w:rFonts w:hint="eastAsia" w:ascii="Times New Roman" w:eastAsia="宋体" w:cs="Times New Roman"/>
                      <w:color w:val="auto"/>
                      <w:sz w:val="21"/>
                      <w:szCs w:val="21"/>
                    </w:rPr>
                    <w:t>(m)</w:t>
                  </w:r>
                </w:p>
              </w:tc>
              <w:tc>
                <w:tcPr>
                  <w:tcW w:w="739" w:type="pct"/>
                  <w:vAlign w:val="center"/>
                </w:tcPr>
                <w:p>
                  <w:pPr>
                    <w:pStyle w:val="41"/>
                    <w:jc w:val="center"/>
                    <w:rPr>
                      <w:rFonts w:ascii="Times New Roman" w:eastAsia="宋体" w:cs="Times New Roman"/>
                      <w:color w:val="auto"/>
                      <w:sz w:val="21"/>
                      <w:szCs w:val="21"/>
                    </w:rPr>
                  </w:pPr>
                  <w:r>
                    <w:rPr>
                      <w:rFonts w:hint="eastAsia" w:ascii="Times New Roman" w:eastAsia="宋体" w:cs="Times New Roman"/>
                      <w:color w:val="auto"/>
                      <w:sz w:val="21"/>
                      <w:szCs w:val="21"/>
                    </w:rPr>
                    <w:t>风速(m/s)</w:t>
                  </w:r>
                </w:p>
              </w:tc>
              <w:tc>
                <w:tcPr>
                  <w:tcW w:w="955" w:type="pct"/>
                  <w:vAlign w:val="center"/>
                </w:tcPr>
                <w:p>
                  <w:pPr>
                    <w:pStyle w:val="41"/>
                    <w:jc w:val="center"/>
                    <w:rPr>
                      <w:rFonts w:ascii="Times New Roman" w:eastAsia="宋体" w:cs="Times New Roman"/>
                      <w:color w:val="auto"/>
                      <w:sz w:val="21"/>
                      <w:szCs w:val="21"/>
                    </w:rPr>
                  </w:pPr>
                  <w:r>
                    <w:rPr>
                      <w:rFonts w:ascii="Times New Roman" w:eastAsia="宋体" w:cs="Times New Roman"/>
                      <w:color w:val="auto"/>
                      <w:sz w:val="21"/>
                      <w:szCs w:val="21"/>
                    </w:rPr>
                    <w:t>分配风量(m</w:t>
                  </w:r>
                  <w:r>
                    <w:rPr>
                      <w:rFonts w:ascii="Times New Roman" w:eastAsia="宋体" w:cs="Times New Roman"/>
                      <w:color w:val="auto"/>
                      <w:sz w:val="21"/>
                      <w:szCs w:val="21"/>
                      <w:vertAlign w:val="superscript"/>
                    </w:rPr>
                    <w:t>3</w:t>
                  </w:r>
                  <w:r>
                    <w:rPr>
                      <w:rFonts w:ascii="Times New Roman" w:eastAsia="宋体" w:cs="Times New Roman"/>
                      <w:color w:val="auto"/>
                      <w:sz w:val="21"/>
                      <w:szCs w:val="21"/>
                    </w:rPr>
                    <w:t>/h)</w:t>
                  </w:r>
                </w:p>
              </w:tc>
              <w:tc>
                <w:tcPr>
                  <w:tcW w:w="393" w:type="pct"/>
                  <w:tcBorders>
                    <w:right w:val="nil"/>
                  </w:tcBorders>
                  <w:vAlign w:val="center"/>
                </w:tcPr>
                <w:p>
                  <w:pPr>
                    <w:pStyle w:val="41"/>
                    <w:jc w:val="center"/>
                    <w:rPr>
                      <w:rFonts w:ascii="Times New Roman" w:eastAsia="宋体" w:cs="Times New Roman"/>
                      <w:color w:val="auto"/>
                      <w:sz w:val="21"/>
                      <w:szCs w:val="21"/>
                    </w:rPr>
                  </w:pPr>
                  <w:r>
                    <w:rPr>
                      <w:rFonts w:ascii="Times New Roman" w:eastAsia="宋体" w:cs="Times New Roman"/>
                      <w:color w:val="auto"/>
                      <w:sz w:val="21"/>
                      <w:szCs w:val="21"/>
                    </w:rPr>
                    <w:t>数量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53" w:type="pct"/>
                  <w:vAlign w:val="center"/>
                </w:tcPr>
                <w:p>
                  <w:pPr>
                    <w:pStyle w:val="41"/>
                    <w:jc w:val="center"/>
                    <w:rPr>
                      <w:rFonts w:ascii="Times New Roman" w:eastAsia="宋体" w:cs="Times New Roman"/>
                      <w:color w:val="auto"/>
                      <w:sz w:val="21"/>
                      <w:szCs w:val="21"/>
                    </w:rPr>
                  </w:pPr>
                  <w:r>
                    <w:rPr>
                      <w:rFonts w:hint="eastAsia" w:ascii="Times New Roman" w:eastAsia="宋体" w:cs="Times New Roman"/>
                      <w:color w:val="auto"/>
                      <w:sz w:val="21"/>
                      <w:szCs w:val="21"/>
                    </w:rPr>
                    <w:t>砂处理</w:t>
                  </w:r>
                </w:p>
              </w:tc>
              <w:tc>
                <w:tcPr>
                  <w:tcW w:w="1193" w:type="pct"/>
                  <w:vAlign w:val="center"/>
                </w:tcPr>
                <w:p>
                  <w:pPr>
                    <w:widowControl/>
                    <w:jc w:val="center"/>
                    <w:textAlignment w:val="center"/>
                    <w:rPr>
                      <w:color w:val="auto"/>
                      <w:szCs w:val="21"/>
                    </w:rPr>
                  </w:pPr>
                  <w:r>
                    <w:rPr>
                      <w:rFonts w:hint="eastAsia"/>
                      <w:color w:val="auto"/>
                      <w:szCs w:val="21"/>
                    </w:rPr>
                    <w:t>1+1+1.2+1.2=4.4</w:t>
                  </w:r>
                </w:p>
              </w:tc>
              <w:tc>
                <w:tcPr>
                  <w:tcW w:w="0" w:type="auto"/>
                  <w:vAlign w:val="center"/>
                </w:tcPr>
                <w:p>
                  <w:pPr>
                    <w:widowControl/>
                    <w:jc w:val="center"/>
                    <w:textAlignment w:val="center"/>
                    <w:rPr>
                      <w:color w:val="auto"/>
                      <w:szCs w:val="21"/>
                    </w:rPr>
                  </w:pPr>
                  <w:r>
                    <w:rPr>
                      <w:rFonts w:hint="eastAsia"/>
                      <w:color w:val="auto"/>
                      <w:szCs w:val="21"/>
                    </w:rPr>
                    <w:t>0.8</w:t>
                  </w:r>
                </w:p>
              </w:tc>
              <w:tc>
                <w:tcPr>
                  <w:tcW w:w="0" w:type="auto"/>
                  <w:vAlign w:val="center"/>
                </w:tcPr>
                <w:p>
                  <w:pPr>
                    <w:widowControl/>
                    <w:jc w:val="center"/>
                    <w:textAlignment w:val="center"/>
                    <w:rPr>
                      <w:color w:val="auto"/>
                      <w:szCs w:val="21"/>
                    </w:rPr>
                  </w:pPr>
                  <w:r>
                    <w:rPr>
                      <w:rFonts w:hint="eastAsia"/>
                      <w:color w:val="auto"/>
                      <w:szCs w:val="21"/>
                    </w:rPr>
                    <w:t>0.8</w:t>
                  </w:r>
                </w:p>
              </w:tc>
              <w:tc>
                <w:tcPr>
                  <w:tcW w:w="0" w:type="auto"/>
                  <w:vAlign w:val="center"/>
                </w:tcPr>
                <w:p>
                  <w:pPr>
                    <w:widowControl/>
                    <w:jc w:val="center"/>
                    <w:textAlignment w:val="center"/>
                    <w:rPr>
                      <w:color w:val="auto"/>
                      <w:szCs w:val="21"/>
                    </w:rPr>
                  </w:pPr>
                  <w:r>
                    <w:rPr>
                      <w:rFonts w:hint="eastAsia"/>
                      <w:color w:val="auto"/>
                      <w:szCs w:val="21"/>
                    </w:rPr>
                    <w:t>10138</w:t>
                  </w:r>
                </w:p>
              </w:tc>
              <w:tc>
                <w:tcPr>
                  <w:tcW w:w="0" w:type="auto"/>
                  <w:vAlign w:val="center"/>
                </w:tcPr>
                <w:p>
                  <w:pPr>
                    <w:widowControl/>
                    <w:jc w:val="center"/>
                    <w:textAlignment w:val="center"/>
                    <w:rPr>
                      <w:color w:val="auto"/>
                      <w:szCs w:val="21"/>
                    </w:rPr>
                  </w:pPr>
                  <w:r>
                    <w:rPr>
                      <w:color w:val="auto"/>
                      <w:szCs w:val="21"/>
                    </w:rPr>
                    <w:t>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53" w:type="pct"/>
                  <w:vAlign w:val="center"/>
                </w:tcPr>
                <w:p>
                  <w:pPr>
                    <w:pStyle w:val="41"/>
                    <w:jc w:val="center"/>
                    <w:rPr>
                      <w:rFonts w:ascii="Times New Roman" w:eastAsia="宋体" w:cs="Times New Roman"/>
                      <w:color w:val="auto"/>
                      <w:sz w:val="21"/>
                      <w:szCs w:val="21"/>
                    </w:rPr>
                  </w:pPr>
                  <w:r>
                    <w:rPr>
                      <w:rFonts w:hint="eastAsia" w:ascii="Times New Roman" w:eastAsia="宋体" w:cs="Times New Roman"/>
                      <w:color w:val="auto"/>
                      <w:sz w:val="21"/>
                      <w:szCs w:val="21"/>
                    </w:rPr>
                    <w:t>混砂</w:t>
                  </w:r>
                </w:p>
              </w:tc>
              <w:tc>
                <w:tcPr>
                  <w:tcW w:w="1193" w:type="pct"/>
                </w:tcPr>
                <w:p>
                  <w:pPr>
                    <w:widowControl/>
                    <w:jc w:val="center"/>
                    <w:textAlignment w:val="center"/>
                    <w:rPr>
                      <w:color w:val="auto"/>
                      <w:szCs w:val="21"/>
                    </w:rPr>
                  </w:pPr>
                  <w:r>
                    <w:rPr>
                      <w:rFonts w:hint="eastAsia"/>
                      <w:color w:val="auto"/>
                      <w:szCs w:val="21"/>
                    </w:rPr>
                    <w:t>0.6+0.6+0.6+0.6=2.4</w:t>
                  </w:r>
                </w:p>
              </w:tc>
              <w:tc>
                <w:tcPr>
                  <w:tcW w:w="0" w:type="auto"/>
                  <w:vAlign w:val="center"/>
                </w:tcPr>
                <w:p>
                  <w:pPr>
                    <w:widowControl/>
                    <w:jc w:val="center"/>
                    <w:textAlignment w:val="center"/>
                    <w:rPr>
                      <w:color w:val="auto"/>
                      <w:szCs w:val="21"/>
                    </w:rPr>
                  </w:pPr>
                  <w:r>
                    <w:rPr>
                      <w:rFonts w:hint="eastAsia"/>
                      <w:color w:val="auto"/>
                      <w:szCs w:val="21"/>
                    </w:rPr>
                    <w:t>0.8</w:t>
                  </w:r>
                </w:p>
              </w:tc>
              <w:tc>
                <w:tcPr>
                  <w:tcW w:w="0" w:type="auto"/>
                  <w:vAlign w:val="center"/>
                </w:tcPr>
                <w:p>
                  <w:pPr>
                    <w:widowControl/>
                    <w:jc w:val="center"/>
                    <w:textAlignment w:val="center"/>
                    <w:rPr>
                      <w:color w:val="auto"/>
                      <w:szCs w:val="21"/>
                    </w:rPr>
                  </w:pPr>
                  <w:r>
                    <w:rPr>
                      <w:rFonts w:hint="eastAsia"/>
                      <w:color w:val="auto"/>
                      <w:szCs w:val="21"/>
                    </w:rPr>
                    <w:t>0.8</w:t>
                  </w:r>
                </w:p>
              </w:tc>
              <w:tc>
                <w:tcPr>
                  <w:tcW w:w="0" w:type="auto"/>
                </w:tcPr>
                <w:p>
                  <w:pPr>
                    <w:widowControl/>
                    <w:jc w:val="center"/>
                    <w:textAlignment w:val="center"/>
                    <w:rPr>
                      <w:color w:val="auto"/>
                      <w:szCs w:val="21"/>
                    </w:rPr>
                  </w:pPr>
                  <w:r>
                    <w:rPr>
                      <w:rFonts w:hint="eastAsia"/>
                      <w:color w:val="auto"/>
                      <w:szCs w:val="21"/>
                    </w:rPr>
                    <w:t>5530</w:t>
                  </w:r>
                </w:p>
              </w:tc>
              <w:tc>
                <w:tcPr>
                  <w:tcW w:w="0" w:type="auto"/>
                </w:tcPr>
                <w:p>
                  <w:pPr>
                    <w:widowControl/>
                    <w:jc w:val="center"/>
                    <w:textAlignment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53" w:type="pct"/>
                  <w:vAlign w:val="center"/>
                </w:tcPr>
                <w:p>
                  <w:pPr>
                    <w:pStyle w:val="41"/>
                    <w:jc w:val="center"/>
                    <w:rPr>
                      <w:rFonts w:ascii="Times New Roman" w:eastAsia="宋体" w:cs="Times New Roman"/>
                      <w:color w:val="auto"/>
                      <w:sz w:val="21"/>
                      <w:szCs w:val="21"/>
                    </w:rPr>
                  </w:pPr>
                  <w:r>
                    <w:rPr>
                      <w:rFonts w:hint="eastAsia" w:ascii="Times New Roman" w:eastAsia="宋体" w:cs="Times New Roman"/>
                      <w:color w:val="auto"/>
                      <w:sz w:val="21"/>
                      <w:szCs w:val="21"/>
                    </w:rPr>
                    <w:t>打磨</w:t>
                  </w:r>
                </w:p>
              </w:tc>
              <w:tc>
                <w:tcPr>
                  <w:tcW w:w="1193" w:type="pct"/>
                </w:tcPr>
                <w:p>
                  <w:pPr>
                    <w:widowControl/>
                    <w:jc w:val="center"/>
                    <w:textAlignment w:val="center"/>
                    <w:rPr>
                      <w:color w:val="auto"/>
                      <w:szCs w:val="21"/>
                    </w:rPr>
                  </w:pPr>
                  <w:r>
                    <w:rPr>
                      <w:rFonts w:hint="eastAsia"/>
                      <w:color w:val="auto"/>
                      <w:szCs w:val="21"/>
                    </w:rPr>
                    <w:t>0.5+0.5+0.5+0.5=2</w:t>
                  </w:r>
                </w:p>
              </w:tc>
              <w:tc>
                <w:tcPr>
                  <w:tcW w:w="0" w:type="auto"/>
                  <w:vAlign w:val="center"/>
                </w:tcPr>
                <w:p>
                  <w:pPr>
                    <w:widowControl/>
                    <w:jc w:val="center"/>
                    <w:textAlignment w:val="center"/>
                    <w:rPr>
                      <w:color w:val="auto"/>
                      <w:szCs w:val="21"/>
                    </w:rPr>
                  </w:pPr>
                  <w:r>
                    <w:rPr>
                      <w:rFonts w:hint="eastAsia"/>
                      <w:color w:val="auto"/>
                      <w:szCs w:val="21"/>
                    </w:rPr>
                    <w:t>0.8</w:t>
                  </w:r>
                </w:p>
              </w:tc>
              <w:tc>
                <w:tcPr>
                  <w:tcW w:w="0" w:type="auto"/>
                  <w:vAlign w:val="center"/>
                </w:tcPr>
                <w:p>
                  <w:pPr>
                    <w:widowControl/>
                    <w:jc w:val="center"/>
                    <w:textAlignment w:val="center"/>
                    <w:rPr>
                      <w:color w:val="auto"/>
                      <w:szCs w:val="21"/>
                    </w:rPr>
                  </w:pPr>
                  <w:r>
                    <w:rPr>
                      <w:rFonts w:hint="eastAsia"/>
                      <w:color w:val="auto"/>
                      <w:szCs w:val="21"/>
                    </w:rPr>
                    <w:t>0.8</w:t>
                  </w:r>
                </w:p>
              </w:tc>
              <w:tc>
                <w:tcPr>
                  <w:tcW w:w="0" w:type="auto"/>
                </w:tcPr>
                <w:p>
                  <w:pPr>
                    <w:widowControl/>
                    <w:jc w:val="center"/>
                    <w:textAlignment w:val="center"/>
                    <w:rPr>
                      <w:color w:val="auto"/>
                      <w:szCs w:val="21"/>
                    </w:rPr>
                  </w:pPr>
                  <w:r>
                    <w:rPr>
                      <w:rFonts w:hint="eastAsia"/>
                      <w:color w:val="auto"/>
                      <w:szCs w:val="21"/>
                    </w:rPr>
                    <w:t>4608</w:t>
                  </w:r>
                </w:p>
              </w:tc>
              <w:tc>
                <w:tcPr>
                  <w:tcW w:w="0" w:type="auto"/>
                </w:tcPr>
                <w:p>
                  <w:pPr>
                    <w:widowControl/>
                    <w:jc w:val="center"/>
                    <w:textAlignment w:val="center"/>
                    <w:rPr>
                      <w:color w:val="auto"/>
                      <w:szCs w:val="21"/>
                    </w:rPr>
                  </w:pPr>
                </w:p>
              </w:tc>
            </w:tr>
          </w:tbl>
          <w:p>
            <w:pPr>
              <w:spacing w:line="480" w:lineRule="exact"/>
              <w:ind w:firstLine="480" w:firstLineChars="200"/>
              <w:rPr>
                <w:color w:val="auto"/>
                <w:kern w:val="0"/>
                <w:sz w:val="24"/>
              </w:rPr>
            </w:pPr>
            <w:r>
              <w:rPr>
                <w:color w:val="auto"/>
                <w:kern w:val="0"/>
                <w:sz w:val="24"/>
              </w:rPr>
              <w:t>引风管吸风量的计算公式：</w:t>
            </w:r>
          </w:p>
          <w:p>
            <w:pPr>
              <w:spacing w:line="480" w:lineRule="exact"/>
              <w:ind w:firstLine="2160" w:firstLineChars="900"/>
              <w:rPr>
                <w:color w:val="auto"/>
                <w:kern w:val="0"/>
                <w:sz w:val="24"/>
              </w:rPr>
            </w:pPr>
            <w:r>
              <w:rPr>
                <w:color w:val="auto"/>
                <w:kern w:val="0"/>
                <w:sz w:val="24"/>
              </w:rPr>
              <w:t>Q=3600×Vπr</w:t>
            </w:r>
            <w:r>
              <w:rPr>
                <w:color w:val="auto"/>
                <w:kern w:val="0"/>
                <w:sz w:val="24"/>
                <w:vertAlign w:val="superscript"/>
              </w:rPr>
              <w:t>2</w:t>
            </w:r>
          </w:p>
          <w:p>
            <w:pPr>
              <w:spacing w:line="480" w:lineRule="exact"/>
              <w:ind w:firstLine="480" w:firstLineChars="200"/>
              <w:rPr>
                <w:color w:val="auto"/>
                <w:kern w:val="0"/>
                <w:sz w:val="24"/>
              </w:rPr>
            </w:pPr>
            <w:r>
              <w:rPr>
                <w:color w:val="auto"/>
                <w:kern w:val="0"/>
                <w:sz w:val="24"/>
              </w:rPr>
              <w:t>式中：Q-集气管道吸风量，m</w:t>
            </w:r>
            <w:r>
              <w:rPr>
                <w:color w:val="auto"/>
                <w:kern w:val="0"/>
                <w:sz w:val="24"/>
                <w:vertAlign w:val="superscript"/>
              </w:rPr>
              <w:t>3</w:t>
            </w:r>
            <w:r>
              <w:rPr>
                <w:color w:val="auto"/>
                <w:kern w:val="0"/>
                <w:sz w:val="24"/>
              </w:rPr>
              <w:t>/h；</w:t>
            </w:r>
          </w:p>
          <w:p>
            <w:pPr>
              <w:spacing w:line="480" w:lineRule="exact"/>
              <w:ind w:firstLine="1200" w:firstLineChars="500"/>
              <w:rPr>
                <w:color w:val="auto"/>
                <w:kern w:val="0"/>
                <w:sz w:val="24"/>
              </w:rPr>
            </w:pPr>
            <w:r>
              <w:rPr>
                <w:color w:val="auto"/>
                <w:kern w:val="0"/>
                <w:sz w:val="24"/>
              </w:rPr>
              <w:t>πr</w:t>
            </w:r>
            <w:r>
              <w:rPr>
                <w:color w:val="auto"/>
                <w:kern w:val="0"/>
                <w:sz w:val="24"/>
                <w:vertAlign w:val="superscript"/>
              </w:rPr>
              <w:t>2</w:t>
            </w:r>
            <w:r>
              <w:rPr>
                <w:color w:val="auto"/>
                <w:kern w:val="0"/>
                <w:sz w:val="24"/>
              </w:rPr>
              <w:t>-管道截面积，m</w:t>
            </w:r>
            <w:r>
              <w:rPr>
                <w:color w:val="auto"/>
                <w:kern w:val="0"/>
                <w:sz w:val="24"/>
                <w:vertAlign w:val="superscript"/>
              </w:rPr>
              <w:t>2</w:t>
            </w:r>
            <w:r>
              <w:rPr>
                <w:color w:val="auto"/>
                <w:kern w:val="0"/>
                <w:sz w:val="24"/>
              </w:rPr>
              <w:t>；</w:t>
            </w:r>
          </w:p>
          <w:p>
            <w:pPr>
              <w:spacing w:line="480" w:lineRule="exact"/>
              <w:ind w:firstLine="1200" w:firstLineChars="500"/>
              <w:rPr>
                <w:color w:val="auto"/>
                <w:kern w:val="0"/>
                <w:sz w:val="24"/>
              </w:rPr>
            </w:pPr>
            <w:r>
              <w:rPr>
                <w:color w:val="auto"/>
                <w:kern w:val="0"/>
                <w:sz w:val="24"/>
              </w:rPr>
              <w:t>V-管道截面上的平均风速m/s，视具体情况而定，一般取15-20m/s。本项目取17m/s。根据经验，风机引风过程，风损约10%~20%，本次取</w:t>
            </w:r>
            <w:r>
              <w:rPr>
                <w:rFonts w:hint="eastAsia"/>
                <w:color w:val="auto"/>
                <w:kern w:val="0"/>
                <w:sz w:val="24"/>
              </w:rPr>
              <w:t>15</w:t>
            </w:r>
            <w:r>
              <w:rPr>
                <w:color w:val="auto"/>
                <w:kern w:val="0"/>
                <w:sz w:val="24"/>
              </w:rPr>
              <w:t>%。</w:t>
            </w:r>
          </w:p>
          <w:p>
            <w:pPr>
              <w:pStyle w:val="41"/>
              <w:spacing w:line="480" w:lineRule="exact"/>
              <w:jc w:val="center"/>
              <w:textAlignment w:val="auto"/>
              <w:rPr>
                <w:rFonts w:ascii="Times New Roman" w:eastAsia="宋体" w:cs="Times New Roman"/>
                <w:b/>
                <w:bCs/>
                <w:color w:val="auto"/>
              </w:rPr>
            </w:pPr>
            <w:r>
              <w:rPr>
                <w:rFonts w:ascii="Times New Roman" w:eastAsia="宋体" w:cs="Times New Roman"/>
                <w:b/>
                <w:bCs/>
                <w:color w:val="auto"/>
              </w:rPr>
              <w:t>表</w:t>
            </w:r>
            <w:r>
              <w:rPr>
                <w:rFonts w:hint="eastAsia" w:ascii="Times New Roman" w:eastAsia="宋体" w:cs="Times New Roman"/>
                <w:b/>
                <w:bCs/>
                <w:color w:val="auto"/>
              </w:rPr>
              <w:t>33  风管管道直径、集气罩面积、风速、风量、风损情况一览表</w:t>
            </w:r>
          </w:p>
          <w:tbl>
            <w:tblPr>
              <w:tblStyle w:val="33"/>
              <w:tblW w:w="4998"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2121"/>
              <w:gridCol w:w="2012"/>
              <w:gridCol w:w="1424"/>
              <w:gridCol w:w="2026"/>
              <w:gridCol w:w="81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26" w:hRule="atLeast"/>
                <w:jc w:val="center"/>
              </w:trPr>
              <w:tc>
                <w:tcPr>
                  <w:tcW w:w="1262" w:type="pct"/>
                  <w:vAlign w:val="center"/>
                </w:tcPr>
                <w:p>
                  <w:pPr>
                    <w:pStyle w:val="41"/>
                    <w:jc w:val="center"/>
                    <w:rPr>
                      <w:rFonts w:ascii="Times New Roman" w:eastAsia="宋体" w:cs="Times New Roman"/>
                      <w:color w:val="auto"/>
                      <w:sz w:val="21"/>
                      <w:szCs w:val="21"/>
                    </w:rPr>
                  </w:pPr>
                  <w:r>
                    <w:rPr>
                      <w:rFonts w:ascii="Times New Roman" w:eastAsia="宋体" w:cs="Times New Roman"/>
                      <w:color w:val="auto"/>
                      <w:sz w:val="21"/>
                      <w:szCs w:val="21"/>
                    </w:rPr>
                    <w:t>构筑物</w:t>
                  </w:r>
                </w:p>
              </w:tc>
              <w:tc>
                <w:tcPr>
                  <w:tcW w:w="1197" w:type="pct"/>
                  <w:vAlign w:val="center"/>
                </w:tcPr>
                <w:p>
                  <w:pPr>
                    <w:pStyle w:val="41"/>
                    <w:jc w:val="center"/>
                    <w:rPr>
                      <w:rFonts w:ascii="Times New Roman" w:eastAsia="宋体" w:cs="Times New Roman"/>
                      <w:color w:val="auto"/>
                      <w:sz w:val="21"/>
                      <w:szCs w:val="21"/>
                    </w:rPr>
                  </w:pPr>
                  <w:r>
                    <w:rPr>
                      <w:rFonts w:hint="eastAsia" w:ascii="Times New Roman" w:eastAsia="宋体" w:cs="Times New Roman"/>
                      <w:color w:val="auto"/>
                      <w:sz w:val="21"/>
                      <w:szCs w:val="21"/>
                    </w:rPr>
                    <w:t>集气罩尺寸(m)</w:t>
                  </w:r>
                </w:p>
              </w:tc>
              <w:tc>
                <w:tcPr>
                  <w:tcW w:w="847" w:type="pct"/>
                  <w:vAlign w:val="center"/>
                </w:tcPr>
                <w:p>
                  <w:pPr>
                    <w:pStyle w:val="41"/>
                    <w:jc w:val="center"/>
                    <w:rPr>
                      <w:rFonts w:ascii="Times New Roman" w:eastAsia="宋体" w:cs="Times New Roman"/>
                      <w:color w:val="auto"/>
                      <w:sz w:val="21"/>
                      <w:szCs w:val="21"/>
                    </w:rPr>
                  </w:pPr>
                  <w:r>
                    <w:rPr>
                      <w:rFonts w:hint="eastAsia" w:ascii="Times New Roman" w:eastAsia="宋体" w:cs="Times New Roman"/>
                      <w:color w:val="auto"/>
                      <w:sz w:val="21"/>
                      <w:szCs w:val="21"/>
                    </w:rPr>
                    <w:t>风速(m/s)</w:t>
                  </w:r>
                </w:p>
              </w:tc>
              <w:tc>
                <w:tcPr>
                  <w:tcW w:w="1205" w:type="pct"/>
                  <w:vAlign w:val="center"/>
                </w:tcPr>
                <w:p>
                  <w:pPr>
                    <w:pStyle w:val="41"/>
                    <w:jc w:val="center"/>
                    <w:rPr>
                      <w:rFonts w:ascii="Times New Roman" w:eastAsia="宋体" w:cs="Times New Roman"/>
                      <w:color w:val="auto"/>
                      <w:sz w:val="21"/>
                      <w:szCs w:val="21"/>
                    </w:rPr>
                  </w:pPr>
                  <w:r>
                    <w:rPr>
                      <w:rFonts w:ascii="Times New Roman" w:eastAsia="宋体" w:cs="Times New Roman"/>
                      <w:color w:val="auto"/>
                      <w:sz w:val="21"/>
                      <w:szCs w:val="21"/>
                    </w:rPr>
                    <w:t>分配风量(m</w:t>
                  </w:r>
                  <w:r>
                    <w:rPr>
                      <w:rFonts w:ascii="Times New Roman" w:eastAsia="宋体" w:cs="Times New Roman"/>
                      <w:color w:val="auto"/>
                      <w:sz w:val="21"/>
                      <w:szCs w:val="21"/>
                      <w:vertAlign w:val="superscript"/>
                    </w:rPr>
                    <w:t>3</w:t>
                  </w:r>
                  <w:r>
                    <w:rPr>
                      <w:rFonts w:ascii="Times New Roman" w:eastAsia="宋体" w:cs="Times New Roman"/>
                      <w:color w:val="auto"/>
                      <w:sz w:val="21"/>
                      <w:szCs w:val="21"/>
                    </w:rPr>
                    <w:t>/h)</w:t>
                  </w:r>
                </w:p>
              </w:tc>
              <w:tc>
                <w:tcPr>
                  <w:tcW w:w="487" w:type="pct"/>
                  <w:tcBorders>
                    <w:right w:val="nil"/>
                  </w:tcBorders>
                  <w:vAlign w:val="center"/>
                </w:tcPr>
                <w:p>
                  <w:pPr>
                    <w:pStyle w:val="41"/>
                    <w:jc w:val="center"/>
                    <w:rPr>
                      <w:rFonts w:ascii="Times New Roman" w:eastAsia="宋体" w:cs="Times New Roman"/>
                      <w:color w:val="auto"/>
                      <w:sz w:val="21"/>
                      <w:szCs w:val="21"/>
                    </w:rPr>
                  </w:pPr>
                  <w:r>
                    <w:rPr>
                      <w:rFonts w:ascii="Times New Roman" w:eastAsia="宋体" w:cs="Times New Roman"/>
                      <w:color w:val="auto"/>
                      <w:sz w:val="21"/>
                      <w:szCs w:val="21"/>
                    </w:rPr>
                    <w:t>数量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262" w:type="pct"/>
                  <w:tcBorders>
                    <w:left w:val="nil"/>
                  </w:tcBorders>
                  <w:vAlign w:val="center"/>
                </w:tcPr>
                <w:p>
                  <w:pPr>
                    <w:pStyle w:val="41"/>
                    <w:jc w:val="center"/>
                    <w:rPr>
                      <w:rFonts w:ascii="Times New Roman" w:eastAsia="宋体" w:cs="Times New Roman"/>
                      <w:color w:val="auto"/>
                      <w:sz w:val="21"/>
                      <w:szCs w:val="21"/>
                    </w:rPr>
                  </w:pPr>
                  <w:r>
                    <w:rPr>
                      <w:rFonts w:hint="eastAsia" w:ascii="Times New Roman" w:eastAsia="宋体" w:cs="Times New Roman"/>
                      <w:color w:val="auto"/>
                      <w:sz w:val="21"/>
                      <w:szCs w:val="21"/>
                    </w:rPr>
                    <w:t>浇注</w:t>
                  </w:r>
                </w:p>
              </w:tc>
              <w:tc>
                <w:tcPr>
                  <w:tcW w:w="1197" w:type="pct"/>
                  <w:vAlign w:val="center"/>
                </w:tcPr>
                <w:p>
                  <w:pPr>
                    <w:widowControl/>
                    <w:jc w:val="center"/>
                    <w:textAlignment w:val="center"/>
                    <w:rPr>
                      <w:color w:val="auto"/>
                      <w:szCs w:val="21"/>
                    </w:rPr>
                  </w:pPr>
                  <w:r>
                    <w:rPr>
                      <w:rFonts w:hint="eastAsia"/>
                      <w:color w:val="auto"/>
                      <w:szCs w:val="21"/>
                    </w:rPr>
                    <w:t>0.8×1.0</w:t>
                  </w:r>
                </w:p>
              </w:tc>
              <w:tc>
                <w:tcPr>
                  <w:tcW w:w="847" w:type="pct"/>
                  <w:vAlign w:val="center"/>
                </w:tcPr>
                <w:p>
                  <w:pPr>
                    <w:widowControl/>
                    <w:jc w:val="center"/>
                    <w:textAlignment w:val="center"/>
                    <w:rPr>
                      <w:color w:val="auto"/>
                      <w:szCs w:val="21"/>
                    </w:rPr>
                  </w:pPr>
                  <w:r>
                    <w:rPr>
                      <w:rFonts w:hint="eastAsia"/>
                      <w:color w:val="auto"/>
                      <w:szCs w:val="21"/>
                    </w:rPr>
                    <w:t>1.0</w:t>
                  </w:r>
                </w:p>
              </w:tc>
              <w:tc>
                <w:tcPr>
                  <w:tcW w:w="1205" w:type="pct"/>
                  <w:vAlign w:val="center"/>
                </w:tcPr>
                <w:p>
                  <w:pPr>
                    <w:widowControl/>
                    <w:jc w:val="center"/>
                    <w:textAlignment w:val="center"/>
                    <w:rPr>
                      <w:color w:val="auto"/>
                      <w:szCs w:val="21"/>
                    </w:rPr>
                  </w:pPr>
                  <w:r>
                    <w:rPr>
                      <w:rFonts w:hint="eastAsia"/>
                      <w:color w:val="auto"/>
                      <w:szCs w:val="21"/>
                    </w:rPr>
                    <w:t>2880</w:t>
                  </w:r>
                </w:p>
              </w:tc>
              <w:tc>
                <w:tcPr>
                  <w:tcW w:w="487" w:type="pct"/>
                  <w:tcBorders>
                    <w:right w:val="nil"/>
                  </w:tcBorders>
                  <w:vAlign w:val="center"/>
                </w:tcPr>
                <w:p>
                  <w:pPr>
                    <w:widowControl/>
                    <w:jc w:val="center"/>
                    <w:textAlignment w:val="center"/>
                    <w:rPr>
                      <w:color w:val="auto"/>
                      <w:szCs w:val="21"/>
                    </w:rPr>
                  </w:pPr>
                  <w:r>
                    <w:rPr>
                      <w:color w:val="auto"/>
                      <w:szCs w:val="21"/>
                    </w:rPr>
                    <w:t>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262" w:type="pct"/>
                  <w:tcBorders>
                    <w:left w:val="nil"/>
                  </w:tcBorders>
                  <w:vAlign w:val="center"/>
                </w:tcPr>
                <w:p>
                  <w:pPr>
                    <w:pStyle w:val="41"/>
                    <w:jc w:val="center"/>
                    <w:rPr>
                      <w:rFonts w:ascii="Times New Roman" w:eastAsia="宋体" w:cs="Times New Roman"/>
                      <w:color w:val="auto"/>
                      <w:sz w:val="21"/>
                      <w:szCs w:val="21"/>
                    </w:rPr>
                  </w:pPr>
                  <w:r>
                    <w:rPr>
                      <w:rFonts w:hint="eastAsia" w:ascii="Times New Roman" w:eastAsia="宋体" w:cs="Times New Roman"/>
                      <w:color w:val="auto"/>
                      <w:sz w:val="21"/>
                      <w:szCs w:val="21"/>
                    </w:rPr>
                    <w:t>二次除尘</w:t>
                  </w:r>
                </w:p>
              </w:tc>
              <w:tc>
                <w:tcPr>
                  <w:tcW w:w="1197" w:type="pct"/>
                  <w:vAlign w:val="center"/>
                </w:tcPr>
                <w:p>
                  <w:pPr>
                    <w:widowControl/>
                    <w:jc w:val="center"/>
                    <w:textAlignment w:val="center"/>
                    <w:rPr>
                      <w:color w:val="auto"/>
                      <w:szCs w:val="21"/>
                    </w:rPr>
                  </w:pPr>
                  <w:r>
                    <w:rPr>
                      <w:rFonts w:hint="eastAsia"/>
                      <w:color w:val="auto"/>
                      <w:szCs w:val="21"/>
                    </w:rPr>
                    <w:t>/</w:t>
                  </w:r>
                </w:p>
              </w:tc>
              <w:tc>
                <w:tcPr>
                  <w:tcW w:w="847" w:type="pct"/>
                  <w:vAlign w:val="center"/>
                </w:tcPr>
                <w:p>
                  <w:pPr>
                    <w:widowControl/>
                    <w:jc w:val="center"/>
                    <w:textAlignment w:val="center"/>
                    <w:rPr>
                      <w:color w:val="auto"/>
                      <w:szCs w:val="21"/>
                    </w:rPr>
                  </w:pPr>
                  <w:r>
                    <w:rPr>
                      <w:rFonts w:hint="eastAsia"/>
                      <w:color w:val="auto"/>
                      <w:szCs w:val="21"/>
                    </w:rPr>
                    <w:t>0.6</w:t>
                  </w:r>
                </w:p>
              </w:tc>
              <w:tc>
                <w:tcPr>
                  <w:tcW w:w="1205" w:type="pct"/>
                  <w:vAlign w:val="center"/>
                </w:tcPr>
                <w:p>
                  <w:pPr>
                    <w:widowControl/>
                    <w:jc w:val="center"/>
                    <w:textAlignment w:val="center"/>
                    <w:rPr>
                      <w:color w:val="auto"/>
                      <w:szCs w:val="21"/>
                    </w:rPr>
                  </w:pPr>
                  <w:r>
                    <w:rPr>
                      <w:rFonts w:hint="eastAsia"/>
                      <w:color w:val="auto"/>
                      <w:szCs w:val="21"/>
                    </w:rPr>
                    <w:t>17295</w:t>
                  </w:r>
                </w:p>
              </w:tc>
              <w:tc>
                <w:tcPr>
                  <w:tcW w:w="487" w:type="pct"/>
                  <w:tcBorders>
                    <w:right w:val="nil"/>
                  </w:tcBorders>
                  <w:vAlign w:val="center"/>
                </w:tcPr>
                <w:p>
                  <w:pPr>
                    <w:widowControl/>
                    <w:jc w:val="center"/>
                    <w:textAlignment w:val="center"/>
                    <w:rPr>
                      <w:color w:val="auto"/>
                      <w:szCs w:val="21"/>
                    </w:rPr>
                  </w:pPr>
                  <w:r>
                    <w:rPr>
                      <w:rFonts w:hint="eastAsia"/>
                      <w:color w:val="auto"/>
                      <w:szCs w:val="21"/>
                    </w:rPr>
                    <w:t>1</w:t>
                  </w:r>
                </w:p>
              </w:tc>
            </w:tr>
          </w:tbl>
          <w:p>
            <w:pPr>
              <w:adjustRightInd w:val="0"/>
              <w:snapToGrid w:val="0"/>
              <w:spacing w:line="480" w:lineRule="exact"/>
              <w:ind w:firstLine="480" w:firstLineChars="200"/>
              <w:rPr>
                <w:color w:val="auto"/>
                <w:sz w:val="24"/>
              </w:rPr>
            </w:pPr>
            <w:r>
              <w:rPr>
                <w:rFonts w:hint="eastAsia"/>
                <w:bCs/>
                <w:color w:val="auto"/>
                <w:sz w:val="24"/>
              </w:rPr>
              <w:t>据此核算，所需风量为47589</w:t>
            </w:r>
            <w:r>
              <w:rPr>
                <w:bCs/>
                <w:color w:val="auto"/>
                <w:sz w:val="24"/>
              </w:rPr>
              <w:t>m</w:t>
            </w:r>
            <w:r>
              <w:rPr>
                <w:bCs/>
                <w:color w:val="auto"/>
                <w:sz w:val="24"/>
                <w:vertAlign w:val="superscript"/>
              </w:rPr>
              <w:t>3</w:t>
            </w:r>
            <w:r>
              <w:rPr>
                <w:bCs/>
                <w:color w:val="auto"/>
                <w:sz w:val="24"/>
              </w:rPr>
              <w:t>/h</w:t>
            </w:r>
            <w:r>
              <w:rPr>
                <w:rFonts w:hint="eastAsia"/>
                <w:bCs/>
                <w:color w:val="auto"/>
                <w:sz w:val="24"/>
              </w:rPr>
              <w:t>，</w:t>
            </w:r>
            <w:r>
              <w:rPr>
                <w:bCs/>
                <w:color w:val="auto"/>
                <w:sz w:val="24"/>
              </w:rPr>
              <w:t>风机设计风量</w:t>
            </w:r>
            <w:r>
              <w:rPr>
                <w:rFonts w:hint="eastAsia"/>
                <w:bCs/>
                <w:color w:val="auto"/>
                <w:sz w:val="24"/>
              </w:rPr>
              <w:t>为</w:t>
            </w:r>
            <w:r>
              <w:rPr>
                <w:rFonts w:hint="eastAsia"/>
                <w:color w:val="auto"/>
                <w:kern w:val="0"/>
                <w:sz w:val="24"/>
                <w:lang w:bidi="ar"/>
              </w:rPr>
              <w:t>48000</w:t>
            </w:r>
            <w:r>
              <w:rPr>
                <w:bCs/>
                <w:color w:val="auto"/>
                <w:sz w:val="24"/>
              </w:rPr>
              <w:t>m</w:t>
            </w:r>
            <w:r>
              <w:rPr>
                <w:bCs/>
                <w:color w:val="auto"/>
                <w:sz w:val="24"/>
                <w:vertAlign w:val="superscript"/>
              </w:rPr>
              <w:t>3</w:t>
            </w:r>
            <w:r>
              <w:rPr>
                <w:bCs/>
                <w:color w:val="auto"/>
                <w:sz w:val="24"/>
              </w:rPr>
              <w:t>/h</w:t>
            </w:r>
            <w:r>
              <w:rPr>
                <w:rFonts w:hint="eastAsia"/>
                <w:bCs/>
                <w:color w:val="auto"/>
                <w:sz w:val="24"/>
              </w:rPr>
              <w:t>，</w:t>
            </w:r>
            <w:r>
              <w:rPr>
                <w:rFonts w:hint="eastAsia"/>
                <w:color w:val="auto"/>
                <w:sz w:val="24"/>
              </w:rPr>
              <w:t>可满足生产需求。</w:t>
            </w:r>
          </w:p>
          <w:p>
            <w:pPr>
              <w:widowControl/>
              <w:autoSpaceDE w:val="0"/>
              <w:autoSpaceDN w:val="0"/>
              <w:adjustRightInd w:val="0"/>
              <w:spacing w:line="500" w:lineRule="exact"/>
              <w:ind w:firstLine="480" w:firstLineChars="200"/>
              <w:rPr>
                <w:color w:val="auto"/>
                <w:sz w:val="24"/>
              </w:rPr>
            </w:pPr>
            <w:r>
              <w:rPr>
                <w:rFonts w:hint="eastAsia"/>
                <w:color w:val="auto"/>
                <w:sz w:val="24"/>
              </w:rPr>
              <w:t>生产工序年运行4800h，集气罩废气捕集效率为95%；脉冲布袋除尘器处理效率为99%。</w:t>
            </w:r>
          </w:p>
          <w:p>
            <w:pPr>
              <w:pStyle w:val="41"/>
              <w:spacing w:line="480" w:lineRule="exact"/>
              <w:jc w:val="center"/>
              <w:textAlignment w:val="auto"/>
              <w:rPr>
                <w:rFonts w:ascii="Times New Roman" w:eastAsia="宋体" w:cs="Times New Roman"/>
                <w:b/>
                <w:bCs/>
                <w:color w:val="auto"/>
              </w:rPr>
            </w:pPr>
            <w:r>
              <w:rPr>
                <w:rFonts w:ascii="Times New Roman" w:eastAsia="宋体" w:cs="Times New Roman"/>
                <w:b/>
                <w:bCs/>
                <w:color w:val="auto"/>
              </w:rPr>
              <w:t>表</w:t>
            </w:r>
            <w:r>
              <w:rPr>
                <w:rFonts w:hint="eastAsia" w:ascii="Times New Roman" w:eastAsia="宋体" w:cs="Times New Roman"/>
                <w:b/>
                <w:bCs/>
                <w:color w:val="auto"/>
              </w:rPr>
              <w:t>34    颗粒物产排情况一览表</w:t>
            </w:r>
          </w:p>
          <w:tbl>
            <w:tblPr>
              <w:tblStyle w:val="33"/>
              <w:tblW w:w="834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267"/>
              <w:gridCol w:w="846"/>
              <w:gridCol w:w="1565"/>
              <w:gridCol w:w="1219"/>
              <w:gridCol w:w="1219"/>
              <w:gridCol w:w="1221"/>
              <w:gridCol w:w="101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267" w:type="dxa"/>
                  <w:vAlign w:val="center"/>
                </w:tcPr>
                <w:p>
                  <w:pPr>
                    <w:pStyle w:val="41"/>
                    <w:jc w:val="center"/>
                    <w:rPr>
                      <w:rFonts w:ascii="Times New Roman" w:eastAsia="宋体" w:cs="Times New Roman"/>
                      <w:color w:val="auto"/>
                      <w:sz w:val="21"/>
                      <w:szCs w:val="21"/>
                    </w:rPr>
                  </w:pPr>
                  <w:r>
                    <w:rPr>
                      <w:rFonts w:hint="eastAsia" w:ascii="Times New Roman" w:eastAsia="宋体" w:cs="Times New Roman"/>
                      <w:color w:val="auto"/>
                      <w:sz w:val="21"/>
                      <w:szCs w:val="21"/>
                    </w:rPr>
                    <w:t>工序</w:t>
                  </w:r>
                </w:p>
              </w:tc>
              <w:tc>
                <w:tcPr>
                  <w:tcW w:w="846" w:type="dxa"/>
                  <w:vAlign w:val="center"/>
                </w:tcPr>
                <w:p>
                  <w:pPr>
                    <w:pStyle w:val="41"/>
                    <w:jc w:val="center"/>
                    <w:rPr>
                      <w:rFonts w:ascii="Times New Roman" w:eastAsia="宋体" w:cs="Times New Roman"/>
                      <w:color w:val="auto"/>
                      <w:sz w:val="21"/>
                      <w:szCs w:val="21"/>
                    </w:rPr>
                  </w:pPr>
                  <w:r>
                    <w:rPr>
                      <w:rFonts w:hint="eastAsia" w:ascii="Times New Roman" w:eastAsia="宋体" w:cs="Times New Roman"/>
                      <w:color w:val="auto"/>
                      <w:sz w:val="21"/>
                      <w:szCs w:val="21"/>
                    </w:rPr>
                    <w:t>产生量（t/a）</w:t>
                  </w:r>
                </w:p>
              </w:tc>
              <w:tc>
                <w:tcPr>
                  <w:tcW w:w="1565" w:type="dxa"/>
                  <w:vAlign w:val="center"/>
                </w:tcPr>
                <w:p>
                  <w:pPr>
                    <w:pStyle w:val="41"/>
                    <w:jc w:val="center"/>
                    <w:rPr>
                      <w:rFonts w:ascii="Times New Roman" w:eastAsia="宋体" w:cs="Times New Roman"/>
                      <w:color w:val="auto"/>
                      <w:sz w:val="21"/>
                      <w:szCs w:val="21"/>
                    </w:rPr>
                  </w:pPr>
                  <w:r>
                    <w:rPr>
                      <w:rFonts w:hint="eastAsia" w:ascii="Times New Roman" w:eastAsia="宋体" w:cs="Times New Roman"/>
                      <w:color w:val="auto"/>
                      <w:sz w:val="21"/>
                      <w:szCs w:val="21"/>
                    </w:rPr>
                    <w:t>引入脉冲布袋除尘器量（t/a）</w:t>
                  </w:r>
                </w:p>
              </w:tc>
              <w:tc>
                <w:tcPr>
                  <w:tcW w:w="1219" w:type="dxa"/>
                  <w:vAlign w:val="center"/>
                </w:tcPr>
                <w:p>
                  <w:pPr>
                    <w:pStyle w:val="41"/>
                    <w:jc w:val="center"/>
                    <w:rPr>
                      <w:rFonts w:ascii="Times New Roman" w:eastAsia="宋体" w:cs="Times New Roman"/>
                      <w:color w:val="auto"/>
                      <w:sz w:val="21"/>
                      <w:szCs w:val="21"/>
                    </w:rPr>
                  </w:pPr>
                  <w:r>
                    <w:rPr>
                      <w:rFonts w:hint="eastAsia" w:ascii="Times New Roman" w:eastAsia="宋体" w:cs="Times New Roman"/>
                      <w:color w:val="auto"/>
                      <w:sz w:val="21"/>
                      <w:szCs w:val="21"/>
                    </w:rPr>
                    <w:t>未被捕集量（t/a）</w:t>
                  </w:r>
                </w:p>
              </w:tc>
              <w:tc>
                <w:tcPr>
                  <w:tcW w:w="1219" w:type="dxa"/>
                  <w:vAlign w:val="center"/>
                </w:tcPr>
                <w:p>
                  <w:pPr>
                    <w:pStyle w:val="41"/>
                    <w:jc w:val="center"/>
                    <w:rPr>
                      <w:rFonts w:ascii="Times New Roman" w:eastAsia="宋体" w:cs="Times New Roman"/>
                      <w:color w:val="auto"/>
                      <w:sz w:val="21"/>
                      <w:szCs w:val="21"/>
                    </w:rPr>
                  </w:pPr>
                  <w:r>
                    <w:rPr>
                      <w:rFonts w:hint="eastAsia" w:ascii="Times New Roman" w:eastAsia="宋体" w:cs="Times New Roman"/>
                      <w:color w:val="auto"/>
                      <w:sz w:val="21"/>
                      <w:szCs w:val="21"/>
                    </w:rPr>
                    <w:t>处理后排放量（t/a）</w:t>
                  </w:r>
                </w:p>
              </w:tc>
              <w:tc>
                <w:tcPr>
                  <w:tcW w:w="1221" w:type="dxa"/>
                  <w:vAlign w:val="center"/>
                </w:tcPr>
                <w:p>
                  <w:pPr>
                    <w:pStyle w:val="41"/>
                    <w:jc w:val="center"/>
                    <w:rPr>
                      <w:rFonts w:ascii="Times New Roman" w:eastAsia="宋体" w:cs="Times New Roman"/>
                      <w:color w:val="auto"/>
                      <w:sz w:val="21"/>
                      <w:szCs w:val="21"/>
                    </w:rPr>
                  </w:pPr>
                  <w:r>
                    <w:rPr>
                      <w:rFonts w:hint="eastAsia" w:ascii="Times New Roman" w:eastAsia="宋体" w:cs="Times New Roman"/>
                      <w:color w:val="auto"/>
                      <w:sz w:val="21"/>
                      <w:szCs w:val="21"/>
                    </w:rPr>
                    <w:t>年运行时间（h/a）</w:t>
                  </w:r>
                </w:p>
              </w:tc>
              <w:tc>
                <w:tcPr>
                  <w:tcW w:w="1010" w:type="dxa"/>
                  <w:tcBorders>
                    <w:right w:val="nil"/>
                  </w:tcBorders>
                  <w:vAlign w:val="center"/>
                </w:tcPr>
                <w:p>
                  <w:pPr>
                    <w:pStyle w:val="41"/>
                    <w:jc w:val="center"/>
                    <w:rPr>
                      <w:rFonts w:ascii="Times New Roman" w:eastAsia="宋体" w:cs="Times New Roman"/>
                      <w:color w:val="auto"/>
                      <w:sz w:val="21"/>
                      <w:szCs w:val="21"/>
                    </w:rPr>
                  </w:pPr>
                  <w:r>
                    <w:rPr>
                      <w:rFonts w:hint="eastAsia" w:ascii="Times New Roman" w:eastAsia="宋体" w:cs="Times New Roman"/>
                      <w:color w:val="auto"/>
                      <w:sz w:val="21"/>
                      <w:szCs w:val="21"/>
                    </w:rPr>
                    <w:t>排放速率（kg/h）</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267" w:type="dxa"/>
                  <w:tcBorders>
                    <w:left w:val="nil"/>
                  </w:tcBorders>
                  <w:vAlign w:val="center"/>
                </w:tcPr>
                <w:p>
                  <w:pPr>
                    <w:pStyle w:val="41"/>
                    <w:jc w:val="center"/>
                    <w:rPr>
                      <w:rFonts w:ascii="Times New Roman" w:eastAsia="宋体" w:cs="Times New Roman"/>
                      <w:color w:val="auto"/>
                      <w:sz w:val="21"/>
                      <w:szCs w:val="21"/>
                    </w:rPr>
                  </w:pPr>
                  <w:r>
                    <w:rPr>
                      <w:rFonts w:hint="eastAsia" w:ascii="Times New Roman" w:eastAsia="宋体" w:cs="Times New Roman"/>
                      <w:color w:val="auto"/>
                      <w:sz w:val="21"/>
                      <w:szCs w:val="21"/>
                    </w:rPr>
                    <w:t>浇注</w:t>
                  </w:r>
                </w:p>
              </w:tc>
              <w:tc>
                <w:tcPr>
                  <w:tcW w:w="846" w:type="dxa"/>
                  <w:vAlign w:val="center"/>
                </w:tcPr>
                <w:p>
                  <w:pPr>
                    <w:widowControl/>
                    <w:jc w:val="center"/>
                    <w:textAlignment w:val="center"/>
                    <w:rPr>
                      <w:color w:val="auto"/>
                      <w:szCs w:val="21"/>
                    </w:rPr>
                  </w:pPr>
                  <w:r>
                    <w:rPr>
                      <w:rFonts w:hint="eastAsia"/>
                      <w:color w:val="auto"/>
                      <w:szCs w:val="21"/>
                    </w:rPr>
                    <w:t>3.08</w:t>
                  </w:r>
                </w:p>
              </w:tc>
              <w:tc>
                <w:tcPr>
                  <w:tcW w:w="1565" w:type="dxa"/>
                  <w:vAlign w:val="center"/>
                </w:tcPr>
                <w:p>
                  <w:pPr>
                    <w:pStyle w:val="41"/>
                    <w:jc w:val="center"/>
                    <w:rPr>
                      <w:rFonts w:ascii="Times New Roman" w:eastAsia="宋体" w:cs="Times New Roman"/>
                      <w:color w:val="auto"/>
                      <w:sz w:val="21"/>
                      <w:szCs w:val="21"/>
                    </w:rPr>
                  </w:pPr>
                  <w:r>
                    <w:rPr>
                      <w:rFonts w:hint="eastAsia" w:ascii="Times New Roman" w:eastAsia="宋体" w:cs="Times New Roman"/>
                      <w:color w:val="auto"/>
                      <w:sz w:val="21"/>
                      <w:szCs w:val="21"/>
                    </w:rPr>
                    <w:t>2.926</w:t>
                  </w:r>
                </w:p>
              </w:tc>
              <w:tc>
                <w:tcPr>
                  <w:tcW w:w="1219" w:type="dxa"/>
                  <w:vAlign w:val="center"/>
                </w:tcPr>
                <w:p>
                  <w:pPr>
                    <w:pStyle w:val="41"/>
                    <w:jc w:val="center"/>
                    <w:rPr>
                      <w:rFonts w:ascii="Times New Roman" w:eastAsia="宋体" w:cs="Times New Roman"/>
                      <w:color w:val="auto"/>
                      <w:sz w:val="21"/>
                      <w:szCs w:val="21"/>
                    </w:rPr>
                  </w:pPr>
                  <w:r>
                    <w:rPr>
                      <w:rFonts w:hint="eastAsia" w:ascii="Times New Roman" w:eastAsia="宋体" w:cs="Times New Roman"/>
                      <w:color w:val="auto"/>
                      <w:sz w:val="21"/>
                      <w:szCs w:val="21"/>
                    </w:rPr>
                    <w:t>0.154</w:t>
                  </w:r>
                </w:p>
              </w:tc>
              <w:tc>
                <w:tcPr>
                  <w:tcW w:w="1219" w:type="dxa"/>
                  <w:vAlign w:val="center"/>
                </w:tcPr>
                <w:p>
                  <w:pPr>
                    <w:pStyle w:val="41"/>
                    <w:jc w:val="center"/>
                    <w:rPr>
                      <w:rFonts w:ascii="Times New Roman" w:eastAsia="宋体" w:cs="Times New Roman"/>
                      <w:color w:val="auto"/>
                      <w:sz w:val="21"/>
                      <w:szCs w:val="21"/>
                    </w:rPr>
                  </w:pPr>
                  <w:r>
                    <w:rPr>
                      <w:rFonts w:hint="eastAsia" w:ascii="Times New Roman" w:eastAsia="宋体" w:cs="Times New Roman"/>
                      <w:color w:val="auto"/>
                      <w:sz w:val="21"/>
                      <w:szCs w:val="21"/>
                    </w:rPr>
                    <w:t xml:space="preserve">0.029 </w:t>
                  </w:r>
                </w:p>
              </w:tc>
              <w:tc>
                <w:tcPr>
                  <w:tcW w:w="1221" w:type="dxa"/>
                  <w:vAlign w:val="center"/>
                </w:tcPr>
                <w:p>
                  <w:pPr>
                    <w:pStyle w:val="41"/>
                    <w:jc w:val="center"/>
                    <w:rPr>
                      <w:rFonts w:ascii="Times New Roman" w:eastAsia="宋体" w:cs="Times New Roman"/>
                      <w:color w:val="auto"/>
                      <w:sz w:val="21"/>
                      <w:szCs w:val="21"/>
                    </w:rPr>
                  </w:pPr>
                  <w:r>
                    <w:rPr>
                      <w:rFonts w:hint="eastAsia" w:ascii="Times New Roman" w:eastAsia="宋体" w:cs="Times New Roman"/>
                      <w:color w:val="auto"/>
                      <w:sz w:val="21"/>
                      <w:szCs w:val="21"/>
                    </w:rPr>
                    <w:t>4800</w:t>
                  </w:r>
                </w:p>
              </w:tc>
              <w:tc>
                <w:tcPr>
                  <w:tcW w:w="1010" w:type="dxa"/>
                  <w:tcBorders>
                    <w:right w:val="nil"/>
                  </w:tcBorders>
                  <w:vAlign w:val="center"/>
                </w:tcPr>
                <w:p>
                  <w:pPr>
                    <w:pStyle w:val="41"/>
                    <w:jc w:val="center"/>
                    <w:rPr>
                      <w:rFonts w:ascii="Times New Roman" w:eastAsia="宋体" w:cs="Times New Roman"/>
                      <w:color w:val="auto"/>
                      <w:sz w:val="21"/>
                      <w:szCs w:val="21"/>
                    </w:rPr>
                  </w:pPr>
                  <w:r>
                    <w:rPr>
                      <w:rFonts w:hint="eastAsia" w:ascii="Times New Roman" w:eastAsia="宋体" w:cs="Times New Roman"/>
                      <w:color w:val="auto"/>
                      <w:sz w:val="21"/>
                      <w:szCs w:val="21"/>
                    </w:rPr>
                    <w:t xml:space="preserve">0.006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267" w:type="dxa"/>
                  <w:tcBorders>
                    <w:left w:val="nil"/>
                  </w:tcBorders>
                  <w:vAlign w:val="center"/>
                </w:tcPr>
                <w:p>
                  <w:pPr>
                    <w:pStyle w:val="41"/>
                    <w:jc w:val="center"/>
                    <w:rPr>
                      <w:rFonts w:ascii="Times New Roman" w:eastAsia="宋体" w:cs="Times New Roman"/>
                      <w:color w:val="auto"/>
                      <w:sz w:val="21"/>
                      <w:szCs w:val="21"/>
                    </w:rPr>
                  </w:pPr>
                  <w:r>
                    <w:rPr>
                      <w:rFonts w:hint="eastAsia" w:ascii="Times New Roman" w:eastAsia="宋体" w:cs="Times New Roman"/>
                      <w:color w:val="auto"/>
                      <w:sz w:val="21"/>
                      <w:szCs w:val="21"/>
                    </w:rPr>
                    <w:t>砂处理</w:t>
                  </w:r>
                </w:p>
              </w:tc>
              <w:tc>
                <w:tcPr>
                  <w:tcW w:w="846" w:type="dxa"/>
                  <w:vAlign w:val="center"/>
                </w:tcPr>
                <w:p>
                  <w:pPr>
                    <w:widowControl/>
                    <w:jc w:val="center"/>
                    <w:textAlignment w:val="center"/>
                    <w:rPr>
                      <w:color w:val="auto"/>
                      <w:szCs w:val="21"/>
                    </w:rPr>
                  </w:pPr>
                  <w:r>
                    <w:rPr>
                      <w:rFonts w:hint="eastAsia"/>
                      <w:color w:val="auto"/>
                      <w:szCs w:val="21"/>
                    </w:rPr>
                    <w:t>19.14</w:t>
                  </w:r>
                </w:p>
              </w:tc>
              <w:tc>
                <w:tcPr>
                  <w:tcW w:w="1565" w:type="dxa"/>
                  <w:vAlign w:val="center"/>
                </w:tcPr>
                <w:p>
                  <w:pPr>
                    <w:pStyle w:val="41"/>
                    <w:jc w:val="center"/>
                    <w:rPr>
                      <w:rFonts w:ascii="Times New Roman" w:eastAsia="宋体" w:cs="Times New Roman"/>
                      <w:color w:val="auto"/>
                      <w:sz w:val="21"/>
                      <w:szCs w:val="21"/>
                    </w:rPr>
                  </w:pPr>
                  <w:r>
                    <w:rPr>
                      <w:rFonts w:hint="eastAsia" w:ascii="Times New Roman" w:eastAsia="宋体" w:cs="Times New Roman"/>
                      <w:color w:val="auto"/>
                      <w:sz w:val="21"/>
                      <w:szCs w:val="21"/>
                    </w:rPr>
                    <w:t>18.183</w:t>
                  </w:r>
                </w:p>
              </w:tc>
              <w:tc>
                <w:tcPr>
                  <w:tcW w:w="1219" w:type="dxa"/>
                  <w:vAlign w:val="center"/>
                </w:tcPr>
                <w:p>
                  <w:pPr>
                    <w:pStyle w:val="41"/>
                    <w:jc w:val="center"/>
                    <w:rPr>
                      <w:rFonts w:ascii="Times New Roman" w:eastAsia="宋体" w:cs="Times New Roman"/>
                      <w:color w:val="auto"/>
                      <w:sz w:val="21"/>
                      <w:szCs w:val="21"/>
                    </w:rPr>
                  </w:pPr>
                  <w:r>
                    <w:rPr>
                      <w:rFonts w:hint="eastAsia" w:ascii="Times New Roman" w:eastAsia="宋体" w:cs="Times New Roman"/>
                      <w:color w:val="auto"/>
                      <w:sz w:val="21"/>
                      <w:szCs w:val="21"/>
                    </w:rPr>
                    <w:t>0.957</w:t>
                  </w:r>
                </w:p>
              </w:tc>
              <w:tc>
                <w:tcPr>
                  <w:tcW w:w="1219" w:type="dxa"/>
                  <w:vAlign w:val="center"/>
                </w:tcPr>
                <w:p>
                  <w:pPr>
                    <w:pStyle w:val="41"/>
                    <w:jc w:val="center"/>
                    <w:rPr>
                      <w:rFonts w:ascii="Times New Roman" w:eastAsia="宋体" w:cs="Times New Roman"/>
                      <w:color w:val="auto"/>
                      <w:sz w:val="21"/>
                      <w:szCs w:val="21"/>
                    </w:rPr>
                  </w:pPr>
                  <w:r>
                    <w:rPr>
                      <w:rFonts w:hint="eastAsia" w:ascii="Times New Roman" w:eastAsia="宋体" w:cs="Times New Roman"/>
                      <w:color w:val="auto"/>
                      <w:sz w:val="21"/>
                      <w:szCs w:val="21"/>
                    </w:rPr>
                    <w:t xml:space="preserve">0.182 </w:t>
                  </w:r>
                </w:p>
              </w:tc>
              <w:tc>
                <w:tcPr>
                  <w:tcW w:w="1221" w:type="dxa"/>
                  <w:vAlign w:val="center"/>
                </w:tcPr>
                <w:p>
                  <w:pPr>
                    <w:pStyle w:val="41"/>
                    <w:jc w:val="center"/>
                    <w:rPr>
                      <w:rFonts w:ascii="Times New Roman" w:eastAsia="宋体" w:cs="Times New Roman"/>
                      <w:color w:val="auto"/>
                      <w:sz w:val="21"/>
                      <w:szCs w:val="21"/>
                    </w:rPr>
                  </w:pPr>
                  <w:r>
                    <w:rPr>
                      <w:rFonts w:hint="eastAsia" w:ascii="Times New Roman" w:eastAsia="宋体" w:cs="Times New Roman"/>
                      <w:color w:val="auto"/>
                      <w:sz w:val="21"/>
                      <w:szCs w:val="21"/>
                    </w:rPr>
                    <w:t>4800</w:t>
                  </w:r>
                </w:p>
              </w:tc>
              <w:tc>
                <w:tcPr>
                  <w:tcW w:w="1010" w:type="dxa"/>
                  <w:tcBorders>
                    <w:right w:val="nil"/>
                  </w:tcBorders>
                  <w:vAlign w:val="center"/>
                </w:tcPr>
                <w:p>
                  <w:pPr>
                    <w:pStyle w:val="41"/>
                    <w:jc w:val="center"/>
                    <w:rPr>
                      <w:rFonts w:ascii="Times New Roman" w:eastAsia="宋体" w:cs="Times New Roman"/>
                      <w:color w:val="auto"/>
                      <w:sz w:val="21"/>
                      <w:szCs w:val="21"/>
                    </w:rPr>
                  </w:pPr>
                  <w:r>
                    <w:rPr>
                      <w:rFonts w:hint="eastAsia" w:ascii="Times New Roman" w:eastAsia="宋体" w:cs="Times New Roman"/>
                      <w:color w:val="auto"/>
                      <w:sz w:val="21"/>
                      <w:szCs w:val="21"/>
                    </w:rPr>
                    <w:t xml:space="preserve">0.038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267" w:type="dxa"/>
                  <w:tcBorders>
                    <w:left w:val="nil"/>
                  </w:tcBorders>
                  <w:vAlign w:val="center"/>
                </w:tcPr>
                <w:p>
                  <w:pPr>
                    <w:pStyle w:val="41"/>
                    <w:jc w:val="center"/>
                    <w:rPr>
                      <w:rFonts w:ascii="Times New Roman" w:eastAsia="宋体" w:cs="Times New Roman"/>
                      <w:color w:val="auto"/>
                      <w:sz w:val="21"/>
                      <w:szCs w:val="21"/>
                    </w:rPr>
                  </w:pPr>
                  <w:r>
                    <w:rPr>
                      <w:rFonts w:hint="eastAsia" w:ascii="Times New Roman" w:eastAsia="宋体" w:cs="Times New Roman"/>
                      <w:color w:val="auto"/>
                      <w:sz w:val="21"/>
                      <w:szCs w:val="21"/>
                    </w:rPr>
                    <w:t>混砂</w:t>
                  </w:r>
                </w:p>
              </w:tc>
              <w:tc>
                <w:tcPr>
                  <w:tcW w:w="846" w:type="dxa"/>
                  <w:vAlign w:val="center"/>
                </w:tcPr>
                <w:p>
                  <w:pPr>
                    <w:widowControl/>
                    <w:jc w:val="center"/>
                    <w:textAlignment w:val="center"/>
                    <w:rPr>
                      <w:color w:val="auto"/>
                      <w:szCs w:val="21"/>
                    </w:rPr>
                  </w:pPr>
                  <w:r>
                    <w:rPr>
                      <w:rFonts w:hint="eastAsia"/>
                      <w:color w:val="auto"/>
                      <w:szCs w:val="21"/>
                    </w:rPr>
                    <w:t>3.08</w:t>
                  </w:r>
                </w:p>
              </w:tc>
              <w:tc>
                <w:tcPr>
                  <w:tcW w:w="1565" w:type="dxa"/>
                  <w:vAlign w:val="center"/>
                </w:tcPr>
                <w:p>
                  <w:pPr>
                    <w:pStyle w:val="41"/>
                    <w:jc w:val="center"/>
                    <w:rPr>
                      <w:rFonts w:ascii="Times New Roman" w:eastAsia="宋体" w:cs="Times New Roman"/>
                      <w:color w:val="auto"/>
                      <w:sz w:val="21"/>
                      <w:szCs w:val="21"/>
                    </w:rPr>
                  </w:pPr>
                  <w:r>
                    <w:rPr>
                      <w:rFonts w:hint="eastAsia" w:ascii="Times New Roman" w:eastAsia="宋体" w:cs="Times New Roman"/>
                      <w:color w:val="auto"/>
                      <w:sz w:val="21"/>
                      <w:szCs w:val="21"/>
                    </w:rPr>
                    <w:t>2.926</w:t>
                  </w:r>
                </w:p>
              </w:tc>
              <w:tc>
                <w:tcPr>
                  <w:tcW w:w="1219" w:type="dxa"/>
                  <w:vAlign w:val="center"/>
                </w:tcPr>
                <w:p>
                  <w:pPr>
                    <w:pStyle w:val="41"/>
                    <w:jc w:val="center"/>
                    <w:rPr>
                      <w:rFonts w:ascii="Times New Roman" w:eastAsia="宋体" w:cs="Times New Roman"/>
                      <w:color w:val="auto"/>
                      <w:sz w:val="21"/>
                      <w:szCs w:val="21"/>
                    </w:rPr>
                  </w:pPr>
                  <w:r>
                    <w:rPr>
                      <w:rFonts w:hint="eastAsia" w:ascii="Times New Roman" w:eastAsia="宋体" w:cs="Times New Roman"/>
                      <w:color w:val="auto"/>
                      <w:sz w:val="21"/>
                      <w:szCs w:val="21"/>
                    </w:rPr>
                    <w:t>0.154</w:t>
                  </w:r>
                </w:p>
              </w:tc>
              <w:tc>
                <w:tcPr>
                  <w:tcW w:w="1219" w:type="dxa"/>
                  <w:vAlign w:val="center"/>
                </w:tcPr>
                <w:p>
                  <w:pPr>
                    <w:pStyle w:val="41"/>
                    <w:jc w:val="center"/>
                    <w:rPr>
                      <w:rFonts w:ascii="Times New Roman" w:eastAsia="宋体" w:cs="Times New Roman"/>
                      <w:color w:val="auto"/>
                      <w:sz w:val="21"/>
                      <w:szCs w:val="21"/>
                    </w:rPr>
                  </w:pPr>
                  <w:r>
                    <w:rPr>
                      <w:rFonts w:hint="eastAsia" w:ascii="Times New Roman" w:eastAsia="宋体" w:cs="Times New Roman"/>
                      <w:color w:val="auto"/>
                      <w:sz w:val="21"/>
                      <w:szCs w:val="21"/>
                    </w:rPr>
                    <w:t xml:space="preserve">0.029 </w:t>
                  </w:r>
                </w:p>
              </w:tc>
              <w:tc>
                <w:tcPr>
                  <w:tcW w:w="1221" w:type="dxa"/>
                  <w:vAlign w:val="center"/>
                </w:tcPr>
                <w:p>
                  <w:pPr>
                    <w:pStyle w:val="41"/>
                    <w:jc w:val="center"/>
                    <w:rPr>
                      <w:rFonts w:ascii="Times New Roman" w:eastAsia="宋体" w:cs="Times New Roman"/>
                      <w:color w:val="auto"/>
                      <w:sz w:val="21"/>
                      <w:szCs w:val="21"/>
                    </w:rPr>
                  </w:pPr>
                  <w:r>
                    <w:rPr>
                      <w:rFonts w:hint="eastAsia" w:ascii="Times New Roman" w:eastAsia="宋体" w:cs="Times New Roman"/>
                      <w:color w:val="auto"/>
                      <w:sz w:val="21"/>
                      <w:szCs w:val="21"/>
                    </w:rPr>
                    <w:t>4800</w:t>
                  </w:r>
                </w:p>
              </w:tc>
              <w:tc>
                <w:tcPr>
                  <w:tcW w:w="1010" w:type="dxa"/>
                  <w:tcBorders>
                    <w:right w:val="nil"/>
                  </w:tcBorders>
                  <w:vAlign w:val="center"/>
                </w:tcPr>
                <w:p>
                  <w:pPr>
                    <w:pStyle w:val="41"/>
                    <w:jc w:val="center"/>
                    <w:rPr>
                      <w:rFonts w:ascii="Times New Roman" w:eastAsia="宋体" w:cs="Times New Roman"/>
                      <w:color w:val="auto"/>
                      <w:sz w:val="21"/>
                      <w:szCs w:val="21"/>
                    </w:rPr>
                  </w:pPr>
                  <w:r>
                    <w:rPr>
                      <w:rFonts w:hint="eastAsia" w:ascii="Times New Roman" w:eastAsia="宋体" w:cs="Times New Roman"/>
                      <w:color w:val="auto"/>
                      <w:sz w:val="21"/>
                      <w:szCs w:val="21"/>
                    </w:rPr>
                    <w:t xml:space="preserve">0.006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0" w:type="auto"/>
                  <w:tcBorders>
                    <w:left w:val="nil"/>
                  </w:tcBorders>
                  <w:vAlign w:val="center"/>
                </w:tcPr>
                <w:p>
                  <w:pPr>
                    <w:pStyle w:val="41"/>
                    <w:jc w:val="center"/>
                    <w:rPr>
                      <w:rFonts w:ascii="Times New Roman" w:eastAsia="宋体" w:cs="Times New Roman"/>
                      <w:color w:val="auto"/>
                      <w:sz w:val="21"/>
                      <w:szCs w:val="21"/>
                    </w:rPr>
                  </w:pPr>
                  <w:r>
                    <w:rPr>
                      <w:rFonts w:hint="eastAsia" w:ascii="Times New Roman" w:eastAsia="宋体" w:cs="Times New Roman"/>
                      <w:color w:val="auto"/>
                      <w:sz w:val="21"/>
                      <w:szCs w:val="21"/>
                    </w:rPr>
                    <w:t>打磨</w:t>
                  </w:r>
                </w:p>
              </w:tc>
              <w:tc>
                <w:tcPr>
                  <w:tcW w:w="0" w:type="auto"/>
                </w:tcPr>
                <w:p>
                  <w:pPr>
                    <w:widowControl/>
                    <w:jc w:val="center"/>
                    <w:textAlignment w:val="center"/>
                    <w:rPr>
                      <w:color w:val="auto"/>
                      <w:szCs w:val="21"/>
                    </w:rPr>
                  </w:pPr>
                  <w:r>
                    <w:rPr>
                      <w:rFonts w:hint="eastAsia"/>
                      <w:color w:val="auto"/>
                      <w:szCs w:val="21"/>
                    </w:rPr>
                    <w:t>12.045</w:t>
                  </w:r>
                </w:p>
              </w:tc>
              <w:tc>
                <w:tcPr>
                  <w:tcW w:w="1565" w:type="dxa"/>
                  <w:vAlign w:val="center"/>
                </w:tcPr>
                <w:p>
                  <w:pPr>
                    <w:pStyle w:val="41"/>
                    <w:jc w:val="center"/>
                    <w:rPr>
                      <w:rFonts w:ascii="Times New Roman" w:eastAsia="宋体" w:cs="Times New Roman"/>
                      <w:color w:val="auto"/>
                      <w:sz w:val="21"/>
                      <w:szCs w:val="21"/>
                    </w:rPr>
                  </w:pPr>
                  <w:r>
                    <w:rPr>
                      <w:rFonts w:hint="eastAsia" w:ascii="Times New Roman" w:eastAsia="宋体" w:cs="Times New Roman"/>
                      <w:color w:val="auto"/>
                      <w:sz w:val="21"/>
                      <w:szCs w:val="21"/>
                    </w:rPr>
                    <w:t>11.443</w:t>
                  </w:r>
                </w:p>
              </w:tc>
              <w:tc>
                <w:tcPr>
                  <w:tcW w:w="1219" w:type="dxa"/>
                  <w:vAlign w:val="center"/>
                </w:tcPr>
                <w:p>
                  <w:pPr>
                    <w:pStyle w:val="41"/>
                    <w:jc w:val="center"/>
                    <w:rPr>
                      <w:rFonts w:ascii="Times New Roman" w:eastAsia="宋体" w:cs="Times New Roman"/>
                      <w:color w:val="auto"/>
                      <w:sz w:val="21"/>
                      <w:szCs w:val="21"/>
                    </w:rPr>
                  </w:pPr>
                  <w:r>
                    <w:rPr>
                      <w:rFonts w:hint="eastAsia" w:ascii="Times New Roman" w:eastAsia="宋体" w:cs="Times New Roman"/>
                      <w:color w:val="auto"/>
                      <w:sz w:val="21"/>
                      <w:szCs w:val="21"/>
                    </w:rPr>
                    <w:t>0.602</w:t>
                  </w:r>
                </w:p>
              </w:tc>
              <w:tc>
                <w:tcPr>
                  <w:tcW w:w="1219" w:type="dxa"/>
                  <w:vAlign w:val="center"/>
                </w:tcPr>
                <w:p>
                  <w:pPr>
                    <w:pStyle w:val="41"/>
                    <w:jc w:val="center"/>
                    <w:rPr>
                      <w:rFonts w:ascii="Times New Roman" w:eastAsia="宋体" w:cs="Times New Roman"/>
                      <w:color w:val="auto"/>
                      <w:sz w:val="21"/>
                      <w:szCs w:val="21"/>
                    </w:rPr>
                  </w:pPr>
                  <w:r>
                    <w:rPr>
                      <w:rFonts w:hint="eastAsia" w:ascii="Times New Roman" w:eastAsia="宋体" w:cs="Times New Roman"/>
                      <w:color w:val="auto"/>
                      <w:sz w:val="21"/>
                      <w:szCs w:val="21"/>
                    </w:rPr>
                    <w:t xml:space="preserve">0.114 </w:t>
                  </w:r>
                </w:p>
              </w:tc>
              <w:tc>
                <w:tcPr>
                  <w:tcW w:w="0" w:type="auto"/>
                </w:tcPr>
                <w:p>
                  <w:pPr>
                    <w:pStyle w:val="41"/>
                    <w:jc w:val="center"/>
                    <w:rPr>
                      <w:rFonts w:ascii="Times New Roman" w:eastAsia="宋体" w:cs="Times New Roman"/>
                      <w:color w:val="auto"/>
                      <w:sz w:val="21"/>
                      <w:szCs w:val="21"/>
                    </w:rPr>
                  </w:pPr>
                  <w:r>
                    <w:rPr>
                      <w:rFonts w:hint="eastAsia" w:ascii="Times New Roman" w:eastAsia="宋体" w:cs="Times New Roman"/>
                      <w:color w:val="auto"/>
                      <w:sz w:val="21"/>
                      <w:szCs w:val="21"/>
                    </w:rPr>
                    <w:t>4800</w:t>
                  </w:r>
                </w:p>
              </w:tc>
              <w:tc>
                <w:tcPr>
                  <w:tcW w:w="1010" w:type="dxa"/>
                  <w:tcBorders>
                    <w:right w:val="nil"/>
                  </w:tcBorders>
                  <w:vAlign w:val="center"/>
                </w:tcPr>
                <w:p>
                  <w:pPr>
                    <w:pStyle w:val="41"/>
                    <w:jc w:val="center"/>
                    <w:rPr>
                      <w:rFonts w:ascii="Times New Roman" w:eastAsia="宋体" w:cs="Times New Roman"/>
                      <w:color w:val="auto"/>
                      <w:sz w:val="21"/>
                      <w:szCs w:val="21"/>
                    </w:rPr>
                  </w:pPr>
                  <w:r>
                    <w:rPr>
                      <w:rFonts w:hint="eastAsia" w:ascii="Times New Roman" w:eastAsia="宋体" w:cs="Times New Roman"/>
                      <w:color w:val="auto"/>
                      <w:sz w:val="21"/>
                      <w:szCs w:val="21"/>
                    </w:rPr>
                    <w:t xml:space="preserve">0.024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0" w:type="auto"/>
                  <w:tcBorders>
                    <w:left w:val="nil"/>
                  </w:tcBorders>
                  <w:vAlign w:val="center"/>
                </w:tcPr>
                <w:p>
                  <w:pPr>
                    <w:pStyle w:val="41"/>
                    <w:jc w:val="center"/>
                    <w:rPr>
                      <w:rFonts w:ascii="Times New Roman" w:eastAsia="宋体" w:cs="Times New Roman"/>
                      <w:color w:val="auto"/>
                      <w:sz w:val="21"/>
                      <w:szCs w:val="21"/>
                    </w:rPr>
                  </w:pPr>
                  <w:r>
                    <w:rPr>
                      <w:rFonts w:hint="eastAsia" w:ascii="Times New Roman" w:eastAsia="宋体" w:cs="Times New Roman"/>
                      <w:color w:val="auto"/>
                      <w:sz w:val="21"/>
                      <w:szCs w:val="21"/>
                    </w:rPr>
                    <w:t>二次除尘</w:t>
                  </w:r>
                </w:p>
              </w:tc>
              <w:tc>
                <w:tcPr>
                  <w:tcW w:w="0" w:type="auto"/>
                </w:tcPr>
                <w:p>
                  <w:pPr>
                    <w:widowControl/>
                    <w:jc w:val="center"/>
                    <w:textAlignment w:val="center"/>
                    <w:rPr>
                      <w:color w:val="auto"/>
                      <w:szCs w:val="21"/>
                    </w:rPr>
                  </w:pPr>
                  <w:r>
                    <w:rPr>
                      <w:rFonts w:hint="eastAsia"/>
                      <w:color w:val="auto"/>
                      <w:szCs w:val="21"/>
                    </w:rPr>
                    <w:t>1.999</w:t>
                  </w:r>
                </w:p>
              </w:tc>
              <w:tc>
                <w:tcPr>
                  <w:tcW w:w="0" w:type="auto"/>
                </w:tcPr>
                <w:p>
                  <w:pPr>
                    <w:pStyle w:val="41"/>
                    <w:jc w:val="center"/>
                    <w:rPr>
                      <w:rFonts w:ascii="Times New Roman" w:eastAsia="宋体" w:cs="Times New Roman"/>
                      <w:color w:val="auto"/>
                      <w:sz w:val="21"/>
                      <w:szCs w:val="21"/>
                    </w:rPr>
                  </w:pPr>
                  <w:r>
                    <w:rPr>
                      <w:rFonts w:hint="eastAsia" w:ascii="Times New Roman" w:eastAsia="宋体" w:cs="Times New Roman"/>
                      <w:color w:val="auto"/>
                      <w:sz w:val="21"/>
                      <w:szCs w:val="21"/>
                    </w:rPr>
                    <w:t>1.899</w:t>
                  </w:r>
                </w:p>
              </w:tc>
              <w:tc>
                <w:tcPr>
                  <w:tcW w:w="0" w:type="auto"/>
                </w:tcPr>
                <w:p>
                  <w:pPr>
                    <w:pStyle w:val="41"/>
                    <w:jc w:val="center"/>
                    <w:rPr>
                      <w:rFonts w:ascii="Times New Roman" w:eastAsia="宋体" w:cs="Times New Roman"/>
                      <w:color w:val="auto"/>
                      <w:sz w:val="21"/>
                      <w:szCs w:val="21"/>
                    </w:rPr>
                  </w:pPr>
                  <w:r>
                    <w:rPr>
                      <w:rFonts w:hint="eastAsia" w:ascii="Times New Roman" w:eastAsia="宋体" w:cs="Times New Roman"/>
                      <w:color w:val="auto"/>
                      <w:sz w:val="21"/>
                      <w:szCs w:val="21"/>
                    </w:rPr>
                    <w:t>0.1</w:t>
                  </w:r>
                </w:p>
              </w:tc>
              <w:tc>
                <w:tcPr>
                  <w:tcW w:w="0" w:type="auto"/>
                </w:tcPr>
                <w:p>
                  <w:pPr>
                    <w:pStyle w:val="41"/>
                    <w:jc w:val="center"/>
                    <w:rPr>
                      <w:rFonts w:ascii="Times New Roman" w:eastAsia="宋体" w:cs="Times New Roman"/>
                      <w:color w:val="auto"/>
                      <w:sz w:val="21"/>
                      <w:szCs w:val="21"/>
                    </w:rPr>
                  </w:pPr>
                  <w:r>
                    <w:rPr>
                      <w:rFonts w:hint="eastAsia" w:ascii="Times New Roman" w:eastAsia="宋体" w:cs="Times New Roman"/>
                      <w:color w:val="auto"/>
                      <w:sz w:val="21"/>
                      <w:szCs w:val="21"/>
                    </w:rPr>
                    <w:t>0.019</w:t>
                  </w:r>
                </w:p>
              </w:tc>
              <w:tc>
                <w:tcPr>
                  <w:tcW w:w="0" w:type="auto"/>
                </w:tcPr>
                <w:p>
                  <w:pPr>
                    <w:pStyle w:val="41"/>
                    <w:jc w:val="center"/>
                    <w:rPr>
                      <w:rFonts w:ascii="Times New Roman" w:eastAsia="宋体" w:cs="Times New Roman"/>
                      <w:color w:val="auto"/>
                      <w:sz w:val="21"/>
                      <w:szCs w:val="21"/>
                    </w:rPr>
                  </w:pPr>
                  <w:r>
                    <w:rPr>
                      <w:rFonts w:hint="eastAsia" w:ascii="Times New Roman" w:eastAsia="宋体" w:cs="Times New Roman"/>
                      <w:color w:val="auto"/>
                      <w:sz w:val="21"/>
                      <w:szCs w:val="21"/>
                    </w:rPr>
                    <w:t>4800</w:t>
                  </w:r>
                </w:p>
              </w:tc>
              <w:tc>
                <w:tcPr>
                  <w:tcW w:w="0" w:type="auto"/>
                  <w:tcBorders>
                    <w:right w:val="nil"/>
                  </w:tcBorders>
                </w:tcPr>
                <w:p>
                  <w:pPr>
                    <w:pStyle w:val="41"/>
                    <w:jc w:val="center"/>
                    <w:rPr>
                      <w:rFonts w:ascii="Times New Roman" w:eastAsia="宋体" w:cs="Times New Roman"/>
                      <w:color w:val="auto"/>
                      <w:sz w:val="21"/>
                      <w:szCs w:val="21"/>
                    </w:rPr>
                  </w:pPr>
                  <w:r>
                    <w:rPr>
                      <w:rFonts w:hint="eastAsia" w:ascii="Times New Roman" w:eastAsia="宋体" w:cs="Times New Roman"/>
                      <w:color w:val="auto"/>
                      <w:sz w:val="21"/>
                      <w:szCs w:val="21"/>
                    </w:rPr>
                    <w:t>0.004</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347" w:type="dxa"/>
                  <w:gridSpan w:val="7"/>
                  <w:tcBorders>
                    <w:left w:val="nil"/>
                    <w:right w:val="nil"/>
                  </w:tcBorders>
                  <w:vAlign w:val="center"/>
                </w:tcPr>
                <w:p>
                  <w:pPr>
                    <w:widowControl/>
                    <w:textAlignment w:val="center"/>
                    <w:rPr>
                      <w:color w:val="auto"/>
                      <w:szCs w:val="21"/>
                    </w:rPr>
                  </w:pPr>
                  <w:r>
                    <w:rPr>
                      <w:rFonts w:hint="eastAsia"/>
                      <w:color w:val="auto"/>
                      <w:szCs w:val="21"/>
                    </w:rPr>
                    <w:t>生产车间所有未被捕集颗粒物计为二次除尘颗粒物产生量，经二次除尘处理后整体车间无组织颗粒物产生量为0.1t/a，经车间沉降后排放量为0.001t/a、排放速率为0.0004kg/h</w:t>
                  </w:r>
                </w:p>
              </w:tc>
            </w:tr>
          </w:tbl>
          <w:p>
            <w:pPr>
              <w:widowControl/>
              <w:autoSpaceDE w:val="0"/>
              <w:autoSpaceDN w:val="0"/>
              <w:adjustRightInd w:val="0"/>
              <w:spacing w:line="500" w:lineRule="exact"/>
              <w:ind w:firstLine="480" w:firstLineChars="200"/>
              <w:rPr>
                <w:color w:val="auto"/>
                <w:sz w:val="24"/>
              </w:rPr>
            </w:pPr>
            <w:r>
              <w:rPr>
                <w:rFonts w:hint="eastAsia"/>
                <w:color w:val="auto"/>
                <w:sz w:val="24"/>
              </w:rPr>
              <w:t>经分析，项目颗粒物排放速率为0.078kg/h，颗粒物排放浓度为1.625</w:t>
            </w:r>
            <w:r>
              <w:rPr>
                <w:rFonts w:hint="eastAsia"/>
                <w:snapToGrid w:val="0"/>
                <w:color w:val="auto"/>
                <w:kern w:val="0"/>
                <w:sz w:val="24"/>
              </w:rPr>
              <w:t>mg/m</w:t>
            </w:r>
            <w:r>
              <w:rPr>
                <w:rFonts w:hint="eastAsia"/>
                <w:snapToGrid w:val="0"/>
                <w:color w:val="auto"/>
                <w:kern w:val="0"/>
                <w:sz w:val="24"/>
                <w:vertAlign w:val="superscript"/>
              </w:rPr>
              <w:t>3</w:t>
            </w:r>
            <w:r>
              <w:rPr>
                <w:rFonts w:hint="eastAsia"/>
                <w:snapToGrid w:val="0"/>
                <w:color w:val="auto"/>
                <w:kern w:val="0"/>
                <w:sz w:val="24"/>
              </w:rPr>
              <w:t>，</w:t>
            </w:r>
            <w:r>
              <w:rPr>
                <w:rFonts w:hint="eastAsia"/>
                <w:color w:val="auto"/>
                <w:sz w:val="24"/>
              </w:rPr>
              <w:t>有组织颗粒物排放</w:t>
            </w:r>
            <w:r>
              <w:rPr>
                <w:color w:val="auto"/>
                <w:sz w:val="24"/>
              </w:rPr>
              <w:t>满足</w:t>
            </w:r>
            <w:r>
              <w:rPr>
                <w:bCs/>
                <w:color w:val="auto"/>
                <w:sz w:val="24"/>
              </w:rPr>
              <w:t>《铸造工业大气污染物排放标准》（GB 39726—2020）表1/《唐山市大气污染防治工作领导小组办公室&lt;唐山市钢铁行业整治提升工作方案&gt;等10项方案的通知》（唐气领办〔2021〕15号）中附件9《唐山市铸造行业整治提升工作方案》相关标准要求</w:t>
            </w:r>
            <w:r>
              <w:rPr>
                <w:color w:val="auto"/>
                <w:sz w:val="24"/>
              </w:rPr>
              <w:t>：10mg/m</w:t>
            </w:r>
            <w:r>
              <w:rPr>
                <w:color w:val="auto"/>
                <w:sz w:val="24"/>
                <w:vertAlign w:val="superscript"/>
              </w:rPr>
              <w:t>3</w:t>
            </w:r>
            <w:r>
              <w:rPr>
                <w:color w:val="auto"/>
                <w:sz w:val="24"/>
              </w:rPr>
              <w:t>。</w:t>
            </w:r>
          </w:p>
          <w:p>
            <w:pPr>
              <w:widowControl/>
              <w:autoSpaceDE w:val="0"/>
              <w:autoSpaceDN w:val="0"/>
              <w:adjustRightInd w:val="0"/>
              <w:spacing w:line="500" w:lineRule="exact"/>
              <w:ind w:firstLine="480" w:firstLineChars="200"/>
              <w:rPr>
                <w:color w:val="auto"/>
                <w:sz w:val="24"/>
              </w:rPr>
            </w:pPr>
            <w:r>
              <w:rPr>
                <w:rFonts w:hint="eastAsia"/>
                <w:color w:val="auto"/>
                <w:sz w:val="24"/>
              </w:rPr>
              <w:t>（2）无组织颗粒物</w:t>
            </w:r>
          </w:p>
          <w:p>
            <w:pPr>
              <w:adjustRightInd w:val="0"/>
              <w:snapToGrid w:val="0"/>
              <w:spacing w:line="480" w:lineRule="exact"/>
              <w:ind w:firstLine="480" w:firstLineChars="200"/>
              <w:rPr>
                <w:color w:val="auto"/>
                <w:sz w:val="24"/>
              </w:rPr>
            </w:pPr>
            <w:r>
              <w:rPr>
                <w:rFonts w:hint="eastAsia"/>
                <w:color w:val="auto"/>
                <w:sz w:val="24"/>
              </w:rPr>
              <w:t>生产车间为全封闭形态，正常生产时车间出入口处于关闭状态，且生产车间设有二次除尘装置，生产车间所有未被捕集颗粒物计为二次除尘颗粒物产生量，经二次除尘处理后整体车间无组织颗粒物产生量为0.1t/a，经车间沉降后排放量为0.001t/a、排放速率为0.0004kg/h，提出控制无组织排放的相关管控要求：</w:t>
            </w:r>
          </w:p>
          <w:p>
            <w:pPr>
              <w:adjustRightInd w:val="0"/>
              <w:snapToGrid w:val="0"/>
              <w:spacing w:line="480" w:lineRule="exact"/>
              <w:ind w:firstLine="480" w:firstLineChars="200"/>
              <w:rPr>
                <w:color w:val="auto"/>
                <w:sz w:val="24"/>
              </w:rPr>
            </w:pPr>
            <w:r>
              <w:rPr>
                <w:rFonts w:hint="eastAsia"/>
                <w:color w:val="auto"/>
                <w:sz w:val="24"/>
              </w:rPr>
              <w:t>生产车间设有顶吸二次除尘装置，车间内部无组织废气经顶吸二次除尘处理后通过相应排气筒外排。本次评价针对无组织排放提出管控要求：</w:t>
            </w:r>
          </w:p>
          <w:p>
            <w:pPr>
              <w:spacing w:line="480" w:lineRule="exact"/>
              <w:ind w:firstLine="480" w:firstLineChars="200"/>
              <w:rPr>
                <w:color w:val="auto"/>
                <w:sz w:val="24"/>
              </w:rPr>
            </w:pPr>
            <w:r>
              <w:rPr>
                <w:rFonts w:hint="eastAsia"/>
                <w:color w:val="auto"/>
                <w:sz w:val="24"/>
              </w:rPr>
              <w:t>由于本项目生产车间即为厂区，故项目于厂区边界主导上、下风向各安装1套 TSP、PM</w:t>
            </w:r>
            <w:r>
              <w:rPr>
                <w:rFonts w:hint="eastAsia"/>
                <w:color w:val="auto"/>
                <w:sz w:val="24"/>
                <w:vertAlign w:val="subscript"/>
              </w:rPr>
              <w:t>10</w:t>
            </w:r>
            <w:r>
              <w:rPr>
                <w:rFonts w:hint="eastAsia"/>
                <w:color w:val="auto"/>
                <w:sz w:val="24"/>
              </w:rPr>
              <w:t>、PM</w:t>
            </w:r>
            <w:r>
              <w:rPr>
                <w:rFonts w:hint="eastAsia"/>
                <w:color w:val="auto"/>
                <w:sz w:val="24"/>
                <w:vertAlign w:val="subscript"/>
              </w:rPr>
              <w:t>2.5</w:t>
            </w:r>
            <w:r>
              <w:rPr>
                <w:rFonts w:hint="eastAsia"/>
                <w:color w:val="auto"/>
                <w:sz w:val="24"/>
              </w:rPr>
              <w:t>在线监测设备，配备1台联网的计算机，安装无组织排放监测系统软件（在线设施须有环境保护产品认证证书），与市、县环保指挥中心联网。厂区边界颗粒物浓度不高于0.5mg/Nm</w:t>
            </w:r>
            <w:r>
              <w:rPr>
                <w:rFonts w:hint="eastAsia"/>
                <w:color w:val="auto"/>
                <w:sz w:val="24"/>
                <w:vertAlign w:val="superscript"/>
              </w:rPr>
              <w:t>3</w:t>
            </w:r>
            <w:r>
              <w:rPr>
                <w:rFonts w:hint="eastAsia"/>
                <w:color w:val="auto"/>
                <w:sz w:val="24"/>
              </w:rPr>
              <w:t>。</w:t>
            </w:r>
          </w:p>
          <w:p>
            <w:pPr>
              <w:spacing w:line="480" w:lineRule="exact"/>
              <w:ind w:firstLine="480" w:firstLineChars="200"/>
              <w:rPr>
                <w:color w:val="auto"/>
                <w:sz w:val="24"/>
              </w:rPr>
            </w:pPr>
            <w:r>
              <w:rPr>
                <w:rFonts w:hint="eastAsia"/>
                <w:color w:val="auto"/>
                <w:sz w:val="24"/>
              </w:rPr>
              <w:t>厂房四面封闭，通道口安装卷帘门、推拉门等封闭性良好且便于开关的硬质门，在无车辆出入时将门关闭，保证空气合理流动不产生湍流。</w:t>
            </w:r>
          </w:p>
          <w:p>
            <w:pPr>
              <w:spacing w:line="480" w:lineRule="exact"/>
              <w:ind w:firstLine="480" w:firstLineChars="200"/>
              <w:rPr>
                <w:color w:val="auto"/>
                <w:sz w:val="24"/>
              </w:rPr>
            </w:pPr>
            <w:r>
              <w:rPr>
                <w:rFonts w:hint="eastAsia"/>
                <w:color w:val="auto"/>
                <w:sz w:val="24"/>
              </w:rPr>
              <w:t>除尘器卸灰不直接卸落到地面，卸灰区封闭，除尘灰采用吨包、气力输送、罐车等密闭方式运输。</w:t>
            </w:r>
          </w:p>
          <w:p>
            <w:pPr>
              <w:spacing w:line="480" w:lineRule="exact"/>
              <w:ind w:firstLine="480" w:firstLineChars="200"/>
              <w:rPr>
                <w:color w:val="auto"/>
                <w:sz w:val="24"/>
              </w:rPr>
            </w:pPr>
            <w:r>
              <w:rPr>
                <w:rFonts w:hint="eastAsia"/>
                <w:color w:val="auto"/>
                <w:sz w:val="24"/>
              </w:rPr>
              <w:t>厂区出入口安装运输车辆侧向全覆盖式强制喷淋清洗设施，清洗设施应保证车辆冲洗效果，长度不少于6米、高度不低于2.5米，地面至少设置一排花式喷射喷头。</w:t>
            </w:r>
          </w:p>
          <w:p>
            <w:pPr>
              <w:spacing w:line="480" w:lineRule="exact"/>
              <w:ind w:firstLine="480" w:firstLineChars="200"/>
              <w:rPr>
                <w:color w:val="auto"/>
                <w:sz w:val="24"/>
              </w:rPr>
            </w:pPr>
            <w:r>
              <w:rPr>
                <w:rFonts w:hint="eastAsia"/>
                <w:color w:val="auto"/>
                <w:sz w:val="24"/>
              </w:rPr>
              <w:t>厂区地面非绿即硬，企业厂区门口至主要交通干道之间车辆行驶路面要全部高标准硬化，并做好湿扫保洁。</w:t>
            </w:r>
          </w:p>
          <w:p>
            <w:pPr>
              <w:spacing w:line="480" w:lineRule="exact"/>
              <w:ind w:firstLine="480" w:firstLineChars="200"/>
              <w:rPr>
                <w:color w:val="auto"/>
                <w:sz w:val="24"/>
              </w:rPr>
            </w:pPr>
            <w:r>
              <w:rPr>
                <w:rFonts w:hint="eastAsia"/>
                <w:color w:val="auto"/>
                <w:sz w:val="24"/>
              </w:rPr>
              <w:t>在厂区门口或明显位置设置电子显示屏，实时发布主要污染物排放信息。</w:t>
            </w:r>
          </w:p>
          <w:p>
            <w:pPr>
              <w:spacing w:line="480" w:lineRule="exact"/>
              <w:ind w:firstLine="480" w:firstLineChars="200"/>
              <w:rPr>
                <w:color w:val="auto"/>
                <w:sz w:val="24"/>
              </w:rPr>
            </w:pPr>
            <w:r>
              <w:rPr>
                <w:rFonts w:hint="eastAsia"/>
                <w:color w:val="auto"/>
                <w:sz w:val="24"/>
              </w:rPr>
              <w:t>其他管控要求严格按照《唐山市铸造行业整治提升工作方案》的相关要求落实。</w:t>
            </w:r>
          </w:p>
          <w:p>
            <w:pPr>
              <w:spacing w:line="480" w:lineRule="exact"/>
              <w:ind w:firstLine="480" w:firstLineChars="200"/>
              <w:rPr>
                <w:color w:val="auto"/>
                <w:sz w:val="24"/>
              </w:rPr>
            </w:pPr>
            <w:r>
              <w:rPr>
                <w:rFonts w:hint="eastAsia"/>
                <w:color w:val="auto"/>
                <w:sz w:val="24"/>
              </w:rPr>
              <w:t>经采取措施后，</w:t>
            </w:r>
            <w:r>
              <w:rPr>
                <w:color w:val="auto"/>
                <w:kern w:val="0"/>
                <w:sz w:val="24"/>
              </w:rPr>
              <w:t>厂区</w:t>
            </w:r>
            <w:r>
              <w:rPr>
                <w:color w:val="auto"/>
                <w:kern w:val="24"/>
                <w:sz w:val="24"/>
                <w:lang w:val="zh-CN"/>
              </w:rPr>
              <w:t>无组织</w:t>
            </w:r>
            <w:r>
              <w:rPr>
                <w:color w:val="auto"/>
                <w:kern w:val="24"/>
                <w:sz w:val="24"/>
              </w:rPr>
              <w:t>颗粒物</w:t>
            </w:r>
            <w:r>
              <w:rPr>
                <w:color w:val="auto"/>
                <w:kern w:val="24"/>
                <w:sz w:val="24"/>
                <w:lang w:val="zh-CN"/>
              </w:rPr>
              <w:t>排放</w:t>
            </w:r>
            <w:r>
              <w:rPr>
                <w:color w:val="auto"/>
                <w:kern w:val="24"/>
                <w:sz w:val="24"/>
              </w:rPr>
              <w:t>满足</w:t>
            </w:r>
            <w:r>
              <w:rPr>
                <w:bCs/>
                <w:color w:val="auto"/>
                <w:sz w:val="24"/>
              </w:rPr>
              <w:t>《唐山市大气污染防治工作领导小组办公室&lt;唐山市钢铁行业整治提升工作方案&gt;等10项方案的通知》（唐气领办〔2021〕15号）中附件9《唐山市铸造行业整治提升工作方案》：</w:t>
            </w:r>
            <w:r>
              <w:rPr>
                <w:color w:val="auto"/>
                <w:sz w:val="24"/>
              </w:rPr>
              <w:t>0.5mg/m</w:t>
            </w:r>
            <w:r>
              <w:rPr>
                <w:color w:val="auto"/>
                <w:sz w:val="24"/>
                <w:vertAlign w:val="superscript"/>
              </w:rPr>
              <w:t>3</w:t>
            </w:r>
            <w:r>
              <w:rPr>
                <w:rFonts w:hint="eastAsia"/>
                <w:color w:val="auto"/>
                <w:sz w:val="24"/>
              </w:rPr>
              <w:t>。</w:t>
            </w:r>
          </w:p>
          <w:p>
            <w:pPr>
              <w:spacing w:line="500" w:lineRule="exact"/>
              <w:ind w:firstLine="424" w:firstLineChars="176"/>
              <w:jc w:val="center"/>
              <w:rPr>
                <w:b/>
                <w:color w:val="auto"/>
                <w:sz w:val="24"/>
              </w:rPr>
            </w:pPr>
            <w:r>
              <w:rPr>
                <w:rFonts w:hint="eastAsia"/>
                <w:b/>
                <w:color w:val="auto"/>
                <w:sz w:val="24"/>
              </w:rPr>
              <w:t>表35    本项目废气检测计划</w:t>
            </w:r>
          </w:p>
          <w:tbl>
            <w:tblPr>
              <w:tblStyle w:val="33"/>
              <w:tblW w:w="495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03"/>
              <w:gridCol w:w="881"/>
              <w:gridCol w:w="838"/>
              <w:gridCol w:w="678"/>
              <w:gridCol w:w="4074"/>
              <w:gridCol w:w="869"/>
              <w:gridCol w:w="6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09" w:hRule="atLeast"/>
                <w:jc w:val="center"/>
              </w:trPr>
              <w:tc>
                <w:tcPr>
                  <w:tcW w:w="182" w:type="pct"/>
                  <w:vMerge w:val="restart"/>
                  <w:vAlign w:val="center"/>
                </w:tcPr>
                <w:p>
                  <w:pPr>
                    <w:jc w:val="center"/>
                    <w:rPr>
                      <w:snapToGrid w:val="0"/>
                      <w:color w:val="auto"/>
                      <w:kern w:val="0"/>
                      <w:szCs w:val="21"/>
                    </w:rPr>
                  </w:pPr>
                  <w:r>
                    <w:rPr>
                      <w:snapToGrid w:val="0"/>
                      <w:color w:val="auto"/>
                      <w:kern w:val="0"/>
                      <w:szCs w:val="21"/>
                    </w:rPr>
                    <w:t>类型</w:t>
                  </w:r>
                </w:p>
              </w:tc>
              <w:tc>
                <w:tcPr>
                  <w:tcW w:w="529" w:type="pct"/>
                  <w:vMerge w:val="restart"/>
                  <w:vAlign w:val="center"/>
                </w:tcPr>
                <w:p>
                  <w:pPr>
                    <w:jc w:val="center"/>
                    <w:rPr>
                      <w:snapToGrid w:val="0"/>
                      <w:color w:val="auto"/>
                      <w:kern w:val="0"/>
                      <w:szCs w:val="21"/>
                    </w:rPr>
                  </w:pPr>
                  <w:r>
                    <w:rPr>
                      <w:snapToGrid w:val="0"/>
                      <w:color w:val="auto"/>
                      <w:kern w:val="0"/>
                      <w:szCs w:val="21"/>
                    </w:rPr>
                    <w:t>监测点位</w:t>
                  </w:r>
                </w:p>
              </w:tc>
              <w:tc>
                <w:tcPr>
                  <w:tcW w:w="503" w:type="pct"/>
                  <w:vMerge w:val="restart"/>
                  <w:vAlign w:val="center"/>
                </w:tcPr>
                <w:p>
                  <w:pPr>
                    <w:jc w:val="center"/>
                    <w:rPr>
                      <w:snapToGrid w:val="0"/>
                      <w:color w:val="auto"/>
                      <w:kern w:val="0"/>
                      <w:szCs w:val="21"/>
                    </w:rPr>
                  </w:pPr>
                  <w:r>
                    <w:rPr>
                      <w:snapToGrid w:val="0"/>
                      <w:color w:val="auto"/>
                      <w:kern w:val="0"/>
                      <w:szCs w:val="21"/>
                    </w:rPr>
                    <w:t>数量</w:t>
                  </w:r>
                </w:p>
              </w:tc>
              <w:tc>
                <w:tcPr>
                  <w:tcW w:w="407" w:type="pct"/>
                  <w:vMerge w:val="restart"/>
                  <w:vAlign w:val="center"/>
                </w:tcPr>
                <w:p>
                  <w:pPr>
                    <w:jc w:val="center"/>
                    <w:rPr>
                      <w:snapToGrid w:val="0"/>
                      <w:color w:val="auto"/>
                      <w:kern w:val="0"/>
                      <w:szCs w:val="21"/>
                    </w:rPr>
                  </w:pPr>
                  <w:r>
                    <w:rPr>
                      <w:snapToGrid w:val="0"/>
                      <w:color w:val="auto"/>
                      <w:kern w:val="0"/>
                      <w:szCs w:val="21"/>
                    </w:rPr>
                    <w:t>监测</w:t>
                  </w:r>
                </w:p>
                <w:p>
                  <w:pPr>
                    <w:jc w:val="center"/>
                    <w:rPr>
                      <w:snapToGrid w:val="0"/>
                      <w:color w:val="auto"/>
                      <w:kern w:val="0"/>
                      <w:szCs w:val="21"/>
                    </w:rPr>
                  </w:pPr>
                  <w:r>
                    <w:rPr>
                      <w:snapToGrid w:val="0"/>
                      <w:color w:val="auto"/>
                      <w:kern w:val="0"/>
                      <w:szCs w:val="21"/>
                    </w:rPr>
                    <w:t>指标</w:t>
                  </w:r>
                </w:p>
              </w:tc>
              <w:tc>
                <w:tcPr>
                  <w:tcW w:w="2968" w:type="pct"/>
                  <w:gridSpan w:val="2"/>
                  <w:vAlign w:val="center"/>
                </w:tcPr>
                <w:p>
                  <w:pPr>
                    <w:jc w:val="center"/>
                    <w:rPr>
                      <w:snapToGrid w:val="0"/>
                      <w:color w:val="auto"/>
                      <w:kern w:val="0"/>
                      <w:szCs w:val="21"/>
                    </w:rPr>
                  </w:pPr>
                  <w:r>
                    <w:rPr>
                      <w:snapToGrid w:val="0"/>
                      <w:color w:val="auto"/>
                      <w:kern w:val="0"/>
                      <w:szCs w:val="21"/>
                    </w:rPr>
                    <w:t>执行标准及限值</w:t>
                  </w:r>
                </w:p>
              </w:tc>
              <w:tc>
                <w:tcPr>
                  <w:tcW w:w="408" w:type="pct"/>
                  <w:vMerge w:val="restart"/>
                  <w:tcBorders>
                    <w:right w:val="nil"/>
                  </w:tcBorders>
                  <w:vAlign w:val="center"/>
                </w:tcPr>
                <w:p>
                  <w:pPr>
                    <w:jc w:val="center"/>
                    <w:rPr>
                      <w:snapToGrid w:val="0"/>
                      <w:color w:val="auto"/>
                      <w:kern w:val="0"/>
                      <w:szCs w:val="21"/>
                    </w:rPr>
                  </w:pPr>
                  <w:r>
                    <w:rPr>
                      <w:snapToGrid w:val="0"/>
                      <w:color w:val="auto"/>
                      <w:kern w:val="0"/>
                      <w:szCs w:val="21"/>
                    </w:rPr>
                    <w:t>监测</w:t>
                  </w:r>
                </w:p>
                <w:p>
                  <w:pPr>
                    <w:jc w:val="center"/>
                    <w:rPr>
                      <w:snapToGrid w:val="0"/>
                      <w:color w:val="auto"/>
                      <w:kern w:val="0"/>
                      <w:szCs w:val="21"/>
                    </w:rPr>
                  </w:pPr>
                  <w:r>
                    <w:rPr>
                      <w:snapToGrid w:val="0"/>
                      <w:color w:val="auto"/>
                      <w:kern w:val="0"/>
                      <w:szCs w:val="21"/>
                    </w:rPr>
                    <w:t>频次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0" w:hRule="atLeast"/>
                <w:jc w:val="center"/>
              </w:trPr>
              <w:tc>
                <w:tcPr>
                  <w:tcW w:w="182" w:type="pct"/>
                  <w:vMerge w:val="continue"/>
                  <w:tcBorders>
                    <w:left w:val="nil"/>
                  </w:tcBorders>
                  <w:vAlign w:val="center"/>
                </w:tcPr>
                <w:p>
                  <w:pPr>
                    <w:jc w:val="center"/>
                    <w:rPr>
                      <w:snapToGrid w:val="0"/>
                      <w:color w:val="auto"/>
                      <w:kern w:val="0"/>
                      <w:szCs w:val="21"/>
                    </w:rPr>
                  </w:pPr>
                </w:p>
              </w:tc>
              <w:tc>
                <w:tcPr>
                  <w:tcW w:w="529" w:type="pct"/>
                  <w:vMerge w:val="continue"/>
                  <w:vAlign w:val="center"/>
                </w:tcPr>
                <w:p>
                  <w:pPr>
                    <w:jc w:val="center"/>
                    <w:rPr>
                      <w:snapToGrid w:val="0"/>
                      <w:color w:val="auto"/>
                      <w:kern w:val="0"/>
                      <w:szCs w:val="21"/>
                    </w:rPr>
                  </w:pPr>
                </w:p>
              </w:tc>
              <w:tc>
                <w:tcPr>
                  <w:tcW w:w="503" w:type="pct"/>
                  <w:vMerge w:val="continue"/>
                  <w:vAlign w:val="center"/>
                </w:tcPr>
                <w:p>
                  <w:pPr>
                    <w:jc w:val="center"/>
                    <w:rPr>
                      <w:snapToGrid w:val="0"/>
                      <w:color w:val="auto"/>
                      <w:kern w:val="0"/>
                      <w:szCs w:val="21"/>
                    </w:rPr>
                  </w:pPr>
                </w:p>
              </w:tc>
              <w:tc>
                <w:tcPr>
                  <w:tcW w:w="407" w:type="pct"/>
                  <w:vMerge w:val="continue"/>
                  <w:vAlign w:val="center"/>
                </w:tcPr>
                <w:p>
                  <w:pPr>
                    <w:jc w:val="center"/>
                    <w:rPr>
                      <w:snapToGrid w:val="0"/>
                      <w:color w:val="auto"/>
                      <w:kern w:val="0"/>
                      <w:szCs w:val="21"/>
                    </w:rPr>
                  </w:pPr>
                </w:p>
              </w:tc>
              <w:tc>
                <w:tcPr>
                  <w:tcW w:w="2446" w:type="pct"/>
                  <w:vAlign w:val="center"/>
                </w:tcPr>
                <w:p>
                  <w:pPr>
                    <w:jc w:val="center"/>
                    <w:rPr>
                      <w:snapToGrid w:val="0"/>
                      <w:color w:val="auto"/>
                      <w:kern w:val="0"/>
                      <w:szCs w:val="21"/>
                    </w:rPr>
                  </w:pPr>
                  <w:r>
                    <w:rPr>
                      <w:snapToGrid w:val="0"/>
                      <w:color w:val="auto"/>
                      <w:kern w:val="0"/>
                      <w:szCs w:val="21"/>
                    </w:rPr>
                    <w:t>标准</w:t>
                  </w:r>
                </w:p>
              </w:tc>
              <w:tc>
                <w:tcPr>
                  <w:tcW w:w="522" w:type="pct"/>
                  <w:vAlign w:val="center"/>
                </w:tcPr>
                <w:p>
                  <w:pPr>
                    <w:jc w:val="center"/>
                    <w:rPr>
                      <w:snapToGrid w:val="0"/>
                      <w:color w:val="auto"/>
                      <w:kern w:val="0"/>
                      <w:szCs w:val="21"/>
                    </w:rPr>
                  </w:pPr>
                  <w:r>
                    <w:rPr>
                      <w:snapToGrid w:val="0"/>
                      <w:color w:val="auto"/>
                      <w:kern w:val="0"/>
                      <w:szCs w:val="21"/>
                    </w:rPr>
                    <w:t>限值</w:t>
                  </w:r>
                </w:p>
              </w:tc>
              <w:tc>
                <w:tcPr>
                  <w:tcW w:w="408" w:type="pct"/>
                  <w:vMerge w:val="continue"/>
                  <w:tcBorders>
                    <w:right w:val="nil"/>
                  </w:tcBorders>
                  <w:vAlign w:val="center"/>
                </w:tcPr>
                <w:p>
                  <w:pPr>
                    <w:jc w:val="center"/>
                    <w:rPr>
                      <w:snapToGrid w:val="0"/>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0" w:hRule="atLeast"/>
                <w:jc w:val="center"/>
              </w:trPr>
              <w:tc>
                <w:tcPr>
                  <w:tcW w:w="182" w:type="pct"/>
                  <w:vMerge w:val="restart"/>
                  <w:tcBorders>
                    <w:left w:val="nil"/>
                  </w:tcBorders>
                  <w:vAlign w:val="center"/>
                </w:tcPr>
                <w:p>
                  <w:pPr>
                    <w:jc w:val="center"/>
                    <w:rPr>
                      <w:snapToGrid w:val="0"/>
                      <w:color w:val="auto"/>
                      <w:kern w:val="0"/>
                      <w:szCs w:val="21"/>
                    </w:rPr>
                  </w:pPr>
                  <w:r>
                    <w:rPr>
                      <w:snapToGrid w:val="0"/>
                      <w:color w:val="auto"/>
                      <w:kern w:val="0"/>
                      <w:szCs w:val="21"/>
                    </w:rPr>
                    <w:t>废气</w:t>
                  </w:r>
                </w:p>
              </w:tc>
              <w:tc>
                <w:tcPr>
                  <w:tcW w:w="529" w:type="pct"/>
                  <w:vAlign w:val="center"/>
                </w:tcPr>
                <w:p>
                  <w:pPr>
                    <w:jc w:val="center"/>
                    <w:rPr>
                      <w:snapToGrid w:val="0"/>
                      <w:color w:val="auto"/>
                      <w:kern w:val="0"/>
                      <w:szCs w:val="21"/>
                    </w:rPr>
                  </w:pPr>
                  <w:r>
                    <w:rPr>
                      <w:rFonts w:hint="eastAsia"/>
                      <w:snapToGrid w:val="0"/>
                      <w:color w:val="auto"/>
                      <w:kern w:val="0"/>
                      <w:szCs w:val="21"/>
                    </w:rPr>
                    <w:t>DA001</w:t>
                  </w:r>
                </w:p>
              </w:tc>
              <w:tc>
                <w:tcPr>
                  <w:tcW w:w="503" w:type="pct"/>
                  <w:vAlign w:val="center"/>
                </w:tcPr>
                <w:p>
                  <w:pPr>
                    <w:jc w:val="center"/>
                    <w:rPr>
                      <w:snapToGrid w:val="0"/>
                      <w:color w:val="auto"/>
                      <w:kern w:val="0"/>
                      <w:szCs w:val="21"/>
                    </w:rPr>
                  </w:pPr>
                  <w:r>
                    <w:rPr>
                      <w:rFonts w:hint="eastAsia"/>
                      <w:snapToGrid w:val="0"/>
                      <w:color w:val="auto"/>
                      <w:kern w:val="0"/>
                      <w:szCs w:val="21"/>
                    </w:rPr>
                    <w:t>1</w:t>
                  </w:r>
                </w:p>
              </w:tc>
              <w:tc>
                <w:tcPr>
                  <w:tcW w:w="407" w:type="pct"/>
                  <w:vAlign w:val="center"/>
                </w:tcPr>
                <w:p>
                  <w:pPr>
                    <w:jc w:val="center"/>
                    <w:rPr>
                      <w:snapToGrid w:val="0"/>
                      <w:color w:val="auto"/>
                      <w:kern w:val="0"/>
                      <w:szCs w:val="21"/>
                    </w:rPr>
                  </w:pPr>
                  <w:r>
                    <w:rPr>
                      <w:rFonts w:hint="eastAsia"/>
                      <w:snapToGrid w:val="0"/>
                      <w:color w:val="auto"/>
                      <w:kern w:val="0"/>
                      <w:szCs w:val="21"/>
                    </w:rPr>
                    <w:t>PM</w:t>
                  </w:r>
                  <w:r>
                    <w:rPr>
                      <w:rFonts w:hint="eastAsia"/>
                      <w:snapToGrid w:val="0"/>
                      <w:color w:val="auto"/>
                      <w:kern w:val="0"/>
                      <w:szCs w:val="21"/>
                      <w:vertAlign w:val="subscript"/>
                    </w:rPr>
                    <w:t>10</w:t>
                  </w:r>
                </w:p>
              </w:tc>
              <w:tc>
                <w:tcPr>
                  <w:tcW w:w="2446" w:type="pct"/>
                  <w:vAlign w:val="center"/>
                </w:tcPr>
                <w:p>
                  <w:pPr>
                    <w:jc w:val="center"/>
                    <w:rPr>
                      <w:snapToGrid w:val="0"/>
                      <w:color w:val="auto"/>
                      <w:kern w:val="0"/>
                      <w:szCs w:val="21"/>
                    </w:rPr>
                  </w:pPr>
                  <w:r>
                    <w:rPr>
                      <w:bCs/>
                      <w:color w:val="auto"/>
                      <w:szCs w:val="21"/>
                    </w:rPr>
                    <w:t>《铸造工业大气污染物排放标准》（GB 39726—2020）表1/《唐山市大气污染防治工作领导小组办公室&lt;唐山市钢铁行业整治提升工作方案&gt;等10项方案的通知》（唐气领办〔2021〕15号）中附件9《唐山市铸造行业整治提升工作方案》相关标准要求</w:t>
                  </w:r>
                </w:p>
              </w:tc>
              <w:tc>
                <w:tcPr>
                  <w:tcW w:w="522" w:type="pct"/>
                  <w:vAlign w:val="center"/>
                </w:tcPr>
                <w:p>
                  <w:pPr>
                    <w:jc w:val="center"/>
                    <w:rPr>
                      <w:snapToGrid w:val="0"/>
                      <w:color w:val="auto"/>
                      <w:kern w:val="0"/>
                      <w:szCs w:val="21"/>
                    </w:rPr>
                  </w:pPr>
                  <w:r>
                    <w:rPr>
                      <w:rFonts w:hint="eastAsia"/>
                      <w:snapToGrid w:val="0"/>
                      <w:color w:val="auto"/>
                      <w:kern w:val="0"/>
                      <w:szCs w:val="21"/>
                    </w:rPr>
                    <w:t>10</w:t>
                  </w:r>
                  <w:r>
                    <w:rPr>
                      <w:color w:val="auto"/>
                      <w:szCs w:val="21"/>
                    </w:rPr>
                    <w:t>mg/m</w:t>
                  </w:r>
                  <w:r>
                    <w:rPr>
                      <w:color w:val="auto"/>
                      <w:szCs w:val="21"/>
                      <w:vertAlign w:val="superscript"/>
                    </w:rPr>
                    <w:t>3</w:t>
                  </w:r>
                </w:p>
              </w:tc>
              <w:tc>
                <w:tcPr>
                  <w:tcW w:w="408" w:type="pct"/>
                  <w:tcBorders>
                    <w:right w:val="nil"/>
                  </w:tcBorders>
                  <w:vAlign w:val="center"/>
                </w:tcPr>
                <w:p>
                  <w:pPr>
                    <w:jc w:val="center"/>
                    <w:rPr>
                      <w:snapToGrid w:val="0"/>
                      <w:color w:val="auto"/>
                      <w:kern w:val="0"/>
                      <w:szCs w:val="21"/>
                    </w:rPr>
                  </w:pPr>
                  <w:r>
                    <w:rPr>
                      <w:color w:val="auto"/>
                      <w:szCs w:val="21"/>
                    </w:rPr>
                    <w:t>1次/</w:t>
                  </w:r>
                  <w:r>
                    <w:rPr>
                      <w:rFonts w:hint="eastAsia"/>
                      <w:color w:val="auto"/>
                      <w:szCs w:val="21"/>
                    </w:rPr>
                    <w:t>半</w:t>
                  </w:r>
                  <w:r>
                    <w:rPr>
                      <w:color w:val="auto"/>
                      <w:szCs w:val="21"/>
                    </w:rPr>
                    <w:t>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0" w:hRule="atLeast"/>
                <w:jc w:val="center"/>
              </w:trPr>
              <w:tc>
                <w:tcPr>
                  <w:tcW w:w="182" w:type="pct"/>
                  <w:vMerge w:val="continue"/>
                  <w:tcBorders>
                    <w:left w:val="nil"/>
                  </w:tcBorders>
                  <w:vAlign w:val="center"/>
                </w:tcPr>
                <w:p>
                  <w:pPr>
                    <w:jc w:val="center"/>
                    <w:rPr>
                      <w:snapToGrid w:val="0"/>
                      <w:color w:val="auto"/>
                      <w:kern w:val="0"/>
                      <w:szCs w:val="21"/>
                    </w:rPr>
                  </w:pPr>
                </w:p>
              </w:tc>
              <w:tc>
                <w:tcPr>
                  <w:tcW w:w="529" w:type="pct"/>
                  <w:vAlign w:val="center"/>
                </w:tcPr>
                <w:p>
                  <w:pPr>
                    <w:jc w:val="center"/>
                    <w:rPr>
                      <w:snapToGrid w:val="0"/>
                      <w:color w:val="auto"/>
                      <w:kern w:val="0"/>
                      <w:szCs w:val="21"/>
                    </w:rPr>
                  </w:pPr>
                  <w:r>
                    <w:rPr>
                      <w:rFonts w:hint="eastAsia"/>
                      <w:snapToGrid w:val="0"/>
                      <w:color w:val="auto"/>
                      <w:kern w:val="0"/>
                      <w:szCs w:val="21"/>
                    </w:rPr>
                    <w:t>DA002</w:t>
                  </w:r>
                </w:p>
              </w:tc>
              <w:tc>
                <w:tcPr>
                  <w:tcW w:w="503" w:type="pct"/>
                  <w:vAlign w:val="center"/>
                </w:tcPr>
                <w:p>
                  <w:pPr>
                    <w:jc w:val="center"/>
                    <w:rPr>
                      <w:snapToGrid w:val="0"/>
                      <w:color w:val="auto"/>
                      <w:kern w:val="0"/>
                      <w:szCs w:val="21"/>
                    </w:rPr>
                  </w:pPr>
                  <w:r>
                    <w:rPr>
                      <w:rFonts w:hint="eastAsia"/>
                      <w:snapToGrid w:val="0"/>
                      <w:color w:val="auto"/>
                      <w:kern w:val="0"/>
                      <w:szCs w:val="21"/>
                    </w:rPr>
                    <w:t>1</w:t>
                  </w:r>
                </w:p>
              </w:tc>
              <w:tc>
                <w:tcPr>
                  <w:tcW w:w="407" w:type="pct"/>
                  <w:vAlign w:val="center"/>
                </w:tcPr>
                <w:p>
                  <w:pPr>
                    <w:jc w:val="center"/>
                    <w:rPr>
                      <w:snapToGrid w:val="0"/>
                      <w:color w:val="auto"/>
                      <w:kern w:val="0"/>
                      <w:szCs w:val="21"/>
                    </w:rPr>
                  </w:pPr>
                  <w:r>
                    <w:rPr>
                      <w:rFonts w:hint="eastAsia"/>
                      <w:snapToGrid w:val="0"/>
                      <w:color w:val="auto"/>
                      <w:kern w:val="0"/>
                      <w:szCs w:val="21"/>
                    </w:rPr>
                    <w:t>PM</w:t>
                  </w:r>
                  <w:r>
                    <w:rPr>
                      <w:rFonts w:hint="eastAsia"/>
                      <w:snapToGrid w:val="0"/>
                      <w:color w:val="auto"/>
                      <w:kern w:val="0"/>
                      <w:szCs w:val="21"/>
                      <w:vertAlign w:val="subscript"/>
                    </w:rPr>
                    <w:t>10</w:t>
                  </w:r>
                </w:p>
              </w:tc>
              <w:tc>
                <w:tcPr>
                  <w:tcW w:w="2446" w:type="pct"/>
                  <w:vAlign w:val="center"/>
                </w:tcPr>
                <w:p>
                  <w:pPr>
                    <w:jc w:val="center"/>
                    <w:rPr>
                      <w:snapToGrid w:val="0"/>
                      <w:color w:val="auto"/>
                      <w:kern w:val="0"/>
                      <w:szCs w:val="21"/>
                    </w:rPr>
                  </w:pPr>
                  <w:r>
                    <w:rPr>
                      <w:bCs/>
                      <w:color w:val="auto"/>
                      <w:szCs w:val="21"/>
                    </w:rPr>
                    <w:t>《铸造工业大气污染物排放标准》（GB 39726—2020）表1/《唐山市大气污染防治工作领导小组办公室&lt;唐山市钢铁行业整治提升工作方案&gt;等10项方案的通知》（唐气领办〔2021〕15号）中附件9《唐山市铸造行业整治提升工作方案》相关标准要求</w:t>
                  </w:r>
                </w:p>
              </w:tc>
              <w:tc>
                <w:tcPr>
                  <w:tcW w:w="522" w:type="pct"/>
                  <w:vAlign w:val="center"/>
                </w:tcPr>
                <w:p>
                  <w:pPr>
                    <w:jc w:val="center"/>
                    <w:rPr>
                      <w:snapToGrid w:val="0"/>
                      <w:color w:val="auto"/>
                      <w:kern w:val="0"/>
                      <w:szCs w:val="21"/>
                    </w:rPr>
                  </w:pPr>
                  <w:r>
                    <w:rPr>
                      <w:rFonts w:hint="eastAsia"/>
                      <w:snapToGrid w:val="0"/>
                      <w:color w:val="auto"/>
                      <w:kern w:val="0"/>
                      <w:szCs w:val="21"/>
                    </w:rPr>
                    <w:t>10</w:t>
                  </w:r>
                  <w:r>
                    <w:rPr>
                      <w:color w:val="auto"/>
                      <w:szCs w:val="21"/>
                    </w:rPr>
                    <w:t>mg/m</w:t>
                  </w:r>
                  <w:r>
                    <w:rPr>
                      <w:color w:val="auto"/>
                      <w:szCs w:val="21"/>
                      <w:vertAlign w:val="superscript"/>
                    </w:rPr>
                    <w:t>3</w:t>
                  </w:r>
                </w:p>
              </w:tc>
              <w:tc>
                <w:tcPr>
                  <w:tcW w:w="408" w:type="pct"/>
                  <w:tcBorders>
                    <w:right w:val="nil"/>
                  </w:tcBorders>
                  <w:vAlign w:val="center"/>
                </w:tcPr>
                <w:p>
                  <w:pPr>
                    <w:jc w:val="center"/>
                    <w:rPr>
                      <w:snapToGrid w:val="0"/>
                      <w:color w:val="auto"/>
                      <w:kern w:val="0"/>
                      <w:szCs w:val="21"/>
                    </w:rPr>
                  </w:pPr>
                  <w:r>
                    <w:rPr>
                      <w:color w:val="auto"/>
                      <w:szCs w:val="21"/>
                    </w:rPr>
                    <w:t>1次/</w:t>
                  </w:r>
                  <w:r>
                    <w:rPr>
                      <w:rFonts w:hint="eastAsia"/>
                      <w:color w:val="auto"/>
                      <w:szCs w:val="21"/>
                    </w:rPr>
                    <w:t>半</w:t>
                  </w:r>
                  <w:r>
                    <w:rPr>
                      <w:color w:val="auto"/>
                      <w:szCs w:val="21"/>
                    </w:rPr>
                    <w:t>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1" w:hRule="atLeast"/>
                <w:jc w:val="center"/>
              </w:trPr>
              <w:tc>
                <w:tcPr>
                  <w:tcW w:w="182" w:type="pct"/>
                  <w:vMerge w:val="continue"/>
                  <w:tcBorders>
                    <w:left w:val="nil"/>
                  </w:tcBorders>
                  <w:vAlign w:val="center"/>
                </w:tcPr>
                <w:p>
                  <w:pPr>
                    <w:jc w:val="center"/>
                    <w:rPr>
                      <w:snapToGrid w:val="0"/>
                      <w:color w:val="auto"/>
                      <w:kern w:val="0"/>
                      <w:szCs w:val="21"/>
                    </w:rPr>
                  </w:pPr>
                </w:p>
              </w:tc>
              <w:tc>
                <w:tcPr>
                  <w:tcW w:w="529" w:type="pct"/>
                  <w:vAlign w:val="center"/>
                </w:tcPr>
                <w:p>
                  <w:pPr>
                    <w:jc w:val="center"/>
                    <w:rPr>
                      <w:snapToGrid w:val="0"/>
                      <w:color w:val="auto"/>
                      <w:kern w:val="0"/>
                      <w:szCs w:val="21"/>
                    </w:rPr>
                  </w:pPr>
                  <w:r>
                    <w:rPr>
                      <w:snapToGrid w:val="0"/>
                      <w:color w:val="auto"/>
                      <w:kern w:val="0"/>
                      <w:szCs w:val="21"/>
                    </w:rPr>
                    <w:t xml:space="preserve">厂界 </w:t>
                  </w:r>
                </w:p>
              </w:tc>
              <w:tc>
                <w:tcPr>
                  <w:tcW w:w="503" w:type="pct"/>
                  <w:vAlign w:val="center"/>
                </w:tcPr>
                <w:p>
                  <w:pPr>
                    <w:jc w:val="center"/>
                    <w:rPr>
                      <w:snapToGrid w:val="0"/>
                      <w:color w:val="auto"/>
                      <w:kern w:val="0"/>
                      <w:szCs w:val="21"/>
                    </w:rPr>
                  </w:pPr>
                  <w:r>
                    <w:rPr>
                      <w:snapToGrid w:val="0"/>
                      <w:color w:val="auto"/>
                      <w:kern w:val="0"/>
                      <w:szCs w:val="21"/>
                    </w:rPr>
                    <w:t>上风向1个点，下风向3个点</w:t>
                  </w:r>
                </w:p>
              </w:tc>
              <w:tc>
                <w:tcPr>
                  <w:tcW w:w="407" w:type="pct"/>
                  <w:vAlign w:val="center"/>
                </w:tcPr>
                <w:p>
                  <w:pPr>
                    <w:jc w:val="center"/>
                    <w:rPr>
                      <w:snapToGrid w:val="0"/>
                      <w:color w:val="auto"/>
                      <w:kern w:val="0"/>
                      <w:szCs w:val="21"/>
                    </w:rPr>
                  </w:pPr>
                  <w:r>
                    <w:rPr>
                      <w:snapToGrid w:val="0"/>
                      <w:color w:val="auto"/>
                      <w:kern w:val="0"/>
                      <w:szCs w:val="21"/>
                    </w:rPr>
                    <w:t>TSP</w:t>
                  </w:r>
                </w:p>
              </w:tc>
              <w:tc>
                <w:tcPr>
                  <w:tcW w:w="2446" w:type="pct"/>
                  <w:vAlign w:val="center"/>
                </w:tcPr>
                <w:p>
                  <w:pPr>
                    <w:jc w:val="center"/>
                    <w:rPr>
                      <w:color w:val="auto"/>
                      <w:szCs w:val="21"/>
                    </w:rPr>
                  </w:pPr>
                  <w:r>
                    <w:rPr>
                      <w:bCs/>
                      <w:color w:val="auto"/>
                      <w:szCs w:val="21"/>
                    </w:rPr>
                    <w:t>《唐山市大气污染防治工作领导小组办公室&lt;唐山市钢铁行业整治提升工作方案&gt;等10项方案的通知》（唐气领办〔2021〕15号）中附件9《唐山市铸造行业整治提升工作方案》</w:t>
                  </w:r>
                </w:p>
              </w:tc>
              <w:tc>
                <w:tcPr>
                  <w:tcW w:w="522" w:type="pct"/>
                  <w:vAlign w:val="center"/>
                </w:tcPr>
                <w:p>
                  <w:pPr>
                    <w:jc w:val="center"/>
                    <w:rPr>
                      <w:snapToGrid w:val="0"/>
                      <w:color w:val="auto"/>
                      <w:kern w:val="0"/>
                      <w:szCs w:val="21"/>
                    </w:rPr>
                  </w:pPr>
                  <w:r>
                    <w:rPr>
                      <w:rFonts w:hint="eastAsia"/>
                      <w:color w:val="auto"/>
                      <w:szCs w:val="21"/>
                    </w:rPr>
                    <w:t>0.5</w:t>
                  </w:r>
                  <w:r>
                    <w:rPr>
                      <w:color w:val="auto"/>
                      <w:szCs w:val="21"/>
                    </w:rPr>
                    <w:t>mg/m</w:t>
                  </w:r>
                  <w:r>
                    <w:rPr>
                      <w:color w:val="auto"/>
                      <w:szCs w:val="21"/>
                      <w:vertAlign w:val="superscript"/>
                    </w:rPr>
                    <w:t>3</w:t>
                  </w:r>
                </w:p>
              </w:tc>
              <w:tc>
                <w:tcPr>
                  <w:tcW w:w="408" w:type="pct"/>
                  <w:tcBorders>
                    <w:right w:val="nil"/>
                  </w:tcBorders>
                  <w:vAlign w:val="center"/>
                </w:tcPr>
                <w:p>
                  <w:pPr>
                    <w:jc w:val="center"/>
                    <w:rPr>
                      <w:snapToGrid w:val="0"/>
                      <w:color w:val="auto"/>
                      <w:kern w:val="0"/>
                      <w:szCs w:val="21"/>
                    </w:rPr>
                  </w:pPr>
                  <w:r>
                    <w:rPr>
                      <w:snapToGrid w:val="0"/>
                      <w:color w:val="auto"/>
                      <w:kern w:val="0"/>
                      <w:szCs w:val="21"/>
                    </w:rPr>
                    <w:t>1次/</w:t>
                  </w:r>
                  <w:r>
                    <w:rPr>
                      <w:rFonts w:hint="eastAsia"/>
                      <w:snapToGrid w:val="0"/>
                      <w:color w:val="auto"/>
                      <w:kern w:val="0"/>
                      <w:szCs w:val="21"/>
                    </w:rPr>
                    <w:t>半</w:t>
                  </w:r>
                  <w:r>
                    <w:rPr>
                      <w:snapToGrid w:val="0"/>
                      <w:color w:val="auto"/>
                      <w:kern w:val="0"/>
                      <w:szCs w:val="21"/>
                    </w:rPr>
                    <w:t>年</w:t>
                  </w:r>
                </w:p>
              </w:tc>
            </w:tr>
          </w:tbl>
          <w:p>
            <w:pPr>
              <w:spacing w:line="500" w:lineRule="exact"/>
              <w:ind w:firstLine="480" w:firstLineChars="200"/>
              <w:rPr>
                <w:color w:val="auto"/>
                <w:sz w:val="24"/>
                <w:szCs w:val="22"/>
              </w:rPr>
            </w:pPr>
            <w:r>
              <w:rPr>
                <w:rFonts w:hint="eastAsia"/>
                <w:color w:val="auto"/>
                <w:sz w:val="24"/>
                <w:szCs w:val="22"/>
              </w:rPr>
              <w:t>（3）倍量削减</w:t>
            </w:r>
          </w:p>
          <w:p>
            <w:pPr>
              <w:spacing w:line="500" w:lineRule="exact"/>
              <w:ind w:firstLine="480" w:firstLineChars="200"/>
              <w:rPr>
                <w:color w:val="auto"/>
                <w:sz w:val="24"/>
                <w:szCs w:val="22"/>
              </w:rPr>
            </w:pPr>
            <w:r>
              <w:rPr>
                <w:rFonts w:hint="eastAsia"/>
                <w:color w:val="auto"/>
                <w:sz w:val="24"/>
                <w:szCs w:val="22"/>
              </w:rPr>
              <w:t>经分析，本项目颗粒物新增排</w:t>
            </w:r>
            <w:r>
              <w:rPr>
                <w:rFonts w:hint="eastAsia"/>
                <w:color w:val="auto"/>
                <w:sz w:val="24"/>
                <w:szCs w:val="22"/>
                <w:lang w:val="en-US" w:eastAsia="zh-CN"/>
              </w:rPr>
              <w:t>有组织</w:t>
            </w:r>
            <w:r>
              <w:rPr>
                <w:rFonts w:hint="eastAsia"/>
                <w:color w:val="auto"/>
                <w:sz w:val="24"/>
                <w:szCs w:val="22"/>
              </w:rPr>
              <w:t>放量为</w:t>
            </w:r>
            <w:r>
              <w:rPr>
                <w:rFonts w:hint="eastAsia"/>
                <w:color w:val="auto"/>
                <w:sz w:val="24"/>
                <w:szCs w:val="22"/>
                <w:lang w:val="en-US" w:eastAsia="zh-CN"/>
              </w:rPr>
              <w:t>0.398</w:t>
            </w:r>
            <w:r>
              <w:rPr>
                <w:rFonts w:hint="eastAsia"/>
                <w:color w:val="auto"/>
                <w:sz w:val="24"/>
                <w:szCs w:val="22"/>
              </w:rPr>
              <w:t>t/a，需削减量为</w:t>
            </w:r>
            <w:r>
              <w:rPr>
                <w:rFonts w:hint="eastAsia"/>
                <w:color w:val="auto"/>
                <w:sz w:val="24"/>
                <w:szCs w:val="22"/>
                <w:lang w:eastAsia="zh-CN"/>
              </w:rPr>
              <w:t>0.796</w:t>
            </w:r>
            <w:r>
              <w:rPr>
                <w:rFonts w:hint="eastAsia"/>
                <w:color w:val="auto"/>
                <w:sz w:val="24"/>
                <w:szCs w:val="22"/>
              </w:rPr>
              <w:t>t/a。</w:t>
            </w:r>
          </w:p>
          <w:p>
            <w:pPr>
              <w:spacing w:line="480" w:lineRule="exact"/>
              <w:ind w:firstLine="480" w:firstLineChars="200"/>
              <w:rPr>
                <w:color w:val="auto"/>
                <w:sz w:val="24"/>
              </w:rPr>
            </w:pPr>
            <w:r>
              <w:rPr>
                <w:color w:val="auto"/>
                <w:sz w:val="24"/>
              </w:rPr>
              <w:t>（</w:t>
            </w:r>
            <w:r>
              <w:rPr>
                <w:rFonts w:hint="eastAsia"/>
                <w:color w:val="auto"/>
                <w:sz w:val="24"/>
              </w:rPr>
              <w:t>4</w:t>
            </w:r>
            <w:r>
              <w:rPr>
                <w:color w:val="auto"/>
                <w:sz w:val="24"/>
              </w:rPr>
              <w:t>）非正常工况</w:t>
            </w:r>
          </w:p>
          <w:p>
            <w:pPr>
              <w:adjustRightInd w:val="0"/>
              <w:snapToGrid w:val="0"/>
              <w:spacing w:line="480" w:lineRule="exact"/>
              <w:ind w:firstLine="480" w:firstLineChars="200"/>
              <w:rPr>
                <w:color w:val="auto"/>
                <w:sz w:val="24"/>
              </w:rPr>
            </w:pPr>
            <w:r>
              <w:rPr>
                <w:color w:val="auto"/>
                <w:sz w:val="24"/>
              </w:rPr>
              <w:t>废气非正常工况</w:t>
            </w:r>
            <w:r>
              <w:rPr>
                <w:rFonts w:hint="eastAsia"/>
                <w:color w:val="auto"/>
                <w:sz w:val="24"/>
              </w:rPr>
              <w:t>考虑污染物种类多、排放量较大的砂处理废气</w:t>
            </w:r>
            <w:r>
              <w:rPr>
                <w:rFonts w:hint="eastAsia" w:ascii="宋体" w:hAnsi="宋体" w:cs="宋体"/>
                <w:color w:val="auto"/>
                <w:sz w:val="24"/>
              </w:rPr>
              <w:t>处理系统</w:t>
            </w:r>
            <w:r>
              <w:rPr>
                <w:color w:val="auto"/>
                <w:sz w:val="24"/>
              </w:rPr>
              <w:t>出现事故，</w:t>
            </w:r>
            <w:r>
              <w:rPr>
                <w:rFonts w:hint="eastAsia"/>
                <w:color w:val="auto"/>
                <w:sz w:val="24"/>
              </w:rPr>
              <w:t>废气</w:t>
            </w:r>
            <w:r>
              <w:rPr>
                <w:color w:val="auto"/>
                <w:sz w:val="24"/>
              </w:rPr>
              <w:t>净化效率为零，</w:t>
            </w:r>
            <w:r>
              <w:rPr>
                <w:rFonts w:hint="eastAsia"/>
                <w:color w:val="auto"/>
                <w:sz w:val="24"/>
              </w:rPr>
              <w:t>废气</w:t>
            </w:r>
            <w:r>
              <w:rPr>
                <w:color w:val="auto"/>
                <w:sz w:val="24"/>
              </w:rPr>
              <w:t>直排烟囱(事故排放按1h考虑)，大气污染物按原始产生浓度排出，预计发现非正常情况后立即停产，其非正常工况时的源强见表</w:t>
            </w:r>
            <w:r>
              <w:rPr>
                <w:rFonts w:hint="eastAsia"/>
                <w:color w:val="auto"/>
                <w:sz w:val="24"/>
              </w:rPr>
              <w:t>29</w:t>
            </w:r>
            <w:r>
              <w:rPr>
                <w:color w:val="auto"/>
                <w:sz w:val="24"/>
              </w:rPr>
              <w:t>。</w:t>
            </w:r>
          </w:p>
          <w:p>
            <w:pPr>
              <w:spacing w:line="480" w:lineRule="exact"/>
              <w:ind w:firstLine="480" w:firstLineChars="200"/>
              <w:rPr>
                <w:color w:val="auto"/>
                <w:sz w:val="24"/>
              </w:rPr>
            </w:pPr>
            <w:r>
              <w:rPr>
                <w:color w:val="auto"/>
                <w:sz w:val="24"/>
              </w:rPr>
              <w:t>（</w:t>
            </w:r>
            <w:r>
              <w:rPr>
                <w:rFonts w:hint="eastAsia"/>
                <w:color w:val="auto"/>
                <w:sz w:val="24"/>
              </w:rPr>
              <w:t>5</w:t>
            </w:r>
            <w:r>
              <w:rPr>
                <w:color w:val="auto"/>
                <w:sz w:val="24"/>
              </w:rPr>
              <w:t>）污染治理设施技术可行性</w:t>
            </w:r>
          </w:p>
          <w:p>
            <w:pPr>
              <w:pStyle w:val="2"/>
              <w:spacing w:line="480" w:lineRule="exact"/>
              <w:ind w:firstLine="480"/>
              <w:rPr>
                <w:rFonts w:ascii="Times New Roman" w:hAnsi="Times New Roman"/>
                <w:color w:val="auto"/>
                <w:sz w:val="24"/>
              </w:rPr>
            </w:pPr>
            <w:r>
              <w:rPr>
                <w:rFonts w:ascii="Times New Roman" w:hAnsi="Times New Roman"/>
                <w:color w:val="auto"/>
                <w:sz w:val="24"/>
              </w:rPr>
              <w:t>本项目颗粒物废气采用脉冲袋式除尘器处理</w:t>
            </w:r>
            <w:r>
              <w:rPr>
                <w:rFonts w:hint="eastAsia" w:ascii="Times New Roman" w:hAnsi="Times New Roman"/>
                <w:color w:val="auto"/>
                <w:sz w:val="24"/>
              </w:rPr>
              <w:t>（布袋选用覆膜材质）</w:t>
            </w:r>
            <w:r>
              <w:rPr>
                <w:rFonts w:ascii="Times New Roman" w:hAnsi="Times New Roman"/>
                <w:color w:val="auto"/>
                <w:sz w:val="24"/>
              </w:rPr>
              <w:t>，属于《排污许可证申请与核发技术规范 金属铸造工业》（HJ1115-2020）</w:t>
            </w:r>
            <w:r>
              <w:rPr>
                <w:rFonts w:hint="eastAsia" w:ascii="Times New Roman" w:hAnsi="Times New Roman"/>
                <w:color w:val="auto"/>
                <w:sz w:val="24"/>
              </w:rPr>
              <w:t>及《铸造工业大气污染防治可行技术指南》（HJ1292-2023）</w:t>
            </w:r>
            <w:r>
              <w:rPr>
                <w:rFonts w:ascii="Times New Roman" w:hAnsi="Times New Roman"/>
                <w:color w:val="auto"/>
                <w:sz w:val="24"/>
              </w:rPr>
              <w:t>推荐的可行技术。</w:t>
            </w:r>
          </w:p>
          <w:p>
            <w:pPr>
              <w:spacing w:line="480" w:lineRule="exact"/>
              <w:ind w:firstLine="480" w:firstLineChars="200"/>
              <w:rPr>
                <w:color w:val="auto"/>
                <w:sz w:val="24"/>
              </w:rPr>
            </w:pPr>
            <w:r>
              <w:rPr>
                <w:color w:val="auto"/>
                <w:sz w:val="24"/>
              </w:rPr>
              <w:t>（</w:t>
            </w:r>
            <w:r>
              <w:rPr>
                <w:rFonts w:hint="eastAsia"/>
                <w:color w:val="auto"/>
                <w:sz w:val="24"/>
              </w:rPr>
              <w:t>6</w:t>
            </w:r>
            <w:r>
              <w:rPr>
                <w:color w:val="auto"/>
                <w:sz w:val="24"/>
              </w:rPr>
              <w:t>）环境影响分析</w:t>
            </w:r>
          </w:p>
          <w:p>
            <w:pPr>
              <w:pStyle w:val="2"/>
              <w:spacing w:line="480" w:lineRule="exact"/>
              <w:ind w:firstLine="480"/>
              <w:rPr>
                <w:rFonts w:ascii="Times New Roman" w:hAnsi="Times New Roman"/>
                <w:color w:val="auto"/>
                <w:sz w:val="24"/>
              </w:rPr>
            </w:pPr>
            <w:r>
              <w:rPr>
                <w:rFonts w:hint="eastAsia" w:ascii="Times New Roman" w:hAnsi="Times New Roman"/>
                <w:color w:val="auto"/>
                <w:sz w:val="24"/>
                <w:szCs w:val="24"/>
              </w:rPr>
              <w:t>本项目</w:t>
            </w:r>
            <w:r>
              <w:rPr>
                <w:rFonts w:ascii="Times New Roman" w:hAnsi="Times New Roman"/>
                <w:color w:val="auto"/>
                <w:sz w:val="24"/>
                <w:szCs w:val="24"/>
              </w:rPr>
              <w:t>位于不达标区，</w:t>
            </w:r>
            <w:r>
              <w:rPr>
                <w:rFonts w:ascii="Times New Roman" w:hAnsi="Times New Roman"/>
                <w:bCs/>
                <w:color w:val="auto"/>
                <w:sz w:val="24"/>
              </w:rPr>
              <w:t>根据《关于落实大气污染防治行动计划严格环境影响评价准入的通知》(环办[2014]30号)等文件的要求，</w:t>
            </w:r>
            <w:r>
              <w:rPr>
                <w:rFonts w:hint="eastAsia" w:ascii="Times New Roman" w:hAnsi="Times New Roman"/>
                <w:color w:val="auto"/>
                <w:sz w:val="24"/>
              </w:rPr>
              <w:t>本项目应落实</w:t>
            </w:r>
            <w:r>
              <w:rPr>
                <w:rFonts w:ascii="Times New Roman" w:hAnsi="Times New Roman"/>
                <w:color w:val="auto"/>
                <w:sz w:val="24"/>
              </w:rPr>
              <w:t>现役源</w:t>
            </w:r>
            <w:r>
              <w:rPr>
                <w:rFonts w:hint="eastAsia" w:ascii="Times New Roman" w:hAnsi="Times New Roman"/>
                <w:color w:val="auto"/>
                <w:sz w:val="24"/>
              </w:rPr>
              <w:t>倍量</w:t>
            </w:r>
            <w:r>
              <w:rPr>
                <w:rFonts w:ascii="Times New Roman" w:hAnsi="Times New Roman"/>
                <w:color w:val="auto"/>
                <w:sz w:val="24"/>
              </w:rPr>
              <w:t>削减替代</w:t>
            </w:r>
            <w:r>
              <w:rPr>
                <w:rFonts w:hint="eastAsia" w:ascii="Times New Roman" w:hAnsi="Times New Roman"/>
                <w:color w:val="auto"/>
                <w:sz w:val="24"/>
              </w:rPr>
              <w:t>方案</w:t>
            </w:r>
            <w:r>
              <w:rPr>
                <w:rFonts w:ascii="Times New Roman" w:hAnsi="Times New Roman"/>
                <w:color w:val="auto"/>
                <w:sz w:val="24"/>
              </w:rPr>
              <w:t>，通过</w:t>
            </w:r>
            <w:r>
              <w:rPr>
                <w:rFonts w:hint="eastAsia" w:ascii="Times New Roman" w:hAnsi="Times New Roman"/>
                <w:color w:val="auto"/>
                <w:sz w:val="24"/>
              </w:rPr>
              <w:t>落实本项目特征污染物</w:t>
            </w:r>
            <w:r>
              <w:rPr>
                <w:rFonts w:hint="eastAsia" w:ascii="Times New Roman" w:hAnsi="Times New Roman"/>
                <w:color w:val="auto"/>
                <w:sz w:val="24"/>
                <w:szCs w:val="24"/>
              </w:rPr>
              <w:t>颗粒物</w:t>
            </w:r>
            <w:r>
              <w:rPr>
                <w:rFonts w:ascii="Times New Roman" w:hAnsi="Times New Roman"/>
                <w:color w:val="auto"/>
                <w:sz w:val="24"/>
              </w:rPr>
              <w:t>倍量削减，可在一定程度上改善区域环境质量，同时本项目</w:t>
            </w:r>
            <w:r>
              <w:rPr>
                <w:rFonts w:hint="eastAsia" w:ascii="Times New Roman" w:hAnsi="Times New Roman"/>
                <w:color w:val="auto"/>
                <w:sz w:val="24"/>
                <w:szCs w:val="24"/>
              </w:rPr>
              <w:t>均采取有效措施处理后排放，</w:t>
            </w:r>
            <w:r>
              <w:rPr>
                <w:rFonts w:ascii="Times New Roman" w:hAnsi="Times New Roman"/>
                <w:color w:val="auto"/>
                <w:sz w:val="24"/>
              </w:rPr>
              <w:t>可有效降低本项目污染物排放量，本项目实施后对周围环境的影响是可接受的。</w:t>
            </w:r>
          </w:p>
          <w:p>
            <w:pPr>
              <w:spacing w:line="480" w:lineRule="exact"/>
              <w:ind w:firstLine="482" w:firstLineChars="200"/>
              <w:rPr>
                <w:b/>
                <w:bCs/>
                <w:color w:val="auto"/>
                <w:sz w:val="24"/>
              </w:rPr>
            </w:pPr>
            <w:r>
              <w:rPr>
                <w:b/>
                <w:bCs/>
                <w:color w:val="auto"/>
                <w:sz w:val="24"/>
              </w:rPr>
              <w:t>二、水环境影响分析</w:t>
            </w:r>
          </w:p>
          <w:p>
            <w:pPr>
              <w:tabs>
                <w:tab w:val="left" w:pos="567"/>
              </w:tabs>
              <w:snapToGrid w:val="0"/>
              <w:spacing w:line="480" w:lineRule="exact"/>
              <w:ind w:firstLine="480" w:firstLineChars="200"/>
              <w:rPr>
                <w:bCs/>
                <w:color w:val="auto"/>
                <w:kern w:val="24"/>
                <w:sz w:val="24"/>
              </w:rPr>
            </w:pPr>
            <w:r>
              <w:rPr>
                <w:rFonts w:ascii="宋体" w:hAnsi="宋体"/>
                <w:color w:val="auto"/>
                <w:sz w:val="24"/>
              </w:rPr>
              <w:t>本项</w:t>
            </w:r>
            <w:r>
              <w:rPr>
                <w:rFonts w:ascii="宋体" w:hAnsi="宋体"/>
                <w:color w:val="auto"/>
                <w:sz w:val="24"/>
                <w:szCs w:val="28"/>
              </w:rPr>
              <w:t>目</w:t>
            </w:r>
            <w:r>
              <w:rPr>
                <w:rFonts w:hint="eastAsia" w:ascii="宋体" w:hAnsi="宋体"/>
                <w:color w:val="auto"/>
                <w:sz w:val="24"/>
                <w:szCs w:val="28"/>
              </w:rPr>
              <w:t>无生产废水外排，</w:t>
            </w:r>
            <w:r>
              <w:rPr>
                <w:rFonts w:ascii="宋体" w:hAnsi="宋体"/>
                <w:color w:val="auto"/>
                <w:sz w:val="24"/>
              </w:rPr>
              <w:t>生活污水</w:t>
            </w:r>
            <w:r>
              <w:rPr>
                <w:rFonts w:hint="eastAsia" w:ascii="宋体" w:hAnsi="宋体"/>
                <w:color w:val="auto"/>
                <w:sz w:val="24"/>
              </w:rPr>
              <w:t>主要</w:t>
            </w:r>
            <w:r>
              <w:rPr>
                <w:rFonts w:ascii="宋体" w:hAnsi="宋体"/>
                <w:color w:val="auto"/>
                <w:sz w:val="24"/>
              </w:rPr>
              <w:t>为</w:t>
            </w:r>
            <w:r>
              <w:rPr>
                <w:rFonts w:hint="eastAsia" w:ascii="宋体" w:hAnsi="宋体"/>
                <w:color w:val="auto"/>
                <w:sz w:val="24"/>
              </w:rPr>
              <w:t>少量</w:t>
            </w:r>
            <w:r>
              <w:rPr>
                <w:rFonts w:ascii="宋体" w:hAnsi="宋体"/>
                <w:color w:val="auto"/>
                <w:sz w:val="24"/>
              </w:rPr>
              <w:t>盥洗废水，</w:t>
            </w:r>
            <w:r>
              <w:rPr>
                <w:rFonts w:hint="eastAsia" w:ascii="宋体" w:hAnsi="宋体"/>
                <w:color w:val="auto"/>
                <w:sz w:val="24"/>
              </w:rPr>
              <w:t>直接泼洒抑尘、不外排，不会对区域水环境造成不利影响</w:t>
            </w:r>
            <w:r>
              <w:rPr>
                <w:color w:val="auto"/>
                <w:sz w:val="24"/>
              </w:rPr>
              <w:t>。</w:t>
            </w:r>
          </w:p>
          <w:p>
            <w:pPr>
              <w:pStyle w:val="14"/>
              <w:adjustRightInd w:val="0"/>
              <w:spacing w:line="460" w:lineRule="exact"/>
              <w:ind w:firstLine="0" w:firstLineChars="0"/>
              <w:textAlignment w:val="baseline"/>
              <w:rPr>
                <w:b/>
                <w:bCs/>
                <w:color w:val="auto"/>
                <w:szCs w:val="24"/>
              </w:rPr>
            </w:pPr>
            <w:r>
              <w:rPr>
                <w:rFonts w:hint="eastAsia"/>
                <w:b/>
                <w:bCs/>
                <w:color w:val="auto"/>
                <w:szCs w:val="24"/>
              </w:rPr>
              <w:t>3、噪声</w:t>
            </w:r>
          </w:p>
          <w:p>
            <w:pPr>
              <w:pStyle w:val="16"/>
              <w:spacing w:line="500" w:lineRule="exact"/>
              <w:ind w:left="0" w:right="0" w:firstLine="600" w:firstLineChars="250"/>
              <w:rPr>
                <w:color w:val="auto"/>
                <w:sz w:val="24"/>
              </w:rPr>
            </w:pPr>
            <w:r>
              <w:rPr>
                <w:rFonts w:hint="eastAsia"/>
                <w:color w:val="auto"/>
                <w:sz w:val="24"/>
              </w:rPr>
              <w:t>（1）噪声源强及降噪措施</w:t>
            </w:r>
          </w:p>
          <w:p>
            <w:pPr>
              <w:spacing w:line="500" w:lineRule="exact"/>
              <w:ind w:firstLine="480" w:firstLineChars="200"/>
              <w:rPr>
                <w:color w:val="auto"/>
                <w:sz w:val="24"/>
                <w:szCs w:val="22"/>
              </w:rPr>
            </w:pPr>
            <w:r>
              <w:rPr>
                <w:color w:val="auto"/>
                <w:sz w:val="24"/>
              </w:rPr>
              <w:t>本项目噪声源为主要为</w:t>
            </w:r>
            <w:r>
              <w:rPr>
                <w:rFonts w:hint="eastAsia"/>
                <w:color w:val="auto"/>
                <w:sz w:val="24"/>
              </w:rPr>
              <w:t>电炉、退火炉、砂处理设备、震击式造型机、滚砂机、混砂机、天车、角磨机、风机、空压机</w:t>
            </w:r>
            <w:r>
              <w:rPr>
                <w:color w:val="auto"/>
                <w:sz w:val="24"/>
              </w:rPr>
              <w:t>等，源强为</w:t>
            </w:r>
            <w:r>
              <w:rPr>
                <w:rFonts w:hint="eastAsia"/>
                <w:color w:val="auto"/>
                <w:sz w:val="24"/>
              </w:rPr>
              <w:t>75-95</w:t>
            </w:r>
            <w:r>
              <w:rPr>
                <w:color w:val="auto"/>
                <w:sz w:val="24"/>
              </w:rPr>
              <w:t>dB(A)</w:t>
            </w:r>
            <w:r>
              <w:rPr>
                <w:rFonts w:hint="eastAsia"/>
                <w:color w:val="auto"/>
                <w:sz w:val="24"/>
              </w:rPr>
              <w:t>，项目选用低噪声设备，主要产噪设备置于单层彩钢板结构封闭间内，加装减振基础，可综合降噪15dB（A）。</w:t>
            </w:r>
            <w:r>
              <w:rPr>
                <w:color w:val="auto"/>
                <w:sz w:val="24"/>
              </w:rPr>
              <w:t>项目以</w:t>
            </w:r>
            <w:r>
              <w:rPr>
                <w:rFonts w:hint="eastAsia"/>
                <w:color w:val="auto"/>
                <w:sz w:val="24"/>
              </w:rPr>
              <w:t>厂区</w:t>
            </w:r>
            <w:r>
              <w:rPr>
                <w:color w:val="auto"/>
                <w:sz w:val="24"/>
              </w:rPr>
              <w:t>西南角为坐标原点（0</w:t>
            </w:r>
            <w:r>
              <w:rPr>
                <w:rFonts w:hint="eastAsia"/>
                <w:color w:val="auto"/>
                <w:sz w:val="24"/>
              </w:rPr>
              <w:t>，</w:t>
            </w:r>
            <w:r>
              <w:rPr>
                <w:color w:val="auto"/>
                <w:sz w:val="24"/>
              </w:rPr>
              <w:t>0</w:t>
            </w:r>
            <w:r>
              <w:rPr>
                <w:rFonts w:hint="eastAsia"/>
                <w:color w:val="auto"/>
                <w:sz w:val="24"/>
              </w:rPr>
              <w:t>，</w:t>
            </w:r>
            <w:r>
              <w:rPr>
                <w:color w:val="auto"/>
                <w:sz w:val="24"/>
              </w:rPr>
              <w:t>0）</w:t>
            </w:r>
            <w:r>
              <w:rPr>
                <w:rFonts w:hint="eastAsia"/>
                <w:color w:val="auto"/>
                <w:sz w:val="24"/>
              </w:rPr>
              <w:t>，</w:t>
            </w:r>
            <w:r>
              <w:rPr>
                <w:color w:val="auto"/>
                <w:sz w:val="24"/>
                <w:lang w:val="zh-CN"/>
              </w:rPr>
              <w:t>具体噪声源强及治理措施见下表</w:t>
            </w:r>
            <w:r>
              <w:rPr>
                <w:color w:val="auto"/>
                <w:sz w:val="24"/>
              </w:rPr>
              <w:t>。</w:t>
            </w:r>
          </w:p>
          <w:p>
            <w:pPr>
              <w:spacing w:line="500" w:lineRule="exact"/>
              <w:ind w:firstLine="480" w:firstLineChars="200"/>
              <w:rPr>
                <w:color w:val="auto"/>
                <w:sz w:val="24"/>
                <w:szCs w:val="22"/>
              </w:rPr>
            </w:pPr>
          </w:p>
          <w:p>
            <w:pPr>
              <w:spacing w:line="500" w:lineRule="exact"/>
              <w:ind w:firstLine="480" w:firstLineChars="200"/>
              <w:rPr>
                <w:color w:val="auto"/>
                <w:sz w:val="24"/>
                <w:szCs w:val="22"/>
              </w:rPr>
            </w:pPr>
          </w:p>
          <w:p>
            <w:pPr>
              <w:spacing w:line="500" w:lineRule="exact"/>
              <w:ind w:firstLine="480" w:firstLineChars="200"/>
              <w:rPr>
                <w:color w:val="auto"/>
                <w:sz w:val="24"/>
                <w:szCs w:val="22"/>
              </w:rPr>
            </w:pPr>
          </w:p>
          <w:p>
            <w:pPr>
              <w:spacing w:line="500" w:lineRule="exact"/>
              <w:ind w:firstLine="480" w:firstLineChars="200"/>
              <w:rPr>
                <w:color w:val="auto"/>
                <w:sz w:val="24"/>
                <w:szCs w:val="22"/>
              </w:rPr>
            </w:pPr>
          </w:p>
          <w:p>
            <w:pPr>
              <w:spacing w:line="500" w:lineRule="exact"/>
              <w:ind w:firstLine="480" w:firstLineChars="200"/>
              <w:rPr>
                <w:color w:val="auto"/>
                <w:sz w:val="24"/>
                <w:szCs w:val="22"/>
              </w:rPr>
            </w:pPr>
          </w:p>
          <w:p>
            <w:pPr>
              <w:spacing w:line="500" w:lineRule="exact"/>
              <w:rPr>
                <w:color w:val="auto"/>
                <w:szCs w:val="21"/>
              </w:rPr>
            </w:pPr>
          </w:p>
        </w:tc>
      </w:tr>
    </w:tbl>
    <w:p>
      <w:pPr>
        <w:rPr>
          <w:color w:val="auto"/>
        </w:rPr>
        <w:sectPr>
          <w:pgSz w:w="11907" w:h="16840"/>
          <w:pgMar w:top="1701" w:right="1531" w:bottom="2127" w:left="1531" w:header="851" w:footer="851" w:gutter="0"/>
          <w:cols w:space="720" w:num="1"/>
          <w:docGrid w:linePitch="312" w:charSpace="0"/>
        </w:sectPr>
      </w:pPr>
    </w:p>
    <w:tbl>
      <w:tblPr>
        <w:tblStyle w:val="34"/>
        <w:tblW w:w="135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2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vAlign w:val="center"/>
          </w:tcPr>
          <w:p>
            <w:pPr>
              <w:adjustRightInd w:val="0"/>
              <w:snapToGrid w:val="0"/>
              <w:jc w:val="center"/>
              <w:rPr>
                <w:bCs/>
                <w:color w:val="auto"/>
                <w:sz w:val="24"/>
              </w:rPr>
            </w:pPr>
            <w:bookmarkStart w:id="19" w:name="_Toc7513"/>
            <w:bookmarkStart w:id="20" w:name="_Toc14698"/>
            <w:r>
              <w:rPr>
                <w:bCs/>
                <w:color w:val="auto"/>
                <w:sz w:val="24"/>
              </w:rPr>
              <w:t>运营</w:t>
            </w:r>
          </w:p>
          <w:p>
            <w:pPr>
              <w:adjustRightInd w:val="0"/>
              <w:snapToGrid w:val="0"/>
              <w:jc w:val="center"/>
              <w:rPr>
                <w:bCs/>
                <w:color w:val="auto"/>
                <w:sz w:val="24"/>
              </w:rPr>
            </w:pPr>
            <w:r>
              <w:rPr>
                <w:bCs/>
                <w:color w:val="auto"/>
                <w:sz w:val="24"/>
              </w:rPr>
              <w:t>期环</w:t>
            </w:r>
          </w:p>
          <w:p>
            <w:pPr>
              <w:adjustRightInd w:val="0"/>
              <w:snapToGrid w:val="0"/>
              <w:jc w:val="center"/>
              <w:rPr>
                <w:bCs/>
                <w:color w:val="auto"/>
                <w:sz w:val="24"/>
              </w:rPr>
            </w:pPr>
            <w:r>
              <w:rPr>
                <w:bCs/>
                <w:color w:val="auto"/>
                <w:sz w:val="24"/>
              </w:rPr>
              <w:t>境影</w:t>
            </w:r>
          </w:p>
          <w:p>
            <w:pPr>
              <w:adjustRightInd w:val="0"/>
              <w:snapToGrid w:val="0"/>
              <w:jc w:val="center"/>
              <w:rPr>
                <w:bCs/>
                <w:color w:val="auto"/>
                <w:sz w:val="24"/>
              </w:rPr>
            </w:pPr>
            <w:r>
              <w:rPr>
                <w:bCs/>
                <w:color w:val="auto"/>
                <w:sz w:val="24"/>
              </w:rPr>
              <w:t>响和</w:t>
            </w:r>
          </w:p>
          <w:p>
            <w:pPr>
              <w:adjustRightInd w:val="0"/>
              <w:snapToGrid w:val="0"/>
              <w:jc w:val="center"/>
              <w:rPr>
                <w:bCs/>
                <w:color w:val="auto"/>
                <w:sz w:val="24"/>
              </w:rPr>
            </w:pPr>
            <w:r>
              <w:rPr>
                <w:bCs/>
                <w:color w:val="auto"/>
                <w:sz w:val="24"/>
              </w:rPr>
              <w:t>保护措施</w:t>
            </w:r>
          </w:p>
        </w:tc>
        <w:tc>
          <w:tcPr>
            <w:tcW w:w="12665" w:type="dxa"/>
          </w:tcPr>
          <w:p>
            <w:pPr>
              <w:spacing w:line="500" w:lineRule="exact"/>
              <w:jc w:val="center"/>
              <w:rPr>
                <w:b/>
                <w:bCs/>
                <w:color w:val="auto"/>
                <w:sz w:val="24"/>
              </w:rPr>
            </w:pPr>
            <w:r>
              <w:rPr>
                <w:b/>
                <w:bCs/>
                <w:color w:val="auto"/>
                <w:sz w:val="24"/>
              </w:rPr>
              <w:t>表</w:t>
            </w:r>
            <w:r>
              <w:rPr>
                <w:rFonts w:hint="eastAsia"/>
                <w:b/>
                <w:bCs/>
                <w:color w:val="auto"/>
                <w:sz w:val="24"/>
              </w:rPr>
              <w:t>36     本项目</w:t>
            </w:r>
            <w:r>
              <w:rPr>
                <w:b/>
                <w:bCs/>
                <w:color w:val="auto"/>
                <w:sz w:val="24"/>
              </w:rPr>
              <w:t>工业企业噪声源强调查清单（室内声源）</w:t>
            </w:r>
          </w:p>
          <w:tbl>
            <w:tblPr>
              <w:tblStyle w:val="33"/>
              <w:tblW w:w="503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41"/>
              <w:gridCol w:w="659"/>
              <w:gridCol w:w="962"/>
              <w:gridCol w:w="824"/>
              <w:gridCol w:w="814"/>
              <w:gridCol w:w="852"/>
              <w:gridCol w:w="718"/>
              <w:gridCol w:w="658"/>
              <w:gridCol w:w="650"/>
              <w:gridCol w:w="508"/>
              <w:gridCol w:w="761"/>
              <w:gridCol w:w="981"/>
              <w:gridCol w:w="598"/>
              <w:gridCol w:w="941"/>
              <w:gridCol w:w="921"/>
              <w:gridCol w:w="112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restart"/>
                  <w:vAlign w:val="center"/>
                </w:tcPr>
                <w:p>
                  <w:pPr>
                    <w:widowControl/>
                    <w:adjustRightInd w:val="0"/>
                    <w:snapToGrid w:val="0"/>
                    <w:jc w:val="center"/>
                    <w:textAlignment w:val="center"/>
                    <w:rPr>
                      <w:color w:val="auto"/>
                      <w:szCs w:val="21"/>
                    </w:rPr>
                  </w:pPr>
                  <w:r>
                    <w:rPr>
                      <w:color w:val="auto"/>
                      <w:szCs w:val="21"/>
                    </w:rPr>
                    <w:t>序号</w:t>
                  </w:r>
                </w:p>
              </w:tc>
              <w:tc>
                <w:tcPr>
                  <w:tcW w:w="263" w:type="pct"/>
                  <w:vMerge w:val="restart"/>
                  <w:vAlign w:val="center"/>
                </w:tcPr>
                <w:p>
                  <w:pPr>
                    <w:widowControl/>
                    <w:adjustRightInd w:val="0"/>
                    <w:snapToGrid w:val="0"/>
                    <w:jc w:val="center"/>
                    <w:textAlignment w:val="center"/>
                    <w:rPr>
                      <w:color w:val="auto"/>
                      <w:szCs w:val="21"/>
                    </w:rPr>
                  </w:pPr>
                  <w:r>
                    <w:rPr>
                      <w:color w:val="auto"/>
                      <w:szCs w:val="21"/>
                    </w:rPr>
                    <w:t>建筑物名称</w:t>
                  </w:r>
                </w:p>
              </w:tc>
              <w:tc>
                <w:tcPr>
                  <w:tcW w:w="383" w:type="pct"/>
                  <w:vMerge w:val="restart"/>
                  <w:vAlign w:val="center"/>
                </w:tcPr>
                <w:p>
                  <w:pPr>
                    <w:widowControl/>
                    <w:adjustRightInd w:val="0"/>
                    <w:snapToGrid w:val="0"/>
                    <w:jc w:val="center"/>
                    <w:textAlignment w:val="center"/>
                    <w:rPr>
                      <w:color w:val="auto"/>
                      <w:szCs w:val="21"/>
                    </w:rPr>
                  </w:pPr>
                  <w:r>
                    <w:rPr>
                      <w:color w:val="auto"/>
                      <w:szCs w:val="21"/>
                    </w:rPr>
                    <w:t>声源名称</w:t>
                  </w:r>
                </w:p>
              </w:tc>
              <w:tc>
                <w:tcPr>
                  <w:tcW w:w="329" w:type="pct"/>
                  <w:vMerge w:val="restart"/>
                  <w:vAlign w:val="center"/>
                </w:tcPr>
                <w:p>
                  <w:pPr>
                    <w:widowControl/>
                    <w:adjustRightInd w:val="0"/>
                    <w:snapToGrid w:val="0"/>
                    <w:jc w:val="center"/>
                    <w:textAlignment w:val="center"/>
                    <w:rPr>
                      <w:color w:val="auto"/>
                      <w:szCs w:val="21"/>
                    </w:rPr>
                  </w:pPr>
                  <w:r>
                    <w:rPr>
                      <w:color w:val="auto"/>
                      <w:szCs w:val="21"/>
                    </w:rPr>
                    <w:t>型号</w:t>
                  </w:r>
                </w:p>
              </w:tc>
              <w:tc>
                <w:tcPr>
                  <w:tcW w:w="325" w:type="pct"/>
                  <w:vMerge w:val="restart"/>
                  <w:vAlign w:val="center"/>
                </w:tcPr>
                <w:p>
                  <w:pPr>
                    <w:widowControl/>
                    <w:adjustRightInd w:val="0"/>
                    <w:snapToGrid w:val="0"/>
                    <w:jc w:val="center"/>
                    <w:textAlignment w:val="center"/>
                    <w:rPr>
                      <w:color w:val="auto"/>
                      <w:szCs w:val="21"/>
                    </w:rPr>
                  </w:pPr>
                  <w:r>
                    <w:rPr>
                      <w:color w:val="auto"/>
                      <w:szCs w:val="21"/>
                    </w:rPr>
                    <w:t>声压级/dB(A)</w:t>
                  </w:r>
                </w:p>
              </w:tc>
              <w:tc>
                <w:tcPr>
                  <w:tcW w:w="340" w:type="pct"/>
                  <w:vMerge w:val="restart"/>
                  <w:vAlign w:val="center"/>
                </w:tcPr>
                <w:p>
                  <w:pPr>
                    <w:widowControl/>
                    <w:adjustRightInd w:val="0"/>
                    <w:snapToGrid w:val="0"/>
                    <w:jc w:val="center"/>
                    <w:textAlignment w:val="center"/>
                    <w:rPr>
                      <w:color w:val="auto"/>
                      <w:szCs w:val="21"/>
                    </w:rPr>
                  </w:pPr>
                  <w:r>
                    <w:rPr>
                      <w:color w:val="auto"/>
                      <w:szCs w:val="21"/>
                    </w:rPr>
                    <w:t>声源控制措施</w:t>
                  </w:r>
                </w:p>
              </w:tc>
              <w:tc>
                <w:tcPr>
                  <w:tcW w:w="810" w:type="pct"/>
                  <w:gridSpan w:val="3"/>
                  <w:vAlign w:val="center"/>
                </w:tcPr>
                <w:p>
                  <w:pPr>
                    <w:widowControl/>
                    <w:adjustRightInd w:val="0"/>
                    <w:snapToGrid w:val="0"/>
                    <w:jc w:val="center"/>
                    <w:textAlignment w:val="center"/>
                    <w:rPr>
                      <w:color w:val="auto"/>
                      <w:szCs w:val="21"/>
                    </w:rPr>
                  </w:pPr>
                  <w:r>
                    <w:rPr>
                      <w:color w:val="auto"/>
                      <w:szCs w:val="21"/>
                    </w:rPr>
                    <w:t>空间相对位置/m</w:t>
                  </w:r>
                </w:p>
              </w:tc>
              <w:tc>
                <w:tcPr>
                  <w:tcW w:w="507" w:type="pct"/>
                  <w:gridSpan w:val="2"/>
                  <w:vAlign w:val="center"/>
                </w:tcPr>
                <w:p>
                  <w:pPr>
                    <w:widowControl/>
                    <w:adjustRightInd w:val="0"/>
                    <w:snapToGrid w:val="0"/>
                    <w:jc w:val="center"/>
                    <w:textAlignment w:val="center"/>
                    <w:rPr>
                      <w:color w:val="auto"/>
                      <w:szCs w:val="21"/>
                    </w:rPr>
                  </w:pPr>
                  <w:r>
                    <w:rPr>
                      <w:color w:val="auto"/>
                      <w:szCs w:val="21"/>
                    </w:rPr>
                    <w:t>距室内边界距离</w:t>
                  </w:r>
                </w:p>
              </w:tc>
              <w:tc>
                <w:tcPr>
                  <w:tcW w:w="391" w:type="pct"/>
                  <w:vMerge w:val="restart"/>
                  <w:vAlign w:val="center"/>
                </w:tcPr>
                <w:p>
                  <w:pPr>
                    <w:widowControl/>
                    <w:adjustRightInd w:val="0"/>
                    <w:snapToGrid w:val="0"/>
                    <w:jc w:val="center"/>
                    <w:textAlignment w:val="center"/>
                    <w:rPr>
                      <w:color w:val="auto"/>
                      <w:szCs w:val="21"/>
                    </w:rPr>
                  </w:pPr>
                  <w:r>
                    <w:rPr>
                      <w:color w:val="auto"/>
                      <w:szCs w:val="21"/>
                    </w:rPr>
                    <w:t>室内边界声级/dB(A)</w:t>
                  </w:r>
                </w:p>
              </w:tc>
              <w:tc>
                <w:tcPr>
                  <w:tcW w:w="239" w:type="pct"/>
                  <w:vMerge w:val="restart"/>
                  <w:vAlign w:val="center"/>
                </w:tcPr>
                <w:p>
                  <w:pPr>
                    <w:widowControl/>
                    <w:adjustRightInd w:val="0"/>
                    <w:snapToGrid w:val="0"/>
                    <w:jc w:val="center"/>
                    <w:textAlignment w:val="center"/>
                    <w:rPr>
                      <w:color w:val="auto"/>
                      <w:szCs w:val="21"/>
                    </w:rPr>
                  </w:pPr>
                  <w:r>
                    <w:rPr>
                      <w:color w:val="auto"/>
                      <w:szCs w:val="21"/>
                    </w:rPr>
                    <w:t>运行时段</w:t>
                  </w:r>
                </w:p>
              </w:tc>
              <w:tc>
                <w:tcPr>
                  <w:tcW w:w="375" w:type="pct"/>
                  <w:vMerge w:val="restart"/>
                  <w:vAlign w:val="center"/>
                </w:tcPr>
                <w:p>
                  <w:pPr>
                    <w:widowControl/>
                    <w:adjustRightInd w:val="0"/>
                    <w:snapToGrid w:val="0"/>
                    <w:jc w:val="center"/>
                    <w:textAlignment w:val="center"/>
                    <w:rPr>
                      <w:color w:val="auto"/>
                      <w:szCs w:val="21"/>
                    </w:rPr>
                  </w:pPr>
                  <w:r>
                    <w:rPr>
                      <w:color w:val="auto"/>
                      <w:szCs w:val="21"/>
                    </w:rPr>
                    <w:t>建筑物插入损失/dB(A)</w:t>
                  </w:r>
                </w:p>
              </w:tc>
              <w:tc>
                <w:tcPr>
                  <w:tcW w:w="815" w:type="pct"/>
                  <w:gridSpan w:val="2"/>
                  <w:tcBorders>
                    <w:right w:val="nil"/>
                  </w:tcBorders>
                  <w:vAlign w:val="center"/>
                </w:tcPr>
                <w:p>
                  <w:pPr>
                    <w:widowControl/>
                    <w:adjustRightInd w:val="0"/>
                    <w:snapToGrid w:val="0"/>
                    <w:jc w:val="center"/>
                    <w:textAlignment w:val="center"/>
                    <w:rPr>
                      <w:color w:val="auto"/>
                      <w:szCs w:val="21"/>
                    </w:rPr>
                  </w:pPr>
                  <w:r>
                    <w:rPr>
                      <w:color w:val="auto"/>
                      <w:szCs w:val="21"/>
                    </w:rPr>
                    <w:t>建筑物外噪声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widowControl/>
                    <w:adjustRightInd w:val="0"/>
                    <w:snapToGrid w:val="0"/>
                    <w:jc w:val="center"/>
                    <w:rPr>
                      <w:color w:val="auto"/>
                      <w:szCs w:val="21"/>
                    </w:rPr>
                  </w:pPr>
                </w:p>
              </w:tc>
              <w:tc>
                <w:tcPr>
                  <w:tcW w:w="329" w:type="pct"/>
                  <w:vMerge w:val="continue"/>
                  <w:vAlign w:val="center"/>
                </w:tcPr>
                <w:p>
                  <w:pPr>
                    <w:widowControl/>
                    <w:adjustRightInd w:val="0"/>
                    <w:snapToGrid w:val="0"/>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Align w:val="center"/>
                </w:tcPr>
                <w:p>
                  <w:pPr>
                    <w:widowControl/>
                    <w:adjustRightInd w:val="0"/>
                    <w:snapToGrid w:val="0"/>
                    <w:jc w:val="center"/>
                    <w:textAlignment w:val="center"/>
                    <w:rPr>
                      <w:color w:val="auto"/>
                      <w:szCs w:val="21"/>
                    </w:rPr>
                  </w:pPr>
                  <w:r>
                    <w:rPr>
                      <w:color w:val="auto"/>
                      <w:szCs w:val="21"/>
                    </w:rPr>
                    <w:t>X</w:t>
                  </w:r>
                </w:p>
              </w:tc>
              <w:tc>
                <w:tcPr>
                  <w:tcW w:w="263" w:type="pct"/>
                  <w:vAlign w:val="center"/>
                </w:tcPr>
                <w:p>
                  <w:pPr>
                    <w:widowControl/>
                    <w:adjustRightInd w:val="0"/>
                    <w:snapToGrid w:val="0"/>
                    <w:jc w:val="center"/>
                    <w:textAlignment w:val="center"/>
                    <w:rPr>
                      <w:color w:val="auto"/>
                      <w:szCs w:val="21"/>
                    </w:rPr>
                  </w:pPr>
                  <w:r>
                    <w:rPr>
                      <w:color w:val="auto"/>
                      <w:szCs w:val="21"/>
                    </w:rPr>
                    <w:t>Y</w:t>
                  </w:r>
                </w:p>
              </w:tc>
              <w:tc>
                <w:tcPr>
                  <w:tcW w:w="259" w:type="pct"/>
                  <w:vAlign w:val="center"/>
                </w:tcPr>
                <w:p>
                  <w:pPr>
                    <w:widowControl/>
                    <w:adjustRightInd w:val="0"/>
                    <w:snapToGrid w:val="0"/>
                    <w:jc w:val="center"/>
                    <w:textAlignment w:val="center"/>
                    <w:rPr>
                      <w:color w:val="auto"/>
                      <w:szCs w:val="21"/>
                    </w:rPr>
                  </w:pPr>
                  <w:r>
                    <w:rPr>
                      <w:color w:val="auto"/>
                      <w:szCs w:val="21"/>
                    </w:rPr>
                    <w:t>Z</w:t>
                  </w:r>
                </w:p>
              </w:tc>
              <w:tc>
                <w:tcPr>
                  <w:tcW w:w="203" w:type="pct"/>
                  <w:vAlign w:val="center"/>
                </w:tcPr>
                <w:p>
                  <w:pPr>
                    <w:widowControl/>
                    <w:adjustRightInd w:val="0"/>
                    <w:snapToGrid w:val="0"/>
                    <w:jc w:val="center"/>
                    <w:textAlignment w:val="center"/>
                    <w:rPr>
                      <w:color w:val="auto"/>
                      <w:szCs w:val="21"/>
                    </w:rPr>
                  </w:pPr>
                  <w:r>
                    <w:rPr>
                      <w:color w:val="auto"/>
                      <w:szCs w:val="21"/>
                    </w:rPr>
                    <w:t>边界</w:t>
                  </w:r>
                </w:p>
              </w:tc>
              <w:tc>
                <w:tcPr>
                  <w:tcW w:w="303" w:type="pct"/>
                  <w:vAlign w:val="center"/>
                </w:tcPr>
                <w:p>
                  <w:pPr>
                    <w:widowControl/>
                    <w:adjustRightInd w:val="0"/>
                    <w:snapToGrid w:val="0"/>
                    <w:jc w:val="center"/>
                    <w:textAlignment w:val="center"/>
                    <w:rPr>
                      <w:color w:val="auto"/>
                      <w:szCs w:val="21"/>
                    </w:rPr>
                  </w:pPr>
                  <w:r>
                    <w:rPr>
                      <w:color w:val="auto"/>
                      <w:szCs w:val="21"/>
                    </w:rPr>
                    <w:t>距离/m</w:t>
                  </w:r>
                </w:p>
              </w:tc>
              <w:tc>
                <w:tcPr>
                  <w:tcW w:w="391" w:type="pct"/>
                  <w:vMerge w:val="continue"/>
                  <w:vAlign w:val="center"/>
                </w:tcPr>
                <w:p>
                  <w:pPr>
                    <w:widowControl/>
                    <w:adjustRightInd w:val="0"/>
                    <w:snapToGrid w:val="0"/>
                    <w:jc w:val="center"/>
                    <w:rPr>
                      <w:color w:val="auto"/>
                      <w:szCs w:val="21"/>
                    </w:rPr>
                  </w:pPr>
                </w:p>
              </w:tc>
              <w:tc>
                <w:tcPr>
                  <w:tcW w:w="239" w:type="pct"/>
                  <w:vMerge w:val="continue"/>
                  <w:vAlign w:val="center"/>
                </w:tcPr>
                <w:p>
                  <w:pPr>
                    <w:widowControl/>
                    <w:adjustRightInd w:val="0"/>
                    <w:snapToGrid w:val="0"/>
                    <w:jc w:val="center"/>
                    <w:rPr>
                      <w:color w:val="auto"/>
                      <w:szCs w:val="21"/>
                    </w:rPr>
                  </w:pPr>
                </w:p>
              </w:tc>
              <w:tc>
                <w:tcPr>
                  <w:tcW w:w="375" w:type="pct"/>
                  <w:vMerge w:val="continue"/>
                  <w:vAlign w:val="center"/>
                </w:tcPr>
                <w:p>
                  <w:pPr>
                    <w:widowControl/>
                    <w:adjustRightInd w:val="0"/>
                    <w:snapToGrid w:val="0"/>
                    <w:jc w:val="center"/>
                    <w:rPr>
                      <w:color w:val="auto"/>
                      <w:szCs w:val="21"/>
                    </w:rPr>
                  </w:pPr>
                </w:p>
              </w:tc>
              <w:tc>
                <w:tcPr>
                  <w:tcW w:w="367" w:type="pct"/>
                  <w:vAlign w:val="center"/>
                </w:tcPr>
                <w:p>
                  <w:pPr>
                    <w:widowControl/>
                    <w:adjustRightInd w:val="0"/>
                    <w:snapToGrid w:val="0"/>
                    <w:jc w:val="center"/>
                    <w:textAlignment w:val="center"/>
                    <w:rPr>
                      <w:color w:val="auto"/>
                      <w:szCs w:val="21"/>
                    </w:rPr>
                  </w:pPr>
                  <w:r>
                    <w:rPr>
                      <w:color w:val="auto"/>
                      <w:szCs w:val="21"/>
                    </w:rPr>
                    <w:t>声压级/dB(A)</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建筑物外距离/m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rPr>
                      <w:color w:val="auto"/>
                      <w:szCs w:val="21"/>
                    </w:rPr>
                  </w:pPr>
                  <w:r>
                    <w:rPr>
                      <w:color w:val="auto"/>
                      <w:szCs w:val="21"/>
                    </w:rPr>
                    <w:t>1</w:t>
                  </w:r>
                </w:p>
              </w:tc>
              <w:tc>
                <w:tcPr>
                  <w:tcW w:w="263" w:type="pct"/>
                  <w:vMerge w:val="restart"/>
                  <w:vAlign w:val="center"/>
                </w:tcPr>
                <w:p>
                  <w:pPr>
                    <w:widowControl/>
                    <w:adjustRightInd w:val="0"/>
                    <w:snapToGrid w:val="0"/>
                    <w:jc w:val="center"/>
                    <w:rPr>
                      <w:color w:val="auto"/>
                      <w:szCs w:val="21"/>
                    </w:rPr>
                  </w:pPr>
                  <w:r>
                    <w:rPr>
                      <w:color w:val="auto"/>
                      <w:szCs w:val="21"/>
                    </w:rPr>
                    <w:t>生产车间</w:t>
                  </w:r>
                </w:p>
              </w:tc>
              <w:tc>
                <w:tcPr>
                  <w:tcW w:w="383" w:type="pct"/>
                  <w:vMerge w:val="restart"/>
                  <w:vAlign w:val="center"/>
                </w:tcPr>
                <w:p>
                  <w:pPr>
                    <w:snapToGrid w:val="0"/>
                    <w:jc w:val="center"/>
                    <w:rPr>
                      <w:color w:val="auto"/>
                      <w:szCs w:val="21"/>
                    </w:rPr>
                  </w:pPr>
                  <w:r>
                    <w:rPr>
                      <w:color w:val="auto"/>
                      <w:szCs w:val="21"/>
                    </w:rPr>
                    <w:t>1#磁轭钢壳感应电炉</w:t>
                  </w:r>
                </w:p>
              </w:tc>
              <w:tc>
                <w:tcPr>
                  <w:tcW w:w="329" w:type="pct"/>
                  <w:vMerge w:val="restart"/>
                  <w:vAlign w:val="center"/>
                </w:tcPr>
                <w:p>
                  <w:pPr>
                    <w:snapToGrid w:val="0"/>
                    <w:jc w:val="center"/>
                    <w:rPr>
                      <w:color w:val="auto"/>
                      <w:szCs w:val="21"/>
                    </w:rPr>
                  </w:pPr>
                  <w:r>
                    <w:rPr>
                      <w:color w:val="auto"/>
                      <w:szCs w:val="21"/>
                    </w:rPr>
                    <w:t>2t</w:t>
                  </w:r>
                </w:p>
              </w:tc>
              <w:tc>
                <w:tcPr>
                  <w:tcW w:w="325" w:type="pct"/>
                  <w:vMerge w:val="restart"/>
                  <w:vAlign w:val="center"/>
                </w:tcPr>
                <w:p>
                  <w:pPr>
                    <w:widowControl/>
                    <w:adjustRightInd w:val="0"/>
                    <w:snapToGrid w:val="0"/>
                    <w:jc w:val="center"/>
                    <w:rPr>
                      <w:color w:val="auto"/>
                      <w:szCs w:val="21"/>
                    </w:rPr>
                  </w:pPr>
                  <w:r>
                    <w:rPr>
                      <w:color w:val="auto"/>
                      <w:szCs w:val="21"/>
                    </w:rPr>
                    <w:t>80</w:t>
                  </w:r>
                </w:p>
              </w:tc>
              <w:tc>
                <w:tcPr>
                  <w:tcW w:w="340" w:type="pct"/>
                  <w:vMerge w:val="restart"/>
                  <w:vAlign w:val="center"/>
                </w:tcPr>
                <w:p>
                  <w:pPr>
                    <w:widowControl/>
                    <w:adjustRightInd w:val="0"/>
                    <w:snapToGrid w:val="0"/>
                    <w:jc w:val="center"/>
                    <w:rPr>
                      <w:color w:val="auto"/>
                      <w:szCs w:val="21"/>
                    </w:rPr>
                  </w:pPr>
                  <w:r>
                    <w:rPr>
                      <w:color w:val="auto"/>
                      <w:szCs w:val="21"/>
                    </w:rPr>
                    <w:t>置于密闭车间内，设备基础安装减振</w:t>
                  </w:r>
                </w:p>
              </w:tc>
              <w:tc>
                <w:tcPr>
                  <w:tcW w:w="287" w:type="pct"/>
                  <w:vMerge w:val="restart"/>
                  <w:vAlign w:val="center"/>
                </w:tcPr>
                <w:p>
                  <w:pPr>
                    <w:widowControl/>
                    <w:jc w:val="center"/>
                    <w:textAlignment w:val="center"/>
                    <w:rPr>
                      <w:color w:val="auto"/>
                      <w:szCs w:val="21"/>
                    </w:rPr>
                  </w:pPr>
                  <w:r>
                    <w:rPr>
                      <w:color w:val="auto"/>
                      <w:szCs w:val="21"/>
                    </w:rPr>
                    <w:t>28</w:t>
                  </w:r>
                </w:p>
              </w:tc>
              <w:tc>
                <w:tcPr>
                  <w:tcW w:w="263" w:type="pct"/>
                  <w:vMerge w:val="restart"/>
                  <w:vAlign w:val="center"/>
                </w:tcPr>
                <w:p>
                  <w:pPr>
                    <w:widowControl/>
                    <w:jc w:val="center"/>
                    <w:textAlignment w:val="center"/>
                    <w:rPr>
                      <w:color w:val="auto"/>
                      <w:szCs w:val="21"/>
                    </w:rPr>
                  </w:pPr>
                  <w:r>
                    <w:rPr>
                      <w:color w:val="auto"/>
                      <w:szCs w:val="21"/>
                    </w:rPr>
                    <w:t>42</w:t>
                  </w:r>
                </w:p>
              </w:tc>
              <w:tc>
                <w:tcPr>
                  <w:tcW w:w="259" w:type="pct"/>
                  <w:vMerge w:val="restart"/>
                  <w:vAlign w:val="center"/>
                </w:tcPr>
                <w:p>
                  <w:pPr>
                    <w:widowControl/>
                    <w:jc w:val="center"/>
                    <w:textAlignment w:val="center"/>
                    <w:rPr>
                      <w:color w:val="auto"/>
                      <w:szCs w:val="21"/>
                    </w:rPr>
                  </w:pPr>
                  <w:r>
                    <w:rPr>
                      <w:color w:val="auto"/>
                      <w:szCs w:val="21"/>
                    </w:rPr>
                    <w:t>0</w:t>
                  </w:r>
                </w:p>
              </w:tc>
              <w:tc>
                <w:tcPr>
                  <w:tcW w:w="203" w:type="pct"/>
                  <w:vAlign w:val="center"/>
                </w:tcPr>
                <w:p>
                  <w:pPr>
                    <w:widowControl/>
                    <w:adjustRightInd w:val="0"/>
                    <w:snapToGrid w:val="0"/>
                    <w:jc w:val="center"/>
                    <w:textAlignment w:val="center"/>
                    <w:rPr>
                      <w:color w:val="auto"/>
                      <w:szCs w:val="21"/>
                    </w:rPr>
                  </w:pPr>
                  <w:r>
                    <w:rPr>
                      <w:color w:val="auto"/>
                      <w:szCs w:val="21"/>
                    </w:rPr>
                    <w:t>东</w:t>
                  </w:r>
                </w:p>
              </w:tc>
              <w:tc>
                <w:tcPr>
                  <w:tcW w:w="303" w:type="pct"/>
                  <w:vAlign w:val="center"/>
                </w:tcPr>
                <w:p>
                  <w:pPr>
                    <w:widowControl/>
                    <w:jc w:val="center"/>
                    <w:textAlignment w:val="center"/>
                    <w:rPr>
                      <w:color w:val="auto"/>
                      <w:szCs w:val="21"/>
                    </w:rPr>
                  </w:pPr>
                  <w:r>
                    <w:rPr>
                      <w:color w:val="auto"/>
                      <w:szCs w:val="21"/>
                    </w:rPr>
                    <w:t>3</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61.5</w:t>
                  </w:r>
                </w:p>
              </w:tc>
              <w:tc>
                <w:tcPr>
                  <w:tcW w:w="239" w:type="pct"/>
                  <w:vMerge w:val="restart"/>
                  <w:vAlign w:val="center"/>
                </w:tcPr>
                <w:p>
                  <w:pPr>
                    <w:widowControl/>
                    <w:adjustRightInd w:val="0"/>
                    <w:snapToGrid w:val="0"/>
                    <w:jc w:val="center"/>
                    <w:textAlignment w:val="center"/>
                    <w:rPr>
                      <w:color w:val="auto"/>
                      <w:szCs w:val="21"/>
                    </w:rPr>
                  </w:pPr>
                  <w:r>
                    <w:rPr>
                      <w:rFonts w:hint="eastAsia"/>
                      <w:color w:val="auto"/>
                      <w:szCs w:val="21"/>
                    </w:rPr>
                    <w:t>昼夜</w:t>
                  </w:r>
                </w:p>
              </w:tc>
              <w:tc>
                <w:tcPr>
                  <w:tcW w:w="375" w:type="pct"/>
                  <w:vMerge w:val="restart"/>
                  <w:vAlign w:val="center"/>
                </w:tcPr>
                <w:p>
                  <w:pPr>
                    <w:widowControl/>
                    <w:adjustRightInd w:val="0"/>
                    <w:snapToGrid w:val="0"/>
                    <w:jc w:val="center"/>
                    <w:textAlignment w:val="center"/>
                    <w:rPr>
                      <w:color w:val="auto"/>
                      <w:szCs w:val="21"/>
                    </w:rPr>
                  </w:pPr>
                  <w:r>
                    <w:rPr>
                      <w:color w:val="auto"/>
                      <w:szCs w:val="21"/>
                    </w:rPr>
                    <w:t>15</w:t>
                  </w:r>
                </w:p>
              </w:tc>
              <w:tc>
                <w:tcPr>
                  <w:tcW w:w="920" w:type="dxa"/>
                  <w:vAlign w:val="center"/>
                </w:tcPr>
                <w:p>
                  <w:pPr>
                    <w:widowControl/>
                    <w:adjustRightInd w:val="0"/>
                    <w:snapToGrid w:val="0"/>
                    <w:jc w:val="center"/>
                    <w:textAlignment w:val="center"/>
                    <w:rPr>
                      <w:color w:val="auto"/>
                      <w:szCs w:val="21"/>
                    </w:rPr>
                  </w:pPr>
                  <w:r>
                    <w:rPr>
                      <w:rFonts w:hint="eastAsia"/>
                      <w:color w:val="auto"/>
                      <w:szCs w:val="21"/>
                    </w:rPr>
                    <w:t>46.5</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autoSpaceDE w:val="0"/>
                    <w:autoSpaceDN w:val="0"/>
                    <w:adjustRightInd w:val="0"/>
                    <w:jc w:val="center"/>
                    <w:rPr>
                      <w:color w:val="auto"/>
                      <w:szCs w:val="21"/>
                    </w:rPr>
                  </w:pPr>
                </w:p>
              </w:tc>
              <w:tc>
                <w:tcPr>
                  <w:tcW w:w="329" w:type="pct"/>
                  <w:vMerge w:val="continue"/>
                  <w:vAlign w:val="center"/>
                </w:tcPr>
                <w:p>
                  <w:pPr>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widowControl/>
                    <w:jc w:val="center"/>
                    <w:textAlignment w:val="center"/>
                    <w:rPr>
                      <w:color w:val="auto"/>
                      <w:szCs w:val="21"/>
                    </w:rPr>
                  </w:pPr>
                </w:p>
              </w:tc>
              <w:tc>
                <w:tcPr>
                  <w:tcW w:w="263" w:type="pct"/>
                  <w:vMerge w:val="continue"/>
                  <w:vAlign w:val="center"/>
                </w:tcPr>
                <w:p>
                  <w:pPr>
                    <w:widowControl/>
                    <w:jc w:val="center"/>
                    <w:textAlignment w:val="center"/>
                    <w:rPr>
                      <w:color w:val="auto"/>
                      <w:szCs w:val="21"/>
                    </w:rPr>
                  </w:pPr>
                </w:p>
              </w:tc>
              <w:tc>
                <w:tcPr>
                  <w:tcW w:w="259" w:type="pct"/>
                  <w:vMerge w:val="continue"/>
                  <w:vAlign w:val="center"/>
                </w:tcPr>
                <w:p>
                  <w:pPr>
                    <w:widowControl/>
                    <w:jc w:val="center"/>
                    <w:textAlignment w:val="center"/>
                    <w:rPr>
                      <w:color w:val="auto"/>
                      <w:szCs w:val="21"/>
                    </w:rPr>
                  </w:pPr>
                </w:p>
              </w:tc>
              <w:tc>
                <w:tcPr>
                  <w:tcW w:w="203" w:type="pct"/>
                  <w:vAlign w:val="center"/>
                </w:tcPr>
                <w:p>
                  <w:pPr>
                    <w:widowControl/>
                    <w:adjustRightInd w:val="0"/>
                    <w:snapToGrid w:val="0"/>
                    <w:jc w:val="center"/>
                    <w:textAlignment w:val="center"/>
                    <w:rPr>
                      <w:color w:val="auto"/>
                      <w:szCs w:val="21"/>
                    </w:rPr>
                  </w:pPr>
                  <w:r>
                    <w:rPr>
                      <w:color w:val="auto"/>
                      <w:szCs w:val="21"/>
                    </w:rPr>
                    <w:t>南</w:t>
                  </w:r>
                </w:p>
              </w:tc>
              <w:tc>
                <w:tcPr>
                  <w:tcW w:w="303" w:type="pct"/>
                  <w:vAlign w:val="center"/>
                </w:tcPr>
                <w:p>
                  <w:pPr>
                    <w:widowControl/>
                    <w:jc w:val="center"/>
                    <w:textAlignment w:val="center"/>
                    <w:rPr>
                      <w:color w:val="auto"/>
                      <w:szCs w:val="21"/>
                    </w:rPr>
                  </w:pPr>
                  <w:r>
                    <w:rPr>
                      <w:color w:val="auto"/>
                      <w:szCs w:val="21"/>
                    </w:rPr>
                    <w:t>41</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38.7</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23.7</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autoSpaceDE w:val="0"/>
                    <w:autoSpaceDN w:val="0"/>
                    <w:adjustRightInd w:val="0"/>
                    <w:jc w:val="center"/>
                    <w:rPr>
                      <w:color w:val="auto"/>
                      <w:szCs w:val="21"/>
                    </w:rPr>
                  </w:pPr>
                </w:p>
              </w:tc>
              <w:tc>
                <w:tcPr>
                  <w:tcW w:w="329" w:type="pct"/>
                  <w:vMerge w:val="continue"/>
                  <w:vAlign w:val="center"/>
                </w:tcPr>
                <w:p>
                  <w:pPr>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widowControl/>
                    <w:jc w:val="center"/>
                    <w:textAlignment w:val="center"/>
                    <w:rPr>
                      <w:color w:val="auto"/>
                      <w:szCs w:val="21"/>
                    </w:rPr>
                  </w:pPr>
                </w:p>
              </w:tc>
              <w:tc>
                <w:tcPr>
                  <w:tcW w:w="263" w:type="pct"/>
                  <w:vMerge w:val="continue"/>
                  <w:vAlign w:val="center"/>
                </w:tcPr>
                <w:p>
                  <w:pPr>
                    <w:widowControl/>
                    <w:jc w:val="center"/>
                    <w:textAlignment w:val="center"/>
                    <w:rPr>
                      <w:color w:val="auto"/>
                      <w:szCs w:val="21"/>
                    </w:rPr>
                  </w:pPr>
                </w:p>
              </w:tc>
              <w:tc>
                <w:tcPr>
                  <w:tcW w:w="259" w:type="pct"/>
                  <w:vMerge w:val="continue"/>
                  <w:vAlign w:val="center"/>
                </w:tcPr>
                <w:p>
                  <w:pPr>
                    <w:widowControl/>
                    <w:jc w:val="center"/>
                    <w:textAlignment w:val="center"/>
                    <w:rPr>
                      <w:color w:val="auto"/>
                      <w:szCs w:val="21"/>
                    </w:rPr>
                  </w:pPr>
                </w:p>
              </w:tc>
              <w:tc>
                <w:tcPr>
                  <w:tcW w:w="203" w:type="pct"/>
                  <w:vAlign w:val="center"/>
                </w:tcPr>
                <w:p>
                  <w:pPr>
                    <w:widowControl/>
                    <w:adjustRightInd w:val="0"/>
                    <w:snapToGrid w:val="0"/>
                    <w:jc w:val="center"/>
                    <w:textAlignment w:val="center"/>
                    <w:rPr>
                      <w:color w:val="auto"/>
                      <w:szCs w:val="21"/>
                    </w:rPr>
                  </w:pPr>
                  <w:r>
                    <w:rPr>
                      <w:color w:val="auto"/>
                      <w:szCs w:val="21"/>
                    </w:rPr>
                    <w:t>西</w:t>
                  </w:r>
                </w:p>
              </w:tc>
              <w:tc>
                <w:tcPr>
                  <w:tcW w:w="303" w:type="pct"/>
                  <w:vAlign w:val="center"/>
                </w:tcPr>
                <w:p>
                  <w:pPr>
                    <w:widowControl/>
                    <w:jc w:val="center"/>
                    <w:textAlignment w:val="center"/>
                    <w:rPr>
                      <w:color w:val="auto"/>
                      <w:szCs w:val="21"/>
                    </w:rPr>
                  </w:pPr>
                  <w:r>
                    <w:rPr>
                      <w:color w:val="auto"/>
                      <w:szCs w:val="21"/>
                    </w:rPr>
                    <w:t>20</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45</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30</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autoSpaceDE w:val="0"/>
                    <w:autoSpaceDN w:val="0"/>
                    <w:adjustRightInd w:val="0"/>
                    <w:jc w:val="center"/>
                    <w:rPr>
                      <w:color w:val="auto"/>
                      <w:szCs w:val="21"/>
                    </w:rPr>
                  </w:pPr>
                </w:p>
              </w:tc>
              <w:tc>
                <w:tcPr>
                  <w:tcW w:w="329" w:type="pct"/>
                  <w:vMerge w:val="continue"/>
                  <w:vAlign w:val="center"/>
                </w:tcPr>
                <w:p>
                  <w:pPr>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widowControl/>
                    <w:jc w:val="center"/>
                    <w:textAlignment w:val="center"/>
                    <w:rPr>
                      <w:color w:val="auto"/>
                      <w:szCs w:val="21"/>
                    </w:rPr>
                  </w:pPr>
                </w:p>
              </w:tc>
              <w:tc>
                <w:tcPr>
                  <w:tcW w:w="263" w:type="pct"/>
                  <w:vMerge w:val="continue"/>
                  <w:vAlign w:val="center"/>
                </w:tcPr>
                <w:p>
                  <w:pPr>
                    <w:widowControl/>
                    <w:jc w:val="center"/>
                    <w:textAlignment w:val="center"/>
                    <w:rPr>
                      <w:color w:val="auto"/>
                      <w:szCs w:val="21"/>
                    </w:rPr>
                  </w:pPr>
                </w:p>
              </w:tc>
              <w:tc>
                <w:tcPr>
                  <w:tcW w:w="259" w:type="pct"/>
                  <w:vMerge w:val="continue"/>
                  <w:vAlign w:val="center"/>
                </w:tcPr>
                <w:p>
                  <w:pPr>
                    <w:widowControl/>
                    <w:jc w:val="center"/>
                    <w:textAlignment w:val="center"/>
                    <w:rPr>
                      <w:color w:val="auto"/>
                      <w:szCs w:val="21"/>
                    </w:rPr>
                  </w:pPr>
                </w:p>
              </w:tc>
              <w:tc>
                <w:tcPr>
                  <w:tcW w:w="203" w:type="pct"/>
                  <w:vAlign w:val="center"/>
                </w:tcPr>
                <w:p>
                  <w:pPr>
                    <w:widowControl/>
                    <w:adjustRightInd w:val="0"/>
                    <w:snapToGrid w:val="0"/>
                    <w:jc w:val="center"/>
                    <w:textAlignment w:val="center"/>
                    <w:rPr>
                      <w:color w:val="auto"/>
                      <w:szCs w:val="21"/>
                    </w:rPr>
                  </w:pPr>
                  <w:r>
                    <w:rPr>
                      <w:color w:val="auto"/>
                      <w:szCs w:val="21"/>
                    </w:rPr>
                    <w:t>北</w:t>
                  </w:r>
                </w:p>
              </w:tc>
              <w:tc>
                <w:tcPr>
                  <w:tcW w:w="303" w:type="pct"/>
                  <w:vAlign w:val="center"/>
                </w:tcPr>
                <w:p>
                  <w:pPr>
                    <w:widowControl/>
                    <w:jc w:val="center"/>
                    <w:textAlignment w:val="center"/>
                    <w:rPr>
                      <w:color w:val="auto"/>
                      <w:szCs w:val="21"/>
                    </w:rPr>
                  </w:pPr>
                  <w:r>
                    <w:rPr>
                      <w:color w:val="auto"/>
                      <w:szCs w:val="21"/>
                    </w:rPr>
                    <w:t>8</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52.9</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37.9</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rPr>
                      <w:color w:val="auto"/>
                      <w:szCs w:val="21"/>
                    </w:rPr>
                  </w:pPr>
                  <w:r>
                    <w:rPr>
                      <w:color w:val="auto"/>
                      <w:szCs w:val="21"/>
                    </w:rPr>
                    <w:t>2</w:t>
                  </w:r>
                </w:p>
              </w:tc>
              <w:tc>
                <w:tcPr>
                  <w:tcW w:w="263" w:type="pct"/>
                  <w:vMerge w:val="continue"/>
                  <w:vAlign w:val="center"/>
                </w:tcPr>
                <w:p>
                  <w:pPr>
                    <w:widowControl/>
                    <w:adjustRightInd w:val="0"/>
                    <w:snapToGrid w:val="0"/>
                    <w:jc w:val="center"/>
                    <w:rPr>
                      <w:color w:val="auto"/>
                      <w:szCs w:val="21"/>
                    </w:rPr>
                  </w:pPr>
                </w:p>
              </w:tc>
              <w:tc>
                <w:tcPr>
                  <w:tcW w:w="383" w:type="pct"/>
                  <w:vMerge w:val="restart"/>
                  <w:vAlign w:val="center"/>
                </w:tcPr>
                <w:p>
                  <w:pPr>
                    <w:snapToGrid w:val="0"/>
                    <w:jc w:val="center"/>
                    <w:rPr>
                      <w:color w:val="auto"/>
                      <w:szCs w:val="21"/>
                    </w:rPr>
                  </w:pPr>
                  <w:r>
                    <w:rPr>
                      <w:color w:val="auto"/>
                      <w:szCs w:val="21"/>
                    </w:rPr>
                    <w:t>砂处理设备</w:t>
                  </w:r>
                </w:p>
              </w:tc>
              <w:tc>
                <w:tcPr>
                  <w:tcW w:w="329" w:type="pct"/>
                  <w:vMerge w:val="restart"/>
                  <w:vAlign w:val="center"/>
                </w:tcPr>
                <w:p>
                  <w:pPr>
                    <w:snapToGrid w:val="0"/>
                    <w:jc w:val="center"/>
                    <w:rPr>
                      <w:color w:val="auto"/>
                      <w:szCs w:val="21"/>
                    </w:rPr>
                  </w:pPr>
                  <w:r>
                    <w:rPr>
                      <w:color w:val="auto"/>
                      <w:szCs w:val="21"/>
                    </w:rPr>
                    <w:t>HPX1</w:t>
                  </w:r>
                </w:p>
              </w:tc>
              <w:tc>
                <w:tcPr>
                  <w:tcW w:w="325" w:type="pct"/>
                  <w:vMerge w:val="restart"/>
                  <w:vAlign w:val="center"/>
                </w:tcPr>
                <w:p>
                  <w:pPr>
                    <w:widowControl/>
                    <w:adjustRightInd w:val="0"/>
                    <w:snapToGrid w:val="0"/>
                    <w:jc w:val="center"/>
                    <w:rPr>
                      <w:color w:val="auto"/>
                      <w:szCs w:val="21"/>
                    </w:rPr>
                  </w:pPr>
                  <w:r>
                    <w:rPr>
                      <w:color w:val="auto"/>
                      <w:szCs w:val="21"/>
                    </w:rPr>
                    <w:t>80</w:t>
                  </w:r>
                </w:p>
              </w:tc>
              <w:tc>
                <w:tcPr>
                  <w:tcW w:w="340" w:type="pct"/>
                  <w:vMerge w:val="continue"/>
                  <w:vAlign w:val="center"/>
                </w:tcPr>
                <w:p>
                  <w:pPr>
                    <w:widowControl/>
                    <w:adjustRightInd w:val="0"/>
                    <w:snapToGrid w:val="0"/>
                    <w:jc w:val="center"/>
                    <w:rPr>
                      <w:color w:val="auto"/>
                      <w:szCs w:val="21"/>
                    </w:rPr>
                  </w:pPr>
                </w:p>
              </w:tc>
              <w:tc>
                <w:tcPr>
                  <w:tcW w:w="287" w:type="pct"/>
                  <w:vMerge w:val="restart"/>
                  <w:vAlign w:val="center"/>
                </w:tcPr>
                <w:p>
                  <w:pPr>
                    <w:widowControl/>
                    <w:jc w:val="center"/>
                    <w:textAlignment w:val="center"/>
                    <w:rPr>
                      <w:color w:val="auto"/>
                      <w:szCs w:val="21"/>
                    </w:rPr>
                  </w:pPr>
                  <w:r>
                    <w:rPr>
                      <w:color w:val="auto"/>
                      <w:szCs w:val="21"/>
                    </w:rPr>
                    <w:t>26</w:t>
                  </w:r>
                </w:p>
              </w:tc>
              <w:tc>
                <w:tcPr>
                  <w:tcW w:w="263" w:type="pct"/>
                  <w:vMerge w:val="restart"/>
                  <w:vAlign w:val="center"/>
                </w:tcPr>
                <w:p>
                  <w:pPr>
                    <w:widowControl/>
                    <w:jc w:val="center"/>
                    <w:textAlignment w:val="center"/>
                    <w:rPr>
                      <w:color w:val="auto"/>
                      <w:szCs w:val="21"/>
                    </w:rPr>
                  </w:pPr>
                  <w:r>
                    <w:rPr>
                      <w:color w:val="auto"/>
                      <w:szCs w:val="21"/>
                    </w:rPr>
                    <w:t>31</w:t>
                  </w:r>
                </w:p>
              </w:tc>
              <w:tc>
                <w:tcPr>
                  <w:tcW w:w="259" w:type="pct"/>
                  <w:vMerge w:val="restart"/>
                  <w:vAlign w:val="center"/>
                </w:tcPr>
                <w:p>
                  <w:pPr>
                    <w:widowControl/>
                    <w:jc w:val="center"/>
                    <w:textAlignment w:val="center"/>
                    <w:rPr>
                      <w:color w:val="auto"/>
                      <w:szCs w:val="21"/>
                    </w:rPr>
                  </w:pPr>
                  <w:r>
                    <w:rPr>
                      <w:color w:val="auto"/>
                      <w:szCs w:val="21"/>
                    </w:rPr>
                    <w:t>0</w:t>
                  </w:r>
                </w:p>
              </w:tc>
              <w:tc>
                <w:tcPr>
                  <w:tcW w:w="203" w:type="pct"/>
                  <w:vAlign w:val="center"/>
                </w:tcPr>
                <w:p>
                  <w:pPr>
                    <w:widowControl/>
                    <w:adjustRightInd w:val="0"/>
                    <w:snapToGrid w:val="0"/>
                    <w:jc w:val="center"/>
                    <w:textAlignment w:val="center"/>
                    <w:rPr>
                      <w:color w:val="auto"/>
                      <w:szCs w:val="21"/>
                    </w:rPr>
                  </w:pPr>
                  <w:r>
                    <w:rPr>
                      <w:color w:val="auto"/>
                      <w:szCs w:val="21"/>
                    </w:rPr>
                    <w:t>东</w:t>
                  </w:r>
                </w:p>
              </w:tc>
              <w:tc>
                <w:tcPr>
                  <w:tcW w:w="303" w:type="pct"/>
                  <w:vAlign w:val="center"/>
                </w:tcPr>
                <w:p>
                  <w:pPr>
                    <w:widowControl/>
                    <w:jc w:val="center"/>
                    <w:textAlignment w:val="center"/>
                    <w:rPr>
                      <w:color w:val="auto"/>
                      <w:szCs w:val="21"/>
                    </w:rPr>
                  </w:pPr>
                  <w:r>
                    <w:rPr>
                      <w:color w:val="auto"/>
                      <w:szCs w:val="21"/>
                    </w:rPr>
                    <w:t>3</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61.5</w:t>
                  </w:r>
                </w:p>
              </w:tc>
              <w:tc>
                <w:tcPr>
                  <w:tcW w:w="239" w:type="pct"/>
                  <w:vMerge w:val="restart"/>
                  <w:vAlign w:val="center"/>
                </w:tcPr>
                <w:p>
                  <w:pPr>
                    <w:widowControl/>
                    <w:adjustRightInd w:val="0"/>
                    <w:snapToGrid w:val="0"/>
                    <w:jc w:val="center"/>
                    <w:textAlignment w:val="center"/>
                    <w:rPr>
                      <w:color w:val="auto"/>
                      <w:szCs w:val="21"/>
                    </w:rPr>
                  </w:pPr>
                  <w:r>
                    <w:rPr>
                      <w:rFonts w:hint="eastAsia"/>
                      <w:color w:val="auto"/>
                      <w:szCs w:val="21"/>
                    </w:rPr>
                    <w:t>昼夜</w:t>
                  </w:r>
                </w:p>
              </w:tc>
              <w:tc>
                <w:tcPr>
                  <w:tcW w:w="375" w:type="pct"/>
                  <w:vMerge w:val="restart"/>
                  <w:vAlign w:val="center"/>
                </w:tcPr>
                <w:p>
                  <w:pPr>
                    <w:widowControl/>
                    <w:adjustRightInd w:val="0"/>
                    <w:snapToGrid w:val="0"/>
                    <w:jc w:val="center"/>
                    <w:textAlignment w:val="center"/>
                    <w:rPr>
                      <w:color w:val="auto"/>
                      <w:szCs w:val="21"/>
                    </w:rPr>
                  </w:pPr>
                  <w:r>
                    <w:rPr>
                      <w:color w:val="auto"/>
                      <w:szCs w:val="21"/>
                    </w:rPr>
                    <w:t>15</w:t>
                  </w:r>
                </w:p>
              </w:tc>
              <w:tc>
                <w:tcPr>
                  <w:tcW w:w="920" w:type="dxa"/>
                  <w:vAlign w:val="center"/>
                </w:tcPr>
                <w:p>
                  <w:pPr>
                    <w:widowControl/>
                    <w:adjustRightInd w:val="0"/>
                    <w:snapToGrid w:val="0"/>
                    <w:jc w:val="center"/>
                    <w:textAlignment w:val="center"/>
                    <w:rPr>
                      <w:color w:val="auto"/>
                      <w:szCs w:val="21"/>
                    </w:rPr>
                  </w:pPr>
                  <w:r>
                    <w:rPr>
                      <w:rFonts w:hint="eastAsia"/>
                      <w:color w:val="auto"/>
                      <w:szCs w:val="21"/>
                    </w:rPr>
                    <w:t>46.5</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autoSpaceDE w:val="0"/>
                    <w:autoSpaceDN w:val="0"/>
                    <w:adjustRightInd w:val="0"/>
                    <w:jc w:val="center"/>
                    <w:rPr>
                      <w:color w:val="auto"/>
                      <w:szCs w:val="21"/>
                    </w:rPr>
                  </w:pPr>
                </w:p>
              </w:tc>
              <w:tc>
                <w:tcPr>
                  <w:tcW w:w="329" w:type="pct"/>
                  <w:vMerge w:val="continue"/>
                  <w:vAlign w:val="center"/>
                </w:tcPr>
                <w:p>
                  <w:pPr>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widowControl/>
                    <w:jc w:val="center"/>
                    <w:textAlignment w:val="center"/>
                    <w:rPr>
                      <w:color w:val="auto"/>
                      <w:szCs w:val="21"/>
                    </w:rPr>
                  </w:pPr>
                </w:p>
              </w:tc>
              <w:tc>
                <w:tcPr>
                  <w:tcW w:w="263" w:type="pct"/>
                  <w:vMerge w:val="continue"/>
                  <w:vAlign w:val="center"/>
                </w:tcPr>
                <w:p>
                  <w:pPr>
                    <w:widowControl/>
                    <w:jc w:val="center"/>
                    <w:textAlignment w:val="center"/>
                    <w:rPr>
                      <w:color w:val="auto"/>
                      <w:szCs w:val="21"/>
                    </w:rPr>
                  </w:pPr>
                </w:p>
              </w:tc>
              <w:tc>
                <w:tcPr>
                  <w:tcW w:w="259" w:type="pct"/>
                  <w:vMerge w:val="continue"/>
                  <w:vAlign w:val="center"/>
                </w:tcPr>
                <w:p>
                  <w:pPr>
                    <w:widowControl/>
                    <w:jc w:val="center"/>
                    <w:textAlignment w:val="center"/>
                    <w:rPr>
                      <w:color w:val="auto"/>
                      <w:szCs w:val="21"/>
                    </w:rPr>
                  </w:pPr>
                </w:p>
              </w:tc>
              <w:tc>
                <w:tcPr>
                  <w:tcW w:w="203" w:type="pct"/>
                  <w:vAlign w:val="center"/>
                </w:tcPr>
                <w:p>
                  <w:pPr>
                    <w:widowControl/>
                    <w:adjustRightInd w:val="0"/>
                    <w:snapToGrid w:val="0"/>
                    <w:jc w:val="center"/>
                    <w:textAlignment w:val="center"/>
                    <w:rPr>
                      <w:color w:val="auto"/>
                      <w:szCs w:val="21"/>
                    </w:rPr>
                  </w:pPr>
                  <w:r>
                    <w:rPr>
                      <w:color w:val="auto"/>
                      <w:szCs w:val="21"/>
                    </w:rPr>
                    <w:t>南</w:t>
                  </w:r>
                </w:p>
              </w:tc>
              <w:tc>
                <w:tcPr>
                  <w:tcW w:w="303" w:type="pct"/>
                  <w:vAlign w:val="center"/>
                </w:tcPr>
                <w:p>
                  <w:pPr>
                    <w:widowControl/>
                    <w:jc w:val="center"/>
                    <w:textAlignment w:val="center"/>
                    <w:rPr>
                      <w:color w:val="auto"/>
                      <w:szCs w:val="21"/>
                    </w:rPr>
                  </w:pPr>
                  <w:r>
                    <w:rPr>
                      <w:color w:val="auto"/>
                      <w:szCs w:val="21"/>
                    </w:rPr>
                    <w:t>30</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41.5</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26.5</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autoSpaceDE w:val="0"/>
                    <w:autoSpaceDN w:val="0"/>
                    <w:adjustRightInd w:val="0"/>
                    <w:jc w:val="center"/>
                    <w:rPr>
                      <w:color w:val="auto"/>
                      <w:szCs w:val="21"/>
                    </w:rPr>
                  </w:pPr>
                </w:p>
              </w:tc>
              <w:tc>
                <w:tcPr>
                  <w:tcW w:w="329" w:type="pct"/>
                  <w:vMerge w:val="continue"/>
                  <w:vAlign w:val="center"/>
                </w:tcPr>
                <w:p>
                  <w:pPr>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widowControl/>
                    <w:jc w:val="center"/>
                    <w:textAlignment w:val="center"/>
                    <w:rPr>
                      <w:color w:val="auto"/>
                      <w:szCs w:val="21"/>
                    </w:rPr>
                  </w:pPr>
                </w:p>
              </w:tc>
              <w:tc>
                <w:tcPr>
                  <w:tcW w:w="263" w:type="pct"/>
                  <w:vMerge w:val="continue"/>
                  <w:vAlign w:val="center"/>
                </w:tcPr>
                <w:p>
                  <w:pPr>
                    <w:widowControl/>
                    <w:jc w:val="center"/>
                    <w:textAlignment w:val="center"/>
                    <w:rPr>
                      <w:color w:val="auto"/>
                      <w:szCs w:val="21"/>
                    </w:rPr>
                  </w:pPr>
                </w:p>
              </w:tc>
              <w:tc>
                <w:tcPr>
                  <w:tcW w:w="259" w:type="pct"/>
                  <w:vMerge w:val="continue"/>
                  <w:vAlign w:val="center"/>
                </w:tcPr>
                <w:p>
                  <w:pPr>
                    <w:widowControl/>
                    <w:jc w:val="center"/>
                    <w:textAlignment w:val="center"/>
                    <w:rPr>
                      <w:color w:val="auto"/>
                      <w:szCs w:val="21"/>
                    </w:rPr>
                  </w:pPr>
                </w:p>
              </w:tc>
              <w:tc>
                <w:tcPr>
                  <w:tcW w:w="203" w:type="pct"/>
                  <w:vAlign w:val="center"/>
                </w:tcPr>
                <w:p>
                  <w:pPr>
                    <w:widowControl/>
                    <w:adjustRightInd w:val="0"/>
                    <w:snapToGrid w:val="0"/>
                    <w:jc w:val="center"/>
                    <w:textAlignment w:val="center"/>
                    <w:rPr>
                      <w:color w:val="auto"/>
                      <w:szCs w:val="21"/>
                    </w:rPr>
                  </w:pPr>
                  <w:r>
                    <w:rPr>
                      <w:color w:val="auto"/>
                      <w:szCs w:val="21"/>
                    </w:rPr>
                    <w:t>西</w:t>
                  </w:r>
                </w:p>
              </w:tc>
              <w:tc>
                <w:tcPr>
                  <w:tcW w:w="303" w:type="pct"/>
                  <w:vAlign w:val="center"/>
                </w:tcPr>
                <w:p>
                  <w:pPr>
                    <w:widowControl/>
                    <w:jc w:val="center"/>
                    <w:textAlignment w:val="center"/>
                    <w:rPr>
                      <w:color w:val="auto"/>
                      <w:szCs w:val="21"/>
                    </w:rPr>
                  </w:pPr>
                  <w:r>
                    <w:rPr>
                      <w:color w:val="auto"/>
                      <w:szCs w:val="21"/>
                    </w:rPr>
                    <w:t>18</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45.9</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30.9</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autoSpaceDE w:val="0"/>
                    <w:autoSpaceDN w:val="0"/>
                    <w:adjustRightInd w:val="0"/>
                    <w:jc w:val="center"/>
                    <w:rPr>
                      <w:color w:val="auto"/>
                      <w:szCs w:val="21"/>
                    </w:rPr>
                  </w:pPr>
                </w:p>
              </w:tc>
              <w:tc>
                <w:tcPr>
                  <w:tcW w:w="329" w:type="pct"/>
                  <w:vMerge w:val="continue"/>
                  <w:vAlign w:val="center"/>
                </w:tcPr>
                <w:p>
                  <w:pPr>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widowControl/>
                    <w:jc w:val="center"/>
                    <w:textAlignment w:val="center"/>
                    <w:rPr>
                      <w:color w:val="auto"/>
                      <w:szCs w:val="21"/>
                    </w:rPr>
                  </w:pPr>
                </w:p>
              </w:tc>
              <w:tc>
                <w:tcPr>
                  <w:tcW w:w="263" w:type="pct"/>
                  <w:vMerge w:val="continue"/>
                  <w:vAlign w:val="center"/>
                </w:tcPr>
                <w:p>
                  <w:pPr>
                    <w:widowControl/>
                    <w:jc w:val="center"/>
                    <w:textAlignment w:val="center"/>
                    <w:rPr>
                      <w:color w:val="auto"/>
                      <w:szCs w:val="21"/>
                    </w:rPr>
                  </w:pPr>
                </w:p>
              </w:tc>
              <w:tc>
                <w:tcPr>
                  <w:tcW w:w="259" w:type="pct"/>
                  <w:vMerge w:val="continue"/>
                  <w:vAlign w:val="center"/>
                </w:tcPr>
                <w:p>
                  <w:pPr>
                    <w:widowControl/>
                    <w:jc w:val="center"/>
                    <w:textAlignment w:val="center"/>
                    <w:rPr>
                      <w:color w:val="auto"/>
                      <w:szCs w:val="21"/>
                    </w:rPr>
                  </w:pPr>
                </w:p>
              </w:tc>
              <w:tc>
                <w:tcPr>
                  <w:tcW w:w="203" w:type="pct"/>
                  <w:vAlign w:val="center"/>
                </w:tcPr>
                <w:p>
                  <w:pPr>
                    <w:widowControl/>
                    <w:adjustRightInd w:val="0"/>
                    <w:snapToGrid w:val="0"/>
                    <w:jc w:val="center"/>
                    <w:textAlignment w:val="center"/>
                    <w:rPr>
                      <w:color w:val="auto"/>
                      <w:szCs w:val="21"/>
                    </w:rPr>
                  </w:pPr>
                  <w:r>
                    <w:rPr>
                      <w:color w:val="auto"/>
                      <w:szCs w:val="21"/>
                    </w:rPr>
                    <w:t>北</w:t>
                  </w:r>
                </w:p>
              </w:tc>
              <w:tc>
                <w:tcPr>
                  <w:tcW w:w="303" w:type="pct"/>
                  <w:vAlign w:val="center"/>
                </w:tcPr>
                <w:p>
                  <w:pPr>
                    <w:widowControl/>
                    <w:jc w:val="center"/>
                    <w:textAlignment w:val="center"/>
                    <w:rPr>
                      <w:color w:val="auto"/>
                      <w:szCs w:val="21"/>
                    </w:rPr>
                  </w:pPr>
                  <w:r>
                    <w:rPr>
                      <w:color w:val="auto"/>
                      <w:szCs w:val="21"/>
                    </w:rPr>
                    <w:t>16</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46.9</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31.9</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rPr>
                      <w:color w:val="auto"/>
                      <w:szCs w:val="21"/>
                    </w:rPr>
                  </w:pPr>
                  <w:r>
                    <w:rPr>
                      <w:color w:val="auto"/>
                      <w:szCs w:val="21"/>
                    </w:rPr>
                    <w:t>3</w:t>
                  </w:r>
                </w:p>
              </w:tc>
              <w:tc>
                <w:tcPr>
                  <w:tcW w:w="263" w:type="pct"/>
                  <w:vMerge w:val="continue"/>
                  <w:vAlign w:val="center"/>
                </w:tcPr>
                <w:p>
                  <w:pPr>
                    <w:widowControl/>
                    <w:adjustRightInd w:val="0"/>
                    <w:snapToGrid w:val="0"/>
                    <w:jc w:val="center"/>
                    <w:rPr>
                      <w:color w:val="auto"/>
                      <w:szCs w:val="21"/>
                    </w:rPr>
                  </w:pPr>
                </w:p>
              </w:tc>
              <w:tc>
                <w:tcPr>
                  <w:tcW w:w="383" w:type="pct"/>
                  <w:vMerge w:val="restart"/>
                  <w:vAlign w:val="center"/>
                </w:tcPr>
                <w:p>
                  <w:pPr>
                    <w:autoSpaceDE w:val="0"/>
                    <w:autoSpaceDN w:val="0"/>
                    <w:adjustRightInd w:val="0"/>
                    <w:jc w:val="center"/>
                    <w:rPr>
                      <w:color w:val="auto"/>
                      <w:szCs w:val="21"/>
                    </w:rPr>
                  </w:pPr>
                  <w:r>
                    <w:rPr>
                      <w:color w:val="auto"/>
                      <w:szCs w:val="21"/>
                    </w:rPr>
                    <w:t>斗式提升机</w:t>
                  </w:r>
                </w:p>
              </w:tc>
              <w:tc>
                <w:tcPr>
                  <w:tcW w:w="329" w:type="pct"/>
                  <w:vMerge w:val="restart"/>
                  <w:vAlign w:val="center"/>
                </w:tcPr>
                <w:p>
                  <w:pPr>
                    <w:jc w:val="center"/>
                    <w:rPr>
                      <w:color w:val="auto"/>
                      <w:szCs w:val="21"/>
                    </w:rPr>
                  </w:pPr>
                  <w:r>
                    <w:rPr>
                      <w:color w:val="auto"/>
                      <w:szCs w:val="21"/>
                    </w:rPr>
                    <w:t>/</w:t>
                  </w:r>
                </w:p>
              </w:tc>
              <w:tc>
                <w:tcPr>
                  <w:tcW w:w="325" w:type="pct"/>
                  <w:vMerge w:val="restart"/>
                  <w:vAlign w:val="center"/>
                </w:tcPr>
                <w:p>
                  <w:pPr>
                    <w:widowControl/>
                    <w:adjustRightInd w:val="0"/>
                    <w:snapToGrid w:val="0"/>
                    <w:jc w:val="center"/>
                    <w:rPr>
                      <w:color w:val="auto"/>
                      <w:szCs w:val="21"/>
                    </w:rPr>
                  </w:pPr>
                  <w:r>
                    <w:rPr>
                      <w:color w:val="auto"/>
                      <w:szCs w:val="21"/>
                    </w:rPr>
                    <w:t>75</w:t>
                  </w:r>
                </w:p>
              </w:tc>
              <w:tc>
                <w:tcPr>
                  <w:tcW w:w="340" w:type="pct"/>
                  <w:vMerge w:val="continue"/>
                  <w:vAlign w:val="center"/>
                </w:tcPr>
                <w:p>
                  <w:pPr>
                    <w:widowControl/>
                    <w:adjustRightInd w:val="0"/>
                    <w:snapToGrid w:val="0"/>
                    <w:jc w:val="center"/>
                    <w:rPr>
                      <w:color w:val="auto"/>
                      <w:szCs w:val="21"/>
                    </w:rPr>
                  </w:pPr>
                </w:p>
              </w:tc>
              <w:tc>
                <w:tcPr>
                  <w:tcW w:w="287" w:type="pct"/>
                  <w:vMerge w:val="restart"/>
                  <w:vAlign w:val="center"/>
                </w:tcPr>
                <w:p>
                  <w:pPr>
                    <w:widowControl/>
                    <w:jc w:val="center"/>
                    <w:textAlignment w:val="center"/>
                    <w:rPr>
                      <w:color w:val="auto"/>
                      <w:szCs w:val="21"/>
                    </w:rPr>
                  </w:pPr>
                  <w:r>
                    <w:rPr>
                      <w:color w:val="auto"/>
                      <w:szCs w:val="21"/>
                    </w:rPr>
                    <w:t>26</w:t>
                  </w:r>
                </w:p>
              </w:tc>
              <w:tc>
                <w:tcPr>
                  <w:tcW w:w="263" w:type="pct"/>
                  <w:vMerge w:val="restart"/>
                  <w:vAlign w:val="center"/>
                </w:tcPr>
                <w:p>
                  <w:pPr>
                    <w:widowControl/>
                    <w:jc w:val="center"/>
                    <w:textAlignment w:val="center"/>
                    <w:rPr>
                      <w:color w:val="auto"/>
                      <w:szCs w:val="21"/>
                    </w:rPr>
                  </w:pPr>
                  <w:r>
                    <w:rPr>
                      <w:color w:val="auto"/>
                      <w:szCs w:val="21"/>
                    </w:rPr>
                    <w:t>33</w:t>
                  </w:r>
                </w:p>
              </w:tc>
              <w:tc>
                <w:tcPr>
                  <w:tcW w:w="259" w:type="pct"/>
                  <w:vMerge w:val="restart"/>
                  <w:vAlign w:val="center"/>
                </w:tcPr>
                <w:p>
                  <w:pPr>
                    <w:widowControl/>
                    <w:jc w:val="center"/>
                    <w:textAlignment w:val="center"/>
                    <w:rPr>
                      <w:color w:val="auto"/>
                      <w:szCs w:val="21"/>
                    </w:rPr>
                  </w:pPr>
                  <w:r>
                    <w:rPr>
                      <w:color w:val="auto"/>
                      <w:szCs w:val="21"/>
                    </w:rPr>
                    <w:t>0</w:t>
                  </w:r>
                </w:p>
              </w:tc>
              <w:tc>
                <w:tcPr>
                  <w:tcW w:w="203" w:type="pct"/>
                  <w:vAlign w:val="center"/>
                </w:tcPr>
                <w:p>
                  <w:pPr>
                    <w:widowControl/>
                    <w:adjustRightInd w:val="0"/>
                    <w:snapToGrid w:val="0"/>
                    <w:jc w:val="center"/>
                    <w:textAlignment w:val="center"/>
                    <w:rPr>
                      <w:color w:val="auto"/>
                      <w:szCs w:val="21"/>
                    </w:rPr>
                  </w:pPr>
                  <w:r>
                    <w:rPr>
                      <w:color w:val="auto"/>
                      <w:szCs w:val="21"/>
                    </w:rPr>
                    <w:t>东</w:t>
                  </w:r>
                </w:p>
              </w:tc>
              <w:tc>
                <w:tcPr>
                  <w:tcW w:w="303" w:type="pct"/>
                  <w:vAlign w:val="center"/>
                </w:tcPr>
                <w:p>
                  <w:pPr>
                    <w:widowControl/>
                    <w:jc w:val="center"/>
                    <w:textAlignment w:val="center"/>
                    <w:rPr>
                      <w:color w:val="auto"/>
                      <w:szCs w:val="21"/>
                    </w:rPr>
                  </w:pPr>
                  <w:r>
                    <w:rPr>
                      <w:color w:val="auto"/>
                      <w:szCs w:val="21"/>
                    </w:rPr>
                    <w:t>4</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54</w:t>
                  </w:r>
                </w:p>
              </w:tc>
              <w:tc>
                <w:tcPr>
                  <w:tcW w:w="239" w:type="pct"/>
                  <w:vMerge w:val="restart"/>
                  <w:vAlign w:val="center"/>
                </w:tcPr>
                <w:p>
                  <w:pPr>
                    <w:widowControl/>
                    <w:adjustRightInd w:val="0"/>
                    <w:snapToGrid w:val="0"/>
                    <w:jc w:val="center"/>
                    <w:textAlignment w:val="center"/>
                    <w:rPr>
                      <w:color w:val="auto"/>
                      <w:szCs w:val="21"/>
                    </w:rPr>
                  </w:pPr>
                  <w:r>
                    <w:rPr>
                      <w:rFonts w:hint="eastAsia"/>
                      <w:color w:val="auto"/>
                      <w:szCs w:val="21"/>
                    </w:rPr>
                    <w:t>昼夜</w:t>
                  </w:r>
                </w:p>
              </w:tc>
              <w:tc>
                <w:tcPr>
                  <w:tcW w:w="375" w:type="pct"/>
                  <w:vMerge w:val="restart"/>
                  <w:vAlign w:val="center"/>
                </w:tcPr>
                <w:p>
                  <w:pPr>
                    <w:widowControl/>
                    <w:adjustRightInd w:val="0"/>
                    <w:snapToGrid w:val="0"/>
                    <w:jc w:val="center"/>
                    <w:textAlignment w:val="center"/>
                    <w:rPr>
                      <w:color w:val="auto"/>
                      <w:szCs w:val="21"/>
                    </w:rPr>
                  </w:pPr>
                  <w:r>
                    <w:rPr>
                      <w:color w:val="auto"/>
                      <w:szCs w:val="21"/>
                    </w:rPr>
                    <w:t>15</w:t>
                  </w:r>
                </w:p>
              </w:tc>
              <w:tc>
                <w:tcPr>
                  <w:tcW w:w="920" w:type="dxa"/>
                  <w:vAlign w:val="center"/>
                </w:tcPr>
                <w:p>
                  <w:pPr>
                    <w:widowControl/>
                    <w:adjustRightInd w:val="0"/>
                    <w:snapToGrid w:val="0"/>
                    <w:jc w:val="center"/>
                    <w:textAlignment w:val="center"/>
                    <w:rPr>
                      <w:color w:val="auto"/>
                      <w:szCs w:val="21"/>
                    </w:rPr>
                  </w:pPr>
                  <w:r>
                    <w:rPr>
                      <w:rFonts w:hint="eastAsia"/>
                      <w:color w:val="auto"/>
                      <w:szCs w:val="21"/>
                    </w:rPr>
                    <w:t>39</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autoSpaceDE w:val="0"/>
                    <w:autoSpaceDN w:val="0"/>
                    <w:adjustRightInd w:val="0"/>
                    <w:jc w:val="center"/>
                    <w:rPr>
                      <w:color w:val="auto"/>
                      <w:szCs w:val="21"/>
                    </w:rPr>
                  </w:pPr>
                </w:p>
              </w:tc>
              <w:tc>
                <w:tcPr>
                  <w:tcW w:w="329" w:type="pct"/>
                  <w:vMerge w:val="continue"/>
                  <w:vAlign w:val="center"/>
                </w:tcPr>
                <w:p>
                  <w:pPr>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widowControl/>
                    <w:jc w:val="center"/>
                    <w:textAlignment w:val="center"/>
                    <w:rPr>
                      <w:color w:val="auto"/>
                      <w:szCs w:val="21"/>
                    </w:rPr>
                  </w:pPr>
                </w:p>
              </w:tc>
              <w:tc>
                <w:tcPr>
                  <w:tcW w:w="263" w:type="pct"/>
                  <w:vMerge w:val="continue"/>
                  <w:vAlign w:val="center"/>
                </w:tcPr>
                <w:p>
                  <w:pPr>
                    <w:widowControl/>
                    <w:jc w:val="center"/>
                    <w:textAlignment w:val="center"/>
                    <w:rPr>
                      <w:color w:val="auto"/>
                      <w:szCs w:val="21"/>
                    </w:rPr>
                  </w:pPr>
                </w:p>
              </w:tc>
              <w:tc>
                <w:tcPr>
                  <w:tcW w:w="259" w:type="pct"/>
                  <w:vMerge w:val="continue"/>
                  <w:vAlign w:val="center"/>
                </w:tcPr>
                <w:p>
                  <w:pPr>
                    <w:widowControl/>
                    <w:jc w:val="center"/>
                    <w:textAlignment w:val="center"/>
                    <w:rPr>
                      <w:color w:val="auto"/>
                      <w:szCs w:val="21"/>
                    </w:rPr>
                  </w:pPr>
                </w:p>
              </w:tc>
              <w:tc>
                <w:tcPr>
                  <w:tcW w:w="203" w:type="pct"/>
                  <w:vAlign w:val="center"/>
                </w:tcPr>
                <w:p>
                  <w:pPr>
                    <w:widowControl/>
                    <w:adjustRightInd w:val="0"/>
                    <w:snapToGrid w:val="0"/>
                    <w:jc w:val="center"/>
                    <w:textAlignment w:val="center"/>
                    <w:rPr>
                      <w:color w:val="auto"/>
                      <w:szCs w:val="21"/>
                    </w:rPr>
                  </w:pPr>
                  <w:r>
                    <w:rPr>
                      <w:color w:val="auto"/>
                      <w:szCs w:val="21"/>
                    </w:rPr>
                    <w:t>南</w:t>
                  </w:r>
                </w:p>
              </w:tc>
              <w:tc>
                <w:tcPr>
                  <w:tcW w:w="303" w:type="pct"/>
                  <w:vAlign w:val="center"/>
                </w:tcPr>
                <w:p>
                  <w:pPr>
                    <w:widowControl/>
                    <w:jc w:val="center"/>
                    <w:textAlignment w:val="center"/>
                    <w:rPr>
                      <w:color w:val="auto"/>
                      <w:szCs w:val="21"/>
                    </w:rPr>
                  </w:pPr>
                  <w:r>
                    <w:rPr>
                      <w:color w:val="auto"/>
                      <w:szCs w:val="21"/>
                    </w:rPr>
                    <w:t>32</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35.9</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20.9</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autoSpaceDE w:val="0"/>
                    <w:autoSpaceDN w:val="0"/>
                    <w:adjustRightInd w:val="0"/>
                    <w:jc w:val="center"/>
                    <w:rPr>
                      <w:color w:val="auto"/>
                      <w:szCs w:val="21"/>
                    </w:rPr>
                  </w:pPr>
                </w:p>
              </w:tc>
              <w:tc>
                <w:tcPr>
                  <w:tcW w:w="329" w:type="pct"/>
                  <w:vMerge w:val="continue"/>
                  <w:vAlign w:val="center"/>
                </w:tcPr>
                <w:p>
                  <w:pPr>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widowControl/>
                    <w:jc w:val="center"/>
                    <w:textAlignment w:val="center"/>
                    <w:rPr>
                      <w:color w:val="auto"/>
                      <w:szCs w:val="21"/>
                    </w:rPr>
                  </w:pPr>
                </w:p>
              </w:tc>
              <w:tc>
                <w:tcPr>
                  <w:tcW w:w="263" w:type="pct"/>
                  <w:vMerge w:val="continue"/>
                  <w:vAlign w:val="center"/>
                </w:tcPr>
                <w:p>
                  <w:pPr>
                    <w:widowControl/>
                    <w:jc w:val="center"/>
                    <w:textAlignment w:val="center"/>
                    <w:rPr>
                      <w:color w:val="auto"/>
                      <w:szCs w:val="21"/>
                    </w:rPr>
                  </w:pPr>
                </w:p>
              </w:tc>
              <w:tc>
                <w:tcPr>
                  <w:tcW w:w="259" w:type="pct"/>
                  <w:vMerge w:val="continue"/>
                  <w:vAlign w:val="center"/>
                </w:tcPr>
                <w:p>
                  <w:pPr>
                    <w:widowControl/>
                    <w:jc w:val="center"/>
                    <w:textAlignment w:val="center"/>
                    <w:rPr>
                      <w:color w:val="auto"/>
                      <w:szCs w:val="21"/>
                    </w:rPr>
                  </w:pPr>
                </w:p>
              </w:tc>
              <w:tc>
                <w:tcPr>
                  <w:tcW w:w="203" w:type="pct"/>
                  <w:vAlign w:val="center"/>
                </w:tcPr>
                <w:p>
                  <w:pPr>
                    <w:widowControl/>
                    <w:adjustRightInd w:val="0"/>
                    <w:snapToGrid w:val="0"/>
                    <w:jc w:val="center"/>
                    <w:textAlignment w:val="center"/>
                    <w:rPr>
                      <w:color w:val="auto"/>
                      <w:szCs w:val="21"/>
                    </w:rPr>
                  </w:pPr>
                  <w:r>
                    <w:rPr>
                      <w:color w:val="auto"/>
                      <w:szCs w:val="21"/>
                    </w:rPr>
                    <w:t>西</w:t>
                  </w:r>
                </w:p>
              </w:tc>
              <w:tc>
                <w:tcPr>
                  <w:tcW w:w="303" w:type="pct"/>
                  <w:vAlign w:val="center"/>
                </w:tcPr>
                <w:p>
                  <w:pPr>
                    <w:widowControl/>
                    <w:jc w:val="center"/>
                    <w:textAlignment w:val="center"/>
                    <w:rPr>
                      <w:color w:val="auto"/>
                      <w:szCs w:val="21"/>
                    </w:rPr>
                  </w:pPr>
                  <w:r>
                    <w:rPr>
                      <w:color w:val="auto"/>
                      <w:szCs w:val="21"/>
                    </w:rPr>
                    <w:t>18</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40.9</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25.9</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autoSpaceDE w:val="0"/>
                    <w:autoSpaceDN w:val="0"/>
                    <w:adjustRightInd w:val="0"/>
                    <w:jc w:val="center"/>
                    <w:rPr>
                      <w:color w:val="auto"/>
                      <w:szCs w:val="21"/>
                    </w:rPr>
                  </w:pPr>
                </w:p>
              </w:tc>
              <w:tc>
                <w:tcPr>
                  <w:tcW w:w="329" w:type="pct"/>
                  <w:vMerge w:val="continue"/>
                  <w:vAlign w:val="center"/>
                </w:tcPr>
                <w:p>
                  <w:pPr>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widowControl/>
                    <w:jc w:val="center"/>
                    <w:textAlignment w:val="center"/>
                    <w:rPr>
                      <w:color w:val="auto"/>
                      <w:szCs w:val="21"/>
                    </w:rPr>
                  </w:pPr>
                </w:p>
              </w:tc>
              <w:tc>
                <w:tcPr>
                  <w:tcW w:w="263" w:type="pct"/>
                  <w:vMerge w:val="continue"/>
                  <w:vAlign w:val="center"/>
                </w:tcPr>
                <w:p>
                  <w:pPr>
                    <w:widowControl/>
                    <w:jc w:val="center"/>
                    <w:textAlignment w:val="center"/>
                    <w:rPr>
                      <w:color w:val="auto"/>
                      <w:szCs w:val="21"/>
                    </w:rPr>
                  </w:pPr>
                </w:p>
              </w:tc>
              <w:tc>
                <w:tcPr>
                  <w:tcW w:w="259" w:type="pct"/>
                  <w:vMerge w:val="continue"/>
                  <w:vAlign w:val="center"/>
                </w:tcPr>
                <w:p>
                  <w:pPr>
                    <w:widowControl/>
                    <w:jc w:val="center"/>
                    <w:textAlignment w:val="center"/>
                    <w:rPr>
                      <w:color w:val="auto"/>
                      <w:szCs w:val="21"/>
                    </w:rPr>
                  </w:pPr>
                </w:p>
              </w:tc>
              <w:tc>
                <w:tcPr>
                  <w:tcW w:w="203" w:type="pct"/>
                  <w:vAlign w:val="center"/>
                </w:tcPr>
                <w:p>
                  <w:pPr>
                    <w:widowControl/>
                    <w:adjustRightInd w:val="0"/>
                    <w:snapToGrid w:val="0"/>
                    <w:jc w:val="center"/>
                    <w:textAlignment w:val="center"/>
                    <w:rPr>
                      <w:color w:val="auto"/>
                      <w:szCs w:val="21"/>
                    </w:rPr>
                  </w:pPr>
                  <w:r>
                    <w:rPr>
                      <w:color w:val="auto"/>
                      <w:szCs w:val="21"/>
                    </w:rPr>
                    <w:t>北</w:t>
                  </w:r>
                </w:p>
              </w:tc>
              <w:tc>
                <w:tcPr>
                  <w:tcW w:w="303" w:type="pct"/>
                  <w:vAlign w:val="center"/>
                </w:tcPr>
                <w:p>
                  <w:pPr>
                    <w:widowControl/>
                    <w:jc w:val="center"/>
                    <w:textAlignment w:val="center"/>
                    <w:rPr>
                      <w:color w:val="auto"/>
                      <w:szCs w:val="21"/>
                    </w:rPr>
                  </w:pPr>
                  <w:r>
                    <w:rPr>
                      <w:color w:val="auto"/>
                      <w:szCs w:val="21"/>
                    </w:rPr>
                    <w:t>17</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41.4</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26.4</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rPr>
                      <w:color w:val="auto"/>
                      <w:szCs w:val="21"/>
                    </w:rPr>
                  </w:pPr>
                  <w:r>
                    <w:rPr>
                      <w:color w:val="auto"/>
                      <w:szCs w:val="21"/>
                    </w:rPr>
                    <w:t>4</w:t>
                  </w:r>
                </w:p>
              </w:tc>
              <w:tc>
                <w:tcPr>
                  <w:tcW w:w="263" w:type="pct"/>
                  <w:vMerge w:val="continue"/>
                  <w:vAlign w:val="center"/>
                </w:tcPr>
                <w:p>
                  <w:pPr>
                    <w:widowControl/>
                    <w:adjustRightInd w:val="0"/>
                    <w:snapToGrid w:val="0"/>
                    <w:jc w:val="center"/>
                    <w:rPr>
                      <w:color w:val="auto"/>
                      <w:szCs w:val="21"/>
                    </w:rPr>
                  </w:pPr>
                </w:p>
              </w:tc>
              <w:tc>
                <w:tcPr>
                  <w:tcW w:w="383" w:type="pct"/>
                  <w:vMerge w:val="restart"/>
                  <w:vAlign w:val="center"/>
                </w:tcPr>
                <w:p>
                  <w:pPr>
                    <w:autoSpaceDE w:val="0"/>
                    <w:autoSpaceDN w:val="0"/>
                    <w:adjustRightInd w:val="0"/>
                    <w:jc w:val="center"/>
                    <w:rPr>
                      <w:color w:val="auto"/>
                      <w:szCs w:val="21"/>
                    </w:rPr>
                  </w:pPr>
                  <w:r>
                    <w:rPr>
                      <w:color w:val="auto"/>
                      <w:szCs w:val="21"/>
                    </w:rPr>
                    <w:t>滚砂机</w:t>
                  </w:r>
                </w:p>
              </w:tc>
              <w:tc>
                <w:tcPr>
                  <w:tcW w:w="329" w:type="pct"/>
                  <w:vMerge w:val="restart"/>
                  <w:vAlign w:val="center"/>
                </w:tcPr>
                <w:p>
                  <w:pPr>
                    <w:jc w:val="center"/>
                    <w:rPr>
                      <w:color w:val="auto"/>
                      <w:szCs w:val="21"/>
                    </w:rPr>
                  </w:pPr>
                  <w:r>
                    <w:rPr>
                      <w:color w:val="auto"/>
                      <w:szCs w:val="21"/>
                    </w:rPr>
                    <w:t>1021</w:t>
                  </w:r>
                </w:p>
              </w:tc>
              <w:tc>
                <w:tcPr>
                  <w:tcW w:w="325" w:type="pct"/>
                  <w:vMerge w:val="restart"/>
                  <w:vAlign w:val="center"/>
                </w:tcPr>
                <w:p>
                  <w:pPr>
                    <w:widowControl/>
                    <w:adjustRightInd w:val="0"/>
                    <w:snapToGrid w:val="0"/>
                    <w:jc w:val="center"/>
                    <w:rPr>
                      <w:color w:val="auto"/>
                      <w:szCs w:val="21"/>
                    </w:rPr>
                  </w:pPr>
                  <w:r>
                    <w:rPr>
                      <w:color w:val="auto"/>
                      <w:szCs w:val="21"/>
                    </w:rPr>
                    <w:t>85</w:t>
                  </w:r>
                </w:p>
              </w:tc>
              <w:tc>
                <w:tcPr>
                  <w:tcW w:w="340" w:type="pct"/>
                  <w:vMerge w:val="continue"/>
                  <w:vAlign w:val="center"/>
                </w:tcPr>
                <w:p>
                  <w:pPr>
                    <w:widowControl/>
                    <w:adjustRightInd w:val="0"/>
                    <w:snapToGrid w:val="0"/>
                    <w:jc w:val="center"/>
                    <w:rPr>
                      <w:color w:val="auto"/>
                      <w:szCs w:val="21"/>
                    </w:rPr>
                  </w:pPr>
                </w:p>
              </w:tc>
              <w:tc>
                <w:tcPr>
                  <w:tcW w:w="287" w:type="pct"/>
                  <w:vMerge w:val="restart"/>
                  <w:vAlign w:val="center"/>
                </w:tcPr>
                <w:p>
                  <w:pPr>
                    <w:widowControl/>
                    <w:jc w:val="center"/>
                    <w:textAlignment w:val="center"/>
                    <w:rPr>
                      <w:color w:val="auto"/>
                      <w:szCs w:val="21"/>
                    </w:rPr>
                  </w:pPr>
                  <w:r>
                    <w:rPr>
                      <w:color w:val="auto"/>
                      <w:szCs w:val="21"/>
                    </w:rPr>
                    <w:t>25</w:t>
                  </w:r>
                </w:p>
              </w:tc>
              <w:tc>
                <w:tcPr>
                  <w:tcW w:w="263" w:type="pct"/>
                  <w:vMerge w:val="restart"/>
                  <w:vAlign w:val="center"/>
                </w:tcPr>
                <w:p>
                  <w:pPr>
                    <w:widowControl/>
                    <w:jc w:val="center"/>
                    <w:textAlignment w:val="center"/>
                    <w:rPr>
                      <w:color w:val="auto"/>
                      <w:szCs w:val="21"/>
                    </w:rPr>
                  </w:pPr>
                  <w:r>
                    <w:rPr>
                      <w:color w:val="auto"/>
                      <w:szCs w:val="21"/>
                    </w:rPr>
                    <w:t>29</w:t>
                  </w:r>
                </w:p>
              </w:tc>
              <w:tc>
                <w:tcPr>
                  <w:tcW w:w="259" w:type="pct"/>
                  <w:vMerge w:val="restart"/>
                  <w:vAlign w:val="center"/>
                </w:tcPr>
                <w:p>
                  <w:pPr>
                    <w:widowControl/>
                    <w:jc w:val="center"/>
                    <w:textAlignment w:val="center"/>
                    <w:rPr>
                      <w:color w:val="auto"/>
                      <w:szCs w:val="21"/>
                    </w:rPr>
                  </w:pPr>
                  <w:r>
                    <w:rPr>
                      <w:color w:val="auto"/>
                      <w:szCs w:val="21"/>
                    </w:rPr>
                    <w:t>0</w:t>
                  </w:r>
                </w:p>
              </w:tc>
              <w:tc>
                <w:tcPr>
                  <w:tcW w:w="203" w:type="pct"/>
                  <w:vAlign w:val="center"/>
                </w:tcPr>
                <w:p>
                  <w:pPr>
                    <w:widowControl/>
                    <w:adjustRightInd w:val="0"/>
                    <w:snapToGrid w:val="0"/>
                    <w:jc w:val="center"/>
                    <w:textAlignment w:val="center"/>
                    <w:rPr>
                      <w:color w:val="auto"/>
                      <w:szCs w:val="21"/>
                    </w:rPr>
                  </w:pPr>
                  <w:r>
                    <w:rPr>
                      <w:color w:val="auto"/>
                      <w:szCs w:val="21"/>
                    </w:rPr>
                    <w:t>东</w:t>
                  </w:r>
                </w:p>
              </w:tc>
              <w:tc>
                <w:tcPr>
                  <w:tcW w:w="303" w:type="pct"/>
                  <w:vAlign w:val="center"/>
                </w:tcPr>
                <w:p>
                  <w:pPr>
                    <w:widowControl/>
                    <w:jc w:val="center"/>
                    <w:textAlignment w:val="center"/>
                    <w:rPr>
                      <w:color w:val="auto"/>
                      <w:szCs w:val="21"/>
                    </w:rPr>
                  </w:pPr>
                  <w:r>
                    <w:rPr>
                      <w:color w:val="auto"/>
                      <w:szCs w:val="21"/>
                    </w:rPr>
                    <w:t>5</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62</w:t>
                  </w:r>
                </w:p>
              </w:tc>
              <w:tc>
                <w:tcPr>
                  <w:tcW w:w="239" w:type="pct"/>
                  <w:vMerge w:val="restart"/>
                  <w:vAlign w:val="center"/>
                </w:tcPr>
                <w:p>
                  <w:pPr>
                    <w:widowControl/>
                    <w:adjustRightInd w:val="0"/>
                    <w:snapToGrid w:val="0"/>
                    <w:jc w:val="center"/>
                    <w:textAlignment w:val="center"/>
                    <w:rPr>
                      <w:color w:val="auto"/>
                      <w:szCs w:val="21"/>
                    </w:rPr>
                  </w:pPr>
                  <w:r>
                    <w:rPr>
                      <w:rFonts w:hint="eastAsia"/>
                      <w:color w:val="auto"/>
                      <w:szCs w:val="21"/>
                    </w:rPr>
                    <w:t>昼夜</w:t>
                  </w:r>
                </w:p>
              </w:tc>
              <w:tc>
                <w:tcPr>
                  <w:tcW w:w="375" w:type="pct"/>
                  <w:vMerge w:val="restart"/>
                  <w:vAlign w:val="center"/>
                </w:tcPr>
                <w:p>
                  <w:pPr>
                    <w:widowControl/>
                    <w:adjustRightInd w:val="0"/>
                    <w:snapToGrid w:val="0"/>
                    <w:jc w:val="center"/>
                    <w:textAlignment w:val="center"/>
                    <w:rPr>
                      <w:color w:val="auto"/>
                      <w:szCs w:val="21"/>
                    </w:rPr>
                  </w:pPr>
                  <w:r>
                    <w:rPr>
                      <w:color w:val="auto"/>
                      <w:szCs w:val="21"/>
                    </w:rPr>
                    <w:t>15</w:t>
                  </w:r>
                </w:p>
              </w:tc>
              <w:tc>
                <w:tcPr>
                  <w:tcW w:w="920" w:type="dxa"/>
                  <w:vAlign w:val="center"/>
                </w:tcPr>
                <w:p>
                  <w:pPr>
                    <w:widowControl/>
                    <w:adjustRightInd w:val="0"/>
                    <w:snapToGrid w:val="0"/>
                    <w:jc w:val="center"/>
                    <w:textAlignment w:val="center"/>
                    <w:rPr>
                      <w:color w:val="auto"/>
                      <w:szCs w:val="21"/>
                    </w:rPr>
                  </w:pPr>
                  <w:r>
                    <w:rPr>
                      <w:rFonts w:hint="eastAsia"/>
                      <w:color w:val="auto"/>
                      <w:szCs w:val="21"/>
                    </w:rPr>
                    <w:t>47</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autoSpaceDE w:val="0"/>
                    <w:autoSpaceDN w:val="0"/>
                    <w:adjustRightInd w:val="0"/>
                    <w:jc w:val="center"/>
                    <w:rPr>
                      <w:color w:val="auto"/>
                      <w:szCs w:val="21"/>
                    </w:rPr>
                  </w:pPr>
                </w:p>
              </w:tc>
              <w:tc>
                <w:tcPr>
                  <w:tcW w:w="329" w:type="pct"/>
                  <w:vMerge w:val="continue"/>
                  <w:vAlign w:val="center"/>
                </w:tcPr>
                <w:p>
                  <w:pPr>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widowControl/>
                    <w:jc w:val="center"/>
                    <w:textAlignment w:val="center"/>
                    <w:rPr>
                      <w:color w:val="auto"/>
                      <w:szCs w:val="21"/>
                    </w:rPr>
                  </w:pPr>
                </w:p>
              </w:tc>
              <w:tc>
                <w:tcPr>
                  <w:tcW w:w="263" w:type="pct"/>
                  <w:vMerge w:val="continue"/>
                  <w:vAlign w:val="center"/>
                </w:tcPr>
                <w:p>
                  <w:pPr>
                    <w:widowControl/>
                    <w:jc w:val="center"/>
                    <w:textAlignment w:val="center"/>
                    <w:rPr>
                      <w:color w:val="auto"/>
                      <w:szCs w:val="21"/>
                    </w:rPr>
                  </w:pPr>
                </w:p>
              </w:tc>
              <w:tc>
                <w:tcPr>
                  <w:tcW w:w="259" w:type="pct"/>
                  <w:vMerge w:val="continue"/>
                  <w:vAlign w:val="center"/>
                </w:tcPr>
                <w:p>
                  <w:pPr>
                    <w:widowControl/>
                    <w:jc w:val="center"/>
                    <w:textAlignment w:val="center"/>
                    <w:rPr>
                      <w:color w:val="auto"/>
                      <w:szCs w:val="21"/>
                    </w:rPr>
                  </w:pPr>
                </w:p>
              </w:tc>
              <w:tc>
                <w:tcPr>
                  <w:tcW w:w="203" w:type="pct"/>
                  <w:vAlign w:val="center"/>
                </w:tcPr>
                <w:p>
                  <w:pPr>
                    <w:widowControl/>
                    <w:adjustRightInd w:val="0"/>
                    <w:snapToGrid w:val="0"/>
                    <w:jc w:val="center"/>
                    <w:textAlignment w:val="center"/>
                    <w:rPr>
                      <w:color w:val="auto"/>
                      <w:szCs w:val="21"/>
                    </w:rPr>
                  </w:pPr>
                  <w:r>
                    <w:rPr>
                      <w:color w:val="auto"/>
                      <w:szCs w:val="21"/>
                    </w:rPr>
                    <w:t>南</w:t>
                  </w:r>
                </w:p>
              </w:tc>
              <w:tc>
                <w:tcPr>
                  <w:tcW w:w="303" w:type="pct"/>
                  <w:vAlign w:val="center"/>
                </w:tcPr>
                <w:p>
                  <w:pPr>
                    <w:widowControl/>
                    <w:jc w:val="center"/>
                    <w:textAlignment w:val="center"/>
                    <w:rPr>
                      <w:color w:val="auto"/>
                      <w:szCs w:val="21"/>
                    </w:rPr>
                  </w:pPr>
                  <w:r>
                    <w:rPr>
                      <w:color w:val="auto"/>
                      <w:szCs w:val="21"/>
                    </w:rPr>
                    <w:t>28</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47.1</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32.1</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autoSpaceDE w:val="0"/>
                    <w:autoSpaceDN w:val="0"/>
                    <w:adjustRightInd w:val="0"/>
                    <w:jc w:val="center"/>
                    <w:rPr>
                      <w:color w:val="auto"/>
                      <w:szCs w:val="21"/>
                    </w:rPr>
                  </w:pPr>
                </w:p>
              </w:tc>
              <w:tc>
                <w:tcPr>
                  <w:tcW w:w="329" w:type="pct"/>
                  <w:vMerge w:val="continue"/>
                  <w:vAlign w:val="center"/>
                </w:tcPr>
                <w:p>
                  <w:pPr>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widowControl/>
                    <w:jc w:val="center"/>
                    <w:textAlignment w:val="center"/>
                    <w:rPr>
                      <w:color w:val="auto"/>
                      <w:szCs w:val="21"/>
                    </w:rPr>
                  </w:pPr>
                </w:p>
              </w:tc>
              <w:tc>
                <w:tcPr>
                  <w:tcW w:w="263" w:type="pct"/>
                  <w:vMerge w:val="continue"/>
                  <w:vAlign w:val="center"/>
                </w:tcPr>
                <w:p>
                  <w:pPr>
                    <w:widowControl/>
                    <w:jc w:val="center"/>
                    <w:textAlignment w:val="center"/>
                    <w:rPr>
                      <w:color w:val="auto"/>
                      <w:szCs w:val="21"/>
                    </w:rPr>
                  </w:pPr>
                </w:p>
              </w:tc>
              <w:tc>
                <w:tcPr>
                  <w:tcW w:w="259" w:type="pct"/>
                  <w:vMerge w:val="continue"/>
                  <w:vAlign w:val="center"/>
                </w:tcPr>
                <w:p>
                  <w:pPr>
                    <w:widowControl/>
                    <w:jc w:val="center"/>
                    <w:textAlignment w:val="center"/>
                    <w:rPr>
                      <w:color w:val="auto"/>
                      <w:szCs w:val="21"/>
                    </w:rPr>
                  </w:pPr>
                </w:p>
              </w:tc>
              <w:tc>
                <w:tcPr>
                  <w:tcW w:w="203" w:type="pct"/>
                  <w:vAlign w:val="center"/>
                </w:tcPr>
                <w:p>
                  <w:pPr>
                    <w:widowControl/>
                    <w:adjustRightInd w:val="0"/>
                    <w:snapToGrid w:val="0"/>
                    <w:jc w:val="center"/>
                    <w:textAlignment w:val="center"/>
                    <w:rPr>
                      <w:color w:val="auto"/>
                      <w:szCs w:val="21"/>
                    </w:rPr>
                  </w:pPr>
                  <w:r>
                    <w:rPr>
                      <w:color w:val="auto"/>
                      <w:szCs w:val="21"/>
                    </w:rPr>
                    <w:t>西</w:t>
                  </w:r>
                </w:p>
              </w:tc>
              <w:tc>
                <w:tcPr>
                  <w:tcW w:w="303" w:type="pct"/>
                  <w:vAlign w:val="center"/>
                </w:tcPr>
                <w:p>
                  <w:pPr>
                    <w:widowControl/>
                    <w:jc w:val="center"/>
                    <w:textAlignment w:val="center"/>
                    <w:rPr>
                      <w:color w:val="auto"/>
                      <w:szCs w:val="21"/>
                    </w:rPr>
                  </w:pPr>
                  <w:r>
                    <w:rPr>
                      <w:color w:val="auto"/>
                      <w:szCs w:val="21"/>
                    </w:rPr>
                    <w:t>17</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51.4</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36.4</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autoSpaceDE w:val="0"/>
                    <w:autoSpaceDN w:val="0"/>
                    <w:adjustRightInd w:val="0"/>
                    <w:jc w:val="center"/>
                    <w:rPr>
                      <w:color w:val="auto"/>
                      <w:szCs w:val="21"/>
                    </w:rPr>
                  </w:pPr>
                </w:p>
              </w:tc>
              <w:tc>
                <w:tcPr>
                  <w:tcW w:w="329" w:type="pct"/>
                  <w:vMerge w:val="continue"/>
                  <w:vAlign w:val="center"/>
                </w:tcPr>
                <w:p>
                  <w:pPr>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widowControl/>
                    <w:jc w:val="center"/>
                    <w:textAlignment w:val="center"/>
                    <w:rPr>
                      <w:color w:val="auto"/>
                      <w:szCs w:val="21"/>
                    </w:rPr>
                  </w:pPr>
                </w:p>
              </w:tc>
              <w:tc>
                <w:tcPr>
                  <w:tcW w:w="263" w:type="pct"/>
                  <w:vMerge w:val="continue"/>
                  <w:vAlign w:val="center"/>
                </w:tcPr>
                <w:p>
                  <w:pPr>
                    <w:widowControl/>
                    <w:jc w:val="center"/>
                    <w:textAlignment w:val="center"/>
                    <w:rPr>
                      <w:color w:val="auto"/>
                      <w:szCs w:val="21"/>
                    </w:rPr>
                  </w:pPr>
                </w:p>
              </w:tc>
              <w:tc>
                <w:tcPr>
                  <w:tcW w:w="259" w:type="pct"/>
                  <w:vMerge w:val="continue"/>
                  <w:vAlign w:val="center"/>
                </w:tcPr>
                <w:p>
                  <w:pPr>
                    <w:widowControl/>
                    <w:jc w:val="center"/>
                    <w:textAlignment w:val="center"/>
                    <w:rPr>
                      <w:color w:val="auto"/>
                      <w:szCs w:val="21"/>
                    </w:rPr>
                  </w:pPr>
                </w:p>
              </w:tc>
              <w:tc>
                <w:tcPr>
                  <w:tcW w:w="203" w:type="pct"/>
                  <w:vAlign w:val="center"/>
                </w:tcPr>
                <w:p>
                  <w:pPr>
                    <w:widowControl/>
                    <w:adjustRightInd w:val="0"/>
                    <w:snapToGrid w:val="0"/>
                    <w:jc w:val="center"/>
                    <w:textAlignment w:val="center"/>
                    <w:rPr>
                      <w:color w:val="auto"/>
                      <w:szCs w:val="21"/>
                    </w:rPr>
                  </w:pPr>
                  <w:r>
                    <w:rPr>
                      <w:color w:val="auto"/>
                      <w:szCs w:val="21"/>
                    </w:rPr>
                    <w:t>北</w:t>
                  </w:r>
                </w:p>
              </w:tc>
              <w:tc>
                <w:tcPr>
                  <w:tcW w:w="303" w:type="pct"/>
                  <w:vAlign w:val="center"/>
                </w:tcPr>
                <w:p>
                  <w:pPr>
                    <w:widowControl/>
                    <w:jc w:val="center"/>
                    <w:textAlignment w:val="center"/>
                    <w:rPr>
                      <w:color w:val="auto"/>
                      <w:szCs w:val="21"/>
                    </w:rPr>
                  </w:pPr>
                  <w:r>
                    <w:rPr>
                      <w:color w:val="auto"/>
                      <w:szCs w:val="21"/>
                    </w:rPr>
                    <w:t>20</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50</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35</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rPr>
                      <w:color w:val="auto"/>
                      <w:szCs w:val="21"/>
                    </w:rPr>
                  </w:pPr>
                  <w:r>
                    <w:rPr>
                      <w:color w:val="auto"/>
                      <w:szCs w:val="21"/>
                    </w:rPr>
                    <w:t>5</w:t>
                  </w:r>
                </w:p>
              </w:tc>
              <w:tc>
                <w:tcPr>
                  <w:tcW w:w="263" w:type="pct"/>
                  <w:vMerge w:val="continue"/>
                  <w:vAlign w:val="center"/>
                </w:tcPr>
                <w:p>
                  <w:pPr>
                    <w:widowControl/>
                    <w:adjustRightInd w:val="0"/>
                    <w:snapToGrid w:val="0"/>
                    <w:jc w:val="center"/>
                    <w:rPr>
                      <w:color w:val="auto"/>
                      <w:szCs w:val="21"/>
                    </w:rPr>
                  </w:pPr>
                </w:p>
              </w:tc>
              <w:tc>
                <w:tcPr>
                  <w:tcW w:w="383" w:type="pct"/>
                  <w:vMerge w:val="restart"/>
                  <w:vAlign w:val="center"/>
                </w:tcPr>
                <w:p>
                  <w:pPr>
                    <w:autoSpaceDE w:val="0"/>
                    <w:autoSpaceDN w:val="0"/>
                    <w:adjustRightInd w:val="0"/>
                    <w:jc w:val="center"/>
                    <w:rPr>
                      <w:color w:val="auto"/>
                      <w:szCs w:val="21"/>
                    </w:rPr>
                  </w:pPr>
                  <w:r>
                    <w:rPr>
                      <w:color w:val="auto"/>
                      <w:szCs w:val="21"/>
                    </w:rPr>
                    <w:t>碾轮式混砂机</w:t>
                  </w:r>
                </w:p>
              </w:tc>
              <w:tc>
                <w:tcPr>
                  <w:tcW w:w="329" w:type="pct"/>
                  <w:vMerge w:val="restart"/>
                  <w:vAlign w:val="center"/>
                </w:tcPr>
                <w:p>
                  <w:pPr>
                    <w:jc w:val="center"/>
                    <w:rPr>
                      <w:color w:val="auto"/>
                      <w:szCs w:val="21"/>
                    </w:rPr>
                  </w:pPr>
                  <w:r>
                    <w:rPr>
                      <w:color w:val="auto"/>
                      <w:szCs w:val="21"/>
                    </w:rPr>
                    <w:t>/</w:t>
                  </w:r>
                </w:p>
              </w:tc>
              <w:tc>
                <w:tcPr>
                  <w:tcW w:w="325" w:type="pct"/>
                  <w:vMerge w:val="restart"/>
                  <w:vAlign w:val="center"/>
                </w:tcPr>
                <w:p>
                  <w:pPr>
                    <w:widowControl/>
                    <w:adjustRightInd w:val="0"/>
                    <w:snapToGrid w:val="0"/>
                    <w:jc w:val="center"/>
                    <w:rPr>
                      <w:color w:val="auto"/>
                      <w:szCs w:val="21"/>
                    </w:rPr>
                  </w:pPr>
                  <w:r>
                    <w:rPr>
                      <w:color w:val="auto"/>
                      <w:szCs w:val="21"/>
                    </w:rPr>
                    <w:t>85</w:t>
                  </w:r>
                </w:p>
              </w:tc>
              <w:tc>
                <w:tcPr>
                  <w:tcW w:w="340" w:type="pct"/>
                  <w:vMerge w:val="continue"/>
                  <w:vAlign w:val="center"/>
                </w:tcPr>
                <w:p>
                  <w:pPr>
                    <w:widowControl/>
                    <w:adjustRightInd w:val="0"/>
                    <w:snapToGrid w:val="0"/>
                    <w:jc w:val="center"/>
                    <w:rPr>
                      <w:color w:val="auto"/>
                      <w:szCs w:val="21"/>
                    </w:rPr>
                  </w:pPr>
                </w:p>
              </w:tc>
              <w:tc>
                <w:tcPr>
                  <w:tcW w:w="287" w:type="pct"/>
                  <w:vMerge w:val="restart"/>
                  <w:vAlign w:val="center"/>
                </w:tcPr>
                <w:p>
                  <w:pPr>
                    <w:widowControl/>
                    <w:jc w:val="center"/>
                    <w:textAlignment w:val="center"/>
                    <w:rPr>
                      <w:color w:val="auto"/>
                      <w:szCs w:val="21"/>
                    </w:rPr>
                  </w:pPr>
                  <w:r>
                    <w:rPr>
                      <w:color w:val="auto"/>
                      <w:szCs w:val="21"/>
                    </w:rPr>
                    <w:t>24</w:t>
                  </w:r>
                </w:p>
              </w:tc>
              <w:tc>
                <w:tcPr>
                  <w:tcW w:w="263" w:type="pct"/>
                  <w:vMerge w:val="restart"/>
                  <w:vAlign w:val="center"/>
                </w:tcPr>
                <w:p>
                  <w:pPr>
                    <w:widowControl/>
                    <w:jc w:val="center"/>
                    <w:textAlignment w:val="center"/>
                    <w:rPr>
                      <w:color w:val="auto"/>
                      <w:szCs w:val="21"/>
                    </w:rPr>
                  </w:pPr>
                  <w:r>
                    <w:rPr>
                      <w:color w:val="auto"/>
                      <w:szCs w:val="21"/>
                    </w:rPr>
                    <w:t>28</w:t>
                  </w:r>
                </w:p>
              </w:tc>
              <w:tc>
                <w:tcPr>
                  <w:tcW w:w="259" w:type="pct"/>
                  <w:vMerge w:val="restart"/>
                  <w:vAlign w:val="center"/>
                </w:tcPr>
                <w:p>
                  <w:pPr>
                    <w:widowControl/>
                    <w:jc w:val="center"/>
                    <w:textAlignment w:val="center"/>
                    <w:rPr>
                      <w:color w:val="auto"/>
                      <w:szCs w:val="21"/>
                    </w:rPr>
                  </w:pPr>
                  <w:r>
                    <w:rPr>
                      <w:color w:val="auto"/>
                      <w:szCs w:val="21"/>
                    </w:rPr>
                    <w:t>0</w:t>
                  </w:r>
                </w:p>
              </w:tc>
              <w:tc>
                <w:tcPr>
                  <w:tcW w:w="203" w:type="pct"/>
                  <w:vAlign w:val="center"/>
                </w:tcPr>
                <w:p>
                  <w:pPr>
                    <w:widowControl/>
                    <w:adjustRightInd w:val="0"/>
                    <w:snapToGrid w:val="0"/>
                    <w:jc w:val="center"/>
                    <w:textAlignment w:val="center"/>
                    <w:rPr>
                      <w:color w:val="auto"/>
                      <w:szCs w:val="21"/>
                    </w:rPr>
                  </w:pPr>
                  <w:r>
                    <w:rPr>
                      <w:color w:val="auto"/>
                      <w:szCs w:val="21"/>
                    </w:rPr>
                    <w:t>东</w:t>
                  </w:r>
                </w:p>
              </w:tc>
              <w:tc>
                <w:tcPr>
                  <w:tcW w:w="303" w:type="pct"/>
                  <w:vAlign w:val="center"/>
                </w:tcPr>
                <w:p>
                  <w:pPr>
                    <w:widowControl/>
                    <w:jc w:val="center"/>
                    <w:textAlignment w:val="center"/>
                    <w:rPr>
                      <w:color w:val="auto"/>
                      <w:szCs w:val="21"/>
                    </w:rPr>
                  </w:pPr>
                  <w:r>
                    <w:rPr>
                      <w:color w:val="auto"/>
                      <w:szCs w:val="21"/>
                    </w:rPr>
                    <w:t>6</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60.4</w:t>
                  </w:r>
                </w:p>
              </w:tc>
              <w:tc>
                <w:tcPr>
                  <w:tcW w:w="239" w:type="pct"/>
                  <w:vMerge w:val="restart"/>
                  <w:vAlign w:val="center"/>
                </w:tcPr>
                <w:p>
                  <w:pPr>
                    <w:widowControl/>
                    <w:adjustRightInd w:val="0"/>
                    <w:snapToGrid w:val="0"/>
                    <w:jc w:val="center"/>
                    <w:textAlignment w:val="center"/>
                    <w:rPr>
                      <w:color w:val="auto"/>
                      <w:szCs w:val="21"/>
                    </w:rPr>
                  </w:pPr>
                  <w:r>
                    <w:rPr>
                      <w:rFonts w:hint="eastAsia"/>
                      <w:color w:val="auto"/>
                      <w:szCs w:val="21"/>
                    </w:rPr>
                    <w:t>昼夜</w:t>
                  </w:r>
                </w:p>
              </w:tc>
              <w:tc>
                <w:tcPr>
                  <w:tcW w:w="375" w:type="pct"/>
                  <w:vMerge w:val="restart"/>
                  <w:vAlign w:val="center"/>
                </w:tcPr>
                <w:p>
                  <w:pPr>
                    <w:widowControl/>
                    <w:adjustRightInd w:val="0"/>
                    <w:snapToGrid w:val="0"/>
                    <w:jc w:val="center"/>
                    <w:textAlignment w:val="center"/>
                    <w:rPr>
                      <w:color w:val="auto"/>
                      <w:szCs w:val="21"/>
                    </w:rPr>
                  </w:pPr>
                  <w:r>
                    <w:rPr>
                      <w:color w:val="auto"/>
                      <w:szCs w:val="21"/>
                    </w:rPr>
                    <w:t>15</w:t>
                  </w:r>
                </w:p>
              </w:tc>
              <w:tc>
                <w:tcPr>
                  <w:tcW w:w="920" w:type="dxa"/>
                  <w:vAlign w:val="center"/>
                </w:tcPr>
                <w:p>
                  <w:pPr>
                    <w:widowControl/>
                    <w:adjustRightInd w:val="0"/>
                    <w:snapToGrid w:val="0"/>
                    <w:jc w:val="center"/>
                    <w:textAlignment w:val="center"/>
                    <w:rPr>
                      <w:color w:val="auto"/>
                      <w:szCs w:val="21"/>
                    </w:rPr>
                  </w:pPr>
                  <w:r>
                    <w:rPr>
                      <w:rFonts w:hint="eastAsia"/>
                      <w:color w:val="auto"/>
                      <w:szCs w:val="21"/>
                    </w:rPr>
                    <w:t>45.4</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autoSpaceDE w:val="0"/>
                    <w:autoSpaceDN w:val="0"/>
                    <w:adjustRightInd w:val="0"/>
                    <w:jc w:val="center"/>
                    <w:rPr>
                      <w:color w:val="auto"/>
                      <w:szCs w:val="21"/>
                    </w:rPr>
                  </w:pPr>
                </w:p>
              </w:tc>
              <w:tc>
                <w:tcPr>
                  <w:tcW w:w="329" w:type="pct"/>
                  <w:vMerge w:val="continue"/>
                  <w:vAlign w:val="center"/>
                </w:tcPr>
                <w:p>
                  <w:pPr>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pStyle w:val="41"/>
                    <w:jc w:val="center"/>
                    <w:rPr>
                      <w:rFonts w:ascii="Times New Roman" w:cs="Times New Roman"/>
                      <w:color w:val="auto"/>
                      <w:sz w:val="21"/>
                      <w:szCs w:val="21"/>
                    </w:rPr>
                  </w:pPr>
                </w:p>
              </w:tc>
              <w:tc>
                <w:tcPr>
                  <w:tcW w:w="263" w:type="pct"/>
                  <w:vMerge w:val="continue"/>
                  <w:vAlign w:val="center"/>
                </w:tcPr>
                <w:p>
                  <w:pPr>
                    <w:pStyle w:val="41"/>
                    <w:jc w:val="center"/>
                    <w:rPr>
                      <w:rFonts w:ascii="Times New Roman" w:cs="Times New Roman"/>
                      <w:color w:val="auto"/>
                      <w:sz w:val="21"/>
                      <w:szCs w:val="21"/>
                    </w:rPr>
                  </w:pPr>
                </w:p>
              </w:tc>
              <w:tc>
                <w:tcPr>
                  <w:tcW w:w="259" w:type="pct"/>
                  <w:vMerge w:val="continue"/>
                  <w:vAlign w:val="center"/>
                </w:tcPr>
                <w:p>
                  <w:pPr>
                    <w:pStyle w:val="41"/>
                    <w:jc w:val="center"/>
                    <w:rPr>
                      <w:rFonts w:ascii="Times New Roman" w:cs="Times New Roman"/>
                      <w:color w:val="auto"/>
                      <w:sz w:val="21"/>
                      <w:szCs w:val="21"/>
                    </w:rPr>
                  </w:pPr>
                </w:p>
              </w:tc>
              <w:tc>
                <w:tcPr>
                  <w:tcW w:w="203" w:type="pct"/>
                  <w:vAlign w:val="center"/>
                </w:tcPr>
                <w:p>
                  <w:pPr>
                    <w:widowControl/>
                    <w:adjustRightInd w:val="0"/>
                    <w:snapToGrid w:val="0"/>
                    <w:jc w:val="center"/>
                    <w:textAlignment w:val="center"/>
                    <w:rPr>
                      <w:color w:val="auto"/>
                      <w:szCs w:val="21"/>
                    </w:rPr>
                  </w:pPr>
                  <w:r>
                    <w:rPr>
                      <w:color w:val="auto"/>
                      <w:szCs w:val="21"/>
                    </w:rPr>
                    <w:t>南</w:t>
                  </w:r>
                </w:p>
              </w:tc>
              <w:tc>
                <w:tcPr>
                  <w:tcW w:w="303" w:type="pct"/>
                  <w:vAlign w:val="center"/>
                </w:tcPr>
                <w:p>
                  <w:pPr>
                    <w:widowControl/>
                    <w:jc w:val="center"/>
                    <w:textAlignment w:val="center"/>
                    <w:rPr>
                      <w:color w:val="auto"/>
                      <w:szCs w:val="21"/>
                    </w:rPr>
                  </w:pPr>
                  <w:r>
                    <w:rPr>
                      <w:color w:val="auto"/>
                      <w:szCs w:val="21"/>
                    </w:rPr>
                    <w:t>27</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47.4</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32.4</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autoSpaceDE w:val="0"/>
                    <w:autoSpaceDN w:val="0"/>
                    <w:adjustRightInd w:val="0"/>
                    <w:jc w:val="center"/>
                    <w:rPr>
                      <w:color w:val="auto"/>
                      <w:szCs w:val="21"/>
                    </w:rPr>
                  </w:pPr>
                </w:p>
              </w:tc>
              <w:tc>
                <w:tcPr>
                  <w:tcW w:w="329" w:type="pct"/>
                  <w:vMerge w:val="continue"/>
                  <w:vAlign w:val="center"/>
                </w:tcPr>
                <w:p>
                  <w:pPr>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pStyle w:val="41"/>
                    <w:jc w:val="center"/>
                    <w:rPr>
                      <w:rFonts w:ascii="Times New Roman" w:cs="Times New Roman"/>
                      <w:color w:val="auto"/>
                      <w:sz w:val="21"/>
                      <w:szCs w:val="21"/>
                    </w:rPr>
                  </w:pPr>
                </w:p>
              </w:tc>
              <w:tc>
                <w:tcPr>
                  <w:tcW w:w="263" w:type="pct"/>
                  <w:vMerge w:val="continue"/>
                  <w:vAlign w:val="center"/>
                </w:tcPr>
                <w:p>
                  <w:pPr>
                    <w:pStyle w:val="41"/>
                    <w:jc w:val="center"/>
                    <w:rPr>
                      <w:rFonts w:ascii="Times New Roman" w:cs="Times New Roman"/>
                      <w:color w:val="auto"/>
                      <w:sz w:val="21"/>
                      <w:szCs w:val="21"/>
                    </w:rPr>
                  </w:pPr>
                </w:p>
              </w:tc>
              <w:tc>
                <w:tcPr>
                  <w:tcW w:w="259" w:type="pct"/>
                  <w:vMerge w:val="continue"/>
                  <w:vAlign w:val="center"/>
                </w:tcPr>
                <w:p>
                  <w:pPr>
                    <w:pStyle w:val="41"/>
                    <w:jc w:val="center"/>
                    <w:rPr>
                      <w:rFonts w:ascii="Times New Roman" w:cs="Times New Roman"/>
                      <w:color w:val="auto"/>
                      <w:sz w:val="21"/>
                      <w:szCs w:val="21"/>
                    </w:rPr>
                  </w:pPr>
                </w:p>
              </w:tc>
              <w:tc>
                <w:tcPr>
                  <w:tcW w:w="203" w:type="pct"/>
                  <w:vAlign w:val="center"/>
                </w:tcPr>
                <w:p>
                  <w:pPr>
                    <w:widowControl/>
                    <w:adjustRightInd w:val="0"/>
                    <w:snapToGrid w:val="0"/>
                    <w:jc w:val="center"/>
                    <w:textAlignment w:val="center"/>
                    <w:rPr>
                      <w:color w:val="auto"/>
                      <w:szCs w:val="21"/>
                    </w:rPr>
                  </w:pPr>
                  <w:r>
                    <w:rPr>
                      <w:color w:val="auto"/>
                      <w:szCs w:val="21"/>
                    </w:rPr>
                    <w:t>西</w:t>
                  </w:r>
                </w:p>
              </w:tc>
              <w:tc>
                <w:tcPr>
                  <w:tcW w:w="303" w:type="pct"/>
                  <w:vAlign w:val="center"/>
                </w:tcPr>
                <w:p>
                  <w:pPr>
                    <w:widowControl/>
                    <w:jc w:val="center"/>
                    <w:textAlignment w:val="center"/>
                    <w:rPr>
                      <w:color w:val="auto"/>
                      <w:szCs w:val="21"/>
                    </w:rPr>
                  </w:pPr>
                  <w:r>
                    <w:rPr>
                      <w:color w:val="auto"/>
                      <w:szCs w:val="21"/>
                    </w:rPr>
                    <w:t>16</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51.9</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36.9</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autoSpaceDE w:val="0"/>
                    <w:autoSpaceDN w:val="0"/>
                    <w:adjustRightInd w:val="0"/>
                    <w:jc w:val="center"/>
                    <w:rPr>
                      <w:color w:val="auto"/>
                      <w:szCs w:val="21"/>
                    </w:rPr>
                  </w:pPr>
                </w:p>
              </w:tc>
              <w:tc>
                <w:tcPr>
                  <w:tcW w:w="329" w:type="pct"/>
                  <w:vMerge w:val="continue"/>
                  <w:vAlign w:val="center"/>
                </w:tcPr>
                <w:p>
                  <w:pPr>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pStyle w:val="41"/>
                    <w:jc w:val="center"/>
                    <w:rPr>
                      <w:rFonts w:ascii="Times New Roman" w:cs="Times New Roman"/>
                      <w:color w:val="auto"/>
                      <w:sz w:val="21"/>
                      <w:szCs w:val="21"/>
                    </w:rPr>
                  </w:pPr>
                </w:p>
              </w:tc>
              <w:tc>
                <w:tcPr>
                  <w:tcW w:w="263" w:type="pct"/>
                  <w:vMerge w:val="continue"/>
                  <w:vAlign w:val="center"/>
                </w:tcPr>
                <w:p>
                  <w:pPr>
                    <w:pStyle w:val="41"/>
                    <w:jc w:val="center"/>
                    <w:rPr>
                      <w:rFonts w:ascii="Times New Roman" w:cs="Times New Roman"/>
                      <w:color w:val="auto"/>
                      <w:sz w:val="21"/>
                      <w:szCs w:val="21"/>
                    </w:rPr>
                  </w:pPr>
                </w:p>
              </w:tc>
              <w:tc>
                <w:tcPr>
                  <w:tcW w:w="259" w:type="pct"/>
                  <w:vMerge w:val="continue"/>
                  <w:vAlign w:val="center"/>
                </w:tcPr>
                <w:p>
                  <w:pPr>
                    <w:pStyle w:val="41"/>
                    <w:jc w:val="center"/>
                    <w:rPr>
                      <w:rFonts w:ascii="Times New Roman" w:cs="Times New Roman"/>
                      <w:color w:val="auto"/>
                      <w:sz w:val="21"/>
                      <w:szCs w:val="21"/>
                    </w:rPr>
                  </w:pPr>
                </w:p>
              </w:tc>
              <w:tc>
                <w:tcPr>
                  <w:tcW w:w="203" w:type="pct"/>
                  <w:vAlign w:val="center"/>
                </w:tcPr>
                <w:p>
                  <w:pPr>
                    <w:widowControl/>
                    <w:adjustRightInd w:val="0"/>
                    <w:snapToGrid w:val="0"/>
                    <w:jc w:val="center"/>
                    <w:textAlignment w:val="center"/>
                    <w:rPr>
                      <w:color w:val="auto"/>
                      <w:szCs w:val="21"/>
                    </w:rPr>
                  </w:pPr>
                  <w:r>
                    <w:rPr>
                      <w:color w:val="auto"/>
                      <w:szCs w:val="21"/>
                    </w:rPr>
                    <w:t>北</w:t>
                  </w:r>
                </w:p>
              </w:tc>
              <w:tc>
                <w:tcPr>
                  <w:tcW w:w="303" w:type="pct"/>
                  <w:vAlign w:val="center"/>
                </w:tcPr>
                <w:p>
                  <w:pPr>
                    <w:widowControl/>
                    <w:jc w:val="center"/>
                    <w:textAlignment w:val="center"/>
                    <w:rPr>
                      <w:color w:val="auto"/>
                      <w:szCs w:val="21"/>
                    </w:rPr>
                  </w:pPr>
                  <w:r>
                    <w:rPr>
                      <w:color w:val="auto"/>
                      <w:szCs w:val="21"/>
                    </w:rPr>
                    <w:t>19</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50.4</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35.4</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rPr>
                      <w:color w:val="auto"/>
                      <w:szCs w:val="21"/>
                    </w:rPr>
                  </w:pPr>
                  <w:r>
                    <w:rPr>
                      <w:color w:val="auto"/>
                      <w:szCs w:val="21"/>
                    </w:rPr>
                    <w:t>6</w:t>
                  </w:r>
                </w:p>
              </w:tc>
              <w:tc>
                <w:tcPr>
                  <w:tcW w:w="263" w:type="pct"/>
                  <w:vMerge w:val="continue"/>
                  <w:vAlign w:val="center"/>
                </w:tcPr>
                <w:p>
                  <w:pPr>
                    <w:widowControl/>
                    <w:adjustRightInd w:val="0"/>
                    <w:snapToGrid w:val="0"/>
                    <w:jc w:val="center"/>
                    <w:rPr>
                      <w:color w:val="auto"/>
                      <w:szCs w:val="21"/>
                    </w:rPr>
                  </w:pPr>
                </w:p>
              </w:tc>
              <w:tc>
                <w:tcPr>
                  <w:tcW w:w="383" w:type="pct"/>
                  <w:vMerge w:val="restart"/>
                  <w:vAlign w:val="center"/>
                </w:tcPr>
                <w:p>
                  <w:pPr>
                    <w:autoSpaceDE w:val="0"/>
                    <w:autoSpaceDN w:val="0"/>
                    <w:adjustRightInd w:val="0"/>
                    <w:jc w:val="center"/>
                    <w:rPr>
                      <w:color w:val="auto"/>
                      <w:szCs w:val="21"/>
                    </w:rPr>
                  </w:pPr>
                  <w:r>
                    <w:rPr>
                      <w:color w:val="auto"/>
                      <w:szCs w:val="21"/>
                    </w:rPr>
                    <w:t>震击式造型机</w:t>
                  </w:r>
                </w:p>
              </w:tc>
              <w:tc>
                <w:tcPr>
                  <w:tcW w:w="329" w:type="pct"/>
                  <w:vMerge w:val="restart"/>
                  <w:vAlign w:val="center"/>
                </w:tcPr>
                <w:p>
                  <w:pPr>
                    <w:jc w:val="center"/>
                    <w:rPr>
                      <w:color w:val="auto"/>
                      <w:szCs w:val="21"/>
                    </w:rPr>
                  </w:pPr>
                  <w:r>
                    <w:rPr>
                      <w:color w:val="auto"/>
                      <w:szCs w:val="21"/>
                    </w:rPr>
                    <w:t>/</w:t>
                  </w:r>
                </w:p>
              </w:tc>
              <w:tc>
                <w:tcPr>
                  <w:tcW w:w="325" w:type="pct"/>
                  <w:vMerge w:val="restart"/>
                  <w:vAlign w:val="center"/>
                </w:tcPr>
                <w:p>
                  <w:pPr>
                    <w:widowControl/>
                    <w:adjustRightInd w:val="0"/>
                    <w:snapToGrid w:val="0"/>
                    <w:jc w:val="center"/>
                    <w:rPr>
                      <w:color w:val="auto"/>
                      <w:szCs w:val="21"/>
                    </w:rPr>
                  </w:pPr>
                  <w:r>
                    <w:rPr>
                      <w:color w:val="auto"/>
                      <w:szCs w:val="21"/>
                    </w:rPr>
                    <w:t>80</w:t>
                  </w:r>
                </w:p>
              </w:tc>
              <w:tc>
                <w:tcPr>
                  <w:tcW w:w="340" w:type="pct"/>
                  <w:vMerge w:val="continue"/>
                  <w:vAlign w:val="center"/>
                </w:tcPr>
                <w:p>
                  <w:pPr>
                    <w:widowControl/>
                    <w:adjustRightInd w:val="0"/>
                    <w:snapToGrid w:val="0"/>
                    <w:jc w:val="center"/>
                    <w:rPr>
                      <w:color w:val="auto"/>
                      <w:szCs w:val="21"/>
                    </w:rPr>
                  </w:pPr>
                </w:p>
              </w:tc>
              <w:tc>
                <w:tcPr>
                  <w:tcW w:w="287" w:type="pct"/>
                  <w:vMerge w:val="restart"/>
                  <w:vAlign w:val="center"/>
                </w:tcPr>
                <w:p>
                  <w:pPr>
                    <w:widowControl/>
                    <w:jc w:val="center"/>
                    <w:textAlignment w:val="center"/>
                    <w:rPr>
                      <w:color w:val="auto"/>
                      <w:szCs w:val="21"/>
                    </w:rPr>
                  </w:pPr>
                  <w:r>
                    <w:rPr>
                      <w:color w:val="auto"/>
                      <w:szCs w:val="21"/>
                    </w:rPr>
                    <w:t>22</w:t>
                  </w:r>
                </w:p>
              </w:tc>
              <w:tc>
                <w:tcPr>
                  <w:tcW w:w="263" w:type="pct"/>
                  <w:vMerge w:val="restart"/>
                  <w:vAlign w:val="center"/>
                </w:tcPr>
                <w:p>
                  <w:pPr>
                    <w:widowControl/>
                    <w:jc w:val="center"/>
                    <w:textAlignment w:val="center"/>
                    <w:rPr>
                      <w:color w:val="auto"/>
                      <w:szCs w:val="21"/>
                    </w:rPr>
                  </w:pPr>
                  <w:r>
                    <w:rPr>
                      <w:color w:val="auto"/>
                      <w:szCs w:val="21"/>
                    </w:rPr>
                    <w:t>29</w:t>
                  </w:r>
                </w:p>
              </w:tc>
              <w:tc>
                <w:tcPr>
                  <w:tcW w:w="259" w:type="pct"/>
                  <w:vMerge w:val="restart"/>
                  <w:vAlign w:val="center"/>
                </w:tcPr>
                <w:p>
                  <w:pPr>
                    <w:pStyle w:val="41"/>
                    <w:jc w:val="center"/>
                    <w:rPr>
                      <w:rFonts w:ascii="Times New Roman" w:cs="Times New Roman"/>
                      <w:color w:val="auto"/>
                      <w:sz w:val="21"/>
                      <w:szCs w:val="21"/>
                    </w:rPr>
                  </w:pPr>
                  <w:r>
                    <w:rPr>
                      <w:rFonts w:ascii="Times New Roman" w:cs="Times New Roman"/>
                      <w:color w:val="auto"/>
                      <w:sz w:val="21"/>
                      <w:szCs w:val="21"/>
                    </w:rPr>
                    <w:t>0</w:t>
                  </w:r>
                </w:p>
              </w:tc>
              <w:tc>
                <w:tcPr>
                  <w:tcW w:w="203" w:type="pct"/>
                  <w:vAlign w:val="center"/>
                </w:tcPr>
                <w:p>
                  <w:pPr>
                    <w:widowControl/>
                    <w:adjustRightInd w:val="0"/>
                    <w:snapToGrid w:val="0"/>
                    <w:jc w:val="center"/>
                    <w:textAlignment w:val="center"/>
                    <w:rPr>
                      <w:color w:val="auto"/>
                      <w:szCs w:val="21"/>
                    </w:rPr>
                  </w:pPr>
                  <w:r>
                    <w:rPr>
                      <w:color w:val="auto"/>
                      <w:szCs w:val="21"/>
                    </w:rPr>
                    <w:t>东</w:t>
                  </w:r>
                </w:p>
              </w:tc>
              <w:tc>
                <w:tcPr>
                  <w:tcW w:w="303" w:type="pct"/>
                  <w:vAlign w:val="center"/>
                </w:tcPr>
                <w:p>
                  <w:pPr>
                    <w:widowControl/>
                    <w:jc w:val="center"/>
                    <w:textAlignment w:val="center"/>
                    <w:rPr>
                      <w:color w:val="auto"/>
                      <w:szCs w:val="21"/>
                    </w:rPr>
                  </w:pPr>
                  <w:r>
                    <w:rPr>
                      <w:color w:val="auto"/>
                      <w:szCs w:val="21"/>
                    </w:rPr>
                    <w:t>8</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52.9</w:t>
                  </w:r>
                </w:p>
              </w:tc>
              <w:tc>
                <w:tcPr>
                  <w:tcW w:w="239" w:type="pct"/>
                  <w:vMerge w:val="restart"/>
                  <w:vAlign w:val="center"/>
                </w:tcPr>
                <w:p>
                  <w:pPr>
                    <w:widowControl/>
                    <w:adjustRightInd w:val="0"/>
                    <w:snapToGrid w:val="0"/>
                    <w:jc w:val="center"/>
                    <w:textAlignment w:val="center"/>
                    <w:rPr>
                      <w:color w:val="auto"/>
                      <w:szCs w:val="21"/>
                    </w:rPr>
                  </w:pPr>
                  <w:r>
                    <w:rPr>
                      <w:rFonts w:hint="eastAsia"/>
                      <w:color w:val="auto"/>
                      <w:szCs w:val="21"/>
                    </w:rPr>
                    <w:t>昼夜</w:t>
                  </w:r>
                </w:p>
              </w:tc>
              <w:tc>
                <w:tcPr>
                  <w:tcW w:w="375" w:type="pct"/>
                  <w:vMerge w:val="restart"/>
                  <w:vAlign w:val="center"/>
                </w:tcPr>
                <w:p>
                  <w:pPr>
                    <w:widowControl/>
                    <w:adjustRightInd w:val="0"/>
                    <w:snapToGrid w:val="0"/>
                    <w:jc w:val="center"/>
                    <w:textAlignment w:val="center"/>
                    <w:rPr>
                      <w:color w:val="auto"/>
                      <w:szCs w:val="21"/>
                    </w:rPr>
                  </w:pPr>
                  <w:r>
                    <w:rPr>
                      <w:color w:val="auto"/>
                      <w:szCs w:val="21"/>
                    </w:rPr>
                    <w:t>15</w:t>
                  </w:r>
                </w:p>
              </w:tc>
              <w:tc>
                <w:tcPr>
                  <w:tcW w:w="920" w:type="dxa"/>
                  <w:vAlign w:val="center"/>
                </w:tcPr>
                <w:p>
                  <w:pPr>
                    <w:widowControl/>
                    <w:adjustRightInd w:val="0"/>
                    <w:snapToGrid w:val="0"/>
                    <w:jc w:val="center"/>
                    <w:textAlignment w:val="center"/>
                    <w:rPr>
                      <w:color w:val="auto"/>
                      <w:szCs w:val="21"/>
                    </w:rPr>
                  </w:pPr>
                  <w:r>
                    <w:rPr>
                      <w:rFonts w:hint="eastAsia"/>
                      <w:color w:val="auto"/>
                      <w:szCs w:val="21"/>
                    </w:rPr>
                    <w:t>37.9</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autoSpaceDE w:val="0"/>
                    <w:autoSpaceDN w:val="0"/>
                    <w:adjustRightInd w:val="0"/>
                    <w:jc w:val="center"/>
                    <w:rPr>
                      <w:color w:val="auto"/>
                      <w:szCs w:val="21"/>
                    </w:rPr>
                  </w:pPr>
                </w:p>
              </w:tc>
              <w:tc>
                <w:tcPr>
                  <w:tcW w:w="329" w:type="pct"/>
                  <w:vMerge w:val="continue"/>
                  <w:vAlign w:val="center"/>
                </w:tcPr>
                <w:p>
                  <w:pPr>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pStyle w:val="41"/>
                    <w:jc w:val="center"/>
                    <w:rPr>
                      <w:rFonts w:ascii="Times New Roman" w:cs="Times New Roman"/>
                      <w:color w:val="auto"/>
                      <w:sz w:val="21"/>
                      <w:szCs w:val="21"/>
                    </w:rPr>
                  </w:pPr>
                </w:p>
              </w:tc>
              <w:tc>
                <w:tcPr>
                  <w:tcW w:w="263" w:type="pct"/>
                  <w:vMerge w:val="continue"/>
                  <w:vAlign w:val="center"/>
                </w:tcPr>
                <w:p>
                  <w:pPr>
                    <w:pStyle w:val="41"/>
                    <w:jc w:val="center"/>
                    <w:rPr>
                      <w:rFonts w:ascii="Times New Roman" w:cs="Times New Roman"/>
                      <w:color w:val="auto"/>
                      <w:sz w:val="21"/>
                      <w:szCs w:val="21"/>
                    </w:rPr>
                  </w:pPr>
                </w:p>
              </w:tc>
              <w:tc>
                <w:tcPr>
                  <w:tcW w:w="259" w:type="pct"/>
                  <w:vMerge w:val="continue"/>
                  <w:vAlign w:val="center"/>
                </w:tcPr>
                <w:p>
                  <w:pPr>
                    <w:pStyle w:val="41"/>
                    <w:jc w:val="center"/>
                    <w:rPr>
                      <w:rFonts w:ascii="Times New Roman" w:cs="Times New Roman"/>
                      <w:color w:val="auto"/>
                      <w:sz w:val="21"/>
                      <w:szCs w:val="21"/>
                    </w:rPr>
                  </w:pPr>
                </w:p>
              </w:tc>
              <w:tc>
                <w:tcPr>
                  <w:tcW w:w="203" w:type="pct"/>
                  <w:vAlign w:val="center"/>
                </w:tcPr>
                <w:p>
                  <w:pPr>
                    <w:widowControl/>
                    <w:adjustRightInd w:val="0"/>
                    <w:snapToGrid w:val="0"/>
                    <w:jc w:val="center"/>
                    <w:textAlignment w:val="center"/>
                    <w:rPr>
                      <w:color w:val="auto"/>
                      <w:szCs w:val="21"/>
                    </w:rPr>
                  </w:pPr>
                  <w:r>
                    <w:rPr>
                      <w:color w:val="auto"/>
                      <w:szCs w:val="21"/>
                    </w:rPr>
                    <w:t>南</w:t>
                  </w:r>
                </w:p>
              </w:tc>
              <w:tc>
                <w:tcPr>
                  <w:tcW w:w="303" w:type="pct"/>
                  <w:vAlign w:val="center"/>
                </w:tcPr>
                <w:p>
                  <w:pPr>
                    <w:widowControl/>
                    <w:jc w:val="center"/>
                    <w:textAlignment w:val="center"/>
                    <w:rPr>
                      <w:color w:val="auto"/>
                      <w:szCs w:val="21"/>
                    </w:rPr>
                  </w:pPr>
                  <w:r>
                    <w:rPr>
                      <w:color w:val="auto"/>
                      <w:szCs w:val="21"/>
                    </w:rPr>
                    <w:t>28</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42.1</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27.1</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autoSpaceDE w:val="0"/>
                    <w:autoSpaceDN w:val="0"/>
                    <w:adjustRightInd w:val="0"/>
                    <w:jc w:val="center"/>
                    <w:rPr>
                      <w:color w:val="auto"/>
                      <w:szCs w:val="21"/>
                    </w:rPr>
                  </w:pPr>
                </w:p>
              </w:tc>
              <w:tc>
                <w:tcPr>
                  <w:tcW w:w="329" w:type="pct"/>
                  <w:vMerge w:val="continue"/>
                  <w:vAlign w:val="center"/>
                </w:tcPr>
                <w:p>
                  <w:pPr>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pStyle w:val="41"/>
                    <w:jc w:val="center"/>
                    <w:rPr>
                      <w:rFonts w:ascii="Times New Roman" w:cs="Times New Roman"/>
                      <w:color w:val="auto"/>
                      <w:sz w:val="21"/>
                      <w:szCs w:val="21"/>
                    </w:rPr>
                  </w:pPr>
                </w:p>
              </w:tc>
              <w:tc>
                <w:tcPr>
                  <w:tcW w:w="263" w:type="pct"/>
                  <w:vMerge w:val="continue"/>
                  <w:vAlign w:val="center"/>
                </w:tcPr>
                <w:p>
                  <w:pPr>
                    <w:pStyle w:val="41"/>
                    <w:jc w:val="center"/>
                    <w:rPr>
                      <w:rFonts w:ascii="Times New Roman" w:cs="Times New Roman"/>
                      <w:color w:val="auto"/>
                      <w:sz w:val="21"/>
                      <w:szCs w:val="21"/>
                    </w:rPr>
                  </w:pPr>
                </w:p>
              </w:tc>
              <w:tc>
                <w:tcPr>
                  <w:tcW w:w="259" w:type="pct"/>
                  <w:vMerge w:val="continue"/>
                  <w:vAlign w:val="center"/>
                </w:tcPr>
                <w:p>
                  <w:pPr>
                    <w:pStyle w:val="41"/>
                    <w:jc w:val="center"/>
                    <w:rPr>
                      <w:rFonts w:ascii="Times New Roman" w:cs="Times New Roman"/>
                      <w:color w:val="auto"/>
                      <w:sz w:val="21"/>
                      <w:szCs w:val="21"/>
                    </w:rPr>
                  </w:pPr>
                </w:p>
              </w:tc>
              <w:tc>
                <w:tcPr>
                  <w:tcW w:w="203" w:type="pct"/>
                  <w:vAlign w:val="center"/>
                </w:tcPr>
                <w:p>
                  <w:pPr>
                    <w:widowControl/>
                    <w:adjustRightInd w:val="0"/>
                    <w:snapToGrid w:val="0"/>
                    <w:jc w:val="center"/>
                    <w:textAlignment w:val="center"/>
                    <w:rPr>
                      <w:color w:val="auto"/>
                      <w:szCs w:val="21"/>
                    </w:rPr>
                  </w:pPr>
                  <w:r>
                    <w:rPr>
                      <w:color w:val="auto"/>
                      <w:szCs w:val="21"/>
                    </w:rPr>
                    <w:t>西</w:t>
                  </w:r>
                </w:p>
              </w:tc>
              <w:tc>
                <w:tcPr>
                  <w:tcW w:w="303" w:type="pct"/>
                  <w:vAlign w:val="center"/>
                </w:tcPr>
                <w:p>
                  <w:pPr>
                    <w:widowControl/>
                    <w:jc w:val="center"/>
                    <w:textAlignment w:val="center"/>
                    <w:rPr>
                      <w:color w:val="auto"/>
                      <w:szCs w:val="21"/>
                    </w:rPr>
                  </w:pPr>
                  <w:r>
                    <w:rPr>
                      <w:color w:val="auto"/>
                      <w:szCs w:val="21"/>
                    </w:rPr>
                    <w:t>14</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48.1</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33.1</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autoSpaceDE w:val="0"/>
                    <w:autoSpaceDN w:val="0"/>
                    <w:adjustRightInd w:val="0"/>
                    <w:jc w:val="center"/>
                    <w:rPr>
                      <w:color w:val="auto"/>
                      <w:szCs w:val="21"/>
                    </w:rPr>
                  </w:pPr>
                </w:p>
              </w:tc>
              <w:tc>
                <w:tcPr>
                  <w:tcW w:w="329" w:type="pct"/>
                  <w:vMerge w:val="continue"/>
                  <w:vAlign w:val="center"/>
                </w:tcPr>
                <w:p>
                  <w:pPr>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pStyle w:val="41"/>
                    <w:jc w:val="center"/>
                    <w:rPr>
                      <w:rFonts w:ascii="Times New Roman" w:cs="Times New Roman"/>
                      <w:color w:val="auto"/>
                      <w:sz w:val="21"/>
                      <w:szCs w:val="21"/>
                    </w:rPr>
                  </w:pPr>
                </w:p>
              </w:tc>
              <w:tc>
                <w:tcPr>
                  <w:tcW w:w="263" w:type="pct"/>
                  <w:vMerge w:val="continue"/>
                  <w:vAlign w:val="center"/>
                </w:tcPr>
                <w:p>
                  <w:pPr>
                    <w:pStyle w:val="41"/>
                    <w:jc w:val="center"/>
                    <w:rPr>
                      <w:rFonts w:ascii="Times New Roman" w:cs="Times New Roman"/>
                      <w:color w:val="auto"/>
                      <w:sz w:val="21"/>
                      <w:szCs w:val="21"/>
                    </w:rPr>
                  </w:pPr>
                </w:p>
              </w:tc>
              <w:tc>
                <w:tcPr>
                  <w:tcW w:w="259" w:type="pct"/>
                  <w:vMerge w:val="continue"/>
                  <w:vAlign w:val="center"/>
                </w:tcPr>
                <w:p>
                  <w:pPr>
                    <w:pStyle w:val="41"/>
                    <w:jc w:val="center"/>
                    <w:rPr>
                      <w:rFonts w:ascii="Times New Roman" w:cs="Times New Roman"/>
                      <w:color w:val="auto"/>
                      <w:sz w:val="21"/>
                      <w:szCs w:val="21"/>
                    </w:rPr>
                  </w:pPr>
                </w:p>
              </w:tc>
              <w:tc>
                <w:tcPr>
                  <w:tcW w:w="203" w:type="pct"/>
                  <w:vAlign w:val="center"/>
                </w:tcPr>
                <w:p>
                  <w:pPr>
                    <w:widowControl/>
                    <w:adjustRightInd w:val="0"/>
                    <w:snapToGrid w:val="0"/>
                    <w:jc w:val="center"/>
                    <w:textAlignment w:val="center"/>
                    <w:rPr>
                      <w:color w:val="auto"/>
                      <w:szCs w:val="21"/>
                    </w:rPr>
                  </w:pPr>
                  <w:r>
                    <w:rPr>
                      <w:color w:val="auto"/>
                      <w:szCs w:val="21"/>
                    </w:rPr>
                    <w:t>北</w:t>
                  </w:r>
                </w:p>
              </w:tc>
              <w:tc>
                <w:tcPr>
                  <w:tcW w:w="303" w:type="pct"/>
                  <w:vAlign w:val="center"/>
                </w:tcPr>
                <w:p>
                  <w:pPr>
                    <w:widowControl/>
                    <w:jc w:val="center"/>
                    <w:textAlignment w:val="center"/>
                    <w:rPr>
                      <w:color w:val="auto"/>
                      <w:szCs w:val="21"/>
                    </w:rPr>
                  </w:pPr>
                  <w:r>
                    <w:rPr>
                      <w:color w:val="auto"/>
                      <w:szCs w:val="21"/>
                    </w:rPr>
                    <w:t>21</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44.6</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29.6</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rPr>
                      <w:color w:val="auto"/>
                      <w:szCs w:val="21"/>
                    </w:rPr>
                  </w:pPr>
                  <w:r>
                    <w:rPr>
                      <w:color w:val="auto"/>
                      <w:szCs w:val="21"/>
                    </w:rPr>
                    <w:t>7</w:t>
                  </w:r>
                </w:p>
              </w:tc>
              <w:tc>
                <w:tcPr>
                  <w:tcW w:w="263" w:type="pct"/>
                  <w:vMerge w:val="continue"/>
                  <w:vAlign w:val="center"/>
                </w:tcPr>
                <w:p>
                  <w:pPr>
                    <w:widowControl/>
                    <w:adjustRightInd w:val="0"/>
                    <w:snapToGrid w:val="0"/>
                    <w:jc w:val="center"/>
                    <w:rPr>
                      <w:color w:val="auto"/>
                      <w:szCs w:val="21"/>
                    </w:rPr>
                  </w:pPr>
                </w:p>
              </w:tc>
              <w:tc>
                <w:tcPr>
                  <w:tcW w:w="383" w:type="pct"/>
                  <w:vMerge w:val="restart"/>
                  <w:vAlign w:val="center"/>
                </w:tcPr>
                <w:p>
                  <w:pPr>
                    <w:autoSpaceDE w:val="0"/>
                    <w:autoSpaceDN w:val="0"/>
                    <w:adjustRightInd w:val="0"/>
                    <w:jc w:val="center"/>
                    <w:rPr>
                      <w:color w:val="auto"/>
                      <w:szCs w:val="21"/>
                    </w:rPr>
                  </w:pPr>
                  <w:r>
                    <w:rPr>
                      <w:color w:val="auto"/>
                      <w:szCs w:val="21"/>
                    </w:rPr>
                    <w:t>1#天车</w:t>
                  </w:r>
                </w:p>
              </w:tc>
              <w:tc>
                <w:tcPr>
                  <w:tcW w:w="329" w:type="pct"/>
                  <w:vMerge w:val="restart"/>
                  <w:vAlign w:val="center"/>
                </w:tcPr>
                <w:p>
                  <w:pPr>
                    <w:jc w:val="center"/>
                    <w:rPr>
                      <w:color w:val="auto"/>
                      <w:szCs w:val="21"/>
                    </w:rPr>
                  </w:pPr>
                  <w:r>
                    <w:rPr>
                      <w:color w:val="auto"/>
                      <w:szCs w:val="21"/>
                    </w:rPr>
                    <w:t>/</w:t>
                  </w:r>
                </w:p>
              </w:tc>
              <w:tc>
                <w:tcPr>
                  <w:tcW w:w="325" w:type="pct"/>
                  <w:vMerge w:val="restart"/>
                  <w:vAlign w:val="center"/>
                </w:tcPr>
                <w:p>
                  <w:pPr>
                    <w:widowControl/>
                    <w:adjustRightInd w:val="0"/>
                    <w:snapToGrid w:val="0"/>
                    <w:jc w:val="center"/>
                    <w:rPr>
                      <w:color w:val="auto"/>
                      <w:szCs w:val="21"/>
                    </w:rPr>
                  </w:pPr>
                  <w:r>
                    <w:rPr>
                      <w:color w:val="auto"/>
                      <w:szCs w:val="21"/>
                    </w:rPr>
                    <w:t>75</w:t>
                  </w:r>
                </w:p>
              </w:tc>
              <w:tc>
                <w:tcPr>
                  <w:tcW w:w="340" w:type="pct"/>
                  <w:vMerge w:val="continue"/>
                  <w:vAlign w:val="center"/>
                </w:tcPr>
                <w:p>
                  <w:pPr>
                    <w:widowControl/>
                    <w:adjustRightInd w:val="0"/>
                    <w:snapToGrid w:val="0"/>
                    <w:jc w:val="center"/>
                    <w:rPr>
                      <w:color w:val="auto"/>
                      <w:szCs w:val="21"/>
                    </w:rPr>
                  </w:pPr>
                </w:p>
              </w:tc>
              <w:tc>
                <w:tcPr>
                  <w:tcW w:w="287" w:type="pct"/>
                  <w:vMerge w:val="restart"/>
                  <w:vAlign w:val="center"/>
                </w:tcPr>
                <w:p>
                  <w:pPr>
                    <w:widowControl/>
                    <w:jc w:val="center"/>
                    <w:textAlignment w:val="center"/>
                    <w:rPr>
                      <w:color w:val="auto"/>
                      <w:szCs w:val="21"/>
                    </w:rPr>
                  </w:pPr>
                  <w:r>
                    <w:rPr>
                      <w:color w:val="auto"/>
                      <w:szCs w:val="21"/>
                    </w:rPr>
                    <w:t>24</w:t>
                  </w:r>
                </w:p>
              </w:tc>
              <w:tc>
                <w:tcPr>
                  <w:tcW w:w="263" w:type="pct"/>
                  <w:vMerge w:val="restart"/>
                  <w:vAlign w:val="center"/>
                </w:tcPr>
                <w:p>
                  <w:pPr>
                    <w:widowControl/>
                    <w:jc w:val="center"/>
                    <w:textAlignment w:val="center"/>
                    <w:rPr>
                      <w:color w:val="auto"/>
                      <w:szCs w:val="21"/>
                    </w:rPr>
                  </w:pPr>
                  <w:r>
                    <w:rPr>
                      <w:color w:val="auto"/>
                      <w:szCs w:val="21"/>
                    </w:rPr>
                    <w:t>31</w:t>
                  </w:r>
                </w:p>
              </w:tc>
              <w:tc>
                <w:tcPr>
                  <w:tcW w:w="259" w:type="pct"/>
                  <w:vMerge w:val="restart"/>
                  <w:vAlign w:val="center"/>
                </w:tcPr>
                <w:p>
                  <w:pPr>
                    <w:widowControl/>
                    <w:jc w:val="center"/>
                    <w:textAlignment w:val="center"/>
                    <w:rPr>
                      <w:color w:val="auto"/>
                      <w:szCs w:val="21"/>
                    </w:rPr>
                  </w:pPr>
                  <w:r>
                    <w:rPr>
                      <w:color w:val="auto"/>
                      <w:szCs w:val="21"/>
                    </w:rPr>
                    <w:t>0</w:t>
                  </w:r>
                </w:p>
              </w:tc>
              <w:tc>
                <w:tcPr>
                  <w:tcW w:w="203" w:type="pct"/>
                  <w:vAlign w:val="center"/>
                </w:tcPr>
                <w:p>
                  <w:pPr>
                    <w:widowControl/>
                    <w:adjustRightInd w:val="0"/>
                    <w:snapToGrid w:val="0"/>
                    <w:jc w:val="center"/>
                    <w:textAlignment w:val="center"/>
                    <w:rPr>
                      <w:color w:val="auto"/>
                      <w:szCs w:val="21"/>
                    </w:rPr>
                  </w:pPr>
                  <w:r>
                    <w:rPr>
                      <w:color w:val="auto"/>
                      <w:szCs w:val="21"/>
                    </w:rPr>
                    <w:t>东</w:t>
                  </w:r>
                </w:p>
              </w:tc>
              <w:tc>
                <w:tcPr>
                  <w:tcW w:w="303" w:type="pct"/>
                  <w:vAlign w:val="center"/>
                </w:tcPr>
                <w:p>
                  <w:pPr>
                    <w:widowControl/>
                    <w:jc w:val="center"/>
                    <w:textAlignment w:val="center"/>
                    <w:rPr>
                      <w:color w:val="auto"/>
                      <w:szCs w:val="21"/>
                    </w:rPr>
                  </w:pPr>
                  <w:r>
                    <w:rPr>
                      <w:color w:val="auto"/>
                      <w:szCs w:val="21"/>
                    </w:rPr>
                    <w:t>3</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56.5</w:t>
                  </w:r>
                </w:p>
              </w:tc>
              <w:tc>
                <w:tcPr>
                  <w:tcW w:w="239" w:type="pct"/>
                  <w:vMerge w:val="restart"/>
                  <w:vAlign w:val="center"/>
                </w:tcPr>
                <w:p>
                  <w:pPr>
                    <w:widowControl/>
                    <w:adjustRightInd w:val="0"/>
                    <w:snapToGrid w:val="0"/>
                    <w:jc w:val="center"/>
                    <w:textAlignment w:val="center"/>
                    <w:rPr>
                      <w:color w:val="auto"/>
                      <w:szCs w:val="21"/>
                    </w:rPr>
                  </w:pPr>
                  <w:r>
                    <w:rPr>
                      <w:rFonts w:hint="eastAsia"/>
                      <w:color w:val="auto"/>
                      <w:szCs w:val="21"/>
                    </w:rPr>
                    <w:t>昼夜</w:t>
                  </w:r>
                </w:p>
              </w:tc>
              <w:tc>
                <w:tcPr>
                  <w:tcW w:w="375" w:type="pct"/>
                  <w:vMerge w:val="restart"/>
                  <w:vAlign w:val="center"/>
                </w:tcPr>
                <w:p>
                  <w:pPr>
                    <w:widowControl/>
                    <w:adjustRightInd w:val="0"/>
                    <w:snapToGrid w:val="0"/>
                    <w:jc w:val="center"/>
                    <w:textAlignment w:val="center"/>
                    <w:rPr>
                      <w:color w:val="auto"/>
                      <w:szCs w:val="21"/>
                    </w:rPr>
                  </w:pPr>
                  <w:r>
                    <w:rPr>
                      <w:color w:val="auto"/>
                      <w:szCs w:val="21"/>
                    </w:rPr>
                    <w:t>15</w:t>
                  </w:r>
                </w:p>
              </w:tc>
              <w:tc>
                <w:tcPr>
                  <w:tcW w:w="920" w:type="dxa"/>
                  <w:vAlign w:val="center"/>
                </w:tcPr>
                <w:p>
                  <w:pPr>
                    <w:widowControl/>
                    <w:adjustRightInd w:val="0"/>
                    <w:snapToGrid w:val="0"/>
                    <w:jc w:val="center"/>
                    <w:textAlignment w:val="center"/>
                    <w:rPr>
                      <w:color w:val="auto"/>
                      <w:szCs w:val="21"/>
                    </w:rPr>
                  </w:pPr>
                  <w:r>
                    <w:rPr>
                      <w:rFonts w:hint="eastAsia"/>
                      <w:color w:val="auto"/>
                      <w:szCs w:val="21"/>
                    </w:rPr>
                    <w:t>41.5</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widowControl/>
                    <w:adjustRightInd w:val="0"/>
                    <w:snapToGrid w:val="0"/>
                    <w:jc w:val="center"/>
                    <w:rPr>
                      <w:color w:val="auto"/>
                      <w:szCs w:val="21"/>
                    </w:rPr>
                  </w:pPr>
                </w:p>
              </w:tc>
              <w:tc>
                <w:tcPr>
                  <w:tcW w:w="329" w:type="pct"/>
                  <w:vMerge w:val="continue"/>
                  <w:vAlign w:val="center"/>
                </w:tcPr>
                <w:p>
                  <w:pPr>
                    <w:widowControl/>
                    <w:adjustRightInd w:val="0"/>
                    <w:snapToGrid w:val="0"/>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widowControl/>
                    <w:jc w:val="center"/>
                    <w:textAlignment w:val="center"/>
                    <w:rPr>
                      <w:color w:val="auto"/>
                      <w:szCs w:val="21"/>
                    </w:rPr>
                  </w:pPr>
                </w:p>
              </w:tc>
              <w:tc>
                <w:tcPr>
                  <w:tcW w:w="263" w:type="pct"/>
                  <w:vMerge w:val="continue"/>
                  <w:vAlign w:val="center"/>
                </w:tcPr>
                <w:p>
                  <w:pPr>
                    <w:widowControl/>
                    <w:jc w:val="center"/>
                    <w:textAlignment w:val="center"/>
                    <w:rPr>
                      <w:color w:val="auto"/>
                      <w:szCs w:val="21"/>
                    </w:rPr>
                  </w:pPr>
                </w:p>
              </w:tc>
              <w:tc>
                <w:tcPr>
                  <w:tcW w:w="259" w:type="pct"/>
                  <w:vMerge w:val="continue"/>
                  <w:vAlign w:val="center"/>
                </w:tcPr>
                <w:p>
                  <w:pPr>
                    <w:widowControl/>
                    <w:jc w:val="center"/>
                    <w:textAlignment w:val="center"/>
                    <w:rPr>
                      <w:color w:val="auto"/>
                      <w:szCs w:val="21"/>
                    </w:rPr>
                  </w:pPr>
                </w:p>
              </w:tc>
              <w:tc>
                <w:tcPr>
                  <w:tcW w:w="203" w:type="pct"/>
                  <w:vAlign w:val="center"/>
                </w:tcPr>
                <w:p>
                  <w:pPr>
                    <w:widowControl/>
                    <w:adjustRightInd w:val="0"/>
                    <w:snapToGrid w:val="0"/>
                    <w:jc w:val="center"/>
                    <w:textAlignment w:val="center"/>
                    <w:rPr>
                      <w:color w:val="auto"/>
                      <w:szCs w:val="21"/>
                    </w:rPr>
                  </w:pPr>
                  <w:r>
                    <w:rPr>
                      <w:color w:val="auto"/>
                      <w:szCs w:val="21"/>
                    </w:rPr>
                    <w:t>南</w:t>
                  </w:r>
                </w:p>
              </w:tc>
              <w:tc>
                <w:tcPr>
                  <w:tcW w:w="303" w:type="pct"/>
                  <w:vAlign w:val="center"/>
                </w:tcPr>
                <w:p>
                  <w:pPr>
                    <w:widowControl/>
                    <w:jc w:val="center"/>
                    <w:textAlignment w:val="center"/>
                    <w:rPr>
                      <w:color w:val="auto"/>
                      <w:szCs w:val="21"/>
                    </w:rPr>
                  </w:pPr>
                  <w:r>
                    <w:rPr>
                      <w:color w:val="auto"/>
                      <w:szCs w:val="21"/>
                    </w:rPr>
                    <w:t>30</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36.5</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21.5</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widowControl/>
                    <w:adjustRightInd w:val="0"/>
                    <w:snapToGrid w:val="0"/>
                    <w:jc w:val="center"/>
                    <w:rPr>
                      <w:color w:val="auto"/>
                      <w:szCs w:val="21"/>
                    </w:rPr>
                  </w:pPr>
                </w:p>
              </w:tc>
              <w:tc>
                <w:tcPr>
                  <w:tcW w:w="329" w:type="pct"/>
                  <w:vMerge w:val="continue"/>
                  <w:vAlign w:val="center"/>
                </w:tcPr>
                <w:p>
                  <w:pPr>
                    <w:widowControl/>
                    <w:adjustRightInd w:val="0"/>
                    <w:snapToGrid w:val="0"/>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widowControl/>
                    <w:jc w:val="center"/>
                    <w:textAlignment w:val="center"/>
                    <w:rPr>
                      <w:color w:val="auto"/>
                      <w:szCs w:val="21"/>
                    </w:rPr>
                  </w:pPr>
                </w:p>
              </w:tc>
              <w:tc>
                <w:tcPr>
                  <w:tcW w:w="263" w:type="pct"/>
                  <w:vMerge w:val="continue"/>
                  <w:vAlign w:val="center"/>
                </w:tcPr>
                <w:p>
                  <w:pPr>
                    <w:widowControl/>
                    <w:jc w:val="center"/>
                    <w:textAlignment w:val="center"/>
                    <w:rPr>
                      <w:color w:val="auto"/>
                      <w:szCs w:val="21"/>
                    </w:rPr>
                  </w:pPr>
                </w:p>
              </w:tc>
              <w:tc>
                <w:tcPr>
                  <w:tcW w:w="259" w:type="pct"/>
                  <w:vMerge w:val="continue"/>
                  <w:vAlign w:val="center"/>
                </w:tcPr>
                <w:p>
                  <w:pPr>
                    <w:widowControl/>
                    <w:jc w:val="center"/>
                    <w:textAlignment w:val="center"/>
                    <w:rPr>
                      <w:color w:val="auto"/>
                      <w:szCs w:val="21"/>
                    </w:rPr>
                  </w:pPr>
                </w:p>
              </w:tc>
              <w:tc>
                <w:tcPr>
                  <w:tcW w:w="203" w:type="pct"/>
                  <w:vAlign w:val="center"/>
                </w:tcPr>
                <w:p>
                  <w:pPr>
                    <w:widowControl/>
                    <w:adjustRightInd w:val="0"/>
                    <w:snapToGrid w:val="0"/>
                    <w:jc w:val="center"/>
                    <w:textAlignment w:val="center"/>
                    <w:rPr>
                      <w:color w:val="auto"/>
                      <w:szCs w:val="21"/>
                    </w:rPr>
                  </w:pPr>
                  <w:r>
                    <w:rPr>
                      <w:color w:val="auto"/>
                      <w:szCs w:val="21"/>
                    </w:rPr>
                    <w:t>西</w:t>
                  </w:r>
                </w:p>
              </w:tc>
              <w:tc>
                <w:tcPr>
                  <w:tcW w:w="303" w:type="pct"/>
                  <w:vAlign w:val="center"/>
                </w:tcPr>
                <w:p>
                  <w:pPr>
                    <w:widowControl/>
                    <w:jc w:val="center"/>
                    <w:textAlignment w:val="center"/>
                    <w:rPr>
                      <w:color w:val="auto"/>
                      <w:szCs w:val="21"/>
                    </w:rPr>
                  </w:pPr>
                  <w:r>
                    <w:rPr>
                      <w:color w:val="auto"/>
                      <w:szCs w:val="21"/>
                    </w:rPr>
                    <w:t>16</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41.9</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26.9</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widowControl/>
                    <w:adjustRightInd w:val="0"/>
                    <w:snapToGrid w:val="0"/>
                    <w:jc w:val="center"/>
                    <w:rPr>
                      <w:color w:val="auto"/>
                      <w:szCs w:val="21"/>
                    </w:rPr>
                  </w:pPr>
                </w:p>
              </w:tc>
              <w:tc>
                <w:tcPr>
                  <w:tcW w:w="329" w:type="pct"/>
                  <w:vMerge w:val="continue"/>
                  <w:vAlign w:val="center"/>
                </w:tcPr>
                <w:p>
                  <w:pPr>
                    <w:widowControl/>
                    <w:adjustRightInd w:val="0"/>
                    <w:snapToGrid w:val="0"/>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widowControl/>
                    <w:jc w:val="center"/>
                    <w:textAlignment w:val="center"/>
                    <w:rPr>
                      <w:color w:val="auto"/>
                      <w:szCs w:val="21"/>
                    </w:rPr>
                  </w:pPr>
                </w:p>
              </w:tc>
              <w:tc>
                <w:tcPr>
                  <w:tcW w:w="263" w:type="pct"/>
                  <w:vMerge w:val="continue"/>
                  <w:vAlign w:val="center"/>
                </w:tcPr>
                <w:p>
                  <w:pPr>
                    <w:widowControl/>
                    <w:jc w:val="center"/>
                    <w:textAlignment w:val="center"/>
                    <w:rPr>
                      <w:color w:val="auto"/>
                      <w:szCs w:val="21"/>
                    </w:rPr>
                  </w:pPr>
                </w:p>
              </w:tc>
              <w:tc>
                <w:tcPr>
                  <w:tcW w:w="259" w:type="pct"/>
                  <w:vMerge w:val="continue"/>
                  <w:vAlign w:val="center"/>
                </w:tcPr>
                <w:p>
                  <w:pPr>
                    <w:widowControl/>
                    <w:jc w:val="center"/>
                    <w:textAlignment w:val="center"/>
                    <w:rPr>
                      <w:color w:val="auto"/>
                      <w:szCs w:val="21"/>
                    </w:rPr>
                  </w:pPr>
                </w:p>
              </w:tc>
              <w:tc>
                <w:tcPr>
                  <w:tcW w:w="203" w:type="pct"/>
                  <w:vAlign w:val="center"/>
                </w:tcPr>
                <w:p>
                  <w:pPr>
                    <w:widowControl/>
                    <w:adjustRightInd w:val="0"/>
                    <w:snapToGrid w:val="0"/>
                    <w:jc w:val="center"/>
                    <w:textAlignment w:val="center"/>
                    <w:rPr>
                      <w:color w:val="auto"/>
                      <w:szCs w:val="21"/>
                    </w:rPr>
                  </w:pPr>
                  <w:r>
                    <w:rPr>
                      <w:color w:val="auto"/>
                      <w:szCs w:val="21"/>
                    </w:rPr>
                    <w:t>北</w:t>
                  </w:r>
                </w:p>
              </w:tc>
              <w:tc>
                <w:tcPr>
                  <w:tcW w:w="303" w:type="pct"/>
                  <w:vAlign w:val="center"/>
                </w:tcPr>
                <w:p>
                  <w:pPr>
                    <w:widowControl/>
                    <w:jc w:val="center"/>
                    <w:textAlignment w:val="center"/>
                    <w:rPr>
                      <w:color w:val="auto"/>
                      <w:szCs w:val="21"/>
                    </w:rPr>
                  </w:pPr>
                  <w:r>
                    <w:rPr>
                      <w:color w:val="auto"/>
                      <w:szCs w:val="21"/>
                    </w:rPr>
                    <w:t>6</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50.4</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35.4</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rPr>
                      <w:color w:val="auto"/>
                      <w:szCs w:val="21"/>
                    </w:rPr>
                  </w:pPr>
                  <w:r>
                    <w:rPr>
                      <w:color w:val="auto"/>
                      <w:szCs w:val="21"/>
                    </w:rPr>
                    <w:t>8</w:t>
                  </w:r>
                </w:p>
              </w:tc>
              <w:tc>
                <w:tcPr>
                  <w:tcW w:w="263" w:type="pct"/>
                  <w:vMerge w:val="continue"/>
                  <w:vAlign w:val="center"/>
                </w:tcPr>
                <w:p>
                  <w:pPr>
                    <w:widowControl/>
                    <w:adjustRightInd w:val="0"/>
                    <w:snapToGrid w:val="0"/>
                    <w:jc w:val="center"/>
                    <w:rPr>
                      <w:color w:val="auto"/>
                      <w:szCs w:val="21"/>
                    </w:rPr>
                  </w:pPr>
                </w:p>
              </w:tc>
              <w:tc>
                <w:tcPr>
                  <w:tcW w:w="383" w:type="pct"/>
                  <w:vMerge w:val="restart"/>
                  <w:vAlign w:val="center"/>
                </w:tcPr>
                <w:p>
                  <w:pPr>
                    <w:autoSpaceDE w:val="0"/>
                    <w:autoSpaceDN w:val="0"/>
                    <w:adjustRightInd w:val="0"/>
                    <w:jc w:val="center"/>
                    <w:rPr>
                      <w:color w:val="auto"/>
                      <w:szCs w:val="21"/>
                    </w:rPr>
                  </w:pPr>
                  <w:r>
                    <w:rPr>
                      <w:color w:val="auto"/>
                      <w:szCs w:val="21"/>
                    </w:rPr>
                    <w:t>2#天车</w:t>
                  </w:r>
                </w:p>
              </w:tc>
              <w:tc>
                <w:tcPr>
                  <w:tcW w:w="329" w:type="pct"/>
                  <w:vMerge w:val="restart"/>
                  <w:vAlign w:val="center"/>
                </w:tcPr>
                <w:p>
                  <w:pPr>
                    <w:jc w:val="center"/>
                    <w:rPr>
                      <w:color w:val="auto"/>
                      <w:szCs w:val="21"/>
                    </w:rPr>
                  </w:pPr>
                  <w:r>
                    <w:rPr>
                      <w:color w:val="auto"/>
                      <w:szCs w:val="21"/>
                    </w:rPr>
                    <w:t>/</w:t>
                  </w:r>
                </w:p>
              </w:tc>
              <w:tc>
                <w:tcPr>
                  <w:tcW w:w="325" w:type="pct"/>
                  <w:vMerge w:val="restart"/>
                  <w:vAlign w:val="center"/>
                </w:tcPr>
                <w:p>
                  <w:pPr>
                    <w:widowControl/>
                    <w:adjustRightInd w:val="0"/>
                    <w:snapToGrid w:val="0"/>
                    <w:jc w:val="center"/>
                    <w:rPr>
                      <w:color w:val="auto"/>
                      <w:szCs w:val="21"/>
                    </w:rPr>
                  </w:pPr>
                  <w:r>
                    <w:rPr>
                      <w:color w:val="auto"/>
                      <w:szCs w:val="21"/>
                    </w:rPr>
                    <w:t>75</w:t>
                  </w:r>
                </w:p>
              </w:tc>
              <w:tc>
                <w:tcPr>
                  <w:tcW w:w="340" w:type="pct"/>
                  <w:vMerge w:val="continue"/>
                  <w:vAlign w:val="center"/>
                </w:tcPr>
                <w:p>
                  <w:pPr>
                    <w:widowControl/>
                    <w:adjustRightInd w:val="0"/>
                    <w:snapToGrid w:val="0"/>
                    <w:jc w:val="center"/>
                    <w:rPr>
                      <w:color w:val="auto"/>
                      <w:szCs w:val="21"/>
                    </w:rPr>
                  </w:pPr>
                </w:p>
              </w:tc>
              <w:tc>
                <w:tcPr>
                  <w:tcW w:w="287" w:type="pct"/>
                  <w:vMerge w:val="restart"/>
                  <w:vAlign w:val="center"/>
                </w:tcPr>
                <w:p>
                  <w:pPr>
                    <w:widowControl/>
                    <w:jc w:val="center"/>
                    <w:textAlignment w:val="center"/>
                    <w:rPr>
                      <w:color w:val="auto"/>
                      <w:szCs w:val="21"/>
                    </w:rPr>
                  </w:pPr>
                  <w:r>
                    <w:rPr>
                      <w:color w:val="auto"/>
                      <w:szCs w:val="21"/>
                    </w:rPr>
                    <w:t>21</w:t>
                  </w:r>
                </w:p>
              </w:tc>
              <w:tc>
                <w:tcPr>
                  <w:tcW w:w="263" w:type="pct"/>
                  <w:vMerge w:val="restart"/>
                  <w:vAlign w:val="center"/>
                </w:tcPr>
                <w:p>
                  <w:pPr>
                    <w:widowControl/>
                    <w:jc w:val="center"/>
                    <w:textAlignment w:val="center"/>
                    <w:rPr>
                      <w:color w:val="auto"/>
                      <w:szCs w:val="21"/>
                    </w:rPr>
                  </w:pPr>
                  <w:r>
                    <w:rPr>
                      <w:color w:val="auto"/>
                      <w:szCs w:val="21"/>
                    </w:rPr>
                    <w:t>6</w:t>
                  </w:r>
                </w:p>
              </w:tc>
              <w:tc>
                <w:tcPr>
                  <w:tcW w:w="259" w:type="pct"/>
                  <w:vMerge w:val="restart"/>
                  <w:vAlign w:val="center"/>
                </w:tcPr>
                <w:p>
                  <w:pPr>
                    <w:widowControl/>
                    <w:jc w:val="center"/>
                    <w:textAlignment w:val="center"/>
                    <w:rPr>
                      <w:color w:val="auto"/>
                      <w:szCs w:val="21"/>
                    </w:rPr>
                  </w:pPr>
                  <w:r>
                    <w:rPr>
                      <w:color w:val="auto"/>
                      <w:szCs w:val="21"/>
                    </w:rPr>
                    <w:t>0</w:t>
                  </w:r>
                </w:p>
              </w:tc>
              <w:tc>
                <w:tcPr>
                  <w:tcW w:w="203" w:type="pct"/>
                  <w:vAlign w:val="center"/>
                </w:tcPr>
                <w:p>
                  <w:pPr>
                    <w:widowControl/>
                    <w:adjustRightInd w:val="0"/>
                    <w:snapToGrid w:val="0"/>
                    <w:jc w:val="center"/>
                    <w:textAlignment w:val="center"/>
                    <w:rPr>
                      <w:color w:val="auto"/>
                      <w:szCs w:val="21"/>
                    </w:rPr>
                  </w:pPr>
                  <w:r>
                    <w:rPr>
                      <w:color w:val="auto"/>
                      <w:szCs w:val="21"/>
                    </w:rPr>
                    <w:t>东</w:t>
                  </w:r>
                </w:p>
              </w:tc>
              <w:tc>
                <w:tcPr>
                  <w:tcW w:w="303" w:type="pct"/>
                  <w:vAlign w:val="center"/>
                </w:tcPr>
                <w:p>
                  <w:pPr>
                    <w:widowControl/>
                    <w:jc w:val="center"/>
                    <w:textAlignment w:val="center"/>
                    <w:rPr>
                      <w:color w:val="auto"/>
                      <w:szCs w:val="21"/>
                    </w:rPr>
                  </w:pPr>
                  <w:r>
                    <w:rPr>
                      <w:color w:val="auto"/>
                      <w:szCs w:val="21"/>
                    </w:rPr>
                    <w:t>8</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47.9</w:t>
                  </w:r>
                </w:p>
              </w:tc>
              <w:tc>
                <w:tcPr>
                  <w:tcW w:w="239" w:type="pct"/>
                  <w:vMerge w:val="restart"/>
                  <w:vAlign w:val="center"/>
                </w:tcPr>
                <w:p>
                  <w:pPr>
                    <w:widowControl/>
                    <w:adjustRightInd w:val="0"/>
                    <w:snapToGrid w:val="0"/>
                    <w:jc w:val="center"/>
                    <w:textAlignment w:val="center"/>
                    <w:rPr>
                      <w:color w:val="auto"/>
                      <w:szCs w:val="21"/>
                    </w:rPr>
                  </w:pPr>
                  <w:r>
                    <w:rPr>
                      <w:rFonts w:hint="eastAsia"/>
                      <w:color w:val="auto"/>
                      <w:szCs w:val="21"/>
                    </w:rPr>
                    <w:t>昼夜</w:t>
                  </w:r>
                </w:p>
              </w:tc>
              <w:tc>
                <w:tcPr>
                  <w:tcW w:w="375" w:type="pct"/>
                  <w:vMerge w:val="restart"/>
                  <w:vAlign w:val="center"/>
                </w:tcPr>
                <w:p>
                  <w:pPr>
                    <w:widowControl/>
                    <w:adjustRightInd w:val="0"/>
                    <w:snapToGrid w:val="0"/>
                    <w:jc w:val="center"/>
                    <w:textAlignment w:val="center"/>
                    <w:rPr>
                      <w:color w:val="auto"/>
                      <w:szCs w:val="21"/>
                    </w:rPr>
                  </w:pPr>
                  <w:r>
                    <w:rPr>
                      <w:color w:val="auto"/>
                      <w:szCs w:val="21"/>
                    </w:rPr>
                    <w:t>15</w:t>
                  </w:r>
                </w:p>
              </w:tc>
              <w:tc>
                <w:tcPr>
                  <w:tcW w:w="920" w:type="dxa"/>
                  <w:vAlign w:val="center"/>
                </w:tcPr>
                <w:p>
                  <w:pPr>
                    <w:widowControl/>
                    <w:adjustRightInd w:val="0"/>
                    <w:snapToGrid w:val="0"/>
                    <w:jc w:val="center"/>
                    <w:textAlignment w:val="center"/>
                    <w:rPr>
                      <w:color w:val="auto"/>
                      <w:szCs w:val="21"/>
                    </w:rPr>
                  </w:pPr>
                  <w:r>
                    <w:rPr>
                      <w:rFonts w:hint="eastAsia"/>
                      <w:color w:val="auto"/>
                      <w:szCs w:val="21"/>
                    </w:rPr>
                    <w:t>32.9</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widowControl/>
                    <w:adjustRightInd w:val="0"/>
                    <w:snapToGrid w:val="0"/>
                    <w:jc w:val="center"/>
                    <w:rPr>
                      <w:color w:val="auto"/>
                      <w:szCs w:val="21"/>
                    </w:rPr>
                  </w:pPr>
                </w:p>
              </w:tc>
              <w:tc>
                <w:tcPr>
                  <w:tcW w:w="329" w:type="pct"/>
                  <w:vMerge w:val="continue"/>
                  <w:vAlign w:val="center"/>
                </w:tcPr>
                <w:p>
                  <w:pPr>
                    <w:widowControl/>
                    <w:adjustRightInd w:val="0"/>
                    <w:snapToGrid w:val="0"/>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widowControl/>
                    <w:jc w:val="center"/>
                    <w:textAlignment w:val="center"/>
                    <w:rPr>
                      <w:color w:val="auto"/>
                      <w:szCs w:val="21"/>
                    </w:rPr>
                  </w:pPr>
                </w:p>
              </w:tc>
              <w:tc>
                <w:tcPr>
                  <w:tcW w:w="263" w:type="pct"/>
                  <w:vMerge w:val="continue"/>
                  <w:vAlign w:val="center"/>
                </w:tcPr>
                <w:p>
                  <w:pPr>
                    <w:widowControl/>
                    <w:jc w:val="center"/>
                    <w:textAlignment w:val="center"/>
                    <w:rPr>
                      <w:color w:val="auto"/>
                      <w:szCs w:val="21"/>
                    </w:rPr>
                  </w:pPr>
                </w:p>
              </w:tc>
              <w:tc>
                <w:tcPr>
                  <w:tcW w:w="259" w:type="pct"/>
                  <w:vMerge w:val="continue"/>
                  <w:vAlign w:val="center"/>
                </w:tcPr>
                <w:p>
                  <w:pPr>
                    <w:widowControl/>
                    <w:jc w:val="center"/>
                    <w:textAlignment w:val="center"/>
                    <w:rPr>
                      <w:color w:val="auto"/>
                      <w:szCs w:val="21"/>
                    </w:rPr>
                  </w:pPr>
                </w:p>
              </w:tc>
              <w:tc>
                <w:tcPr>
                  <w:tcW w:w="203" w:type="pct"/>
                  <w:vAlign w:val="center"/>
                </w:tcPr>
                <w:p>
                  <w:pPr>
                    <w:widowControl/>
                    <w:adjustRightInd w:val="0"/>
                    <w:snapToGrid w:val="0"/>
                    <w:jc w:val="center"/>
                    <w:textAlignment w:val="center"/>
                    <w:rPr>
                      <w:color w:val="auto"/>
                      <w:szCs w:val="21"/>
                    </w:rPr>
                  </w:pPr>
                  <w:r>
                    <w:rPr>
                      <w:color w:val="auto"/>
                      <w:szCs w:val="21"/>
                    </w:rPr>
                    <w:t>南</w:t>
                  </w:r>
                </w:p>
              </w:tc>
              <w:tc>
                <w:tcPr>
                  <w:tcW w:w="303" w:type="pct"/>
                  <w:vAlign w:val="center"/>
                </w:tcPr>
                <w:p>
                  <w:pPr>
                    <w:widowControl/>
                    <w:jc w:val="center"/>
                    <w:textAlignment w:val="center"/>
                    <w:rPr>
                      <w:color w:val="auto"/>
                      <w:szCs w:val="21"/>
                    </w:rPr>
                  </w:pPr>
                  <w:r>
                    <w:rPr>
                      <w:color w:val="auto"/>
                      <w:szCs w:val="21"/>
                    </w:rPr>
                    <w:t>5</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52</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37</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widowControl/>
                    <w:adjustRightInd w:val="0"/>
                    <w:snapToGrid w:val="0"/>
                    <w:jc w:val="center"/>
                    <w:rPr>
                      <w:color w:val="auto"/>
                      <w:szCs w:val="21"/>
                    </w:rPr>
                  </w:pPr>
                </w:p>
              </w:tc>
              <w:tc>
                <w:tcPr>
                  <w:tcW w:w="329" w:type="pct"/>
                  <w:vMerge w:val="continue"/>
                  <w:vAlign w:val="center"/>
                </w:tcPr>
                <w:p>
                  <w:pPr>
                    <w:widowControl/>
                    <w:adjustRightInd w:val="0"/>
                    <w:snapToGrid w:val="0"/>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widowControl/>
                    <w:jc w:val="center"/>
                    <w:textAlignment w:val="center"/>
                    <w:rPr>
                      <w:color w:val="auto"/>
                      <w:szCs w:val="21"/>
                    </w:rPr>
                  </w:pPr>
                </w:p>
              </w:tc>
              <w:tc>
                <w:tcPr>
                  <w:tcW w:w="263" w:type="pct"/>
                  <w:vMerge w:val="continue"/>
                  <w:vAlign w:val="center"/>
                </w:tcPr>
                <w:p>
                  <w:pPr>
                    <w:widowControl/>
                    <w:jc w:val="center"/>
                    <w:textAlignment w:val="center"/>
                    <w:rPr>
                      <w:color w:val="auto"/>
                      <w:szCs w:val="21"/>
                    </w:rPr>
                  </w:pPr>
                </w:p>
              </w:tc>
              <w:tc>
                <w:tcPr>
                  <w:tcW w:w="259" w:type="pct"/>
                  <w:vMerge w:val="continue"/>
                  <w:vAlign w:val="center"/>
                </w:tcPr>
                <w:p>
                  <w:pPr>
                    <w:widowControl/>
                    <w:jc w:val="center"/>
                    <w:textAlignment w:val="center"/>
                    <w:rPr>
                      <w:color w:val="auto"/>
                      <w:szCs w:val="21"/>
                    </w:rPr>
                  </w:pPr>
                </w:p>
              </w:tc>
              <w:tc>
                <w:tcPr>
                  <w:tcW w:w="203" w:type="pct"/>
                  <w:vAlign w:val="center"/>
                </w:tcPr>
                <w:p>
                  <w:pPr>
                    <w:widowControl/>
                    <w:adjustRightInd w:val="0"/>
                    <w:snapToGrid w:val="0"/>
                    <w:jc w:val="center"/>
                    <w:textAlignment w:val="center"/>
                    <w:rPr>
                      <w:color w:val="auto"/>
                      <w:szCs w:val="21"/>
                    </w:rPr>
                  </w:pPr>
                  <w:r>
                    <w:rPr>
                      <w:color w:val="auto"/>
                      <w:szCs w:val="21"/>
                    </w:rPr>
                    <w:t>西</w:t>
                  </w:r>
                </w:p>
              </w:tc>
              <w:tc>
                <w:tcPr>
                  <w:tcW w:w="303" w:type="pct"/>
                  <w:vAlign w:val="center"/>
                </w:tcPr>
                <w:p>
                  <w:pPr>
                    <w:widowControl/>
                    <w:jc w:val="center"/>
                    <w:textAlignment w:val="center"/>
                    <w:rPr>
                      <w:color w:val="auto"/>
                      <w:szCs w:val="21"/>
                    </w:rPr>
                  </w:pPr>
                  <w:r>
                    <w:rPr>
                      <w:color w:val="auto"/>
                      <w:szCs w:val="21"/>
                    </w:rPr>
                    <w:t>13</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43.7</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28.7</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widowControl/>
                    <w:adjustRightInd w:val="0"/>
                    <w:snapToGrid w:val="0"/>
                    <w:jc w:val="center"/>
                    <w:rPr>
                      <w:color w:val="auto"/>
                      <w:szCs w:val="21"/>
                    </w:rPr>
                  </w:pPr>
                </w:p>
              </w:tc>
              <w:tc>
                <w:tcPr>
                  <w:tcW w:w="329" w:type="pct"/>
                  <w:vMerge w:val="continue"/>
                  <w:vAlign w:val="center"/>
                </w:tcPr>
                <w:p>
                  <w:pPr>
                    <w:widowControl/>
                    <w:adjustRightInd w:val="0"/>
                    <w:snapToGrid w:val="0"/>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widowControl/>
                    <w:jc w:val="center"/>
                    <w:textAlignment w:val="center"/>
                    <w:rPr>
                      <w:color w:val="auto"/>
                      <w:szCs w:val="21"/>
                    </w:rPr>
                  </w:pPr>
                </w:p>
              </w:tc>
              <w:tc>
                <w:tcPr>
                  <w:tcW w:w="263" w:type="pct"/>
                  <w:vMerge w:val="continue"/>
                  <w:vAlign w:val="center"/>
                </w:tcPr>
                <w:p>
                  <w:pPr>
                    <w:widowControl/>
                    <w:jc w:val="center"/>
                    <w:textAlignment w:val="center"/>
                    <w:rPr>
                      <w:color w:val="auto"/>
                      <w:szCs w:val="21"/>
                    </w:rPr>
                  </w:pPr>
                </w:p>
              </w:tc>
              <w:tc>
                <w:tcPr>
                  <w:tcW w:w="259" w:type="pct"/>
                  <w:vMerge w:val="continue"/>
                  <w:vAlign w:val="center"/>
                </w:tcPr>
                <w:p>
                  <w:pPr>
                    <w:widowControl/>
                    <w:jc w:val="center"/>
                    <w:textAlignment w:val="center"/>
                    <w:rPr>
                      <w:color w:val="auto"/>
                      <w:szCs w:val="21"/>
                    </w:rPr>
                  </w:pPr>
                </w:p>
              </w:tc>
              <w:tc>
                <w:tcPr>
                  <w:tcW w:w="203" w:type="pct"/>
                  <w:vAlign w:val="center"/>
                </w:tcPr>
                <w:p>
                  <w:pPr>
                    <w:widowControl/>
                    <w:adjustRightInd w:val="0"/>
                    <w:snapToGrid w:val="0"/>
                    <w:jc w:val="center"/>
                    <w:textAlignment w:val="center"/>
                    <w:rPr>
                      <w:color w:val="auto"/>
                      <w:szCs w:val="21"/>
                    </w:rPr>
                  </w:pPr>
                  <w:r>
                    <w:rPr>
                      <w:color w:val="auto"/>
                      <w:szCs w:val="21"/>
                    </w:rPr>
                    <w:t>北</w:t>
                  </w:r>
                </w:p>
              </w:tc>
              <w:tc>
                <w:tcPr>
                  <w:tcW w:w="303" w:type="pct"/>
                  <w:vAlign w:val="center"/>
                </w:tcPr>
                <w:p>
                  <w:pPr>
                    <w:widowControl/>
                    <w:jc w:val="center"/>
                    <w:textAlignment w:val="center"/>
                    <w:rPr>
                      <w:color w:val="auto"/>
                      <w:szCs w:val="21"/>
                    </w:rPr>
                  </w:pPr>
                  <w:r>
                    <w:rPr>
                      <w:color w:val="auto"/>
                      <w:szCs w:val="21"/>
                    </w:rPr>
                    <w:t>40</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34</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19</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rPr>
                      <w:color w:val="auto"/>
                      <w:szCs w:val="21"/>
                    </w:rPr>
                  </w:pPr>
                  <w:r>
                    <w:rPr>
                      <w:color w:val="auto"/>
                      <w:szCs w:val="21"/>
                    </w:rPr>
                    <w:t>9</w:t>
                  </w:r>
                </w:p>
              </w:tc>
              <w:tc>
                <w:tcPr>
                  <w:tcW w:w="263" w:type="pct"/>
                  <w:vMerge w:val="continue"/>
                  <w:vAlign w:val="center"/>
                </w:tcPr>
                <w:p>
                  <w:pPr>
                    <w:widowControl/>
                    <w:adjustRightInd w:val="0"/>
                    <w:snapToGrid w:val="0"/>
                    <w:jc w:val="center"/>
                    <w:rPr>
                      <w:color w:val="auto"/>
                      <w:szCs w:val="21"/>
                    </w:rPr>
                  </w:pPr>
                </w:p>
              </w:tc>
              <w:tc>
                <w:tcPr>
                  <w:tcW w:w="383" w:type="pct"/>
                  <w:vMerge w:val="restart"/>
                  <w:vAlign w:val="center"/>
                </w:tcPr>
                <w:p>
                  <w:pPr>
                    <w:autoSpaceDE w:val="0"/>
                    <w:autoSpaceDN w:val="0"/>
                    <w:adjustRightInd w:val="0"/>
                    <w:jc w:val="center"/>
                    <w:rPr>
                      <w:color w:val="auto"/>
                      <w:szCs w:val="21"/>
                    </w:rPr>
                  </w:pPr>
                  <w:r>
                    <w:rPr>
                      <w:color w:val="auto"/>
                      <w:szCs w:val="21"/>
                    </w:rPr>
                    <w:t>3#天车</w:t>
                  </w:r>
                </w:p>
              </w:tc>
              <w:tc>
                <w:tcPr>
                  <w:tcW w:w="329" w:type="pct"/>
                  <w:vMerge w:val="restart"/>
                  <w:vAlign w:val="center"/>
                </w:tcPr>
                <w:p>
                  <w:pPr>
                    <w:jc w:val="center"/>
                    <w:rPr>
                      <w:color w:val="auto"/>
                      <w:szCs w:val="21"/>
                    </w:rPr>
                  </w:pPr>
                  <w:r>
                    <w:rPr>
                      <w:color w:val="auto"/>
                      <w:szCs w:val="21"/>
                    </w:rPr>
                    <w:t>/</w:t>
                  </w:r>
                </w:p>
              </w:tc>
              <w:tc>
                <w:tcPr>
                  <w:tcW w:w="325" w:type="pct"/>
                  <w:vMerge w:val="restart"/>
                  <w:vAlign w:val="center"/>
                </w:tcPr>
                <w:p>
                  <w:pPr>
                    <w:widowControl/>
                    <w:adjustRightInd w:val="0"/>
                    <w:snapToGrid w:val="0"/>
                    <w:jc w:val="center"/>
                    <w:rPr>
                      <w:color w:val="auto"/>
                      <w:szCs w:val="21"/>
                    </w:rPr>
                  </w:pPr>
                  <w:r>
                    <w:rPr>
                      <w:color w:val="auto"/>
                      <w:szCs w:val="21"/>
                    </w:rPr>
                    <w:t>75</w:t>
                  </w:r>
                </w:p>
              </w:tc>
              <w:tc>
                <w:tcPr>
                  <w:tcW w:w="340" w:type="pct"/>
                  <w:vMerge w:val="continue"/>
                  <w:vAlign w:val="center"/>
                </w:tcPr>
                <w:p>
                  <w:pPr>
                    <w:widowControl/>
                    <w:adjustRightInd w:val="0"/>
                    <w:snapToGrid w:val="0"/>
                    <w:jc w:val="center"/>
                    <w:rPr>
                      <w:color w:val="auto"/>
                      <w:szCs w:val="21"/>
                    </w:rPr>
                  </w:pPr>
                </w:p>
              </w:tc>
              <w:tc>
                <w:tcPr>
                  <w:tcW w:w="287" w:type="pct"/>
                  <w:vMerge w:val="restart"/>
                  <w:vAlign w:val="center"/>
                </w:tcPr>
                <w:p>
                  <w:pPr>
                    <w:widowControl/>
                    <w:jc w:val="center"/>
                    <w:textAlignment w:val="center"/>
                    <w:rPr>
                      <w:color w:val="auto"/>
                      <w:szCs w:val="21"/>
                    </w:rPr>
                  </w:pPr>
                  <w:r>
                    <w:rPr>
                      <w:color w:val="auto"/>
                      <w:szCs w:val="21"/>
                    </w:rPr>
                    <w:t>23</w:t>
                  </w:r>
                </w:p>
              </w:tc>
              <w:tc>
                <w:tcPr>
                  <w:tcW w:w="263" w:type="pct"/>
                  <w:vMerge w:val="restart"/>
                  <w:vAlign w:val="center"/>
                </w:tcPr>
                <w:p>
                  <w:pPr>
                    <w:widowControl/>
                    <w:jc w:val="center"/>
                    <w:textAlignment w:val="center"/>
                    <w:rPr>
                      <w:color w:val="auto"/>
                      <w:szCs w:val="21"/>
                    </w:rPr>
                  </w:pPr>
                  <w:r>
                    <w:rPr>
                      <w:color w:val="auto"/>
                      <w:szCs w:val="21"/>
                    </w:rPr>
                    <w:t>21</w:t>
                  </w:r>
                </w:p>
              </w:tc>
              <w:tc>
                <w:tcPr>
                  <w:tcW w:w="259" w:type="pct"/>
                  <w:vMerge w:val="restart"/>
                  <w:vAlign w:val="center"/>
                </w:tcPr>
                <w:p>
                  <w:pPr>
                    <w:widowControl/>
                    <w:jc w:val="center"/>
                    <w:textAlignment w:val="center"/>
                    <w:rPr>
                      <w:color w:val="auto"/>
                      <w:szCs w:val="21"/>
                    </w:rPr>
                  </w:pPr>
                  <w:r>
                    <w:rPr>
                      <w:color w:val="auto"/>
                      <w:szCs w:val="21"/>
                    </w:rPr>
                    <w:t>0</w:t>
                  </w:r>
                </w:p>
              </w:tc>
              <w:tc>
                <w:tcPr>
                  <w:tcW w:w="203" w:type="pct"/>
                  <w:vAlign w:val="center"/>
                </w:tcPr>
                <w:p>
                  <w:pPr>
                    <w:widowControl/>
                    <w:adjustRightInd w:val="0"/>
                    <w:snapToGrid w:val="0"/>
                    <w:jc w:val="center"/>
                    <w:textAlignment w:val="center"/>
                    <w:rPr>
                      <w:color w:val="auto"/>
                      <w:szCs w:val="21"/>
                    </w:rPr>
                  </w:pPr>
                  <w:r>
                    <w:rPr>
                      <w:color w:val="auto"/>
                      <w:szCs w:val="21"/>
                    </w:rPr>
                    <w:t>东</w:t>
                  </w:r>
                </w:p>
              </w:tc>
              <w:tc>
                <w:tcPr>
                  <w:tcW w:w="303" w:type="pct"/>
                  <w:vAlign w:val="center"/>
                </w:tcPr>
                <w:p>
                  <w:pPr>
                    <w:widowControl/>
                    <w:jc w:val="center"/>
                    <w:textAlignment w:val="center"/>
                    <w:rPr>
                      <w:color w:val="auto"/>
                      <w:szCs w:val="21"/>
                    </w:rPr>
                  </w:pPr>
                  <w:r>
                    <w:rPr>
                      <w:color w:val="auto"/>
                      <w:szCs w:val="21"/>
                    </w:rPr>
                    <w:t>5</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52</w:t>
                  </w:r>
                </w:p>
              </w:tc>
              <w:tc>
                <w:tcPr>
                  <w:tcW w:w="239" w:type="pct"/>
                  <w:vMerge w:val="restart"/>
                  <w:vAlign w:val="center"/>
                </w:tcPr>
                <w:p>
                  <w:pPr>
                    <w:widowControl/>
                    <w:adjustRightInd w:val="0"/>
                    <w:snapToGrid w:val="0"/>
                    <w:jc w:val="center"/>
                    <w:textAlignment w:val="center"/>
                    <w:rPr>
                      <w:color w:val="auto"/>
                      <w:szCs w:val="21"/>
                    </w:rPr>
                  </w:pPr>
                  <w:r>
                    <w:rPr>
                      <w:rFonts w:hint="eastAsia"/>
                      <w:color w:val="auto"/>
                      <w:szCs w:val="21"/>
                    </w:rPr>
                    <w:t>昼夜</w:t>
                  </w:r>
                </w:p>
              </w:tc>
              <w:tc>
                <w:tcPr>
                  <w:tcW w:w="375" w:type="pct"/>
                  <w:vMerge w:val="restart"/>
                  <w:vAlign w:val="center"/>
                </w:tcPr>
                <w:p>
                  <w:pPr>
                    <w:widowControl/>
                    <w:adjustRightInd w:val="0"/>
                    <w:snapToGrid w:val="0"/>
                    <w:jc w:val="center"/>
                    <w:textAlignment w:val="center"/>
                    <w:rPr>
                      <w:color w:val="auto"/>
                      <w:szCs w:val="21"/>
                    </w:rPr>
                  </w:pPr>
                  <w:r>
                    <w:rPr>
                      <w:color w:val="auto"/>
                      <w:szCs w:val="21"/>
                    </w:rPr>
                    <w:t>15</w:t>
                  </w:r>
                </w:p>
              </w:tc>
              <w:tc>
                <w:tcPr>
                  <w:tcW w:w="920" w:type="dxa"/>
                  <w:vAlign w:val="center"/>
                </w:tcPr>
                <w:p>
                  <w:pPr>
                    <w:widowControl/>
                    <w:adjustRightInd w:val="0"/>
                    <w:snapToGrid w:val="0"/>
                    <w:jc w:val="center"/>
                    <w:textAlignment w:val="center"/>
                    <w:rPr>
                      <w:color w:val="auto"/>
                      <w:szCs w:val="21"/>
                    </w:rPr>
                  </w:pPr>
                  <w:r>
                    <w:rPr>
                      <w:rFonts w:hint="eastAsia"/>
                      <w:color w:val="auto"/>
                      <w:szCs w:val="21"/>
                    </w:rPr>
                    <w:t>37</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widowControl/>
                    <w:adjustRightInd w:val="0"/>
                    <w:snapToGrid w:val="0"/>
                    <w:jc w:val="center"/>
                    <w:rPr>
                      <w:color w:val="auto"/>
                      <w:szCs w:val="21"/>
                    </w:rPr>
                  </w:pPr>
                </w:p>
              </w:tc>
              <w:tc>
                <w:tcPr>
                  <w:tcW w:w="329" w:type="pct"/>
                  <w:vMerge w:val="continue"/>
                  <w:vAlign w:val="center"/>
                </w:tcPr>
                <w:p>
                  <w:pPr>
                    <w:widowControl/>
                    <w:adjustRightInd w:val="0"/>
                    <w:snapToGrid w:val="0"/>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widowControl/>
                    <w:jc w:val="center"/>
                    <w:textAlignment w:val="center"/>
                    <w:rPr>
                      <w:color w:val="auto"/>
                      <w:szCs w:val="21"/>
                    </w:rPr>
                  </w:pPr>
                </w:p>
              </w:tc>
              <w:tc>
                <w:tcPr>
                  <w:tcW w:w="263" w:type="pct"/>
                  <w:vMerge w:val="continue"/>
                  <w:vAlign w:val="center"/>
                </w:tcPr>
                <w:p>
                  <w:pPr>
                    <w:widowControl/>
                    <w:jc w:val="center"/>
                    <w:textAlignment w:val="center"/>
                    <w:rPr>
                      <w:color w:val="auto"/>
                      <w:szCs w:val="21"/>
                    </w:rPr>
                  </w:pPr>
                </w:p>
              </w:tc>
              <w:tc>
                <w:tcPr>
                  <w:tcW w:w="259" w:type="pct"/>
                  <w:vMerge w:val="continue"/>
                  <w:vAlign w:val="center"/>
                </w:tcPr>
                <w:p>
                  <w:pPr>
                    <w:widowControl/>
                    <w:jc w:val="center"/>
                    <w:textAlignment w:val="center"/>
                    <w:rPr>
                      <w:color w:val="auto"/>
                      <w:szCs w:val="21"/>
                    </w:rPr>
                  </w:pPr>
                </w:p>
              </w:tc>
              <w:tc>
                <w:tcPr>
                  <w:tcW w:w="203" w:type="pct"/>
                  <w:vAlign w:val="center"/>
                </w:tcPr>
                <w:p>
                  <w:pPr>
                    <w:widowControl/>
                    <w:adjustRightInd w:val="0"/>
                    <w:snapToGrid w:val="0"/>
                    <w:jc w:val="center"/>
                    <w:textAlignment w:val="center"/>
                    <w:rPr>
                      <w:color w:val="auto"/>
                      <w:szCs w:val="21"/>
                    </w:rPr>
                  </w:pPr>
                  <w:r>
                    <w:rPr>
                      <w:color w:val="auto"/>
                      <w:szCs w:val="21"/>
                    </w:rPr>
                    <w:t>南</w:t>
                  </w:r>
                </w:p>
              </w:tc>
              <w:tc>
                <w:tcPr>
                  <w:tcW w:w="303" w:type="pct"/>
                  <w:vAlign w:val="center"/>
                </w:tcPr>
                <w:p>
                  <w:pPr>
                    <w:widowControl/>
                    <w:jc w:val="center"/>
                    <w:textAlignment w:val="center"/>
                    <w:rPr>
                      <w:color w:val="auto"/>
                      <w:szCs w:val="21"/>
                    </w:rPr>
                  </w:pPr>
                  <w:r>
                    <w:rPr>
                      <w:color w:val="auto"/>
                      <w:szCs w:val="21"/>
                    </w:rPr>
                    <w:t>20</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40</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25</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widowControl/>
                    <w:adjustRightInd w:val="0"/>
                    <w:snapToGrid w:val="0"/>
                    <w:jc w:val="center"/>
                    <w:rPr>
                      <w:color w:val="auto"/>
                      <w:szCs w:val="21"/>
                    </w:rPr>
                  </w:pPr>
                </w:p>
              </w:tc>
              <w:tc>
                <w:tcPr>
                  <w:tcW w:w="329" w:type="pct"/>
                  <w:vMerge w:val="continue"/>
                  <w:vAlign w:val="center"/>
                </w:tcPr>
                <w:p>
                  <w:pPr>
                    <w:widowControl/>
                    <w:adjustRightInd w:val="0"/>
                    <w:snapToGrid w:val="0"/>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widowControl/>
                    <w:jc w:val="center"/>
                    <w:textAlignment w:val="center"/>
                    <w:rPr>
                      <w:color w:val="auto"/>
                      <w:szCs w:val="21"/>
                    </w:rPr>
                  </w:pPr>
                </w:p>
              </w:tc>
              <w:tc>
                <w:tcPr>
                  <w:tcW w:w="263" w:type="pct"/>
                  <w:vMerge w:val="continue"/>
                  <w:vAlign w:val="center"/>
                </w:tcPr>
                <w:p>
                  <w:pPr>
                    <w:widowControl/>
                    <w:jc w:val="center"/>
                    <w:textAlignment w:val="center"/>
                    <w:rPr>
                      <w:color w:val="auto"/>
                      <w:szCs w:val="21"/>
                    </w:rPr>
                  </w:pPr>
                </w:p>
              </w:tc>
              <w:tc>
                <w:tcPr>
                  <w:tcW w:w="259" w:type="pct"/>
                  <w:vMerge w:val="continue"/>
                  <w:vAlign w:val="center"/>
                </w:tcPr>
                <w:p>
                  <w:pPr>
                    <w:widowControl/>
                    <w:jc w:val="center"/>
                    <w:textAlignment w:val="center"/>
                    <w:rPr>
                      <w:color w:val="auto"/>
                      <w:szCs w:val="21"/>
                    </w:rPr>
                  </w:pPr>
                </w:p>
              </w:tc>
              <w:tc>
                <w:tcPr>
                  <w:tcW w:w="203" w:type="pct"/>
                  <w:vAlign w:val="center"/>
                </w:tcPr>
                <w:p>
                  <w:pPr>
                    <w:widowControl/>
                    <w:adjustRightInd w:val="0"/>
                    <w:snapToGrid w:val="0"/>
                    <w:jc w:val="center"/>
                    <w:textAlignment w:val="center"/>
                    <w:rPr>
                      <w:color w:val="auto"/>
                      <w:szCs w:val="21"/>
                    </w:rPr>
                  </w:pPr>
                  <w:r>
                    <w:rPr>
                      <w:color w:val="auto"/>
                      <w:szCs w:val="21"/>
                    </w:rPr>
                    <w:t>西</w:t>
                  </w:r>
                </w:p>
              </w:tc>
              <w:tc>
                <w:tcPr>
                  <w:tcW w:w="303" w:type="pct"/>
                  <w:vAlign w:val="center"/>
                </w:tcPr>
                <w:p>
                  <w:pPr>
                    <w:widowControl/>
                    <w:jc w:val="center"/>
                    <w:textAlignment w:val="center"/>
                    <w:rPr>
                      <w:color w:val="auto"/>
                      <w:szCs w:val="21"/>
                    </w:rPr>
                  </w:pPr>
                  <w:r>
                    <w:rPr>
                      <w:color w:val="auto"/>
                      <w:szCs w:val="21"/>
                    </w:rPr>
                    <w:t>15</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42.5</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27.5</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widowControl/>
                    <w:adjustRightInd w:val="0"/>
                    <w:snapToGrid w:val="0"/>
                    <w:jc w:val="center"/>
                    <w:rPr>
                      <w:color w:val="auto"/>
                      <w:szCs w:val="21"/>
                    </w:rPr>
                  </w:pPr>
                </w:p>
              </w:tc>
              <w:tc>
                <w:tcPr>
                  <w:tcW w:w="329" w:type="pct"/>
                  <w:vMerge w:val="continue"/>
                  <w:vAlign w:val="center"/>
                </w:tcPr>
                <w:p>
                  <w:pPr>
                    <w:widowControl/>
                    <w:adjustRightInd w:val="0"/>
                    <w:snapToGrid w:val="0"/>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widowControl/>
                    <w:jc w:val="center"/>
                    <w:textAlignment w:val="center"/>
                    <w:rPr>
                      <w:color w:val="auto"/>
                      <w:szCs w:val="21"/>
                    </w:rPr>
                  </w:pPr>
                </w:p>
              </w:tc>
              <w:tc>
                <w:tcPr>
                  <w:tcW w:w="263" w:type="pct"/>
                  <w:vMerge w:val="continue"/>
                  <w:vAlign w:val="center"/>
                </w:tcPr>
                <w:p>
                  <w:pPr>
                    <w:widowControl/>
                    <w:jc w:val="center"/>
                    <w:textAlignment w:val="center"/>
                    <w:rPr>
                      <w:color w:val="auto"/>
                      <w:szCs w:val="21"/>
                    </w:rPr>
                  </w:pPr>
                </w:p>
              </w:tc>
              <w:tc>
                <w:tcPr>
                  <w:tcW w:w="259" w:type="pct"/>
                  <w:vMerge w:val="continue"/>
                  <w:vAlign w:val="center"/>
                </w:tcPr>
                <w:p>
                  <w:pPr>
                    <w:widowControl/>
                    <w:jc w:val="center"/>
                    <w:textAlignment w:val="center"/>
                    <w:rPr>
                      <w:color w:val="auto"/>
                      <w:szCs w:val="21"/>
                    </w:rPr>
                  </w:pPr>
                </w:p>
              </w:tc>
              <w:tc>
                <w:tcPr>
                  <w:tcW w:w="203" w:type="pct"/>
                  <w:vAlign w:val="center"/>
                </w:tcPr>
                <w:p>
                  <w:pPr>
                    <w:widowControl/>
                    <w:adjustRightInd w:val="0"/>
                    <w:snapToGrid w:val="0"/>
                    <w:jc w:val="center"/>
                    <w:textAlignment w:val="center"/>
                    <w:rPr>
                      <w:color w:val="auto"/>
                      <w:szCs w:val="21"/>
                    </w:rPr>
                  </w:pPr>
                  <w:r>
                    <w:rPr>
                      <w:color w:val="auto"/>
                      <w:szCs w:val="21"/>
                    </w:rPr>
                    <w:t>北</w:t>
                  </w:r>
                </w:p>
              </w:tc>
              <w:tc>
                <w:tcPr>
                  <w:tcW w:w="303" w:type="pct"/>
                  <w:vAlign w:val="center"/>
                </w:tcPr>
                <w:p>
                  <w:pPr>
                    <w:widowControl/>
                    <w:jc w:val="center"/>
                    <w:textAlignment w:val="center"/>
                    <w:rPr>
                      <w:color w:val="auto"/>
                      <w:szCs w:val="21"/>
                    </w:rPr>
                  </w:pPr>
                  <w:r>
                    <w:rPr>
                      <w:color w:val="auto"/>
                      <w:szCs w:val="21"/>
                    </w:rPr>
                    <w:t>22</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39.2</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24.2</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rPr>
                      <w:color w:val="auto"/>
                      <w:szCs w:val="21"/>
                    </w:rPr>
                  </w:pPr>
                  <w:r>
                    <w:rPr>
                      <w:color w:val="auto"/>
                      <w:szCs w:val="21"/>
                    </w:rPr>
                    <w:t>10</w:t>
                  </w:r>
                </w:p>
              </w:tc>
              <w:tc>
                <w:tcPr>
                  <w:tcW w:w="263" w:type="pct"/>
                  <w:vMerge w:val="continue"/>
                  <w:vAlign w:val="center"/>
                </w:tcPr>
                <w:p>
                  <w:pPr>
                    <w:widowControl/>
                    <w:adjustRightInd w:val="0"/>
                    <w:snapToGrid w:val="0"/>
                    <w:jc w:val="center"/>
                    <w:rPr>
                      <w:color w:val="auto"/>
                      <w:szCs w:val="21"/>
                    </w:rPr>
                  </w:pPr>
                </w:p>
              </w:tc>
              <w:tc>
                <w:tcPr>
                  <w:tcW w:w="383" w:type="pct"/>
                  <w:vMerge w:val="restart"/>
                  <w:vAlign w:val="center"/>
                </w:tcPr>
                <w:p>
                  <w:pPr>
                    <w:autoSpaceDE w:val="0"/>
                    <w:autoSpaceDN w:val="0"/>
                    <w:adjustRightInd w:val="0"/>
                    <w:jc w:val="center"/>
                    <w:rPr>
                      <w:color w:val="auto"/>
                      <w:szCs w:val="21"/>
                    </w:rPr>
                  </w:pPr>
                  <w:r>
                    <w:rPr>
                      <w:color w:val="auto"/>
                      <w:szCs w:val="21"/>
                    </w:rPr>
                    <w:t>4#天车</w:t>
                  </w:r>
                </w:p>
              </w:tc>
              <w:tc>
                <w:tcPr>
                  <w:tcW w:w="329" w:type="pct"/>
                  <w:vMerge w:val="restart"/>
                  <w:vAlign w:val="center"/>
                </w:tcPr>
                <w:p>
                  <w:pPr>
                    <w:jc w:val="center"/>
                    <w:rPr>
                      <w:color w:val="auto"/>
                      <w:szCs w:val="21"/>
                    </w:rPr>
                  </w:pPr>
                  <w:r>
                    <w:rPr>
                      <w:color w:val="auto"/>
                      <w:szCs w:val="21"/>
                    </w:rPr>
                    <w:t>/</w:t>
                  </w:r>
                </w:p>
              </w:tc>
              <w:tc>
                <w:tcPr>
                  <w:tcW w:w="325" w:type="pct"/>
                  <w:vMerge w:val="restart"/>
                  <w:vAlign w:val="center"/>
                </w:tcPr>
                <w:p>
                  <w:pPr>
                    <w:widowControl/>
                    <w:adjustRightInd w:val="0"/>
                    <w:snapToGrid w:val="0"/>
                    <w:jc w:val="center"/>
                    <w:rPr>
                      <w:color w:val="auto"/>
                      <w:szCs w:val="21"/>
                    </w:rPr>
                  </w:pPr>
                  <w:r>
                    <w:rPr>
                      <w:color w:val="auto"/>
                      <w:szCs w:val="21"/>
                    </w:rPr>
                    <w:t>75</w:t>
                  </w:r>
                </w:p>
              </w:tc>
              <w:tc>
                <w:tcPr>
                  <w:tcW w:w="340" w:type="pct"/>
                  <w:vMerge w:val="continue"/>
                  <w:vAlign w:val="center"/>
                </w:tcPr>
                <w:p>
                  <w:pPr>
                    <w:widowControl/>
                    <w:adjustRightInd w:val="0"/>
                    <w:snapToGrid w:val="0"/>
                    <w:jc w:val="center"/>
                    <w:rPr>
                      <w:color w:val="auto"/>
                      <w:szCs w:val="21"/>
                    </w:rPr>
                  </w:pPr>
                </w:p>
              </w:tc>
              <w:tc>
                <w:tcPr>
                  <w:tcW w:w="287" w:type="pct"/>
                  <w:vMerge w:val="restart"/>
                  <w:vAlign w:val="center"/>
                </w:tcPr>
                <w:p>
                  <w:pPr>
                    <w:widowControl/>
                    <w:jc w:val="center"/>
                    <w:textAlignment w:val="center"/>
                    <w:rPr>
                      <w:color w:val="auto"/>
                      <w:szCs w:val="21"/>
                    </w:rPr>
                  </w:pPr>
                  <w:r>
                    <w:rPr>
                      <w:color w:val="auto"/>
                      <w:szCs w:val="21"/>
                    </w:rPr>
                    <w:t>16</w:t>
                  </w:r>
                </w:p>
              </w:tc>
              <w:tc>
                <w:tcPr>
                  <w:tcW w:w="263" w:type="pct"/>
                  <w:vMerge w:val="restart"/>
                  <w:vAlign w:val="center"/>
                </w:tcPr>
                <w:p>
                  <w:pPr>
                    <w:widowControl/>
                    <w:jc w:val="center"/>
                    <w:textAlignment w:val="center"/>
                    <w:rPr>
                      <w:color w:val="auto"/>
                      <w:szCs w:val="21"/>
                    </w:rPr>
                  </w:pPr>
                  <w:r>
                    <w:rPr>
                      <w:color w:val="auto"/>
                      <w:szCs w:val="21"/>
                    </w:rPr>
                    <w:t>16</w:t>
                  </w:r>
                </w:p>
              </w:tc>
              <w:tc>
                <w:tcPr>
                  <w:tcW w:w="259" w:type="pct"/>
                  <w:vMerge w:val="restart"/>
                  <w:vAlign w:val="center"/>
                </w:tcPr>
                <w:p>
                  <w:pPr>
                    <w:widowControl/>
                    <w:jc w:val="center"/>
                    <w:textAlignment w:val="center"/>
                    <w:rPr>
                      <w:color w:val="auto"/>
                      <w:szCs w:val="21"/>
                    </w:rPr>
                  </w:pPr>
                  <w:r>
                    <w:rPr>
                      <w:color w:val="auto"/>
                      <w:szCs w:val="21"/>
                    </w:rPr>
                    <w:t>0</w:t>
                  </w:r>
                </w:p>
              </w:tc>
              <w:tc>
                <w:tcPr>
                  <w:tcW w:w="203" w:type="pct"/>
                  <w:vAlign w:val="center"/>
                </w:tcPr>
                <w:p>
                  <w:pPr>
                    <w:widowControl/>
                    <w:adjustRightInd w:val="0"/>
                    <w:snapToGrid w:val="0"/>
                    <w:jc w:val="center"/>
                    <w:textAlignment w:val="center"/>
                    <w:rPr>
                      <w:color w:val="auto"/>
                      <w:szCs w:val="21"/>
                    </w:rPr>
                  </w:pPr>
                  <w:r>
                    <w:rPr>
                      <w:color w:val="auto"/>
                      <w:szCs w:val="21"/>
                    </w:rPr>
                    <w:t>东</w:t>
                  </w:r>
                </w:p>
              </w:tc>
              <w:tc>
                <w:tcPr>
                  <w:tcW w:w="303" w:type="pct"/>
                  <w:vAlign w:val="center"/>
                </w:tcPr>
                <w:p>
                  <w:pPr>
                    <w:widowControl/>
                    <w:jc w:val="center"/>
                    <w:textAlignment w:val="center"/>
                    <w:rPr>
                      <w:color w:val="auto"/>
                      <w:szCs w:val="21"/>
                    </w:rPr>
                  </w:pPr>
                  <w:r>
                    <w:rPr>
                      <w:color w:val="auto"/>
                      <w:szCs w:val="21"/>
                    </w:rPr>
                    <w:t>10</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46</w:t>
                  </w:r>
                </w:p>
              </w:tc>
              <w:tc>
                <w:tcPr>
                  <w:tcW w:w="239" w:type="pct"/>
                  <w:vMerge w:val="restart"/>
                  <w:vAlign w:val="center"/>
                </w:tcPr>
                <w:p>
                  <w:pPr>
                    <w:widowControl/>
                    <w:adjustRightInd w:val="0"/>
                    <w:snapToGrid w:val="0"/>
                    <w:jc w:val="center"/>
                    <w:textAlignment w:val="center"/>
                    <w:rPr>
                      <w:color w:val="auto"/>
                      <w:szCs w:val="21"/>
                    </w:rPr>
                  </w:pPr>
                  <w:r>
                    <w:rPr>
                      <w:rFonts w:hint="eastAsia"/>
                      <w:color w:val="auto"/>
                      <w:szCs w:val="21"/>
                    </w:rPr>
                    <w:t>昼夜</w:t>
                  </w:r>
                </w:p>
              </w:tc>
              <w:tc>
                <w:tcPr>
                  <w:tcW w:w="375" w:type="pct"/>
                  <w:vMerge w:val="restart"/>
                  <w:vAlign w:val="center"/>
                </w:tcPr>
                <w:p>
                  <w:pPr>
                    <w:widowControl/>
                    <w:adjustRightInd w:val="0"/>
                    <w:snapToGrid w:val="0"/>
                    <w:jc w:val="center"/>
                    <w:textAlignment w:val="center"/>
                    <w:rPr>
                      <w:color w:val="auto"/>
                      <w:szCs w:val="21"/>
                    </w:rPr>
                  </w:pPr>
                  <w:r>
                    <w:rPr>
                      <w:color w:val="auto"/>
                      <w:szCs w:val="21"/>
                    </w:rPr>
                    <w:t>15</w:t>
                  </w:r>
                </w:p>
              </w:tc>
              <w:tc>
                <w:tcPr>
                  <w:tcW w:w="920" w:type="dxa"/>
                  <w:vAlign w:val="center"/>
                </w:tcPr>
                <w:p>
                  <w:pPr>
                    <w:widowControl/>
                    <w:adjustRightInd w:val="0"/>
                    <w:snapToGrid w:val="0"/>
                    <w:jc w:val="center"/>
                    <w:textAlignment w:val="center"/>
                    <w:rPr>
                      <w:color w:val="auto"/>
                      <w:szCs w:val="21"/>
                    </w:rPr>
                  </w:pPr>
                  <w:r>
                    <w:rPr>
                      <w:rFonts w:hint="eastAsia"/>
                      <w:color w:val="auto"/>
                      <w:szCs w:val="21"/>
                    </w:rPr>
                    <w:t>31</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widowControl/>
                    <w:adjustRightInd w:val="0"/>
                    <w:snapToGrid w:val="0"/>
                    <w:jc w:val="center"/>
                    <w:rPr>
                      <w:color w:val="auto"/>
                      <w:szCs w:val="21"/>
                    </w:rPr>
                  </w:pPr>
                </w:p>
              </w:tc>
              <w:tc>
                <w:tcPr>
                  <w:tcW w:w="329" w:type="pct"/>
                  <w:vMerge w:val="continue"/>
                  <w:vAlign w:val="center"/>
                </w:tcPr>
                <w:p>
                  <w:pPr>
                    <w:widowControl/>
                    <w:adjustRightInd w:val="0"/>
                    <w:snapToGrid w:val="0"/>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widowControl/>
                    <w:jc w:val="center"/>
                    <w:textAlignment w:val="center"/>
                    <w:rPr>
                      <w:color w:val="auto"/>
                      <w:szCs w:val="21"/>
                    </w:rPr>
                  </w:pPr>
                </w:p>
              </w:tc>
              <w:tc>
                <w:tcPr>
                  <w:tcW w:w="263" w:type="pct"/>
                  <w:vMerge w:val="continue"/>
                  <w:vAlign w:val="center"/>
                </w:tcPr>
                <w:p>
                  <w:pPr>
                    <w:widowControl/>
                    <w:jc w:val="center"/>
                    <w:textAlignment w:val="center"/>
                    <w:rPr>
                      <w:color w:val="auto"/>
                      <w:szCs w:val="21"/>
                    </w:rPr>
                  </w:pPr>
                </w:p>
              </w:tc>
              <w:tc>
                <w:tcPr>
                  <w:tcW w:w="259" w:type="pct"/>
                  <w:vMerge w:val="continue"/>
                  <w:vAlign w:val="center"/>
                </w:tcPr>
                <w:p>
                  <w:pPr>
                    <w:widowControl/>
                    <w:jc w:val="center"/>
                    <w:textAlignment w:val="center"/>
                    <w:rPr>
                      <w:color w:val="auto"/>
                      <w:szCs w:val="21"/>
                    </w:rPr>
                  </w:pPr>
                </w:p>
              </w:tc>
              <w:tc>
                <w:tcPr>
                  <w:tcW w:w="203" w:type="pct"/>
                  <w:vAlign w:val="center"/>
                </w:tcPr>
                <w:p>
                  <w:pPr>
                    <w:widowControl/>
                    <w:adjustRightInd w:val="0"/>
                    <w:snapToGrid w:val="0"/>
                    <w:jc w:val="center"/>
                    <w:textAlignment w:val="center"/>
                    <w:rPr>
                      <w:color w:val="auto"/>
                      <w:szCs w:val="21"/>
                    </w:rPr>
                  </w:pPr>
                  <w:r>
                    <w:rPr>
                      <w:color w:val="auto"/>
                      <w:szCs w:val="21"/>
                    </w:rPr>
                    <w:t>南</w:t>
                  </w:r>
                </w:p>
              </w:tc>
              <w:tc>
                <w:tcPr>
                  <w:tcW w:w="303" w:type="pct"/>
                  <w:vAlign w:val="center"/>
                </w:tcPr>
                <w:p>
                  <w:pPr>
                    <w:widowControl/>
                    <w:jc w:val="center"/>
                    <w:textAlignment w:val="center"/>
                    <w:rPr>
                      <w:color w:val="auto"/>
                      <w:szCs w:val="21"/>
                    </w:rPr>
                  </w:pPr>
                  <w:r>
                    <w:rPr>
                      <w:color w:val="auto"/>
                      <w:szCs w:val="21"/>
                    </w:rPr>
                    <w:t>15</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42.5</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27.5</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widowControl/>
                    <w:adjustRightInd w:val="0"/>
                    <w:snapToGrid w:val="0"/>
                    <w:jc w:val="center"/>
                    <w:rPr>
                      <w:color w:val="auto"/>
                      <w:szCs w:val="21"/>
                    </w:rPr>
                  </w:pPr>
                </w:p>
              </w:tc>
              <w:tc>
                <w:tcPr>
                  <w:tcW w:w="329" w:type="pct"/>
                  <w:vMerge w:val="continue"/>
                  <w:vAlign w:val="center"/>
                </w:tcPr>
                <w:p>
                  <w:pPr>
                    <w:widowControl/>
                    <w:adjustRightInd w:val="0"/>
                    <w:snapToGrid w:val="0"/>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widowControl/>
                    <w:jc w:val="center"/>
                    <w:textAlignment w:val="center"/>
                    <w:rPr>
                      <w:color w:val="auto"/>
                      <w:szCs w:val="21"/>
                    </w:rPr>
                  </w:pPr>
                </w:p>
              </w:tc>
              <w:tc>
                <w:tcPr>
                  <w:tcW w:w="263" w:type="pct"/>
                  <w:vMerge w:val="continue"/>
                  <w:vAlign w:val="center"/>
                </w:tcPr>
                <w:p>
                  <w:pPr>
                    <w:widowControl/>
                    <w:jc w:val="center"/>
                    <w:textAlignment w:val="center"/>
                    <w:rPr>
                      <w:color w:val="auto"/>
                      <w:szCs w:val="21"/>
                    </w:rPr>
                  </w:pPr>
                </w:p>
              </w:tc>
              <w:tc>
                <w:tcPr>
                  <w:tcW w:w="259" w:type="pct"/>
                  <w:vMerge w:val="continue"/>
                  <w:vAlign w:val="center"/>
                </w:tcPr>
                <w:p>
                  <w:pPr>
                    <w:widowControl/>
                    <w:jc w:val="center"/>
                    <w:textAlignment w:val="center"/>
                    <w:rPr>
                      <w:color w:val="auto"/>
                      <w:szCs w:val="21"/>
                    </w:rPr>
                  </w:pPr>
                </w:p>
              </w:tc>
              <w:tc>
                <w:tcPr>
                  <w:tcW w:w="203" w:type="pct"/>
                  <w:vAlign w:val="center"/>
                </w:tcPr>
                <w:p>
                  <w:pPr>
                    <w:widowControl/>
                    <w:adjustRightInd w:val="0"/>
                    <w:snapToGrid w:val="0"/>
                    <w:jc w:val="center"/>
                    <w:textAlignment w:val="center"/>
                    <w:rPr>
                      <w:color w:val="auto"/>
                      <w:szCs w:val="21"/>
                    </w:rPr>
                  </w:pPr>
                  <w:r>
                    <w:rPr>
                      <w:color w:val="auto"/>
                      <w:szCs w:val="21"/>
                    </w:rPr>
                    <w:t>西</w:t>
                  </w:r>
                </w:p>
              </w:tc>
              <w:tc>
                <w:tcPr>
                  <w:tcW w:w="303" w:type="pct"/>
                  <w:vAlign w:val="center"/>
                </w:tcPr>
                <w:p>
                  <w:pPr>
                    <w:widowControl/>
                    <w:jc w:val="center"/>
                    <w:textAlignment w:val="center"/>
                    <w:rPr>
                      <w:color w:val="auto"/>
                      <w:szCs w:val="21"/>
                    </w:rPr>
                  </w:pPr>
                  <w:r>
                    <w:rPr>
                      <w:color w:val="auto"/>
                      <w:szCs w:val="21"/>
                    </w:rPr>
                    <w:t>8</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47.9</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32.9</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widowControl/>
                    <w:adjustRightInd w:val="0"/>
                    <w:snapToGrid w:val="0"/>
                    <w:jc w:val="center"/>
                    <w:rPr>
                      <w:color w:val="auto"/>
                      <w:szCs w:val="21"/>
                    </w:rPr>
                  </w:pPr>
                </w:p>
              </w:tc>
              <w:tc>
                <w:tcPr>
                  <w:tcW w:w="329" w:type="pct"/>
                  <w:vMerge w:val="continue"/>
                  <w:vAlign w:val="center"/>
                </w:tcPr>
                <w:p>
                  <w:pPr>
                    <w:widowControl/>
                    <w:adjustRightInd w:val="0"/>
                    <w:snapToGrid w:val="0"/>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widowControl/>
                    <w:jc w:val="center"/>
                    <w:textAlignment w:val="center"/>
                    <w:rPr>
                      <w:color w:val="auto"/>
                      <w:szCs w:val="21"/>
                    </w:rPr>
                  </w:pPr>
                </w:p>
              </w:tc>
              <w:tc>
                <w:tcPr>
                  <w:tcW w:w="263" w:type="pct"/>
                  <w:vMerge w:val="continue"/>
                  <w:vAlign w:val="center"/>
                </w:tcPr>
                <w:p>
                  <w:pPr>
                    <w:widowControl/>
                    <w:jc w:val="center"/>
                    <w:textAlignment w:val="center"/>
                    <w:rPr>
                      <w:color w:val="auto"/>
                      <w:szCs w:val="21"/>
                    </w:rPr>
                  </w:pPr>
                </w:p>
              </w:tc>
              <w:tc>
                <w:tcPr>
                  <w:tcW w:w="259" w:type="pct"/>
                  <w:vMerge w:val="continue"/>
                  <w:vAlign w:val="center"/>
                </w:tcPr>
                <w:p>
                  <w:pPr>
                    <w:widowControl/>
                    <w:jc w:val="center"/>
                    <w:textAlignment w:val="center"/>
                    <w:rPr>
                      <w:color w:val="auto"/>
                      <w:szCs w:val="21"/>
                    </w:rPr>
                  </w:pPr>
                </w:p>
              </w:tc>
              <w:tc>
                <w:tcPr>
                  <w:tcW w:w="203" w:type="pct"/>
                  <w:vAlign w:val="center"/>
                </w:tcPr>
                <w:p>
                  <w:pPr>
                    <w:widowControl/>
                    <w:adjustRightInd w:val="0"/>
                    <w:snapToGrid w:val="0"/>
                    <w:jc w:val="center"/>
                    <w:textAlignment w:val="center"/>
                    <w:rPr>
                      <w:color w:val="auto"/>
                      <w:szCs w:val="21"/>
                    </w:rPr>
                  </w:pPr>
                  <w:r>
                    <w:rPr>
                      <w:color w:val="auto"/>
                      <w:szCs w:val="21"/>
                    </w:rPr>
                    <w:t>北</w:t>
                  </w:r>
                </w:p>
              </w:tc>
              <w:tc>
                <w:tcPr>
                  <w:tcW w:w="303" w:type="pct"/>
                  <w:vAlign w:val="center"/>
                </w:tcPr>
                <w:p>
                  <w:pPr>
                    <w:widowControl/>
                    <w:jc w:val="center"/>
                    <w:textAlignment w:val="center"/>
                    <w:rPr>
                      <w:color w:val="auto"/>
                      <w:szCs w:val="21"/>
                    </w:rPr>
                  </w:pPr>
                  <w:r>
                    <w:rPr>
                      <w:color w:val="auto"/>
                      <w:szCs w:val="21"/>
                    </w:rPr>
                    <w:t>26</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37.7</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22.7</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rPr>
                      <w:color w:val="auto"/>
                      <w:szCs w:val="21"/>
                    </w:rPr>
                  </w:pPr>
                  <w:r>
                    <w:rPr>
                      <w:color w:val="auto"/>
                      <w:szCs w:val="21"/>
                    </w:rPr>
                    <w:t>11</w:t>
                  </w:r>
                </w:p>
              </w:tc>
              <w:tc>
                <w:tcPr>
                  <w:tcW w:w="263" w:type="pct"/>
                  <w:vMerge w:val="continue"/>
                  <w:vAlign w:val="center"/>
                </w:tcPr>
                <w:p>
                  <w:pPr>
                    <w:widowControl/>
                    <w:adjustRightInd w:val="0"/>
                    <w:snapToGrid w:val="0"/>
                    <w:jc w:val="center"/>
                    <w:rPr>
                      <w:color w:val="auto"/>
                      <w:szCs w:val="21"/>
                    </w:rPr>
                  </w:pPr>
                </w:p>
              </w:tc>
              <w:tc>
                <w:tcPr>
                  <w:tcW w:w="383" w:type="pct"/>
                  <w:vMerge w:val="restart"/>
                  <w:vAlign w:val="center"/>
                </w:tcPr>
                <w:p>
                  <w:pPr>
                    <w:autoSpaceDE w:val="0"/>
                    <w:autoSpaceDN w:val="0"/>
                    <w:adjustRightInd w:val="0"/>
                    <w:jc w:val="center"/>
                    <w:rPr>
                      <w:color w:val="auto"/>
                      <w:szCs w:val="21"/>
                    </w:rPr>
                  </w:pPr>
                  <w:r>
                    <w:rPr>
                      <w:color w:val="auto"/>
                      <w:szCs w:val="21"/>
                    </w:rPr>
                    <w:t>5#天车</w:t>
                  </w:r>
                </w:p>
              </w:tc>
              <w:tc>
                <w:tcPr>
                  <w:tcW w:w="329" w:type="pct"/>
                  <w:vMerge w:val="restart"/>
                  <w:vAlign w:val="center"/>
                </w:tcPr>
                <w:p>
                  <w:pPr>
                    <w:jc w:val="center"/>
                    <w:rPr>
                      <w:color w:val="auto"/>
                      <w:szCs w:val="21"/>
                    </w:rPr>
                  </w:pPr>
                  <w:r>
                    <w:rPr>
                      <w:color w:val="auto"/>
                      <w:szCs w:val="21"/>
                    </w:rPr>
                    <w:t>/</w:t>
                  </w:r>
                </w:p>
              </w:tc>
              <w:tc>
                <w:tcPr>
                  <w:tcW w:w="325" w:type="pct"/>
                  <w:vMerge w:val="restart"/>
                  <w:vAlign w:val="center"/>
                </w:tcPr>
                <w:p>
                  <w:pPr>
                    <w:widowControl/>
                    <w:adjustRightInd w:val="0"/>
                    <w:snapToGrid w:val="0"/>
                    <w:jc w:val="center"/>
                    <w:rPr>
                      <w:color w:val="auto"/>
                      <w:szCs w:val="21"/>
                    </w:rPr>
                  </w:pPr>
                  <w:r>
                    <w:rPr>
                      <w:color w:val="auto"/>
                      <w:szCs w:val="21"/>
                    </w:rPr>
                    <w:t>75</w:t>
                  </w:r>
                </w:p>
              </w:tc>
              <w:tc>
                <w:tcPr>
                  <w:tcW w:w="340" w:type="pct"/>
                  <w:vMerge w:val="continue"/>
                  <w:vAlign w:val="center"/>
                </w:tcPr>
                <w:p>
                  <w:pPr>
                    <w:widowControl/>
                    <w:adjustRightInd w:val="0"/>
                    <w:snapToGrid w:val="0"/>
                    <w:jc w:val="center"/>
                    <w:rPr>
                      <w:color w:val="auto"/>
                      <w:szCs w:val="21"/>
                    </w:rPr>
                  </w:pPr>
                </w:p>
              </w:tc>
              <w:tc>
                <w:tcPr>
                  <w:tcW w:w="287" w:type="pct"/>
                  <w:vMerge w:val="restart"/>
                  <w:vAlign w:val="center"/>
                </w:tcPr>
                <w:p>
                  <w:pPr>
                    <w:widowControl/>
                    <w:jc w:val="center"/>
                    <w:textAlignment w:val="center"/>
                    <w:rPr>
                      <w:color w:val="auto"/>
                      <w:szCs w:val="21"/>
                    </w:rPr>
                  </w:pPr>
                  <w:r>
                    <w:rPr>
                      <w:color w:val="auto"/>
                      <w:szCs w:val="21"/>
                    </w:rPr>
                    <w:t>18</w:t>
                  </w:r>
                </w:p>
              </w:tc>
              <w:tc>
                <w:tcPr>
                  <w:tcW w:w="263" w:type="pct"/>
                  <w:vMerge w:val="restart"/>
                  <w:vAlign w:val="center"/>
                </w:tcPr>
                <w:p>
                  <w:pPr>
                    <w:widowControl/>
                    <w:jc w:val="center"/>
                    <w:textAlignment w:val="center"/>
                    <w:rPr>
                      <w:color w:val="auto"/>
                      <w:szCs w:val="21"/>
                    </w:rPr>
                  </w:pPr>
                  <w:r>
                    <w:rPr>
                      <w:color w:val="auto"/>
                      <w:szCs w:val="21"/>
                    </w:rPr>
                    <w:t>21</w:t>
                  </w:r>
                </w:p>
              </w:tc>
              <w:tc>
                <w:tcPr>
                  <w:tcW w:w="259" w:type="pct"/>
                  <w:vMerge w:val="restart"/>
                  <w:vAlign w:val="center"/>
                </w:tcPr>
                <w:p>
                  <w:pPr>
                    <w:widowControl/>
                    <w:jc w:val="center"/>
                    <w:textAlignment w:val="center"/>
                    <w:rPr>
                      <w:color w:val="auto"/>
                      <w:szCs w:val="21"/>
                    </w:rPr>
                  </w:pPr>
                  <w:r>
                    <w:rPr>
                      <w:color w:val="auto"/>
                      <w:szCs w:val="21"/>
                    </w:rPr>
                    <w:t>0</w:t>
                  </w:r>
                </w:p>
              </w:tc>
              <w:tc>
                <w:tcPr>
                  <w:tcW w:w="203" w:type="pct"/>
                  <w:vAlign w:val="center"/>
                </w:tcPr>
                <w:p>
                  <w:pPr>
                    <w:widowControl/>
                    <w:adjustRightInd w:val="0"/>
                    <w:snapToGrid w:val="0"/>
                    <w:jc w:val="center"/>
                    <w:textAlignment w:val="center"/>
                    <w:rPr>
                      <w:color w:val="auto"/>
                      <w:szCs w:val="21"/>
                    </w:rPr>
                  </w:pPr>
                  <w:r>
                    <w:rPr>
                      <w:color w:val="auto"/>
                      <w:szCs w:val="21"/>
                    </w:rPr>
                    <w:t>东</w:t>
                  </w:r>
                </w:p>
              </w:tc>
              <w:tc>
                <w:tcPr>
                  <w:tcW w:w="303" w:type="pct"/>
                  <w:vAlign w:val="center"/>
                </w:tcPr>
                <w:p>
                  <w:pPr>
                    <w:widowControl/>
                    <w:jc w:val="center"/>
                    <w:textAlignment w:val="center"/>
                    <w:rPr>
                      <w:color w:val="auto"/>
                      <w:szCs w:val="21"/>
                    </w:rPr>
                  </w:pPr>
                  <w:r>
                    <w:rPr>
                      <w:color w:val="auto"/>
                      <w:szCs w:val="21"/>
                    </w:rPr>
                    <w:t>9</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46.9</w:t>
                  </w:r>
                </w:p>
              </w:tc>
              <w:tc>
                <w:tcPr>
                  <w:tcW w:w="239" w:type="pct"/>
                  <w:vMerge w:val="restart"/>
                  <w:vAlign w:val="center"/>
                </w:tcPr>
                <w:p>
                  <w:pPr>
                    <w:widowControl/>
                    <w:adjustRightInd w:val="0"/>
                    <w:snapToGrid w:val="0"/>
                    <w:jc w:val="center"/>
                    <w:textAlignment w:val="center"/>
                    <w:rPr>
                      <w:color w:val="auto"/>
                      <w:szCs w:val="21"/>
                    </w:rPr>
                  </w:pPr>
                  <w:r>
                    <w:rPr>
                      <w:rFonts w:hint="eastAsia"/>
                      <w:color w:val="auto"/>
                      <w:szCs w:val="21"/>
                    </w:rPr>
                    <w:t>昼夜</w:t>
                  </w:r>
                </w:p>
              </w:tc>
              <w:tc>
                <w:tcPr>
                  <w:tcW w:w="375" w:type="pct"/>
                  <w:vMerge w:val="restart"/>
                  <w:vAlign w:val="center"/>
                </w:tcPr>
                <w:p>
                  <w:pPr>
                    <w:widowControl/>
                    <w:adjustRightInd w:val="0"/>
                    <w:snapToGrid w:val="0"/>
                    <w:jc w:val="center"/>
                    <w:textAlignment w:val="center"/>
                    <w:rPr>
                      <w:color w:val="auto"/>
                      <w:szCs w:val="21"/>
                    </w:rPr>
                  </w:pPr>
                  <w:r>
                    <w:rPr>
                      <w:color w:val="auto"/>
                      <w:szCs w:val="21"/>
                    </w:rPr>
                    <w:t>15</w:t>
                  </w:r>
                </w:p>
              </w:tc>
              <w:tc>
                <w:tcPr>
                  <w:tcW w:w="920" w:type="dxa"/>
                  <w:vAlign w:val="center"/>
                </w:tcPr>
                <w:p>
                  <w:pPr>
                    <w:widowControl/>
                    <w:adjustRightInd w:val="0"/>
                    <w:snapToGrid w:val="0"/>
                    <w:jc w:val="center"/>
                    <w:textAlignment w:val="center"/>
                    <w:rPr>
                      <w:color w:val="auto"/>
                      <w:szCs w:val="21"/>
                    </w:rPr>
                  </w:pPr>
                  <w:r>
                    <w:rPr>
                      <w:rFonts w:hint="eastAsia"/>
                      <w:color w:val="auto"/>
                      <w:szCs w:val="21"/>
                    </w:rPr>
                    <w:t>31.9</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widowControl/>
                    <w:adjustRightInd w:val="0"/>
                    <w:snapToGrid w:val="0"/>
                    <w:jc w:val="center"/>
                    <w:rPr>
                      <w:color w:val="auto"/>
                      <w:szCs w:val="21"/>
                    </w:rPr>
                  </w:pPr>
                </w:p>
              </w:tc>
              <w:tc>
                <w:tcPr>
                  <w:tcW w:w="329" w:type="pct"/>
                  <w:vMerge w:val="continue"/>
                  <w:vAlign w:val="center"/>
                </w:tcPr>
                <w:p>
                  <w:pPr>
                    <w:widowControl/>
                    <w:adjustRightInd w:val="0"/>
                    <w:snapToGrid w:val="0"/>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widowControl/>
                    <w:jc w:val="center"/>
                    <w:textAlignment w:val="center"/>
                    <w:rPr>
                      <w:color w:val="auto"/>
                      <w:szCs w:val="21"/>
                    </w:rPr>
                  </w:pPr>
                </w:p>
              </w:tc>
              <w:tc>
                <w:tcPr>
                  <w:tcW w:w="263" w:type="pct"/>
                  <w:vMerge w:val="continue"/>
                  <w:vAlign w:val="center"/>
                </w:tcPr>
                <w:p>
                  <w:pPr>
                    <w:widowControl/>
                    <w:jc w:val="center"/>
                    <w:textAlignment w:val="center"/>
                    <w:rPr>
                      <w:color w:val="auto"/>
                      <w:szCs w:val="21"/>
                    </w:rPr>
                  </w:pPr>
                </w:p>
              </w:tc>
              <w:tc>
                <w:tcPr>
                  <w:tcW w:w="259" w:type="pct"/>
                  <w:vMerge w:val="continue"/>
                  <w:vAlign w:val="center"/>
                </w:tcPr>
                <w:p>
                  <w:pPr>
                    <w:widowControl/>
                    <w:jc w:val="center"/>
                    <w:textAlignment w:val="center"/>
                    <w:rPr>
                      <w:color w:val="auto"/>
                      <w:szCs w:val="21"/>
                    </w:rPr>
                  </w:pPr>
                </w:p>
              </w:tc>
              <w:tc>
                <w:tcPr>
                  <w:tcW w:w="203" w:type="pct"/>
                  <w:vAlign w:val="center"/>
                </w:tcPr>
                <w:p>
                  <w:pPr>
                    <w:widowControl/>
                    <w:adjustRightInd w:val="0"/>
                    <w:snapToGrid w:val="0"/>
                    <w:jc w:val="center"/>
                    <w:textAlignment w:val="center"/>
                    <w:rPr>
                      <w:color w:val="auto"/>
                      <w:szCs w:val="21"/>
                    </w:rPr>
                  </w:pPr>
                  <w:r>
                    <w:rPr>
                      <w:color w:val="auto"/>
                      <w:szCs w:val="21"/>
                    </w:rPr>
                    <w:t>南</w:t>
                  </w:r>
                </w:p>
              </w:tc>
              <w:tc>
                <w:tcPr>
                  <w:tcW w:w="303" w:type="pct"/>
                  <w:vAlign w:val="center"/>
                </w:tcPr>
                <w:p>
                  <w:pPr>
                    <w:widowControl/>
                    <w:jc w:val="center"/>
                    <w:textAlignment w:val="center"/>
                    <w:rPr>
                      <w:color w:val="auto"/>
                      <w:szCs w:val="21"/>
                    </w:rPr>
                  </w:pPr>
                  <w:r>
                    <w:rPr>
                      <w:color w:val="auto"/>
                      <w:szCs w:val="21"/>
                    </w:rPr>
                    <w:t>20</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40</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25</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widowControl/>
                    <w:adjustRightInd w:val="0"/>
                    <w:snapToGrid w:val="0"/>
                    <w:jc w:val="center"/>
                    <w:rPr>
                      <w:color w:val="auto"/>
                      <w:szCs w:val="21"/>
                    </w:rPr>
                  </w:pPr>
                </w:p>
              </w:tc>
              <w:tc>
                <w:tcPr>
                  <w:tcW w:w="329" w:type="pct"/>
                  <w:vMerge w:val="continue"/>
                  <w:vAlign w:val="center"/>
                </w:tcPr>
                <w:p>
                  <w:pPr>
                    <w:widowControl/>
                    <w:adjustRightInd w:val="0"/>
                    <w:snapToGrid w:val="0"/>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widowControl/>
                    <w:jc w:val="center"/>
                    <w:textAlignment w:val="center"/>
                    <w:rPr>
                      <w:color w:val="auto"/>
                      <w:szCs w:val="21"/>
                    </w:rPr>
                  </w:pPr>
                </w:p>
              </w:tc>
              <w:tc>
                <w:tcPr>
                  <w:tcW w:w="263" w:type="pct"/>
                  <w:vMerge w:val="continue"/>
                  <w:vAlign w:val="center"/>
                </w:tcPr>
                <w:p>
                  <w:pPr>
                    <w:widowControl/>
                    <w:jc w:val="center"/>
                    <w:textAlignment w:val="center"/>
                    <w:rPr>
                      <w:color w:val="auto"/>
                      <w:szCs w:val="21"/>
                    </w:rPr>
                  </w:pPr>
                </w:p>
              </w:tc>
              <w:tc>
                <w:tcPr>
                  <w:tcW w:w="259" w:type="pct"/>
                  <w:vMerge w:val="continue"/>
                  <w:vAlign w:val="center"/>
                </w:tcPr>
                <w:p>
                  <w:pPr>
                    <w:widowControl/>
                    <w:jc w:val="center"/>
                    <w:textAlignment w:val="center"/>
                    <w:rPr>
                      <w:color w:val="auto"/>
                      <w:szCs w:val="21"/>
                    </w:rPr>
                  </w:pPr>
                </w:p>
              </w:tc>
              <w:tc>
                <w:tcPr>
                  <w:tcW w:w="203" w:type="pct"/>
                  <w:vAlign w:val="center"/>
                </w:tcPr>
                <w:p>
                  <w:pPr>
                    <w:widowControl/>
                    <w:adjustRightInd w:val="0"/>
                    <w:snapToGrid w:val="0"/>
                    <w:jc w:val="center"/>
                    <w:textAlignment w:val="center"/>
                    <w:rPr>
                      <w:color w:val="auto"/>
                      <w:szCs w:val="21"/>
                    </w:rPr>
                  </w:pPr>
                  <w:r>
                    <w:rPr>
                      <w:color w:val="auto"/>
                      <w:szCs w:val="21"/>
                    </w:rPr>
                    <w:t>西</w:t>
                  </w:r>
                </w:p>
              </w:tc>
              <w:tc>
                <w:tcPr>
                  <w:tcW w:w="303" w:type="pct"/>
                  <w:vAlign w:val="center"/>
                </w:tcPr>
                <w:p>
                  <w:pPr>
                    <w:widowControl/>
                    <w:jc w:val="center"/>
                    <w:textAlignment w:val="center"/>
                    <w:rPr>
                      <w:color w:val="auto"/>
                      <w:szCs w:val="21"/>
                    </w:rPr>
                  </w:pPr>
                  <w:r>
                    <w:rPr>
                      <w:color w:val="auto"/>
                      <w:szCs w:val="21"/>
                    </w:rPr>
                    <w:t>10</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46</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31</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widowControl/>
                    <w:adjustRightInd w:val="0"/>
                    <w:snapToGrid w:val="0"/>
                    <w:jc w:val="center"/>
                    <w:rPr>
                      <w:color w:val="auto"/>
                      <w:szCs w:val="21"/>
                    </w:rPr>
                  </w:pPr>
                </w:p>
              </w:tc>
              <w:tc>
                <w:tcPr>
                  <w:tcW w:w="329" w:type="pct"/>
                  <w:vMerge w:val="continue"/>
                  <w:vAlign w:val="center"/>
                </w:tcPr>
                <w:p>
                  <w:pPr>
                    <w:widowControl/>
                    <w:adjustRightInd w:val="0"/>
                    <w:snapToGrid w:val="0"/>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widowControl/>
                    <w:jc w:val="center"/>
                    <w:textAlignment w:val="center"/>
                    <w:rPr>
                      <w:color w:val="auto"/>
                      <w:szCs w:val="21"/>
                    </w:rPr>
                  </w:pPr>
                </w:p>
              </w:tc>
              <w:tc>
                <w:tcPr>
                  <w:tcW w:w="263" w:type="pct"/>
                  <w:vMerge w:val="continue"/>
                  <w:vAlign w:val="center"/>
                </w:tcPr>
                <w:p>
                  <w:pPr>
                    <w:widowControl/>
                    <w:jc w:val="center"/>
                    <w:textAlignment w:val="center"/>
                    <w:rPr>
                      <w:color w:val="auto"/>
                      <w:szCs w:val="21"/>
                    </w:rPr>
                  </w:pPr>
                </w:p>
              </w:tc>
              <w:tc>
                <w:tcPr>
                  <w:tcW w:w="259" w:type="pct"/>
                  <w:vMerge w:val="continue"/>
                  <w:vAlign w:val="center"/>
                </w:tcPr>
                <w:p>
                  <w:pPr>
                    <w:widowControl/>
                    <w:jc w:val="center"/>
                    <w:textAlignment w:val="center"/>
                    <w:rPr>
                      <w:color w:val="auto"/>
                      <w:szCs w:val="21"/>
                    </w:rPr>
                  </w:pPr>
                </w:p>
              </w:tc>
              <w:tc>
                <w:tcPr>
                  <w:tcW w:w="203" w:type="pct"/>
                  <w:vAlign w:val="center"/>
                </w:tcPr>
                <w:p>
                  <w:pPr>
                    <w:widowControl/>
                    <w:adjustRightInd w:val="0"/>
                    <w:snapToGrid w:val="0"/>
                    <w:jc w:val="center"/>
                    <w:textAlignment w:val="center"/>
                    <w:rPr>
                      <w:color w:val="auto"/>
                      <w:szCs w:val="21"/>
                    </w:rPr>
                  </w:pPr>
                  <w:r>
                    <w:rPr>
                      <w:color w:val="auto"/>
                      <w:szCs w:val="21"/>
                    </w:rPr>
                    <w:t>北</w:t>
                  </w:r>
                </w:p>
              </w:tc>
              <w:tc>
                <w:tcPr>
                  <w:tcW w:w="303" w:type="pct"/>
                  <w:vAlign w:val="center"/>
                </w:tcPr>
                <w:p>
                  <w:pPr>
                    <w:widowControl/>
                    <w:jc w:val="center"/>
                    <w:textAlignment w:val="center"/>
                    <w:rPr>
                      <w:color w:val="auto"/>
                      <w:szCs w:val="21"/>
                    </w:rPr>
                  </w:pPr>
                  <w:r>
                    <w:rPr>
                      <w:color w:val="auto"/>
                      <w:szCs w:val="21"/>
                    </w:rPr>
                    <w:t>13</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43.7</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28.7</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rPr>
                      <w:color w:val="auto"/>
                      <w:szCs w:val="21"/>
                    </w:rPr>
                  </w:pPr>
                  <w:r>
                    <w:rPr>
                      <w:color w:val="auto"/>
                      <w:szCs w:val="21"/>
                    </w:rPr>
                    <w:t>12</w:t>
                  </w:r>
                </w:p>
              </w:tc>
              <w:tc>
                <w:tcPr>
                  <w:tcW w:w="263" w:type="pct"/>
                  <w:vMerge w:val="continue"/>
                  <w:vAlign w:val="center"/>
                </w:tcPr>
                <w:p>
                  <w:pPr>
                    <w:widowControl/>
                    <w:adjustRightInd w:val="0"/>
                    <w:snapToGrid w:val="0"/>
                    <w:jc w:val="center"/>
                    <w:rPr>
                      <w:color w:val="auto"/>
                      <w:szCs w:val="21"/>
                    </w:rPr>
                  </w:pPr>
                </w:p>
              </w:tc>
              <w:tc>
                <w:tcPr>
                  <w:tcW w:w="383" w:type="pct"/>
                  <w:vMerge w:val="restart"/>
                  <w:vAlign w:val="center"/>
                </w:tcPr>
                <w:p>
                  <w:pPr>
                    <w:autoSpaceDE w:val="0"/>
                    <w:autoSpaceDN w:val="0"/>
                    <w:adjustRightInd w:val="0"/>
                    <w:jc w:val="center"/>
                    <w:rPr>
                      <w:color w:val="auto"/>
                      <w:szCs w:val="21"/>
                    </w:rPr>
                  </w:pPr>
                  <w:r>
                    <w:rPr>
                      <w:color w:val="auto"/>
                      <w:szCs w:val="21"/>
                    </w:rPr>
                    <w:t>6#天车</w:t>
                  </w:r>
                </w:p>
              </w:tc>
              <w:tc>
                <w:tcPr>
                  <w:tcW w:w="329" w:type="pct"/>
                  <w:vMerge w:val="restart"/>
                  <w:vAlign w:val="center"/>
                </w:tcPr>
                <w:p>
                  <w:pPr>
                    <w:jc w:val="center"/>
                    <w:rPr>
                      <w:color w:val="auto"/>
                      <w:szCs w:val="21"/>
                    </w:rPr>
                  </w:pPr>
                  <w:r>
                    <w:rPr>
                      <w:color w:val="auto"/>
                      <w:szCs w:val="21"/>
                    </w:rPr>
                    <w:t>/</w:t>
                  </w:r>
                </w:p>
              </w:tc>
              <w:tc>
                <w:tcPr>
                  <w:tcW w:w="325" w:type="pct"/>
                  <w:vMerge w:val="restart"/>
                  <w:vAlign w:val="center"/>
                </w:tcPr>
                <w:p>
                  <w:pPr>
                    <w:widowControl/>
                    <w:adjustRightInd w:val="0"/>
                    <w:snapToGrid w:val="0"/>
                    <w:jc w:val="center"/>
                    <w:rPr>
                      <w:color w:val="auto"/>
                      <w:szCs w:val="21"/>
                    </w:rPr>
                  </w:pPr>
                  <w:r>
                    <w:rPr>
                      <w:color w:val="auto"/>
                      <w:szCs w:val="21"/>
                    </w:rPr>
                    <w:t>75</w:t>
                  </w:r>
                </w:p>
              </w:tc>
              <w:tc>
                <w:tcPr>
                  <w:tcW w:w="340" w:type="pct"/>
                  <w:vMerge w:val="continue"/>
                  <w:vAlign w:val="center"/>
                </w:tcPr>
                <w:p>
                  <w:pPr>
                    <w:widowControl/>
                    <w:adjustRightInd w:val="0"/>
                    <w:snapToGrid w:val="0"/>
                    <w:jc w:val="center"/>
                    <w:rPr>
                      <w:color w:val="auto"/>
                      <w:szCs w:val="21"/>
                    </w:rPr>
                  </w:pPr>
                </w:p>
              </w:tc>
              <w:tc>
                <w:tcPr>
                  <w:tcW w:w="287" w:type="pct"/>
                  <w:vMerge w:val="restart"/>
                  <w:vAlign w:val="center"/>
                </w:tcPr>
                <w:p>
                  <w:pPr>
                    <w:widowControl/>
                    <w:jc w:val="center"/>
                    <w:textAlignment w:val="center"/>
                    <w:rPr>
                      <w:color w:val="auto"/>
                      <w:szCs w:val="21"/>
                    </w:rPr>
                  </w:pPr>
                  <w:r>
                    <w:rPr>
                      <w:color w:val="auto"/>
                      <w:szCs w:val="21"/>
                    </w:rPr>
                    <w:t>23</w:t>
                  </w:r>
                </w:p>
              </w:tc>
              <w:tc>
                <w:tcPr>
                  <w:tcW w:w="263" w:type="pct"/>
                  <w:vMerge w:val="restart"/>
                  <w:vAlign w:val="center"/>
                </w:tcPr>
                <w:p>
                  <w:pPr>
                    <w:widowControl/>
                    <w:jc w:val="center"/>
                    <w:textAlignment w:val="center"/>
                    <w:rPr>
                      <w:color w:val="auto"/>
                      <w:szCs w:val="21"/>
                    </w:rPr>
                  </w:pPr>
                  <w:r>
                    <w:rPr>
                      <w:color w:val="auto"/>
                      <w:szCs w:val="21"/>
                    </w:rPr>
                    <w:t>6</w:t>
                  </w:r>
                </w:p>
              </w:tc>
              <w:tc>
                <w:tcPr>
                  <w:tcW w:w="259" w:type="pct"/>
                  <w:vMerge w:val="restart"/>
                  <w:vAlign w:val="center"/>
                </w:tcPr>
                <w:p>
                  <w:pPr>
                    <w:widowControl/>
                    <w:jc w:val="center"/>
                    <w:textAlignment w:val="center"/>
                    <w:rPr>
                      <w:color w:val="auto"/>
                      <w:szCs w:val="21"/>
                    </w:rPr>
                  </w:pPr>
                  <w:r>
                    <w:rPr>
                      <w:color w:val="auto"/>
                      <w:szCs w:val="21"/>
                    </w:rPr>
                    <w:t>0</w:t>
                  </w:r>
                </w:p>
              </w:tc>
              <w:tc>
                <w:tcPr>
                  <w:tcW w:w="203" w:type="pct"/>
                  <w:vAlign w:val="center"/>
                </w:tcPr>
                <w:p>
                  <w:pPr>
                    <w:widowControl/>
                    <w:adjustRightInd w:val="0"/>
                    <w:snapToGrid w:val="0"/>
                    <w:jc w:val="center"/>
                    <w:textAlignment w:val="center"/>
                    <w:rPr>
                      <w:color w:val="auto"/>
                      <w:szCs w:val="21"/>
                    </w:rPr>
                  </w:pPr>
                  <w:r>
                    <w:rPr>
                      <w:color w:val="auto"/>
                      <w:szCs w:val="21"/>
                    </w:rPr>
                    <w:t>东</w:t>
                  </w:r>
                </w:p>
              </w:tc>
              <w:tc>
                <w:tcPr>
                  <w:tcW w:w="303" w:type="pct"/>
                  <w:vAlign w:val="center"/>
                </w:tcPr>
                <w:p>
                  <w:pPr>
                    <w:widowControl/>
                    <w:jc w:val="center"/>
                    <w:textAlignment w:val="center"/>
                    <w:rPr>
                      <w:color w:val="auto"/>
                      <w:szCs w:val="21"/>
                    </w:rPr>
                  </w:pPr>
                  <w:r>
                    <w:rPr>
                      <w:color w:val="auto"/>
                      <w:szCs w:val="21"/>
                    </w:rPr>
                    <w:t>6</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50.4</w:t>
                  </w:r>
                </w:p>
              </w:tc>
              <w:tc>
                <w:tcPr>
                  <w:tcW w:w="239" w:type="pct"/>
                  <w:vMerge w:val="restart"/>
                  <w:vAlign w:val="center"/>
                </w:tcPr>
                <w:p>
                  <w:pPr>
                    <w:widowControl/>
                    <w:adjustRightInd w:val="0"/>
                    <w:snapToGrid w:val="0"/>
                    <w:jc w:val="center"/>
                    <w:textAlignment w:val="center"/>
                    <w:rPr>
                      <w:color w:val="auto"/>
                      <w:szCs w:val="21"/>
                    </w:rPr>
                  </w:pPr>
                  <w:r>
                    <w:rPr>
                      <w:rFonts w:hint="eastAsia"/>
                      <w:color w:val="auto"/>
                      <w:szCs w:val="21"/>
                    </w:rPr>
                    <w:t>昼夜</w:t>
                  </w:r>
                </w:p>
              </w:tc>
              <w:tc>
                <w:tcPr>
                  <w:tcW w:w="375" w:type="pct"/>
                  <w:vMerge w:val="restart"/>
                  <w:vAlign w:val="center"/>
                </w:tcPr>
                <w:p>
                  <w:pPr>
                    <w:widowControl/>
                    <w:adjustRightInd w:val="0"/>
                    <w:snapToGrid w:val="0"/>
                    <w:jc w:val="center"/>
                    <w:textAlignment w:val="center"/>
                    <w:rPr>
                      <w:color w:val="auto"/>
                      <w:szCs w:val="21"/>
                    </w:rPr>
                  </w:pPr>
                  <w:r>
                    <w:rPr>
                      <w:color w:val="auto"/>
                      <w:szCs w:val="21"/>
                    </w:rPr>
                    <w:t>15</w:t>
                  </w:r>
                </w:p>
              </w:tc>
              <w:tc>
                <w:tcPr>
                  <w:tcW w:w="920" w:type="dxa"/>
                  <w:vAlign w:val="center"/>
                </w:tcPr>
                <w:p>
                  <w:pPr>
                    <w:widowControl/>
                    <w:adjustRightInd w:val="0"/>
                    <w:snapToGrid w:val="0"/>
                    <w:jc w:val="center"/>
                    <w:textAlignment w:val="center"/>
                    <w:rPr>
                      <w:color w:val="auto"/>
                      <w:szCs w:val="21"/>
                    </w:rPr>
                  </w:pPr>
                  <w:r>
                    <w:rPr>
                      <w:rFonts w:hint="eastAsia"/>
                      <w:color w:val="auto"/>
                      <w:szCs w:val="21"/>
                    </w:rPr>
                    <w:t>35.4</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widowControl/>
                    <w:adjustRightInd w:val="0"/>
                    <w:snapToGrid w:val="0"/>
                    <w:jc w:val="center"/>
                    <w:rPr>
                      <w:color w:val="auto"/>
                      <w:szCs w:val="21"/>
                    </w:rPr>
                  </w:pPr>
                </w:p>
              </w:tc>
              <w:tc>
                <w:tcPr>
                  <w:tcW w:w="329" w:type="pct"/>
                  <w:vMerge w:val="continue"/>
                  <w:vAlign w:val="center"/>
                </w:tcPr>
                <w:p>
                  <w:pPr>
                    <w:widowControl/>
                    <w:adjustRightInd w:val="0"/>
                    <w:snapToGrid w:val="0"/>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widowControl/>
                    <w:jc w:val="center"/>
                    <w:textAlignment w:val="center"/>
                    <w:rPr>
                      <w:color w:val="auto"/>
                      <w:szCs w:val="21"/>
                    </w:rPr>
                  </w:pPr>
                </w:p>
              </w:tc>
              <w:tc>
                <w:tcPr>
                  <w:tcW w:w="263" w:type="pct"/>
                  <w:vMerge w:val="continue"/>
                  <w:vAlign w:val="center"/>
                </w:tcPr>
                <w:p>
                  <w:pPr>
                    <w:widowControl/>
                    <w:jc w:val="center"/>
                    <w:textAlignment w:val="center"/>
                    <w:rPr>
                      <w:color w:val="auto"/>
                      <w:szCs w:val="21"/>
                    </w:rPr>
                  </w:pPr>
                </w:p>
              </w:tc>
              <w:tc>
                <w:tcPr>
                  <w:tcW w:w="259" w:type="pct"/>
                  <w:vMerge w:val="continue"/>
                  <w:vAlign w:val="center"/>
                </w:tcPr>
                <w:p>
                  <w:pPr>
                    <w:widowControl/>
                    <w:jc w:val="center"/>
                    <w:textAlignment w:val="center"/>
                    <w:rPr>
                      <w:color w:val="auto"/>
                      <w:szCs w:val="21"/>
                    </w:rPr>
                  </w:pPr>
                </w:p>
              </w:tc>
              <w:tc>
                <w:tcPr>
                  <w:tcW w:w="203" w:type="pct"/>
                  <w:vAlign w:val="center"/>
                </w:tcPr>
                <w:p>
                  <w:pPr>
                    <w:widowControl/>
                    <w:adjustRightInd w:val="0"/>
                    <w:snapToGrid w:val="0"/>
                    <w:jc w:val="center"/>
                    <w:textAlignment w:val="center"/>
                    <w:rPr>
                      <w:color w:val="auto"/>
                      <w:szCs w:val="21"/>
                    </w:rPr>
                  </w:pPr>
                  <w:r>
                    <w:rPr>
                      <w:color w:val="auto"/>
                      <w:szCs w:val="21"/>
                    </w:rPr>
                    <w:t>南</w:t>
                  </w:r>
                </w:p>
              </w:tc>
              <w:tc>
                <w:tcPr>
                  <w:tcW w:w="303" w:type="pct"/>
                  <w:vAlign w:val="center"/>
                </w:tcPr>
                <w:p>
                  <w:pPr>
                    <w:widowControl/>
                    <w:jc w:val="center"/>
                    <w:textAlignment w:val="center"/>
                    <w:rPr>
                      <w:color w:val="auto"/>
                      <w:szCs w:val="21"/>
                    </w:rPr>
                  </w:pPr>
                  <w:r>
                    <w:rPr>
                      <w:color w:val="auto"/>
                      <w:szCs w:val="21"/>
                    </w:rPr>
                    <w:t>5</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52</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37</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widowControl/>
                    <w:adjustRightInd w:val="0"/>
                    <w:snapToGrid w:val="0"/>
                    <w:jc w:val="center"/>
                    <w:rPr>
                      <w:color w:val="auto"/>
                      <w:szCs w:val="21"/>
                    </w:rPr>
                  </w:pPr>
                </w:p>
              </w:tc>
              <w:tc>
                <w:tcPr>
                  <w:tcW w:w="329" w:type="pct"/>
                  <w:vMerge w:val="continue"/>
                  <w:vAlign w:val="center"/>
                </w:tcPr>
                <w:p>
                  <w:pPr>
                    <w:widowControl/>
                    <w:adjustRightInd w:val="0"/>
                    <w:snapToGrid w:val="0"/>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widowControl/>
                    <w:jc w:val="center"/>
                    <w:textAlignment w:val="center"/>
                    <w:rPr>
                      <w:color w:val="auto"/>
                      <w:szCs w:val="21"/>
                    </w:rPr>
                  </w:pPr>
                </w:p>
              </w:tc>
              <w:tc>
                <w:tcPr>
                  <w:tcW w:w="263" w:type="pct"/>
                  <w:vMerge w:val="continue"/>
                  <w:vAlign w:val="center"/>
                </w:tcPr>
                <w:p>
                  <w:pPr>
                    <w:widowControl/>
                    <w:jc w:val="center"/>
                    <w:textAlignment w:val="center"/>
                    <w:rPr>
                      <w:color w:val="auto"/>
                      <w:szCs w:val="21"/>
                    </w:rPr>
                  </w:pPr>
                </w:p>
              </w:tc>
              <w:tc>
                <w:tcPr>
                  <w:tcW w:w="259" w:type="pct"/>
                  <w:vMerge w:val="continue"/>
                  <w:vAlign w:val="center"/>
                </w:tcPr>
                <w:p>
                  <w:pPr>
                    <w:widowControl/>
                    <w:jc w:val="center"/>
                    <w:textAlignment w:val="center"/>
                    <w:rPr>
                      <w:color w:val="auto"/>
                      <w:szCs w:val="21"/>
                    </w:rPr>
                  </w:pPr>
                </w:p>
              </w:tc>
              <w:tc>
                <w:tcPr>
                  <w:tcW w:w="203" w:type="pct"/>
                  <w:vAlign w:val="center"/>
                </w:tcPr>
                <w:p>
                  <w:pPr>
                    <w:widowControl/>
                    <w:adjustRightInd w:val="0"/>
                    <w:snapToGrid w:val="0"/>
                    <w:jc w:val="center"/>
                    <w:textAlignment w:val="center"/>
                    <w:rPr>
                      <w:color w:val="auto"/>
                      <w:szCs w:val="21"/>
                    </w:rPr>
                  </w:pPr>
                  <w:r>
                    <w:rPr>
                      <w:color w:val="auto"/>
                      <w:szCs w:val="21"/>
                    </w:rPr>
                    <w:t>西</w:t>
                  </w:r>
                </w:p>
              </w:tc>
              <w:tc>
                <w:tcPr>
                  <w:tcW w:w="303" w:type="pct"/>
                  <w:vAlign w:val="center"/>
                </w:tcPr>
                <w:p>
                  <w:pPr>
                    <w:widowControl/>
                    <w:jc w:val="center"/>
                    <w:textAlignment w:val="center"/>
                    <w:rPr>
                      <w:color w:val="auto"/>
                      <w:szCs w:val="21"/>
                    </w:rPr>
                  </w:pPr>
                  <w:r>
                    <w:rPr>
                      <w:color w:val="auto"/>
                      <w:szCs w:val="21"/>
                    </w:rPr>
                    <w:t>15</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42.5</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27.5</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widowControl/>
                    <w:adjustRightInd w:val="0"/>
                    <w:snapToGrid w:val="0"/>
                    <w:jc w:val="center"/>
                    <w:rPr>
                      <w:color w:val="auto"/>
                      <w:szCs w:val="21"/>
                    </w:rPr>
                  </w:pPr>
                </w:p>
              </w:tc>
              <w:tc>
                <w:tcPr>
                  <w:tcW w:w="329" w:type="pct"/>
                  <w:vMerge w:val="continue"/>
                  <w:vAlign w:val="center"/>
                </w:tcPr>
                <w:p>
                  <w:pPr>
                    <w:widowControl/>
                    <w:adjustRightInd w:val="0"/>
                    <w:snapToGrid w:val="0"/>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widowControl/>
                    <w:jc w:val="center"/>
                    <w:textAlignment w:val="center"/>
                    <w:rPr>
                      <w:color w:val="auto"/>
                      <w:szCs w:val="21"/>
                    </w:rPr>
                  </w:pPr>
                </w:p>
              </w:tc>
              <w:tc>
                <w:tcPr>
                  <w:tcW w:w="263" w:type="pct"/>
                  <w:vMerge w:val="continue"/>
                  <w:vAlign w:val="center"/>
                </w:tcPr>
                <w:p>
                  <w:pPr>
                    <w:widowControl/>
                    <w:jc w:val="center"/>
                    <w:textAlignment w:val="center"/>
                    <w:rPr>
                      <w:color w:val="auto"/>
                      <w:szCs w:val="21"/>
                    </w:rPr>
                  </w:pPr>
                </w:p>
              </w:tc>
              <w:tc>
                <w:tcPr>
                  <w:tcW w:w="259" w:type="pct"/>
                  <w:vMerge w:val="continue"/>
                  <w:vAlign w:val="center"/>
                </w:tcPr>
                <w:p>
                  <w:pPr>
                    <w:widowControl/>
                    <w:jc w:val="center"/>
                    <w:textAlignment w:val="center"/>
                    <w:rPr>
                      <w:color w:val="auto"/>
                      <w:szCs w:val="21"/>
                    </w:rPr>
                  </w:pPr>
                </w:p>
              </w:tc>
              <w:tc>
                <w:tcPr>
                  <w:tcW w:w="203" w:type="pct"/>
                  <w:vAlign w:val="center"/>
                </w:tcPr>
                <w:p>
                  <w:pPr>
                    <w:widowControl/>
                    <w:adjustRightInd w:val="0"/>
                    <w:snapToGrid w:val="0"/>
                    <w:jc w:val="center"/>
                    <w:textAlignment w:val="center"/>
                    <w:rPr>
                      <w:color w:val="auto"/>
                      <w:szCs w:val="21"/>
                    </w:rPr>
                  </w:pPr>
                  <w:r>
                    <w:rPr>
                      <w:color w:val="auto"/>
                      <w:szCs w:val="21"/>
                    </w:rPr>
                    <w:t>北</w:t>
                  </w:r>
                </w:p>
              </w:tc>
              <w:tc>
                <w:tcPr>
                  <w:tcW w:w="303" w:type="pct"/>
                  <w:vAlign w:val="center"/>
                </w:tcPr>
                <w:p>
                  <w:pPr>
                    <w:widowControl/>
                    <w:jc w:val="center"/>
                    <w:textAlignment w:val="center"/>
                    <w:rPr>
                      <w:color w:val="auto"/>
                      <w:szCs w:val="21"/>
                    </w:rPr>
                  </w:pPr>
                  <w:r>
                    <w:rPr>
                      <w:color w:val="auto"/>
                      <w:szCs w:val="21"/>
                    </w:rPr>
                    <w:t>25</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38</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23</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rPr>
                      <w:color w:val="auto"/>
                      <w:szCs w:val="21"/>
                    </w:rPr>
                  </w:pPr>
                  <w:r>
                    <w:rPr>
                      <w:color w:val="auto"/>
                      <w:szCs w:val="21"/>
                    </w:rPr>
                    <w:t>13</w:t>
                  </w:r>
                </w:p>
              </w:tc>
              <w:tc>
                <w:tcPr>
                  <w:tcW w:w="263" w:type="pct"/>
                  <w:vMerge w:val="continue"/>
                  <w:vAlign w:val="center"/>
                </w:tcPr>
                <w:p>
                  <w:pPr>
                    <w:widowControl/>
                    <w:adjustRightInd w:val="0"/>
                    <w:snapToGrid w:val="0"/>
                    <w:jc w:val="center"/>
                    <w:rPr>
                      <w:color w:val="auto"/>
                      <w:szCs w:val="21"/>
                    </w:rPr>
                  </w:pPr>
                </w:p>
              </w:tc>
              <w:tc>
                <w:tcPr>
                  <w:tcW w:w="383" w:type="pct"/>
                  <w:vMerge w:val="restart"/>
                  <w:vAlign w:val="center"/>
                </w:tcPr>
                <w:p>
                  <w:pPr>
                    <w:widowControl/>
                    <w:adjustRightInd w:val="0"/>
                    <w:snapToGrid w:val="0"/>
                    <w:jc w:val="center"/>
                    <w:rPr>
                      <w:color w:val="auto"/>
                      <w:szCs w:val="21"/>
                    </w:rPr>
                  </w:pPr>
                  <w:r>
                    <w:rPr>
                      <w:snapToGrid w:val="0"/>
                      <w:color w:val="auto"/>
                      <w:kern w:val="0"/>
                      <w:szCs w:val="21"/>
                    </w:rPr>
                    <w:t>1#角磨机</w:t>
                  </w:r>
                </w:p>
              </w:tc>
              <w:tc>
                <w:tcPr>
                  <w:tcW w:w="329" w:type="pct"/>
                  <w:vMerge w:val="restart"/>
                  <w:vAlign w:val="center"/>
                </w:tcPr>
                <w:p>
                  <w:pPr>
                    <w:widowControl/>
                    <w:adjustRightInd w:val="0"/>
                    <w:snapToGrid w:val="0"/>
                    <w:jc w:val="center"/>
                    <w:rPr>
                      <w:color w:val="auto"/>
                      <w:szCs w:val="21"/>
                    </w:rPr>
                  </w:pPr>
                  <w:r>
                    <w:rPr>
                      <w:color w:val="auto"/>
                      <w:szCs w:val="21"/>
                    </w:rPr>
                    <w:t>/</w:t>
                  </w:r>
                </w:p>
              </w:tc>
              <w:tc>
                <w:tcPr>
                  <w:tcW w:w="325" w:type="pct"/>
                  <w:vMerge w:val="restart"/>
                  <w:vAlign w:val="center"/>
                </w:tcPr>
                <w:p>
                  <w:pPr>
                    <w:widowControl/>
                    <w:adjustRightInd w:val="0"/>
                    <w:snapToGrid w:val="0"/>
                    <w:jc w:val="center"/>
                    <w:rPr>
                      <w:color w:val="auto"/>
                      <w:szCs w:val="21"/>
                    </w:rPr>
                  </w:pPr>
                  <w:r>
                    <w:rPr>
                      <w:color w:val="auto"/>
                      <w:szCs w:val="21"/>
                    </w:rPr>
                    <w:t>85</w:t>
                  </w:r>
                </w:p>
              </w:tc>
              <w:tc>
                <w:tcPr>
                  <w:tcW w:w="340" w:type="pct"/>
                  <w:vMerge w:val="continue"/>
                  <w:vAlign w:val="center"/>
                </w:tcPr>
                <w:p>
                  <w:pPr>
                    <w:widowControl/>
                    <w:adjustRightInd w:val="0"/>
                    <w:snapToGrid w:val="0"/>
                    <w:jc w:val="center"/>
                    <w:rPr>
                      <w:color w:val="auto"/>
                      <w:szCs w:val="21"/>
                    </w:rPr>
                  </w:pPr>
                </w:p>
              </w:tc>
              <w:tc>
                <w:tcPr>
                  <w:tcW w:w="287" w:type="pct"/>
                  <w:vMerge w:val="restart"/>
                  <w:vAlign w:val="center"/>
                </w:tcPr>
                <w:p>
                  <w:pPr>
                    <w:widowControl/>
                    <w:jc w:val="center"/>
                    <w:textAlignment w:val="center"/>
                    <w:rPr>
                      <w:color w:val="auto"/>
                      <w:szCs w:val="21"/>
                    </w:rPr>
                  </w:pPr>
                  <w:r>
                    <w:rPr>
                      <w:color w:val="auto"/>
                      <w:szCs w:val="21"/>
                    </w:rPr>
                    <w:t>27</w:t>
                  </w:r>
                </w:p>
              </w:tc>
              <w:tc>
                <w:tcPr>
                  <w:tcW w:w="263" w:type="pct"/>
                  <w:vMerge w:val="restart"/>
                  <w:vAlign w:val="center"/>
                </w:tcPr>
                <w:p>
                  <w:pPr>
                    <w:widowControl/>
                    <w:jc w:val="center"/>
                    <w:textAlignment w:val="center"/>
                    <w:rPr>
                      <w:color w:val="auto"/>
                      <w:szCs w:val="21"/>
                    </w:rPr>
                  </w:pPr>
                  <w:r>
                    <w:rPr>
                      <w:color w:val="auto"/>
                      <w:szCs w:val="21"/>
                    </w:rPr>
                    <w:t>13</w:t>
                  </w:r>
                </w:p>
              </w:tc>
              <w:tc>
                <w:tcPr>
                  <w:tcW w:w="259" w:type="pct"/>
                  <w:vMerge w:val="restart"/>
                  <w:vAlign w:val="center"/>
                </w:tcPr>
                <w:p>
                  <w:pPr>
                    <w:widowControl/>
                    <w:jc w:val="center"/>
                    <w:textAlignment w:val="center"/>
                    <w:rPr>
                      <w:color w:val="auto"/>
                      <w:szCs w:val="21"/>
                    </w:rPr>
                  </w:pPr>
                  <w:r>
                    <w:rPr>
                      <w:color w:val="auto"/>
                      <w:szCs w:val="21"/>
                    </w:rPr>
                    <w:t>0</w:t>
                  </w:r>
                </w:p>
              </w:tc>
              <w:tc>
                <w:tcPr>
                  <w:tcW w:w="203" w:type="pct"/>
                  <w:vAlign w:val="center"/>
                </w:tcPr>
                <w:p>
                  <w:pPr>
                    <w:widowControl/>
                    <w:adjustRightInd w:val="0"/>
                    <w:snapToGrid w:val="0"/>
                    <w:jc w:val="center"/>
                    <w:textAlignment w:val="center"/>
                    <w:rPr>
                      <w:color w:val="auto"/>
                      <w:szCs w:val="21"/>
                    </w:rPr>
                  </w:pPr>
                  <w:r>
                    <w:rPr>
                      <w:color w:val="auto"/>
                      <w:szCs w:val="21"/>
                    </w:rPr>
                    <w:t>东</w:t>
                  </w:r>
                </w:p>
              </w:tc>
              <w:tc>
                <w:tcPr>
                  <w:tcW w:w="303" w:type="pct"/>
                  <w:vAlign w:val="center"/>
                </w:tcPr>
                <w:p>
                  <w:pPr>
                    <w:widowControl/>
                    <w:jc w:val="center"/>
                    <w:textAlignment w:val="center"/>
                    <w:rPr>
                      <w:color w:val="auto"/>
                      <w:szCs w:val="21"/>
                    </w:rPr>
                  </w:pPr>
                  <w:r>
                    <w:rPr>
                      <w:color w:val="auto"/>
                      <w:szCs w:val="21"/>
                    </w:rPr>
                    <w:t>3</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59.2</w:t>
                  </w:r>
                </w:p>
              </w:tc>
              <w:tc>
                <w:tcPr>
                  <w:tcW w:w="239" w:type="pct"/>
                  <w:vMerge w:val="restart"/>
                  <w:vAlign w:val="center"/>
                </w:tcPr>
                <w:p>
                  <w:pPr>
                    <w:widowControl/>
                    <w:adjustRightInd w:val="0"/>
                    <w:snapToGrid w:val="0"/>
                    <w:jc w:val="center"/>
                    <w:textAlignment w:val="center"/>
                    <w:rPr>
                      <w:color w:val="auto"/>
                      <w:szCs w:val="21"/>
                    </w:rPr>
                  </w:pPr>
                  <w:r>
                    <w:rPr>
                      <w:rFonts w:hint="eastAsia"/>
                      <w:color w:val="auto"/>
                      <w:szCs w:val="21"/>
                    </w:rPr>
                    <w:t>昼夜</w:t>
                  </w:r>
                </w:p>
              </w:tc>
              <w:tc>
                <w:tcPr>
                  <w:tcW w:w="375" w:type="pct"/>
                  <w:vMerge w:val="restart"/>
                  <w:vAlign w:val="center"/>
                </w:tcPr>
                <w:p>
                  <w:pPr>
                    <w:widowControl/>
                    <w:adjustRightInd w:val="0"/>
                    <w:snapToGrid w:val="0"/>
                    <w:jc w:val="center"/>
                    <w:textAlignment w:val="center"/>
                    <w:rPr>
                      <w:color w:val="auto"/>
                      <w:szCs w:val="21"/>
                    </w:rPr>
                  </w:pPr>
                  <w:r>
                    <w:rPr>
                      <w:color w:val="auto"/>
                      <w:szCs w:val="21"/>
                    </w:rPr>
                    <w:t>15</w:t>
                  </w:r>
                </w:p>
              </w:tc>
              <w:tc>
                <w:tcPr>
                  <w:tcW w:w="920" w:type="dxa"/>
                  <w:vAlign w:val="center"/>
                </w:tcPr>
                <w:p>
                  <w:pPr>
                    <w:widowControl/>
                    <w:adjustRightInd w:val="0"/>
                    <w:snapToGrid w:val="0"/>
                    <w:jc w:val="center"/>
                    <w:textAlignment w:val="center"/>
                    <w:rPr>
                      <w:color w:val="auto"/>
                      <w:szCs w:val="21"/>
                    </w:rPr>
                  </w:pPr>
                  <w:r>
                    <w:rPr>
                      <w:rFonts w:hint="eastAsia"/>
                      <w:color w:val="auto"/>
                      <w:szCs w:val="21"/>
                    </w:rPr>
                    <w:t>44.2</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widowControl/>
                    <w:adjustRightInd w:val="0"/>
                    <w:snapToGrid w:val="0"/>
                    <w:jc w:val="center"/>
                    <w:rPr>
                      <w:color w:val="auto"/>
                      <w:szCs w:val="21"/>
                    </w:rPr>
                  </w:pPr>
                </w:p>
              </w:tc>
              <w:tc>
                <w:tcPr>
                  <w:tcW w:w="329" w:type="pct"/>
                  <w:vMerge w:val="continue"/>
                  <w:vAlign w:val="center"/>
                </w:tcPr>
                <w:p>
                  <w:pPr>
                    <w:widowControl/>
                    <w:adjustRightInd w:val="0"/>
                    <w:snapToGrid w:val="0"/>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widowControl/>
                    <w:jc w:val="center"/>
                    <w:textAlignment w:val="center"/>
                    <w:rPr>
                      <w:color w:val="auto"/>
                      <w:szCs w:val="21"/>
                    </w:rPr>
                  </w:pPr>
                </w:p>
              </w:tc>
              <w:tc>
                <w:tcPr>
                  <w:tcW w:w="263" w:type="pct"/>
                  <w:vMerge w:val="continue"/>
                  <w:vAlign w:val="center"/>
                </w:tcPr>
                <w:p>
                  <w:pPr>
                    <w:widowControl/>
                    <w:jc w:val="center"/>
                    <w:textAlignment w:val="center"/>
                    <w:rPr>
                      <w:color w:val="auto"/>
                      <w:szCs w:val="21"/>
                    </w:rPr>
                  </w:pPr>
                </w:p>
              </w:tc>
              <w:tc>
                <w:tcPr>
                  <w:tcW w:w="259" w:type="pct"/>
                  <w:vMerge w:val="continue"/>
                  <w:vAlign w:val="center"/>
                </w:tcPr>
                <w:p>
                  <w:pPr>
                    <w:widowControl/>
                    <w:jc w:val="center"/>
                    <w:textAlignment w:val="center"/>
                    <w:rPr>
                      <w:color w:val="auto"/>
                      <w:szCs w:val="21"/>
                    </w:rPr>
                  </w:pPr>
                </w:p>
              </w:tc>
              <w:tc>
                <w:tcPr>
                  <w:tcW w:w="203" w:type="pct"/>
                  <w:vAlign w:val="center"/>
                </w:tcPr>
                <w:p>
                  <w:pPr>
                    <w:widowControl/>
                    <w:adjustRightInd w:val="0"/>
                    <w:snapToGrid w:val="0"/>
                    <w:jc w:val="center"/>
                    <w:textAlignment w:val="center"/>
                    <w:rPr>
                      <w:color w:val="auto"/>
                      <w:szCs w:val="21"/>
                    </w:rPr>
                  </w:pPr>
                  <w:r>
                    <w:rPr>
                      <w:color w:val="auto"/>
                      <w:szCs w:val="21"/>
                    </w:rPr>
                    <w:t>南</w:t>
                  </w:r>
                </w:p>
              </w:tc>
              <w:tc>
                <w:tcPr>
                  <w:tcW w:w="303" w:type="pct"/>
                  <w:vAlign w:val="center"/>
                </w:tcPr>
                <w:p>
                  <w:pPr>
                    <w:widowControl/>
                    <w:jc w:val="center"/>
                    <w:textAlignment w:val="center"/>
                    <w:rPr>
                      <w:color w:val="auto"/>
                      <w:szCs w:val="21"/>
                    </w:rPr>
                  </w:pPr>
                  <w:r>
                    <w:rPr>
                      <w:color w:val="auto"/>
                      <w:szCs w:val="21"/>
                    </w:rPr>
                    <w:t>12</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54.4</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39.4</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widowControl/>
                    <w:adjustRightInd w:val="0"/>
                    <w:snapToGrid w:val="0"/>
                    <w:jc w:val="center"/>
                    <w:rPr>
                      <w:color w:val="auto"/>
                      <w:szCs w:val="21"/>
                    </w:rPr>
                  </w:pPr>
                </w:p>
              </w:tc>
              <w:tc>
                <w:tcPr>
                  <w:tcW w:w="329" w:type="pct"/>
                  <w:vMerge w:val="continue"/>
                  <w:vAlign w:val="center"/>
                </w:tcPr>
                <w:p>
                  <w:pPr>
                    <w:widowControl/>
                    <w:adjustRightInd w:val="0"/>
                    <w:snapToGrid w:val="0"/>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widowControl/>
                    <w:jc w:val="center"/>
                    <w:textAlignment w:val="center"/>
                    <w:rPr>
                      <w:color w:val="auto"/>
                      <w:szCs w:val="21"/>
                    </w:rPr>
                  </w:pPr>
                </w:p>
              </w:tc>
              <w:tc>
                <w:tcPr>
                  <w:tcW w:w="263" w:type="pct"/>
                  <w:vMerge w:val="continue"/>
                  <w:vAlign w:val="center"/>
                </w:tcPr>
                <w:p>
                  <w:pPr>
                    <w:widowControl/>
                    <w:jc w:val="center"/>
                    <w:textAlignment w:val="center"/>
                    <w:rPr>
                      <w:color w:val="auto"/>
                      <w:szCs w:val="21"/>
                    </w:rPr>
                  </w:pPr>
                </w:p>
              </w:tc>
              <w:tc>
                <w:tcPr>
                  <w:tcW w:w="259" w:type="pct"/>
                  <w:vMerge w:val="continue"/>
                  <w:vAlign w:val="center"/>
                </w:tcPr>
                <w:p>
                  <w:pPr>
                    <w:widowControl/>
                    <w:jc w:val="center"/>
                    <w:textAlignment w:val="center"/>
                    <w:rPr>
                      <w:color w:val="auto"/>
                      <w:szCs w:val="21"/>
                    </w:rPr>
                  </w:pPr>
                </w:p>
              </w:tc>
              <w:tc>
                <w:tcPr>
                  <w:tcW w:w="203" w:type="pct"/>
                  <w:vAlign w:val="center"/>
                </w:tcPr>
                <w:p>
                  <w:pPr>
                    <w:widowControl/>
                    <w:adjustRightInd w:val="0"/>
                    <w:snapToGrid w:val="0"/>
                    <w:jc w:val="center"/>
                    <w:textAlignment w:val="center"/>
                    <w:rPr>
                      <w:color w:val="auto"/>
                      <w:szCs w:val="21"/>
                    </w:rPr>
                  </w:pPr>
                  <w:r>
                    <w:rPr>
                      <w:color w:val="auto"/>
                      <w:szCs w:val="21"/>
                    </w:rPr>
                    <w:t>西</w:t>
                  </w:r>
                </w:p>
              </w:tc>
              <w:tc>
                <w:tcPr>
                  <w:tcW w:w="303" w:type="pct"/>
                  <w:vAlign w:val="center"/>
                </w:tcPr>
                <w:p>
                  <w:pPr>
                    <w:widowControl/>
                    <w:jc w:val="center"/>
                    <w:textAlignment w:val="center"/>
                    <w:rPr>
                      <w:color w:val="auto"/>
                      <w:szCs w:val="21"/>
                    </w:rPr>
                  </w:pPr>
                  <w:r>
                    <w:rPr>
                      <w:color w:val="auto"/>
                      <w:szCs w:val="21"/>
                    </w:rPr>
                    <w:t>19</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50.4</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35.4</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widowControl/>
                    <w:adjustRightInd w:val="0"/>
                    <w:snapToGrid w:val="0"/>
                    <w:jc w:val="center"/>
                    <w:rPr>
                      <w:color w:val="auto"/>
                      <w:szCs w:val="21"/>
                    </w:rPr>
                  </w:pPr>
                </w:p>
              </w:tc>
              <w:tc>
                <w:tcPr>
                  <w:tcW w:w="329" w:type="pct"/>
                  <w:vMerge w:val="continue"/>
                  <w:vAlign w:val="center"/>
                </w:tcPr>
                <w:p>
                  <w:pPr>
                    <w:widowControl/>
                    <w:adjustRightInd w:val="0"/>
                    <w:snapToGrid w:val="0"/>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widowControl/>
                    <w:jc w:val="center"/>
                    <w:textAlignment w:val="center"/>
                    <w:rPr>
                      <w:color w:val="auto"/>
                      <w:szCs w:val="21"/>
                    </w:rPr>
                  </w:pPr>
                </w:p>
              </w:tc>
              <w:tc>
                <w:tcPr>
                  <w:tcW w:w="263" w:type="pct"/>
                  <w:vMerge w:val="continue"/>
                  <w:vAlign w:val="center"/>
                </w:tcPr>
                <w:p>
                  <w:pPr>
                    <w:widowControl/>
                    <w:jc w:val="center"/>
                    <w:textAlignment w:val="center"/>
                    <w:rPr>
                      <w:color w:val="auto"/>
                      <w:szCs w:val="21"/>
                    </w:rPr>
                  </w:pPr>
                </w:p>
              </w:tc>
              <w:tc>
                <w:tcPr>
                  <w:tcW w:w="259" w:type="pct"/>
                  <w:vMerge w:val="continue"/>
                  <w:vAlign w:val="center"/>
                </w:tcPr>
                <w:p>
                  <w:pPr>
                    <w:widowControl/>
                    <w:jc w:val="center"/>
                    <w:textAlignment w:val="center"/>
                    <w:rPr>
                      <w:color w:val="auto"/>
                      <w:szCs w:val="21"/>
                    </w:rPr>
                  </w:pPr>
                </w:p>
              </w:tc>
              <w:tc>
                <w:tcPr>
                  <w:tcW w:w="203" w:type="pct"/>
                  <w:vAlign w:val="center"/>
                </w:tcPr>
                <w:p>
                  <w:pPr>
                    <w:widowControl/>
                    <w:adjustRightInd w:val="0"/>
                    <w:snapToGrid w:val="0"/>
                    <w:jc w:val="center"/>
                    <w:textAlignment w:val="center"/>
                    <w:rPr>
                      <w:color w:val="auto"/>
                      <w:szCs w:val="21"/>
                    </w:rPr>
                  </w:pPr>
                  <w:r>
                    <w:rPr>
                      <w:color w:val="auto"/>
                      <w:szCs w:val="21"/>
                    </w:rPr>
                    <w:t>北</w:t>
                  </w:r>
                </w:p>
              </w:tc>
              <w:tc>
                <w:tcPr>
                  <w:tcW w:w="303" w:type="pct"/>
                  <w:vAlign w:val="center"/>
                </w:tcPr>
                <w:p>
                  <w:pPr>
                    <w:widowControl/>
                    <w:jc w:val="center"/>
                    <w:textAlignment w:val="center"/>
                    <w:rPr>
                      <w:color w:val="auto"/>
                      <w:szCs w:val="21"/>
                    </w:rPr>
                  </w:pPr>
                  <w:r>
                    <w:rPr>
                      <w:color w:val="auto"/>
                      <w:szCs w:val="21"/>
                    </w:rPr>
                    <w:t>28</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47.1</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32.1</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rPr>
                      <w:color w:val="auto"/>
                      <w:szCs w:val="21"/>
                    </w:rPr>
                  </w:pPr>
                  <w:r>
                    <w:rPr>
                      <w:color w:val="auto"/>
                      <w:szCs w:val="21"/>
                    </w:rPr>
                    <w:t>14</w:t>
                  </w:r>
                </w:p>
              </w:tc>
              <w:tc>
                <w:tcPr>
                  <w:tcW w:w="263" w:type="pct"/>
                  <w:vMerge w:val="continue"/>
                  <w:vAlign w:val="center"/>
                </w:tcPr>
                <w:p>
                  <w:pPr>
                    <w:widowControl/>
                    <w:adjustRightInd w:val="0"/>
                    <w:snapToGrid w:val="0"/>
                    <w:jc w:val="center"/>
                    <w:rPr>
                      <w:color w:val="auto"/>
                      <w:szCs w:val="21"/>
                    </w:rPr>
                  </w:pPr>
                </w:p>
              </w:tc>
              <w:tc>
                <w:tcPr>
                  <w:tcW w:w="383" w:type="pct"/>
                  <w:vMerge w:val="restart"/>
                  <w:vAlign w:val="center"/>
                </w:tcPr>
                <w:p>
                  <w:pPr>
                    <w:widowControl/>
                    <w:adjustRightInd w:val="0"/>
                    <w:snapToGrid w:val="0"/>
                    <w:jc w:val="center"/>
                    <w:rPr>
                      <w:color w:val="auto"/>
                      <w:szCs w:val="21"/>
                    </w:rPr>
                  </w:pPr>
                  <w:r>
                    <w:rPr>
                      <w:snapToGrid w:val="0"/>
                      <w:color w:val="auto"/>
                      <w:kern w:val="0"/>
                      <w:szCs w:val="21"/>
                    </w:rPr>
                    <w:t>2#角磨机</w:t>
                  </w:r>
                </w:p>
              </w:tc>
              <w:tc>
                <w:tcPr>
                  <w:tcW w:w="329" w:type="pct"/>
                  <w:vMerge w:val="restart"/>
                  <w:vAlign w:val="center"/>
                </w:tcPr>
                <w:p>
                  <w:pPr>
                    <w:widowControl/>
                    <w:adjustRightInd w:val="0"/>
                    <w:snapToGrid w:val="0"/>
                    <w:jc w:val="center"/>
                    <w:rPr>
                      <w:color w:val="auto"/>
                      <w:szCs w:val="21"/>
                    </w:rPr>
                  </w:pPr>
                  <w:r>
                    <w:rPr>
                      <w:color w:val="auto"/>
                      <w:szCs w:val="21"/>
                    </w:rPr>
                    <w:t>/</w:t>
                  </w:r>
                </w:p>
              </w:tc>
              <w:tc>
                <w:tcPr>
                  <w:tcW w:w="325" w:type="pct"/>
                  <w:vMerge w:val="restart"/>
                  <w:vAlign w:val="center"/>
                </w:tcPr>
                <w:p>
                  <w:pPr>
                    <w:widowControl/>
                    <w:adjustRightInd w:val="0"/>
                    <w:snapToGrid w:val="0"/>
                    <w:jc w:val="center"/>
                    <w:rPr>
                      <w:color w:val="auto"/>
                      <w:szCs w:val="21"/>
                    </w:rPr>
                  </w:pPr>
                  <w:r>
                    <w:rPr>
                      <w:color w:val="auto"/>
                      <w:szCs w:val="21"/>
                    </w:rPr>
                    <w:t>85</w:t>
                  </w:r>
                </w:p>
              </w:tc>
              <w:tc>
                <w:tcPr>
                  <w:tcW w:w="340" w:type="pct"/>
                  <w:vMerge w:val="continue"/>
                  <w:vAlign w:val="center"/>
                </w:tcPr>
                <w:p>
                  <w:pPr>
                    <w:widowControl/>
                    <w:adjustRightInd w:val="0"/>
                    <w:snapToGrid w:val="0"/>
                    <w:jc w:val="center"/>
                    <w:rPr>
                      <w:color w:val="auto"/>
                      <w:szCs w:val="21"/>
                    </w:rPr>
                  </w:pPr>
                </w:p>
              </w:tc>
              <w:tc>
                <w:tcPr>
                  <w:tcW w:w="287" w:type="pct"/>
                  <w:vMerge w:val="restart"/>
                  <w:vAlign w:val="center"/>
                </w:tcPr>
                <w:p>
                  <w:pPr>
                    <w:widowControl/>
                    <w:jc w:val="center"/>
                    <w:textAlignment w:val="center"/>
                    <w:rPr>
                      <w:color w:val="auto"/>
                      <w:szCs w:val="21"/>
                    </w:rPr>
                  </w:pPr>
                  <w:r>
                    <w:rPr>
                      <w:color w:val="auto"/>
                      <w:szCs w:val="21"/>
                    </w:rPr>
                    <w:t>25</w:t>
                  </w:r>
                </w:p>
              </w:tc>
              <w:tc>
                <w:tcPr>
                  <w:tcW w:w="263" w:type="pct"/>
                  <w:vMerge w:val="restart"/>
                  <w:vAlign w:val="center"/>
                </w:tcPr>
                <w:p>
                  <w:pPr>
                    <w:widowControl/>
                    <w:jc w:val="center"/>
                    <w:textAlignment w:val="center"/>
                    <w:rPr>
                      <w:color w:val="auto"/>
                      <w:szCs w:val="21"/>
                    </w:rPr>
                  </w:pPr>
                  <w:r>
                    <w:rPr>
                      <w:color w:val="auto"/>
                      <w:szCs w:val="21"/>
                    </w:rPr>
                    <w:t>13</w:t>
                  </w:r>
                </w:p>
              </w:tc>
              <w:tc>
                <w:tcPr>
                  <w:tcW w:w="259" w:type="pct"/>
                  <w:vMerge w:val="restart"/>
                  <w:vAlign w:val="center"/>
                </w:tcPr>
                <w:p>
                  <w:pPr>
                    <w:widowControl/>
                    <w:jc w:val="center"/>
                    <w:textAlignment w:val="center"/>
                    <w:rPr>
                      <w:color w:val="auto"/>
                      <w:szCs w:val="21"/>
                    </w:rPr>
                  </w:pPr>
                  <w:r>
                    <w:rPr>
                      <w:color w:val="auto"/>
                      <w:szCs w:val="21"/>
                    </w:rPr>
                    <w:t>0</w:t>
                  </w:r>
                </w:p>
              </w:tc>
              <w:tc>
                <w:tcPr>
                  <w:tcW w:w="203" w:type="pct"/>
                  <w:vAlign w:val="center"/>
                </w:tcPr>
                <w:p>
                  <w:pPr>
                    <w:widowControl/>
                    <w:adjustRightInd w:val="0"/>
                    <w:snapToGrid w:val="0"/>
                    <w:jc w:val="center"/>
                    <w:textAlignment w:val="center"/>
                    <w:rPr>
                      <w:color w:val="auto"/>
                      <w:szCs w:val="21"/>
                    </w:rPr>
                  </w:pPr>
                  <w:r>
                    <w:rPr>
                      <w:color w:val="auto"/>
                      <w:szCs w:val="21"/>
                    </w:rPr>
                    <w:t>东</w:t>
                  </w:r>
                </w:p>
              </w:tc>
              <w:tc>
                <w:tcPr>
                  <w:tcW w:w="303" w:type="pct"/>
                  <w:vAlign w:val="center"/>
                </w:tcPr>
                <w:p>
                  <w:pPr>
                    <w:widowControl/>
                    <w:jc w:val="center"/>
                    <w:textAlignment w:val="center"/>
                    <w:rPr>
                      <w:color w:val="auto"/>
                      <w:szCs w:val="21"/>
                    </w:rPr>
                  </w:pPr>
                  <w:r>
                    <w:rPr>
                      <w:color w:val="auto"/>
                      <w:szCs w:val="21"/>
                    </w:rPr>
                    <w:t>5</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62</w:t>
                  </w:r>
                </w:p>
              </w:tc>
              <w:tc>
                <w:tcPr>
                  <w:tcW w:w="239" w:type="pct"/>
                  <w:vMerge w:val="restart"/>
                  <w:vAlign w:val="center"/>
                </w:tcPr>
                <w:p>
                  <w:pPr>
                    <w:widowControl/>
                    <w:adjustRightInd w:val="0"/>
                    <w:snapToGrid w:val="0"/>
                    <w:jc w:val="center"/>
                    <w:textAlignment w:val="center"/>
                    <w:rPr>
                      <w:color w:val="auto"/>
                      <w:szCs w:val="21"/>
                    </w:rPr>
                  </w:pPr>
                  <w:r>
                    <w:rPr>
                      <w:rFonts w:hint="eastAsia"/>
                      <w:color w:val="auto"/>
                      <w:szCs w:val="21"/>
                    </w:rPr>
                    <w:t>昼夜</w:t>
                  </w:r>
                </w:p>
              </w:tc>
              <w:tc>
                <w:tcPr>
                  <w:tcW w:w="375" w:type="pct"/>
                  <w:vMerge w:val="restart"/>
                  <w:vAlign w:val="center"/>
                </w:tcPr>
                <w:p>
                  <w:pPr>
                    <w:widowControl/>
                    <w:adjustRightInd w:val="0"/>
                    <w:snapToGrid w:val="0"/>
                    <w:jc w:val="center"/>
                    <w:textAlignment w:val="center"/>
                    <w:rPr>
                      <w:color w:val="auto"/>
                      <w:szCs w:val="21"/>
                    </w:rPr>
                  </w:pPr>
                  <w:r>
                    <w:rPr>
                      <w:color w:val="auto"/>
                      <w:szCs w:val="21"/>
                    </w:rPr>
                    <w:t>15</w:t>
                  </w:r>
                </w:p>
              </w:tc>
              <w:tc>
                <w:tcPr>
                  <w:tcW w:w="920" w:type="dxa"/>
                  <w:vAlign w:val="center"/>
                </w:tcPr>
                <w:p>
                  <w:pPr>
                    <w:widowControl/>
                    <w:adjustRightInd w:val="0"/>
                    <w:snapToGrid w:val="0"/>
                    <w:jc w:val="center"/>
                    <w:textAlignment w:val="center"/>
                    <w:rPr>
                      <w:color w:val="auto"/>
                      <w:szCs w:val="21"/>
                    </w:rPr>
                  </w:pPr>
                  <w:r>
                    <w:rPr>
                      <w:rFonts w:hint="eastAsia"/>
                      <w:color w:val="auto"/>
                      <w:szCs w:val="21"/>
                    </w:rPr>
                    <w:t>47</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widowControl/>
                    <w:adjustRightInd w:val="0"/>
                    <w:snapToGrid w:val="0"/>
                    <w:jc w:val="center"/>
                    <w:rPr>
                      <w:color w:val="auto"/>
                      <w:szCs w:val="21"/>
                    </w:rPr>
                  </w:pPr>
                </w:p>
              </w:tc>
              <w:tc>
                <w:tcPr>
                  <w:tcW w:w="329" w:type="pct"/>
                  <w:vMerge w:val="continue"/>
                  <w:vAlign w:val="center"/>
                </w:tcPr>
                <w:p>
                  <w:pPr>
                    <w:widowControl/>
                    <w:adjustRightInd w:val="0"/>
                    <w:snapToGrid w:val="0"/>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widowControl/>
                    <w:jc w:val="center"/>
                    <w:textAlignment w:val="center"/>
                    <w:rPr>
                      <w:color w:val="auto"/>
                      <w:szCs w:val="21"/>
                    </w:rPr>
                  </w:pPr>
                </w:p>
              </w:tc>
              <w:tc>
                <w:tcPr>
                  <w:tcW w:w="263" w:type="pct"/>
                  <w:vMerge w:val="continue"/>
                  <w:vAlign w:val="center"/>
                </w:tcPr>
                <w:p>
                  <w:pPr>
                    <w:widowControl/>
                    <w:jc w:val="center"/>
                    <w:textAlignment w:val="center"/>
                    <w:rPr>
                      <w:color w:val="auto"/>
                      <w:szCs w:val="21"/>
                    </w:rPr>
                  </w:pPr>
                </w:p>
              </w:tc>
              <w:tc>
                <w:tcPr>
                  <w:tcW w:w="259" w:type="pct"/>
                  <w:vMerge w:val="continue"/>
                  <w:vAlign w:val="center"/>
                </w:tcPr>
                <w:p>
                  <w:pPr>
                    <w:widowControl/>
                    <w:jc w:val="center"/>
                    <w:textAlignment w:val="center"/>
                    <w:rPr>
                      <w:color w:val="auto"/>
                      <w:szCs w:val="21"/>
                    </w:rPr>
                  </w:pPr>
                </w:p>
              </w:tc>
              <w:tc>
                <w:tcPr>
                  <w:tcW w:w="203" w:type="pct"/>
                  <w:vAlign w:val="center"/>
                </w:tcPr>
                <w:p>
                  <w:pPr>
                    <w:widowControl/>
                    <w:adjustRightInd w:val="0"/>
                    <w:snapToGrid w:val="0"/>
                    <w:jc w:val="center"/>
                    <w:textAlignment w:val="center"/>
                    <w:rPr>
                      <w:color w:val="auto"/>
                      <w:szCs w:val="21"/>
                    </w:rPr>
                  </w:pPr>
                  <w:r>
                    <w:rPr>
                      <w:color w:val="auto"/>
                      <w:szCs w:val="21"/>
                    </w:rPr>
                    <w:t>南</w:t>
                  </w:r>
                </w:p>
              </w:tc>
              <w:tc>
                <w:tcPr>
                  <w:tcW w:w="303" w:type="pct"/>
                  <w:vAlign w:val="center"/>
                </w:tcPr>
                <w:p>
                  <w:pPr>
                    <w:widowControl/>
                    <w:jc w:val="center"/>
                    <w:textAlignment w:val="center"/>
                    <w:rPr>
                      <w:color w:val="auto"/>
                      <w:szCs w:val="21"/>
                    </w:rPr>
                  </w:pPr>
                  <w:r>
                    <w:rPr>
                      <w:color w:val="auto"/>
                      <w:szCs w:val="21"/>
                    </w:rPr>
                    <w:t>12</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54.4</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39.4</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widowControl/>
                    <w:adjustRightInd w:val="0"/>
                    <w:snapToGrid w:val="0"/>
                    <w:jc w:val="center"/>
                    <w:rPr>
                      <w:color w:val="auto"/>
                      <w:szCs w:val="21"/>
                    </w:rPr>
                  </w:pPr>
                </w:p>
              </w:tc>
              <w:tc>
                <w:tcPr>
                  <w:tcW w:w="329" w:type="pct"/>
                  <w:vMerge w:val="continue"/>
                  <w:vAlign w:val="center"/>
                </w:tcPr>
                <w:p>
                  <w:pPr>
                    <w:widowControl/>
                    <w:adjustRightInd w:val="0"/>
                    <w:snapToGrid w:val="0"/>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widowControl/>
                    <w:jc w:val="center"/>
                    <w:textAlignment w:val="center"/>
                    <w:rPr>
                      <w:color w:val="auto"/>
                      <w:szCs w:val="21"/>
                    </w:rPr>
                  </w:pPr>
                </w:p>
              </w:tc>
              <w:tc>
                <w:tcPr>
                  <w:tcW w:w="263" w:type="pct"/>
                  <w:vMerge w:val="continue"/>
                  <w:vAlign w:val="center"/>
                </w:tcPr>
                <w:p>
                  <w:pPr>
                    <w:widowControl/>
                    <w:jc w:val="center"/>
                    <w:textAlignment w:val="center"/>
                    <w:rPr>
                      <w:color w:val="auto"/>
                      <w:szCs w:val="21"/>
                    </w:rPr>
                  </w:pPr>
                </w:p>
              </w:tc>
              <w:tc>
                <w:tcPr>
                  <w:tcW w:w="259" w:type="pct"/>
                  <w:vMerge w:val="continue"/>
                  <w:vAlign w:val="center"/>
                </w:tcPr>
                <w:p>
                  <w:pPr>
                    <w:widowControl/>
                    <w:jc w:val="center"/>
                    <w:textAlignment w:val="center"/>
                    <w:rPr>
                      <w:color w:val="auto"/>
                      <w:szCs w:val="21"/>
                    </w:rPr>
                  </w:pPr>
                </w:p>
              </w:tc>
              <w:tc>
                <w:tcPr>
                  <w:tcW w:w="203" w:type="pct"/>
                  <w:vAlign w:val="center"/>
                </w:tcPr>
                <w:p>
                  <w:pPr>
                    <w:widowControl/>
                    <w:adjustRightInd w:val="0"/>
                    <w:snapToGrid w:val="0"/>
                    <w:jc w:val="center"/>
                    <w:textAlignment w:val="center"/>
                    <w:rPr>
                      <w:color w:val="auto"/>
                      <w:szCs w:val="21"/>
                    </w:rPr>
                  </w:pPr>
                  <w:r>
                    <w:rPr>
                      <w:color w:val="auto"/>
                      <w:szCs w:val="21"/>
                    </w:rPr>
                    <w:t>西</w:t>
                  </w:r>
                </w:p>
              </w:tc>
              <w:tc>
                <w:tcPr>
                  <w:tcW w:w="303" w:type="pct"/>
                  <w:vAlign w:val="center"/>
                </w:tcPr>
                <w:p>
                  <w:pPr>
                    <w:widowControl/>
                    <w:jc w:val="center"/>
                    <w:textAlignment w:val="center"/>
                    <w:rPr>
                      <w:color w:val="auto"/>
                      <w:szCs w:val="21"/>
                    </w:rPr>
                  </w:pPr>
                  <w:r>
                    <w:rPr>
                      <w:color w:val="auto"/>
                      <w:szCs w:val="21"/>
                    </w:rPr>
                    <w:t>17</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51.4</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36.4</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widowControl/>
                    <w:adjustRightInd w:val="0"/>
                    <w:snapToGrid w:val="0"/>
                    <w:jc w:val="center"/>
                    <w:rPr>
                      <w:color w:val="auto"/>
                      <w:szCs w:val="21"/>
                    </w:rPr>
                  </w:pPr>
                </w:p>
              </w:tc>
              <w:tc>
                <w:tcPr>
                  <w:tcW w:w="329" w:type="pct"/>
                  <w:vMerge w:val="continue"/>
                  <w:vAlign w:val="center"/>
                </w:tcPr>
                <w:p>
                  <w:pPr>
                    <w:widowControl/>
                    <w:adjustRightInd w:val="0"/>
                    <w:snapToGrid w:val="0"/>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widowControl/>
                    <w:jc w:val="center"/>
                    <w:textAlignment w:val="center"/>
                    <w:rPr>
                      <w:color w:val="auto"/>
                      <w:szCs w:val="21"/>
                    </w:rPr>
                  </w:pPr>
                </w:p>
              </w:tc>
              <w:tc>
                <w:tcPr>
                  <w:tcW w:w="263" w:type="pct"/>
                  <w:vMerge w:val="continue"/>
                  <w:vAlign w:val="center"/>
                </w:tcPr>
                <w:p>
                  <w:pPr>
                    <w:widowControl/>
                    <w:jc w:val="center"/>
                    <w:textAlignment w:val="center"/>
                    <w:rPr>
                      <w:color w:val="auto"/>
                      <w:szCs w:val="21"/>
                    </w:rPr>
                  </w:pPr>
                </w:p>
              </w:tc>
              <w:tc>
                <w:tcPr>
                  <w:tcW w:w="259" w:type="pct"/>
                  <w:vMerge w:val="continue"/>
                  <w:vAlign w:val="center"/>
                </w:tcPr>
                <w:p>
                  <w:pPr>
                    <w:widowControl/>
                    <w:jc w:val="center"/>
                    <w:textAlignment w:val="center"/>
                    <w:rPr>
                      <w:color w:val="auto"/>
                      <w:szCs w:val="21"/>
                    </w:rPr>
                  </w:pPr>
                </w:p>
              </w:tc>
              <w:tc>
                <w:tcPr>
                  <w:tcW w:w="203" w:type="pct"/>
                  <w:vAlign w:val="center"/>
                </w:tcPr>
                <w:p>
                  <w:pPr>
                    <w:widowControl/>
                    <w:adjustRightInd w:val="0"/>
                    <w:snapToGrid w:val="0"/>
                    <w:jc w:val="center"/>
                    <w:textAlignment w:val="center"/>
                    <w:rPr>
                      <w:color w:val="auto"/>
                      <w:szCs w:val="21"/>
                    </w:rPr>
                  </w:pPr>
                  <w:r>
                    <w:rPr>
                      <w:color w:val="auto"/>
                      <w:szCs w:val="21"/>
                    </w:rPr>
                    <w:t>北</w:t>
                  </w:r>
                </w:p>
              </w:tc>
              <w:tc>
                <w:tcPr>
                  <w:tcW w:w="303" w:type="pct"/>
                  <w:vAlign w:val="center"/>
                </w:tcPr>
                <w:p>
                  <w:pPr>
                    <w:widowControl/>
                    <w:jc w:val="center"/>
                    <w:textAlignment w:val="center"/>
                    <w:rPr>
                      <w:color w:val="auto"/>
                      <w:szCs w:val="21"/>
                    </w:rPr>
                  </w:pPr>
                  <w:r>
                    <w:rPr>
                      <w:color w:val="auto"/>
                      <w:szCs w:val="21"/>
                    </w:rPr>
                    <w:t>28</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47.1</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32.1</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rPr>
                      <w:color w:val="auto"/>
                      <w:szCs w:val="21"/>
                    </w:rPr>
                  </w:pPr>
                  <w:r>
                    <w:rPr>
                      <w:color w:val="auto"/>
                      <w:szCs w:val="21"/>
                    </w:rPr>
                    <w:t>15</w:t>
                  </w:r>
                </w:p>
              </w:tc>
              <w:tc>
                <w:tcPr>
                  <w:tcW w:w="263" w:type="pct"/>
                  <w:vMerge w:val="continue"/>
                  <w:vAlign w:val="center"/>
                </w:tcPr>
                <w:p>
                  <w:pPr>
                    <w:widowControl/>
                    <w:adjustRightInd w:val="0"/>
                    <w:snapToGrid w:val="0"/>
                    <w:jc w:val="center"/>
                    <w:rPr>
                      <w:color w:val="auto"/>
                      <w:szCs w:val="21"/>
                    </w:rPr>
                  </w:pPr>
                </w:p>
              </w:tc>
              <w:tc>
                <w:tcPr>
                  <w:tcW w:w="383" w:type="pct"/>
                  <w:vMerge w:val="restart"/>
                  <w:vAlign w:val="center"/>
                </w:tcPr>
                <w:p>
                  <w:pPr>
                    <w:widowControl/>
                    <w:adjustRightInd w:val="0"/>
                    <w:snapToGrid w:val="0"/>
                    <w:jc w:val="center"/>
                    <w:rPr>
                      <w:color w:val="auto"/>
                      <w:szCs w:val="21"/>
                    </w:rPr>
                  </w:pPr>
                  <w:r>
                    <w:rPr>
                      <w:snapToGrid w:val="0"/>
                      <w:color w:val="auto"/>
                      <w:kern w:val="0"/>
                      <w:szCs w:val="21"/>
                    </w:rPr>
                    <w:t>3#角磨机</w:t>
                  </w:r>
                </w:p>
              </w:tc>
              <w:tc>
                <w:tcPr>
                  <w:tcW w:w="329" w:type="pct"/>
                  <w:vMerge w:val="restart"/>
                  <w:vAlign w:val="center"/>
                </w:tcPr>
                <w:p>
                  <w:pPr>
                    <w:widowControl/>
                    <w:adjustRightInd w:val="0"/>
                    <w:snapToGrid w:val="0"/>
                    <w:jc w:val="center"/>
                    <w:rPr>
                      <w:color w:val="auto"/>
                      <w:szCs w:val="21"/>
                    </w:rPr>
                  </w:pPr>
                  <w:r>
                    <w:rPr>
                      <w:color w:val="auto"/>
                      <w:szCs w:val="21"/>
                    </w:rPr>
                    <w:t>/</w:t>
                  </w:r>
                </w:p>
              </w:tc>
              <w:tc>
                <w:tcPr>
                  <w:tcW w:w="325" w:type="pct"/>
                  <w:vMerge w:val="restart"/>
                  <w:vAlign w:val="center"/>
                </w:tcPr>
                <w:p>
                  <w:pPr>
                    <w:widowControl/>
                    <w:adjustRightInd w:val="0"/>
                    <w:snapToGrid w:val="0"/>
                    <w:jc w:val="center"/>
                    <w:rPr>
                      <w:color w:val="auto"/>
                      <w:szCs w:val="21"/>
                    </w:rPr>
                  </w:pPr>
                  <w:r>
                    <w:rPr>
                      <w:color w:val="auto"/>
                      <w:szCs w:val="21"/>
                    </w:rPr>
                    <w:t>85</w:t>
                  </w:r>
                </w:p>
              </w:tc>
              <w:tc>
                <w:tcPr>
                  <w:tcW w:w="340" w:type="pct"/>
                  <w:vMerge w:val="continue"/>
                  <w:vAlign w:val="center"/>
                </w:tcPr>
                <w:p>
                  <w:pPr>
                    <w:widowControl/>
                    <w:adjustRightInd w:val="0"/>
                    <w:snapToGrid w:val="0"/>
                    <w:jc w:val="center"/>
                    <w:rPr>
                      <w:color w:val="auto"/>
                      <w:szCs w:val="21"/>
                    </w:rPr>
                  </w:pPr>
                </w:p>
              </w:tc>
              <w:tc>
                <w:tcPr>
                  <w:tcW w:w="287" w:type="pct"/>
                  <w:vMerge w:val="restart"/>
                  <w:vAlign w:val="center"/>
                </w:tcPr>
                <w:p>
                  <w:pPr>
                    <w:widowControl/>
                    <w:jc w:val="center"/>
                    <w:textAlignment w:val="center"/>
                    <w:rPr>
                      <w:color w:val="auto"/>
                      <w:szCs w:val="21"/>
                    </w:rPr>
                  </w:pPr>
                  <w:r>
                    <w:rPr>
                      <w:color w:val="auto"/>
                      <w:szCs w:val="21"/>
                    </w:rPr>
                    <w:t>23</w:t>
                  </w:r>
                </w:p>
              </w:tc>
              <w:tc>
                <w:tcPr>
                  <w:tcW w:w="263" w:type="pct"/>
                  <w:vMerge w:val="restart"/>
                  <w:vAlign w:val="center"/>
                </w:tcPr>
                <w:p>
                  <w:pPr>
                    <w:widowControl/>
                    <w:jc w:val="center"/>
                    <w:textAlignment w:val="center"/>
                    <w:rPr>
                      <w:color w:val="auto"/>
                      <w:szCs w:val="21"/>
                    </w:rPr>
                  </w:pPr>
                  <w:r>
                    <w:rPr>
                      <w:color w:val="auto"/>
                      <w:szCs w:val="21"/>
                    </w:rPr>
                    <w:t>13</w:t>
                  </w:r>
                </w:p>
              </w:tc>
              <w:tc>
                <w:tcPr>
                  <w:tcW w:w="259" w:type="pct"/>
                  <w:vMerge w:val="restart"/>
                  <w:vAlign w:val="center"/>
                </w:tcPr>
                <w:p>
                  <w:pPr>
                    <w:widowControl/>
                    <w:jc w:val="center"/>
                    <w:textAlignment w:val="center"/>
                    <w:rPr>
                      <w:color w:val="auto"/>
                      <w:szCs w:val="21"/>
                    </w:rPr>
                  </w:pPr>
                  <w:r>
                    <w:rPr>
                      <w:color w:val="auto"/>
                      <w:szCs w:val="21"/>
                    </w:rPr>
                    <w:t>0</w:t>
                  </w:r>
                </w:p>
              </w:tc>
              <w:tc>
                <w:tcPr>
                  <w:tcW w:w="203" w:type="pct"/>
                  <w:vAlign w:val="center"/>
                </w:tcPr>
                <w:p>
                  <w:pPr>
                    <w:widowControl/>
                    <w:adjustRightInd w:val="0"/>
                    <w:snapToGrid w:val="0"/>
                    <w:jc w:val="center"/>
                    <w:textAlignment w:val="center"/>
                    <w:rPr>
                      <w:color w:val="auto"/>
                      <w:szCs w:val="21"/>
                    </w:rPr>
                  </w:pPr>
                  <w:r>
                    <w:rPr>
                      <w:color w:val="auto"/>
                      <w:szCs w:val="21"/>
                    </w:rPr>
                    <w:t>东</w:t>
                  </w:r>
                </w:p>
              </w:tc>
              <w:tc>
                <w:tcPr>
                  <w:tcW w:w="303" w:type="pct"/>
                  <w:vAlign w:val="center"/>
                </w:tcPr>
                <w:p>
                  <w:pPr>
                    <w:widowControl/>
                    <w:jc w:val="center"/>
                    <w:textAlignment w:val="center"/>
                    <w:rPr>
                      <w:color w:val="auto"/>
                      <w:szCs w:val="21"/>
                    </w:rPr>
                  </w:pPr>
                  <w:r>
                    <w:rPr>
                      <w:color w:val="auto"/>
                      <w:szCs w:val="21"/>
                    </w:rPr>
                    <w:t>7</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59.1</w:t>
                  </w:r>
                </w:p>
              </w:tc>
              <w:tc>
                <w:tcPr>
                  <w:tcW w:w="239" w:type="pct"/>
                  <w:vMerge w:val="restart"/>
                  <w:vAlign w:val="center"/>
                </w:tcPr>
                <w:p>
                  <w:pPr>
                    <w:widowControl/>
                    <w:adjustRightInd w:val="0"/>
                    <w:snapToGrid w:val="0"/>
                    <w:jc w:val="center"/>
                    <w:textAlignment w:val="center"/>
                    <w:rPr>
                      <w:color w:val="auto"/>
                      <w:szCs w:val="21"/>
                    </w:rPr>
                  </w:pPr>
                  <w:r>
                    <w:rPr>
                      <w:rFonts w:hint="eastAsia"/>
                      <w:color w:val="auto"/>
                      <w:szCs w:val="21"/>
                    </w:rPr>
                    <w:t>昼夜</w:t>
                  </w:r>
                </w:p>
              </w:tc>
              <w:tc>
                <w:tcPr>
                  <w:tcW w:w="375" w:type="pct"/>
                  <w:vMerge w:val="restart"/>
                  <w:vAlign w:val="center"/>
                </w:tcPr>
                <w:p>
                  <w:pPr>
                    <w:widowControl/>
                    <w:adjustRightInd w:val="0"/>
                    <w:snapToGrid w:val="0"/>
                    <w:jc w:val="center"/>
                    <w:textAlignment w:val="center"/>
                    <w:rPr>
                      <w:color w:val="auto"/>
                      <w:szCs w:val="21"/>
                    </w:rPr>
                  </w:pPr>
                  <w:r>
                    <w:rPr>
                      <w:color w:val="auto"/>
                      <w:szCs w:val="21"/>
                    </w:rPr>
                    <w:t>15</w:t>
                  </w:r>
                </w:p>
              </w:tc>
              <w:tc>
                <w:tcPr>
                  <w:tcW w:w="920" w:type="dxa"/>
                  <w:vAlign w:val="center"/>
                </w:tcPr>
                <w:p>
                  <w:pPr>
                    <w:widowControl/>
                    <w:adjustRightInd w:val="0"/>
                    <w:snapToGrid w:val="0"/>
                    <w:jc w:val="center"/>
                    <w:textAlignment w:val="center"/>
                    <w:rPr>
                      <w:color w:val="auto"/>
                      <w:szCs w:val="21"/>
                    </w:rPr>
                  </w:pPr>
                  <w:r>
                    <w:rPr>
                      <w:rFonts w:hint="eastAsia"/>
                      <w:color w:val="auto"/>
                      <w:szCs w:val="21"/>
                    </w:rPr>
                    <w:t>44.1</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widowControl/>
                    <w:adjustRightInd w:val="0"/>
                    <w:snapToGrid w:val="0"/>
                    <w:jc w:val="center"/>
                    <w:rPr>
                      <w:color w:val="auto"/>
                      <w:szCs w:val="21"/>
                    </w:rPr>
                  </w:pPr>
                </w:p>
              </w:tc>
              <w:tc>
                <w:tcPr>
                  <w:tcW w:w="329" w:type="pct"/>
                  <w:vMerge w:val="continue"/>
                  <w:vAlign w:val="center"/>
                </w:tcPr>
                <w:p>
                  <w:pPr>
                    <w:widowControl/>
                    <w:adjustRightInd w:val="0"/>
                    <w:snapToGrid w:val="0"/>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widowControl/>
                    <w:jc w:val="center"/>
                    <w:textAlignment w:val="center"/>
                    <w:rPr>
                      <w:color w:val="auto"/>
                      <w:szCs w:val="21"/>
                    </w:rPr>
                  </w:pPr>
                </w:p>
              </w:tc>
              <w:tc>
                <w:tcPr>
                  <w:tcW w:w="263" w:type="pct"/>
                  <w:vMerge w:val="continue"/>
                  <w:vAlign w:val="center"/>
                </w:tcPr>
                <w:p>
                  <w:pPr>
                    <w:widowControl/>
                    <w:jc w:val="center"/>
                    <w:textAlignment w:val="center"/>
                    <w:rPr>
                      <w:color w:val="auto"/>
                      <w:szCs w:val="21"/>
                    </w:rPr>
                  </w:pPr>
                </w:p>
              </w:tc>
              <w:tc>
                <w:tcPr>
                  <w:tcW w:w="259" w:type="pct"/>
                  <w:vMerge w:val="continue"/>
                  <w:vAlign w:val="center"/>
                </w:tcPr>
                <w:p>
                  <w:pPr>
                    <w:widowControl/>
                    <w:jc w:val="center"/>
                    <w:textAlignment w:val="center"/>
                    <w:rPr>
                      <w:color w:val="auto"/>
                      <w:szCs w:val="21"/>
                    </w:rPr>
                  </w:pPr>
                </w:p>
              </w:tc>
              <w:tc>
                <w:tcPr>
                  <w:tcW w:w="203" w:type="pct"/>
                  <w:vAlign w:val="center"/>
                </w:tcPr>
                <w:p>
                  <w:pPr>
                    <w:widowControl/>
                    <w:adjustRightInd w:val="0"/>
                    <w:snapToGrid w:val="0"/>
                    <w:jc w:val="center"/>
                    <w:textAlignment w:val="center"/>
                    <w:rPr>
                      <w:color w:val="auto"/>
                      <w:szCs w:val="21"/>
                    </w:rPr>
                  </w:pPr>
                  <w:r>
                    <w:rPr>
                      <w:color w:val="auto"/>
                      <w:szCs w:val="21"/>
                    </w:rPr>
                    <w:t>南</w:t>
                  </w:r>
                </w:p>
              </w:tc>
              <w:tc>
                <w:tcPr>
                  <w:tcW w:w="303" w:type="pct"/>
                  <w:vAlign w:val="center"/>
                </w:tcPr>
                <w:p>
                  <w:pPr>
                    <w:widowControl/>
                    <w:jc w:val="center"/>
                    <w:textAlignment w:val="center"/>
                    <w:rPr>
                      <w:color w:val="auto"/>
                      <w:szCs w:val="21"/>
                    </w:rPr>
                  </w:pPr>
                  <w:r>
                    <w:rPr>
                      <w:color w:val="auto"/>
                      <w:szCs w:val="21"/>
                    </w:rPr>
                    <w:t>12</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54.4</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39.4</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widowControl/>
                    <w:adjustRightInd w:val="0"/>
                    <w:snapToGrid w:val="0"/>
                    <w:jc w:val="center"/>
                    <w:rPr>
                      <w:color w:val="auto"/>
                      <w:szCs w:val="21"/>
                    </w:rPr>
                  </w:pPr>
                </w:p>
              </w:tc>
              <w:tc>
                <w:tcPr>
                  <w:tcW w:w="329" w:type="pct"/>
                  <w:vMerge w:val="continue"/>
                  <w:vAlign w:val="center"/>
                </w:tcPr>
                <w:p>
                  <w:pPr>
                    <w:widowControl/>
                    <w:adjustRightInd w:val="0"/>
                    <w:snapToGrid w:val="0"/>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widowControl/>
                    <w:jc w:val="center"/>
                    <w:textAlignment w:val="center"/>
                    <w:rPr>
                      <w:color w:val="auto"/>
                      <w:szCs w:val="21"/>
                    </w:rPr>
                  </w:pPr>
                </w:p>
              </w:tc>
              <w:tc>
                <w:tcPr>
                  <w:tcW w:w="263" w:type="pct"/>
                  <w:vMerge w:val="continue"/>
                  <w:vAlign w:val="center"/>
                </w:tcPr>
                <w:p>
                  <w:pPr>
                    <w:widowControl/>
                    <w:jc w:val="center"/>
                    <w:textAlignment w:val="center"/>
                    <w:rPr>
                      <w:color w:val="auto"/>
                      <w:szCs w:val="21"/>
                    </w:rPr>
                  </w:pPr>
                </w:p>
              </w:tc>
              <w:tc>
                <w:tcPr>
                  <w:tcW w:w="259" w:type="pct"/>
                  <w:vMerge w:val="continue"/>
                  <w:vAlign w:val="center"/>
                </w:tcPr>
                <w:p>
                  <w:pPr>
                    <w:widowControl/>
                    <w:jc w:val="center"/>
                    <w:textAlignment w:val="center"/>
                    <w:rPr>
                      <w:color w:val="auto"/>
                      <w:szCs w:val="21"/>
                    </w:rPr>
                  </w:pPr>
                </w:p>
              </w:tc>
              <w:tc>
                <w:tcPr>
                  <w:tcW w:w="203" w:type="pct"/>
                  <w:vAlign w:val="center"/>
                </w:tcPr>
                <w:p>
                  <w:pPr>
                    <w:widowControl/>
                    <w:adjustRightInd w:val="0"/>
                    <w:snapToGrid w:val="0"/>
                    <w:jc w:val="center"/>
                    <w:textAlignment w:val="center"/>
                    <w:rPr>
                      <w:color w:val="auto"/>
                      <w:szCs w:val="21"/>
                    </w:rPr>
                  </w:pPr>
                  <w:r>
                    <w:rPr>
                      <w:color w:val="auto"/>
                      <w:szCs w:val="21"/>
                    </w:rPr>
                    <w:t>西</w:t>
                  </w:r>
                </w:p>
              </w:tc>
              <w:tc>
                <w:tcPr>
                  <w:tcW w:w="303" w:type="pct"/>
                  <w:vAlign w:val="center"/>
                </w:tcPr>
                <w:p>
                  <w:pPr>
                    <w:widowControl/>
                    <w:jc w:val="center"/>
                    <w:textAlignment w:val="center"/>
                    <w:rPr>
                      <w:color w:val="auto"/>
                      <w:szCs w:val="21"/>
                    </w:rPr>
                  </w:pPr>
                  <w:r>
                    <w:rPr>
                      <w:color w:val="auto"/>
                      <w:szCs w:val="21"/>
                    </w:rPr>
                    <w:t>15</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52.5</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37.5</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widowControl/>
                    <w:adjustRightInd w:val="0"/>
                    <w:snapToGrid w:val="0"/>
                    <w:jc w:val="center"/>
                    <w:rPr>
                      <w:color w:val="auto"/>
                      <w:szCs w:val="21"/>
                    </w:rPr>
                  </w:pPr>
                </w:p>
              </w:tc>
              <w:tc>
                <w:tcPr>
                  <w:tcW w:w="329" w:type="pct"/>
                  <w:vMerge w:val="continue"/>
                  <w:vAlign w:val="center"/>
                </w:tcPr>
                <w:p>
                  <w:pPr>
                    <w:widowControl/>
                    <w:adjustRightInd w:val="0"/>
                    <w:snapToGrid w:val="0"/>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widowControl/>
                    <w:jc w:val="center"/>
                    <w:textAlignment w:val="center"/>
                    <w:rPr>
                      <w:color w:val="auto"/>
                      <w:szCs w:val="21"/>
                    </w:rPr>
                  </w:pPr>
                </w:p>
              </w:tc>
              <w:tc>
                <w:tcPr>
                  <w:tcW w:w="263" w:type="pct"/>
                  <w:vMerge w:val="continue"/>
                  <w:vAlign w:val="center"/>
                </w:tcPr>
                <w:p>
                  <w:pPr>
                    <w:widowControl/>
                    <w:jc w:val="center"/>
                    <w:textAlignment w:val="center"/>
                    <w:rPr>
                      <w:color w:val="auto"/>
                      <w:szCs w:val="21"/>
                    </w:rPr>
                  </w:pPr>
                </w:p>
              </w:tc>
              <w:tc>
                <w:tcPr>
                  <w:tcW w:w="259" w:type="pct"/>
                  <w:vMerge w:val="continue"/>
                  <w:vAlign w:val="center"/>
                </w:tcPr>
                <w:p>
                  <w:pPr>
                    <w:widowControl/>
                    <w:jc w:val="center"/>
                    <w:textAlignment w:val="center"/>
                    <w:rPr>
                      <w:color w:val="auto"/>
                      <w:szCs w:val="21"/>
                    </w:rPr>
                  </w:pPr>
                </w:p>
              </w:tc>
              <w:tc>
                <w:tcPr>
                  <w:tcW w:w="203" w:type="pct"/>
                  <w:vAlign w:val="center"/>
                </w:tcPr>
                <w:p>
                  <w:pPr>
                    <w:widowControl/>
                    <w:adjustRightInd w:val="0"/>
                    <w:snapToGrid w:val="0"/>
                    <w:jc w:val="center"/>
                    <w:textAlignment w:val="center"/>
                    <w:rPr>
                      <w:color w:val="auto"/>
                      <w:szCs w:val="21"/>
                    </w:rPr>
                  </w:pPr>
                  <w:r>
                    <w:rPr>
                      <w:color w:val="auto"/>
                      <w:szCs w:val="21"/>
                    </w:rPr>
                    <w:t>北</w:t>
                  </w:r>
                </w:p>
              </w:tc>
              <w:tc>
                <w:tcPr>
                  <w:tcW w:w="303" w:type="pct"/>
                  <w:vAlign w:val="center"/>
                </w:tcPr>
                <w:p>
                  <w:pPr>
                    <w:widowControl/>
                    <w:jc w:val="center"/>
                    <w:textAlignment w:val="center"/>
                    <w:rPr>
                      <w:color w:val="auto"/>
                      <w:szCs w:val="21"/>
                    </w:rPr>
                  </w:pPr>
                  <w:r>
                    <w:rPr>
                      <w:color w:val="auto"/>
                      <w:szCs w:val="21"/>
                    </w:rPr>
                    <w:t>28</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47.1</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32.1</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rPr>
                      <w:color w:val="auto"/>
                      <w:szCs w:val="21"/>
                    </w:rPr>
                  </w:pPr>
                  <w:r>
                    <w:rPr>
                      <w:color w:val="auto"/>
                      <w:szCs w:val="21"/>
                    </w:rPr>
                    <w:t>16</w:t>
                  </w:r>
                </w:p>
              </w:tc>
              <w:tc>
                <w:tcPr>
                  <w:tcW w:w="263" w:type="pct"/>
                  <w:vMerge w:val="continue"/>
                  <w:vAlign w:val="center"/>
                </w:tcPr>
                <w:p>
                  <w:pPr>
                    <w:widowControl/>
                    <w:adjustRightInd w:val="0"/>
                    <w:snapToGrid w:val="0"/>
                    <w:jc w:val="center"/>
                    <w:rPr>
                      <w:color w:val="auto"/>
                      <w:szCs w:val="21"/>
                    </w:rPr>
                  </w:pPr>
                </w:p>
              </w:tc>
              <w:tc>
                <w:tcPr>
                  <w:tcW w:w="383" w:type="pct"/>
                  <w:vMerge w:val="restart"/>
                  <w:vAlign w:val="center"/>
                </w:tcPr>
                <w:p>
                  <w:pPr>
                    <w:widowControl/>
                    <w:adjustRightInd w:val="0"/>
                    <w:snapToGrid w:val="0"/>
                    <w:jc w:val="center"/>
                    <w:rPr>
                      <w:color w:val="auto"/>
                      <w:szCs w:val="21"/>
                    </w:rPr>
                  </w:pPr>
                  <w:r>
                    <w:rPr>
                      <w:snapToGrid w:val="0"/>
                      <w:color w:val="auto"/>
                      <w:kern w:val="0"/>
                      <w:szCs w:val="21"/>
                    </w:rPr>
                    <w:t>4#角磨机</w:t>
                  </w:r>
                </w:p>
              </w:tc>
              <w:tc>
                <w:tcPr>
                  <w:tcW w:w="329" w:type="pct"/>
                  <w:vMerge w:val="restart"/>
                  <w:vAlign w:val="center"/>
                </w:tcPr>
                <w:p>
                  <w:pPr>
                    <w:widowControl/>
                    <w:adjustRightInd w:val="0"/>
                    <w:snapToGrid w:val="0"/>
                    <w:jc w:val="center"/>
                    <w:rPr>
                      <w:color w:val="auto"/>
                      <w:szCs w:val="21"/>
                    </w:rPr>
                  </w:pPr>
                  <w:r>
                    <w:rPr>
                      <w:color w:val="auto"/>
                      <w:szCs w:val="21"/>
                    </w:rPr>
                    <w:t>/</w:t>
                  </w:r>
                </w:p>
              </w:tc>
              <w:tc>
                <w:tcPr>
                  <w:tcW w:w="325" w:type="pct"/>
                  <w:vMerge w:val="restart"/>
                  <w:vAlign w:val="center"/>
                </w:tcPr>
                <w:p>
                  <w:pPr>
                    <w:widowControl/>
                    <w:adjustRightInd w:val="0"/>
                    <w:snapToGrid w:val="0"/>
                    <w:jc w:val="center"/>
                    <w:rPr>
                      <w:color w:val="auto"/>
                      <w:szCs w:val="21"/>
                    </w:rPr>
                  </w:pPr>
                  <w:r>
                    <w:rPr>
                      <w:color w:val="auto"/>
                      <w:szCs w:val="21"/>
                    </w:rPr>
                    <w:t>85</w:t>
                  </w:r>
                </w:p>
              </w:tc>
              <w:tc>
                <w:tcPr>
                  <w:tcW w:w="340" w:type="pct"/>
                  <w:vMerge w:val="continue"/>
                  <w:vAlign w:val="center"/>
                </w:tcPr>
                <w:p>
                  <w:pPr>
                    <w:widowControl/>
                    <w:adjustRightInd w:val="0"/>
                    <w:snapToGrid w:val="0"/>
                    <w:jc w:val="center"/>
                    <w:rPr>
                      <w:color w:val="auto"/>
                      <w:szCs w:val="21"/>
                    </w:rPr>
                  </w:pPr>
                </w:p>
              </w:tc>
              <w:tc>
                <w:tcPr>
                  <w:tcW w:w="287" w:type="pct"/>
                  <w:vMerge w:val="restart"/>
                  <w:vAlign w:val="center"/>
                </w:tcPr>
                <w:p>
                  <w:pPr>
                    <w:widowControl/>
                    <w:jc w:val="center"/>
                    <w:textAlignment w:val="center"/>
                    <w:rPr>
                      <w:color w:val="auto"/>
                      <w:szCs w:val="21"/>
                    </w:rPr>
                  </w:pPr>
                  <w:r>
                    <w:rPr>
                      <w:color w:val="auto"/>
                      <w:szCs w:val="21"/>
                    </w:rPr>
                    <w:t>20</w:t>
                  </w:r>
                </w:p>
              </w:tc>
              <w:tc>
                <w:tcPr>
                  <w:tcW w:w="263" w:type="pct"/>
                  <w:vMerge w:val="restart"/>
                  <w:vAlign w:val="center"/>
                </w:tcPr>
                <w:p>
                  <w:pPr>
                    <w:widowControl/>
                    <w:jc w:val="center"/>
                    <w:textAlignment w:val="center"/>
                    <w:rPr>
                      <w:color w:val="auto"/>
                      <w:szCs w:val="21"/>
                    </w:rPr>
                  </w:pPr>
                  <w:r>
                    <w:rPr>
                      <w:color w:val="auto"/>
                      <w:szCs w:val="21"/>
                    </w:rPr>
                    <w:t>13</w:t>
                  </w:r>
                </w:p>
              </w:tc>
              <w:tc>
                <w:tcPr>
                  <w:tcW w:w="259" w:type="pct"/>
                  <w:vMerge w:val="restart"/>
                  <w:vAlign w:val="center"/>
                </w:tcPr>
                <w:p>
                  <w:pPr>
                    <w:widowControl/>
                    <w:jc w:val="center"/>
                    <w:textAlignment w:val="center"/>
                    <w:rPr>
                      <w:color w:val="auto"/>
                      <w:szCs w:val="21"/>
                    </w:rPr>
                  </w:pPr>
                  <w:r>
                    <w:rPr>
                      <w:color w:val="auto"/>
                      <w:szCs w:val="21"/>
                    </w:rPr>
                    <w:t>0</w:t>
                  </w:r>
                </w:p>
              </w:tc>
              <w:tc>
                <w:tcPr>
                  <w:tcW w:w="203" w:type="pct"/>
                  <w:vAlign w:val="center"/>
                </w:tcPr>
                <w:p>
                  <w:pPr>
                    <w:widowControl/>
                    <w:adjustRightInd w:val="0"/>
                    <w:snapToGrid w:val="0"/>
                    <w:jc w:val="center"/>
                    <w:textAlignment w:val="center"/>
                    <w:rPr>
                      <w:color w:val="auto"/>
                      <w:szCs w:val="21"/>
                    </w:rPr>
                  </w:pPr>
                  <w:r>
                    <w:rPr>
                      <w:color w:val="auto"/>
                      <w:szCs w:val="21"/>
                    </w:rPr>
                    <w:t>东</w:t>
                  </w:r>
                </w:p>
              </w:tc>
              <w:tc>
                <w:tcPr>
                  <w:tcW w:w="303" w:type="pct"/>
                  <w:vAlign w:val="center"/>
                </w:tcPr>
                <w:p>
                  <w:pPr>
                    <w:widowControl/>
                    <w:jc w:val="center"/>
                    <w:textAlignment w:val="center"/>
                    <w:rPr>
                      <w:color w:val="auto"/>
                      <w:szCs w:val="21"/>
                    </w:rPr>
                  </w:pPr>
                  <w:r>
                    <w:rPr>
                      <w:color w:val="auto"/>
                      <w:szCs w:val="21"/>
                    </w:rPr>
                    <w:t>10</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56</w:t>
                  </w:r>
                </w:p>
              </w:tc>
              <w:tc>
                <w:tcPr>
                  <w:tcW w:w="239" w:type="pct"/>
                  <w:vMerge w:val="restart"/>
                  <w:vAlign w:val="center"/>
                </w:tcPr>
                <w:p>
                  <w:pPr>
                    <w:widowControl/>
                    <w:adjustRightInd w:val="0"/>
                    <w:snapToGrid w:val="0"/>
                    <w:jc w:val="center"/>
                    <w:textAlignment w:val="center"/>
                    <w:rPr>
                      <w:color w:val="auto"/>
                      <w:szCs w:val="21"/>
                    </w:rPr>
                  </w:pPr>
                  <w:r>
                    <w:rPr>
                      <w:rFonts w:hint="eastAsia"/>
                      <w:color w:val="auto"/>
                      <w:szCs w:val="21"/>
                    </w:rPr>
                    <w:t>昼夜</w:t>
                  </w:r>
                </w:p>
              </w:tc>
              <w:tc>
                <w:tcPr>
                  <w:tcW w:w="375" w:type="pct"/>
                  <w:vMerge w:val="restart"/>
                  <w:vAlign w:val="center"/>
                </w:tcPr>
                <w:p>
                  <w:pPr>
                    <w:widowControl/>
                    <w:adjustRightInd w:val="0"/>
                    <w:snapToGrid w:val="0"/>
                    <w:jc w:val="center"/>
                    <w:textAlignment w:val="center"/>
                    <w:rPr>
                      <w:color w:val="auto"/>
                      <w:szCs w:val="21"/>
                    </w:rPr>
                  </w:pPr>
                  <w:r>
                    <w:rPr>
                      <w:color w:val="auto"/>
                      <w:szCs w:val="21"/>
                    </w:rPr>
                    <w:t>15</w:t>
                  </w:r>
                </w:p>
              </w:tc>
              <w:tc>
                <w:tcPr>
                  <w:tcW w:w="920" w:type="dxa"/>
                  <w:vAlign w:val="center"/>
                </w:tcPr>
                <w:p>
                  <w:pPr>
                    <w:widowControl/>
                    <w:adjustRightInd w:val="0"/>
                    <w:snapToGrid w:val="0"/>
                    <w:jc w:val="center"/>
                    <w:textAlignment w:val="center"/>
                    <w:rPr>
                      <w:color w:val="auto"/>
                      <w:szCs w:val="21"/>
                    </w:rPr>
                  </w:pPr>
                  <w:r>
                    <w:rPr>
                      <w:rFonts w:hint="eastAsia"/>
                      <w:color w:val="auto"/>
                      <w:szCs w:val="21"/>
                    </w:rPr>
                    <w:t>41</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widowControl/>
                    <w:adjustRightInd w:val="0"/>
                    <w:snapToGrid w:val="0"/>
                    <w:jc w:val="center"/>
                    <w:rPr>
                      <w:color w:val="auto"/>
                      <w:szCs w:val="21"/>
                    </w:rPr>
                  </w:pPr>
                </w:p>
              </w:tc>
              <w:tc>
                <w:tcPr>
                  <w:tcW w:w="329" w:type="pct"/>
                  <w:vMerge w:val="continue"/>
                  <w:vAlign w:val="center"/>
                </w:tcPr>
                <w:p>
                  <w:pPr>
                    <w:widowControl/>
                    <w:adjustRightInd w:val="0"/>
                    <w:snapToGrid w:val="0"/>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widowControl/>
                    <w:jc w:val="center"/>
                    <w:textAlignment w:val="center"/>
                    <w:rPr>
                      <w:color w:val="auto"/>
                      <w:szCs w:val="21"/>
                    </w:rPr>
                  </w:pPr>
                </w:p>
              </w:tc>
              <w:tc>
                <w:tcPr>
                  <w:tcW w:w="263" w:type="pct"/>
                  <w:vMerge w:val="continue"/>
                  <w:vAlign w:val="center"/>
                </w:tcPr>
                <w:p>
                  <w:pPr>
                    <w:widowControl/>
                    <w:jc w:val="center"/>
                    <w:textAlignment w:val="center"/>
                    <w:rPr>
                      <w:color w:val="auto"/>
                      <w:szCs w:val="21"/>
                    </w:rPr>
                  </w:pPr>
                </w:p>
              </w:tc>
              <w:tc>
                <w:tcPr>
                  <w:tcW w:w="259" w:type="pct"/>
                  <w:vMerge w:val="continue"/>
                  <w:vAlign w:val="center"/>
                </w:tcPr>
                <w:p>
                  <w:pPr>
                    <w:widowControl/>
                    <w:jc w:val="center"/>
                    <w:textAlignment w:val="center"/>
                    <w:rPr>
                      <w:color w:val="auto"/>
                      <w:szCs w:val="21"/>
                    </w:rPr>
                  </w:pPr>
                </w:p>
              </w:tc>
              <w:tc>
                <w:tcPr>
                  <w:tcW w:w="203" w:type="pct"/>
                  <w:vAlign w:val="center"/>
                </w:tcPr>
                <w:p>
                  <w:pPr>
                    <w:widowControl/>
                    <w:adjustRightInd w:val="0"/>
                    <w:snapToGrid w:val="0"/>
                    <w:jc w:val="center"/>
                    <w:textAlignment w:val="center"/>
                    <w:rPr>
                      <w:color w:val="auto"/>
                      <w:szCs w:val="21"/>
                    </w:rPr>
                  </w:pPr>
                  <w:r>
                    <w:rPr>
                      <w:color w:val="auto"/>
                      <w:szCs w:val="21"/>
                    </w:rPr>
                    <w:t>南</w:t>
                  </w:r>
                </w:p>
              </w:tc>
              <w:tc>
                <w:tcPr>
                  <w:tcW w:w="303" w:type="pct"/>
                  <w:vAlign w:val="center"/>
                </w:tcPr>
                <w:p>
                  <w:pPr>
                    <w:widowControl/>
                    <w:jc w:val="center"/>
                    <w:textAlignment w:val="center"/>
                    <w:rPr>
                      <w:color w:val="auto"/>
                      <w:szCs w:val="21"/>
                    </w:rPr>
                  </w:pPr>
                  <w:r>
                    <w:rPr>
                      <w:color w:val="auto"/>
                      <w:szCs w:val="21"/>
                    </w:rPr>
                    <w:t>12</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54.4</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39.4</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widowControl/>
                    <w:adjustRightInd w:val="0"/>
                    <w:snapToGrid w:val="0"/>
                    <w:jc w:val="center"/>
                    <w:rPr>
                      <w:color w:val="auto"/>
                      <w:szCs w:val="21"/>
                    </w:rPr>
                  </w:pPr>
                </w:p>
              </w:tc>
              <w:tc>
                <w:tcPr>
                  <w:tcW w:w="329" w:type="pct"/>
                  <w:vMerge w:val="continue"/>
                  <w:vAlign w:val="center"/>
                </w:tcPr>
                <w:p>
                  <w:pPr>
                    <w:widowControl/>
                    <w:adjustRightInd w:val="0"/>
                    <w:snapToGrid w:val="0"/>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widowControl/>
                    <w:jc w:val="center"/>
                    <w:textAlignment w:val="center"/>
                    <w:rPr>
                      <w:color w:val="auto"/>
                      <w:szCs w:val="21"/>
                    </w:rPr>
                  </w:pPr>
                </w:p>
              </w:tc>
              <w:tc>
                <w:tcPr>
                  <w:tcW w:w="263" w:type="pct"/>
                  <w:vMerge w:val="continue"/>
                  <w:vAlign w:val="center"/>
                </w:tcPr>
                <w:p>
                  <w:pPr>
                    <w:widowControl/>
                    <w:jc w:val="center"/>
                    <w:textAlignment w:val="center"/>
                    <w:rPr>
                      <w:color w:val="auto"/>
                      <w:szCs w:val="21"/>
                    </w:rPr>
                  </w:pPr>
                </w:p>
              </w:tc>
              <w:tc>
                <w:tcPr>
                  <w:tcW w:w="259" w:type="pct"/>
                  <w:vMerge w:val="continue"/>
                  <w:vAlign w:val="center"/>
                </w:tcPr>
                <w:p>
                  <w:pPr>
                    <w:widowControl/>
                    <w:jc w:val="center"/>
                    <w:textAlignment w:val="center"/>
                    <w:rPr>
                      <w:color w:val="auto"/>
                      <w:szCs w:val="21"/>
                    </w:rPr>
                  </w:pPr>
                </w:p>
              </w:tc>
              <w:tc>
                <w:tcPr>
                  <w:tcW w:w="203" w:type="pct"/>
                  <w:vAlign w:val="center"/>
                </w:tcPr>
                <w:p>
                  <w:pPr>
                    <w:widowControl/>
                    <w:adjustRightInd w:val="0"/>
                    <w:snapToGrid w:val="0"/>
                    <w:jc w:val="center"/>
                    <w:textAlignment w:val="center"/>
                    <w:rPr>
                      <w:color w:val="auto"/>
                      <w:szCs w:val="21"/>
                    </w:rPr>
                  </w:pPr>
                  <w:r>
                    <w:rPr>
                      <w:color w:val="auto"/>
                      <w:szCs w:val="21"/>
                    </w:rPr>
                    <w:t>西</w:t>
                  </w:r>
                </w:p>
              </w:tc>
              <w:tc>
                <w:tcPr>
                  <w:tcW w:w="303" w:type="pct"/>
                  <w:vAlign w:val="center"/>
                </w:tcPr>
                <w:p>
                  <w:pPr>
                    <w:widowControl/>
                    <w:jc w:val="center"/>
                    <w:textAlignment w:val="center"/>
                    <w:rPr>
                      <w:color w:val="auto"/>
                      <w:szCs w:val="21"/>
                    </w:rPr>
                  </w:pPr>
                  <w:r>
                    <w:rPr>
                      <w:color w:val="auto"/>
                      <w:szCs w:val="21"/>
                    </w:rPr>
                    <w:t>12</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54.4</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39.4</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widowControl/>
                    <w:adjustRightInd w:val="0"/>
                    <w:snapToGrid w:val="0"/>
                    <w:jc w:val="center"/>
                    <w:rPr>
                      <w:color w:val="auto"/>
                      <w:szCs w:val="21"/>
                    </w:rPr>
                  </w:pPr>
                </w:p>
              </w:tc>
              <w:tc>
                <w:tcPr>
                  <w:tcW w:w="329" w:type="pct"/>
                  <w:vMerge w:val="continue"/>
                  <w:vAlign w:val="center"/>
                </w:tcPr>
                <w:p>
                  <w:pPr>
                    <w:widowControl/>
                    <w:adjustRightInd w:val="0"/>
                    <w:snapToGrid w:val="0"/>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widowControl/>
                    <w:jc w:val="center"/>
                    <w:textAlignment w:val="center"/>
                    <w:rPr>
                      <w:color w:val="auto"/>
                      <w:szCs w:val="21"/>
                    </w:rPr>
                  </w:pPr>
                </w:p>
              </w:tc>
              <w:tc>
                <w:tcPr>
                  <w:tcW w:w="263" w:type="pct"/>
                  <w:vMerge w:val="continue"/>
                  <w:vAlign w:val="center"/>
                </w:tcPr>
                <w:p>
                  <w:pPr>
                    <w:widowControl/>
                    <w:jc w:val="center"/>
                    <w:textAlignment w:val="center"/>
                    <w:rPr>
                      <w:color w:val="auto"/>
                      <w:szCs w:val="21"/>
                    </w:rPr>
                  </w:pPr>
                </w:p>
              </w:tc>
              <w:tc>
                <w:tcPr>
                  <w:tcW w:w="259" w:type="pct"/>
                  <w:vMerge w:val="continue"/>
                  <w:vAlign w:val="center"/>
                </w:tcPr>
                <w:p>
                  <w:pPr>
                    <w:widowControl/>
                    <w:jc w:val="center"/>
                    <w:textAlignment w:val="center"/>
                    <w:rPr>
                      <w:color w:val="auto"/>
                      <w:szCs w:val="21"/>
                    </w:rPr>
                  </w:pPr>
                </w:p>
              </w:tc>
              <w:tc>
                <w:tcPr>
                  <w:tcW w:w="203" w:type="pct"/>
                  <w:vAlign w:val="center"/>
                </w:tcPr>
                <w:p>
                  <w:pPr>
                    <w:widowControl/>
                    <w:adjustRightInd w:val="0"/>
                    <w:snapToGrid w:val="0"/>
                    <w:jc w:val="center"/>
                    <w:textAlignment w:val="center"/>
                    <w:rPr>
                      <w:color w:val="auto"/>
                      <w:szCs w:val="21"/>
                    </w:rPr>
                  </w:pPr>
                  <w:r>
                    <w:rPr>
                      <w:color w:val="auto"/>
                      <w:szCs w:val="21"/>
                    </w:rPr>
                    <w:t>北</w:t>
                  </w:r>
                </w:p>
              </w:tc>
              <w:tc>
                <w:tcPr>
                  <w:tcW w:w="303" w:type="pct"/>
                  <w:vAlign w:val="center"/>
                </w:tcPr>
                <w:p>
                  <w:pPr>
                    <w:widowControl/>
                    <w:jc w:val="center"/>
                    <w:textAlignment w:val="center"/>
                    <w:rPr>
                      <w:color w:val="auto"/>
                      <w:szCs w:val="21"/>
                    </w:rPr>
                  </w:pPr>
                  <w:r>
                    <w:rPr>
                      <w:color w:val="auto"/>
                      <w:szCs w:val="21"/>
                    </w:rPr>
                    <w:t>28</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47.1</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32.1</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rPr>
                      <w:color w:val="auto"/>
                      <w:szCs w:val="21"/>
                    </w:rPr>
                  </w:pPr>
                  <w:r>
                    <w:rPr>
                      <w:color w:val="auto"/>
                      <w:szCs w:val="21"/>
                    </w:rPr>
                    <w:t>17</w:t>
                  </w:r>
                </w:p>
              </w:tc>
              <w:tc>
                <w:tcPr>
                  <w:tcW w:w="263" w:type="pct"/>
                  <w:vMerge w:val="continue"/>
                  <w:vAlign w:val="center"/>
                </w:tcPr>
                <w:p>
                  <w:pPr>
                    <w:widowControl/>
                    <w:adjustRightInd w:val="0"/>
                    <w:snapToGrid w:val="0"/>
                    <w:jc w:val="center"/>
                    <w:rPr>
                      <w:color w:val="auto"/>
                      <w:szCs w:val="21"/>
                    </w:rPr>
                  </w:pPr>
                </w:p>
              </w:tc>
              <w:tc>
                <w:tcPr>
                  <w:tcW w:w="383" w:type="pct"/>
                  <w:vMerge w:val="restart"/>
                  <w:vAlign w:val="center"/>
                </w:tcPr>
                <w:p>
                  <w:pPr>
                    <w:widowControl/>
                    <w:adjustRightInd w:val="0"/>
                    <w:snapToGrid w:val="0"/>
                    <w:jc w:val="center"/>
                    <w:rPr>
                      <w:color w:val="auto"/>
                      <w:szCs w:val="21"/>
                    </w:rPr>
                  </w:pPr>
                  <w:r>
                    <w:rPr>
                      <w:snapToGrid w:val="0"/>
                      <w:color w:val="auto"/>
                      <w:kern w:val="0"/>
                      <w:szCs w:val="21"/>
                    </w:rPr>
                    <w:t>5#角磨机</w:t>
                  </w:r>
                </w:p>
              </w:tc>
              <w:tc>
                <w:tcPr>
                  <w:tcW w:w="329" w:type="pct"/>
                  <w:vMerge w:val="restart"/>
                  <w:vAlign w:val="center"/>
                </w:tcPr>
                <w:p>
                  <w:pPr>
                    <w:widowControl/>
                    <w:adjustRightInd w:val="0"/>
                    <w:snapToGrid w:val="0"/>
                    <w:jc w:val="center"/>
                    <w:rPr>
                      <w:color w:val="auto"/>
                      <w:szCs w:val="21"/>
                    </w:rPr>
                  </w:pPr>
                  <w:r>
                    <w:rPr>
                      <w:color w:val="auto"/>
                      <w:szCs w:val="21"/>
                    </w:rPr>
                    <w:t>/</w:t>
                  </w:r>
                </w:p>
              </w:tc>
              <w:tc>
                <w:tcPr>
                  <w:tcW w:w="325" w:type="pct"/>
                  <w:vMerge w:val="restart"/>
                  <w:vAlign w:val="center"/>
                </w:tcPr>
                <w:p>
                  <w:pPr>
                    <w:widowControl/>
                    <w:adjustRightInd w:val="0"/>
                    <w:snapToGrid w:val="0"/>
                    <w:jc w:val="center"/>
                    <w:rPr>
                      <w:color w:val="auto"/>
                      <w:szCs w:val="21"/>
                    </w:rPr>
                  </w:pPr>
                  <w:r>
                    <w:rPr>
                      <w:color w:val="auto"/>
                      <w:szCs w:val="21"/>
                    </w:rPr>
                    <w:t>85</w:t>
                  </w:r>
                </w:p>
              </w:tc>
              <w:tc>
                <w:tcPr>
                  <w:tcW w:w="340" w:type="pct"/>
                  <w:vMerge w:val="continue"/>
                  <w:vAlign w:val="center"/>
                </w:tcPr>
                <w:p>
                  <w:pPr>
                    <w:widowControl/>
                    <w:adjustRightInd w:val="0"/>
                    <w:snapToGrid w:val="0"/>
                    <w:jc w:val="center"/>
                    <w:rPr>
                      <w:color w:val="auto"/>
                      <w:szCs w:val="21"/>
                    </w:rPr>
                  </w:pPr>
                </w:p>
              </w:tc>
              <w:tc>
                <w:tcPr>
                  <w:tcW w:w="287" w:type="pct"/>
                  <w:vMerge w:val="restart"/>
                  <w:vAlign w:val="center"/>
                </w:tcPr>
                <w:p>
                  <w:pPr>
                    <w:widowControl/>
                    <w:jc w:val="center"/>
                    <w:textAlignment w:val="center"/>
                    <w:rPr>
                      <w:color w:val="auto"/>
                      <w:szCs w:val="21"/>
                    </w:rPr>
                  </w:pPr>
                  <w:r>
                    <w:rPr>
                      <w:color w:val="auto"/>
                      <w:szCs w:val="21"/>
                    </w:rPr>
                    <w:t>17</w:t>
                  </w:r>
                </w:p>
              </w:tc>
              <w:tc>
                <w:tcPr>
                  <w:tcW w:w="263" w:type="pct"/>
                  <w:vMerge w:val="restart"/>
                  <w:vAlign w:val="center"/>
                </w:tcPr>
                <w:p>
                  <w:pPr>
                    <w:widowControl/>
                    <w:jc w:val="center"/>
                    <w:textAlignment w:val="center"/>
                    <w:rPr>
                      <w:color w:val="auto"/>
                      <w:szCs w:val="21"/>
                    </w:rPr>
                  </w:pPr>
                  <w:r>
                    <w:rPr>
                      <w:color w:val="auto"/>
                      <w:szCs w:val="21"/>
                    </w:rPr>
                    <w:t>13</w:t>
                  </w:r>
                </w:p>
              </w:tc>
              <w:tc>
                <w:tcPr>
                  <w:tcW w:w="259" w:type="pct"/>
                  <w:vMerge w:val="restart"/>
                  <w:vAlign w:val="center"/>
                </w:tcPr>
                <w:p>
                  <w:pPr>
                    <w:widowControl/>
                    <w:jc w:val="center"/>
                    <w:textAlignment w:val="center"/>
                    <w:rPr>
                      <w:color w:val="auto"/>
                      <w:szCs w:val="21"/>
                    </w:rPr>
                  </w:pPr>
                  <w:r>
                    <w:rPr>
                      <w:color w:val="auto"/>
                      <w:szCs w:val="21"/>
                    </w:rPr>
                    <w:t>0</w:t>
                  </w:r>
                </w:p>
              </w:tc>
              <w:tc>
                <w:tcPr>
                  <w:tcW w:w="203" w:type="pct"/>
                  <w:vAlign w:val="center"/>
                </w:tcPr>
                <w:p>
                  <w:pPr>
                    <w:widowControl/>
                    <w:adjustRightInd w:val="0"/>
                    <w:snapToGrid w:val="0"/>
                    <w:jc w:val="center"/>
                    <w:textAlignment w:val="center"/>
                    <w:rPr>
                      <w:color w:val="auto"/>
                      <w:szCs w:val="21"/>
                    </w:rPr>
                  </w:pPr>
                  <w:r>
                    <w:rPr>
                      <w:color w:val="auto"/>
                      <w:szCs w:val="21"/>
                    </w:rPr>
                    <w:t>东</w:t>
                  </w:r>
                </w:p>
              </w:tc>
              <w:tc>
                <w:tcPr>
                  <w:tcW w:w="303" w:type="pct"/>
                  <w:vAlign w:val="center"/>
                </w:tcPr>
                <w:p>
                  <w:pPr>
                    <w:widowControl/>
                    <w:jc w:val="center"/>
                    <w:textAlignment w:val="center"/>
                    <w:rPr>
                      <w:color w:val="auto"/>
                      <w:szCs w:val="21"/>
                    </w:rPr>
                  </w:pPr>
                  <w:r>
                    <w:rPr>
                      <w:color w:val="auto"/>
                      <w:szCs w:val="21"/>
                    </w:rPr>
                    <w:t>13</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53.7</w:t>
                  </w:r>
                </w:p>
              </w:tc>
              <w:tc>
                <w:tcPr>
                  <w:tcW w:w="239" w:type="pct"/>
                  <w:vMerge w:val="restart"/>
                  <w:vAlign w:val="center"/>
                </w:tcPr>
                <w:p>
                  <w:pPr>
                    <w:widowControl/>
                    <w:adjustRightInd w:val="0"/>
                    <w:snapToGrid w:val="0"/>
                    <w:jc w:val="center"/>
                    <w:textAlignment w:val="center"/>
                    <w:rPr>
                      <w:color w:val="auto"/>
                      <w:szCs w:val="21"/>
                    </w:rPr>
                  </w:pPr>
                  <w:r>
                    <w:rPr>
                      <w:rFonts w:hint="eastAsia"/>
                      <w:color w:val="auto"/>
                      <w:szCs w:val="21"/>
                    </w:rPr>
                    <w:t>昼夜</w:t>
                  </w:r>
                </w:p>
              </w:tc>
              <w:tc>
                <w:tcPr>
                  <w:tcW w:w="375" w:type="pct"/>
                  <w:vMerge w:val="restart"/>
                  <w:vAlign w:val="center"/>
                </w:tcPr>
                <w:p>
                  <w:pPr>
                    <w:widowControl/>
                    <w:adjustRightInd w:val="0"/>
                    <w:snapToGrid w:val="0"/>
                    <w:jc w:val="center"/>
                    <w:textAlignment w:val="center"/>
                    <w:rPr>
                      <w:color w:val="auto"/>
                      <w:szCs w:val="21"/>
                    </w:rPr>
                  </w:pPr>
                  <w:r>
                    <w:rPr>
                      <w:color w:val="auto"/>
                      <w:szCs w:val="21"/>
                    </w:rPr>
                    <w:t>15</w:t>
                  </w:r>
                </w:p>
              </w:tc>
              <w:tc>
                <w:tcPr>
                  <w:tcW w:w="920" w:type="dxa"/>
                  <w:vAlign w:val="center"/>
                </w:tcPr>
                <w:p>
                  <w:pPr>
                    <w:widowControl/>
                    <w:adjustRightInd w:val="0"/>
                    <w:snapToGrid w:val="0"/>
                    <w:jc w:val="center"/>
                    <w:textAlignment w:val="center"/>
                    <w:rPr>
                      <w:color w:val="auto"/>
                      <w:szCs w:val="21"/>
                    </w:rPr>
                  </w:pPr>
                  <w:r>
                    <w:rPr>
                      <w:rFonts w:hint="eastAsia"/>
                      <w:color w:val="auto"/>
                      <w:szCs w:val="21"/>
                    </w:rPr>
                    <w:t>38.7</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autoSpaceDE w:val="0"/>
                    <w:autoSpaceDN w:val="0"/>
                    <w:adjustRightInd w:val="0"/>
                    <w:jc w:val="center"/>
                    <w:rPr>
                      <w:color w:val="auto"/>
                      <w:szCs w:val="21"/>
                    </w:rPr>
                  </w:pPr>
                </w:p>
              </w:tc>
              <w:tc>
                <w:tcPr>
                  <w:tcW w:w="329" w:type="pct"/>
                  <w:vMerge w:val="continue"/>
                  <w:vAlign w:val="center"/>
                </w:tcPr>
                <w:p>
                  <w:pPr>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widowControl/>
                    <w:jc w:val="center"/>
                    <w:textAlignment w:val="center"/>
                    <w:rPr>
                      <w:color w:val="auto"/>
                      <w:szCs w:val="21"/>
                    </w:rPr>
                  </w:pPr>
                </w:p>
              </w:tc>
              <w:tc>
                <w:tcPr>
                  <w:tcW w:w="263" w:type="pct"/>
                  <w:vMerge w:val="continue"/>
                  <w:vAlign w:val="center"/>
                </w:tcPr>
                <w:p>
                  <w:pPr>
                    <w:widowControl/>
                    <w:jc w:val="center"/>
                    <w:textAlignment w:val="center"/>
                    <w:rPr>
                      <w:color w:val="auto"/>
                      <w:szCs w:val="21"/>
                    </w:rPr>
                  </w:pPr>
                </w:p>
              </w:tc>
              <w:tc>
                <w:tcPr>
                  <w:tcW w:w="259" w:type="pct"/>
                  <w:vMerge w:val="continue"/>
                  <w:vAlign w:val="center"/>
                </w:tcPr>
                <w:p>
                  <w:pPr>
                    <w:widowControl/>
                    <w:jc w:val="center"/>
                    <w:textAlignment w:val="center"/>
                    <w:rPr>
                      <w:color w:val="auto"/>
                      <w:szCs w:val="21"/>
                    </w:rPr>
                  </w:pPr>
                </w:p>
              </w:tc>
              <w:tc>
                <w:tcPr>
                  <w:tcW w:w="203" w:type="pct"/>
                  <w:vAlign w:val="center"/>
                </w:tcPr>
                <w:p>
                  <w:pPr>
                    <w:widowControl/>
                    <w:adjustRightInd w:val="0"/>
                    <w:snapToGrid w:val="0"/>
                    <w:jc w:val="center"/>
                    <w:textAlignment w:val="center"/>
                    <w:rPr>
                      <w:color w:val="auto"/>
                      <w:szCs w:val="21"/>
                    </w:rPr>
                  </w:pPr>
                  <w:r>
                    <w:rPr>
                      <w:color w:val="auto"/>
                      <w:szCs w:val="21"/>
                    </w:rPr>
                    <w:t>南</w:t>
                  </w:r>
                </w:p>
              </w:tc>
              <w:tc>
                <w:tcPr>
                  <w:tcW w:w="303" w:type="pct"/>
                  <w:vAlign w:val="center"/>
                </w:tcPr>
                <w:p>
                  <w:pPr>
                    <w:widowControl/>
                    <w:jc w:val="center"/>
                    <w:textAlignment w:val="center"/>
                    <w:rPr>
                      <w:color w:val="auto"/>
                      <w:szCs w:val="21"/>
                    </w:rPr>
                  </w:pPr>
                  <w:r>
                    <w:rPr>
                      <w:color w:val="auto"/>
                      <w:szCs w:val="21"/>
                    </w:rPr>
                    <w:t>12</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54.4</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39.4</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autoSpaceDE w:val="0"/>
                    <w:autoSpaceDN w:val="0"/>
                    <w:adjustRightInd w:val="0"/>
                    <w:jc w:val="center"/>
                    <w:rPr>
                      <w:color w:val="auto"/>
                      <w:szCs w:val="21"/>
                    </w:rPr>
                  </w:pPr>
                </w:p>
              </w:tc>
              <w:tc>
                <w:tcPr>
                  <w:tcW w:w="329" w:type="pct"/>
                  <w:vMerge w:val="continue"/>
                  <w:vAlign w:val="center"/>
                </w:tcPr>
                <w:p>
                  <w:pPr>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widowControl/>
                    <w:jc w:val="center"/>
                    <w:textAlignment w:val="center"/>
                    <w:rPr>
                      <w:color w:val="auto"/>
                      <w:szCs w:val="21"/>
                    </w:rPr>
                  </w:pPr>
                </w:p>
              </w:tc>
              <w:tc>
                <w:tcPr>
                  <w:tcW w:w="263" w:type="pct"/>
                  <w:vMerge w:val="continue"/>
                  <w:vAlign w:val="center"/>
                </w:tcPr>
                <w:p>
                  <w:pPr>
                    <w:widowControl/>
                    <w:jc w:val="center"/>
                    <w:textAlignment w:val="center"/>
                    <w:rPr>
                      <w:color w:val="auto"/>
                      <w:szCs w:val="21"/>
                    </w:rPr>
                  </w:pPr>
                </w:p>
              </w:tc>
              <w:tc>
                <w:tcPr>
                  <w:tcW w:w="259" w:type="pct"/>
                  <w:vMerge w:val="continue"/>
                  <w:vAlign w:val="center"/>
                </w:tcPr>
                <w:p>
                  <w:pPr>
                    <w:widowControl/>
                    <w:jc w:val="center"/>
                    <w:textAlignment w:val="center"/>
                    <w:rPr>
                      <w:color w:val="auto"/>
                      <w:szCs w:val="21"/>
                    </w:rPr>
                  </w:pPr>
                </w:p>
              </w:tc>
              <w:tc>
                <w:tcPr>
                  <w:tcW w:w="203" w:type="pct"/>
                  <w:vAlign w:val="center"/>
                </w:tcPr>
                <w:p>
                  <w:pPr>
                    <w:widowControl/>
                    <w:adjustRightInd w:val="0"/>
                    <w:snapToGrid w:val="0"/>
                    <w:jc w:val="center"/>
                    <w:textAlignment w:val="center"/>
                    <w:rPr>
                      <w:color w:val="auto"/>
                      <w:szCs w:val="21"/>
                    </w:rPr>
                  </w:pPr>
                  <w:r>
                    <w:rPr>
                      <w:color w:val="auto"/>
                      <w:szCs w:val="21"/>
                    </w:rPr>
                    <w:t>西</w:t>
                  </w:r>
                </w:p>
              </w:tc>
              <w:tc>
                <w:tcPr>
                  <w:tcW w:w="303" w:type="pct"/>
                  <w:vAlign w:val="center"/>
                </w:tcPr>
                <w:p>
                  <w:pPr>
                    <w:widowControl/>
                    <w:jc w:val="center"/>
                    <w:textAlignment w:val="center"/>
                    <w:rPr>
                      <w:color w:val="auto"/>
                      <w:szCs w:val="21"/>
                    </w:rPr>
                  </w:pPr>
                  <w:r>
                    <w:rPr>
                      <w:color w:val="auto"/>
                      <w:szCs w:val="21"/>
                    </w:rPr>
                    <w:t>9</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56.9</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41.9</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autoSpaceDE w:val="0"/>
                    <w:autoSpaceDN w:val="0"/>
                    <w:adjustRightInd w:val="0"/>
                    <w:jc w:val="center"/>
                    <w:rPr>
                      <w:color w:val="auto"/>
                      <w:szCs w:val="21"/>
                    </w:rPr>
                  </w:pPr>
                </w:p>
              </w:tc>
              <w:tc>
                <w:tcPr>
                  <w:tcW w:w="329" w:type="pct"/>
                  <w:vMerge w:val="continue"/>
                  <w:vAlign w:val="center"/>
                </w:tcPr>
                <w:p>
                  <w:pPr>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widowControl/>
                    <w:jc w:val="center"/>
                    <w:textAlignment w:val="center"/>
                    <w:rPr>
                      <w:color w:val="auto"/>
                      <w:szCs w:val="21"/>
                    </w:rPr>
                  </w:pPr>
                </w:p>
              </w:tc>
              <w:tc>
                <w:tcPr>
                  <w:tcW w:w="263" w:type="pct"/>
                  <w:vMerge w:val="continue"/>
                  <w:vAlign w:val="center"/>
                </w:tcPr>
                <w:p>
                  <w:pPr>
                    <w:widowControl/>
                    <w:jc w:val="center"/>
                    <w:textAlignment w:val="center"/>
                    <w:rPr>
                      <w:color w:val="auto"/>
                      <w:szCs w:val="21"/>
                    </w:rPr>
                  </w:pPr>
                </w:p>
              </w:tc>
              <w:tc>
                <w:tcPr>
                  <w:tcW w:w="259" w:type="pct"/>
                  <w:vMerge w:val="continue"/>
                  <w:vAlign w:val="center"/>
                </w:tcPr>
                <w:p>
                  <w:pPr>
                    <w:widowControl/>
                    <w:jc w:val="center"/>
                    <w:textAlignment w:val="center"/>
                    <w:rPr>
                      <w:color w:val="auto"/>
                      <w:szCs w:val="21"/>
                    </w:rPr>
                  </w:pPr>
                </w:p>
              </w:tc>
              <w:tc>
                <w:tcPr>
                  <w:tcW w:w="203" w:type="pct"/>
                  <w:vAlign w:val="center"/>
                </w:tcPr>
                <w:p>
                  <w:pPr>
                    <w:widowControl/>
                    <w:adjustRightInd w:val="0"/>
                    <w:snapToGrid w:val="0"/>
                    <w:jc w:val="center"/>
                    <w:textAlignment w:val="center"/>
                    <w:rPr>
                      <w:color w:val="auto"/>
                      <w:szCs w:val="21"/>
                    </w:rPr>
                  </w:pPr>
                  <w:r>
                    <w:rPr>
                      <w:color w:val="auto"/>
                      <w:szCs w:val="21"/>
                    </w:rPr>
                    <w:t>北</w:t>
                  </w:r>
                </w:p>
              </w:tc>
              <w:tc>
                <w:tcPr>
                  <w:tcW w:w="303" w:type="pct"/>
                  <w:vAlign w:val="center"/>
                </w:tcPr>
                <w:p>
                  <w:pPr>
                    <w:widowControl/>
                    <w:jc w:val="center"/>
                    <w:textAlignment w:val="center"/>
                    <w:rPr>
                      <w:color w:val="auto"/>
                      <w:szCs w:val="21"/>
                    </w:rPr>
                  </w:pPr>
                  <w:r>
                    <w:rPr>
                      <w:color w:val="auto"/>
                      <w:szCs w:val="21"/>
                    </w:rPr>
                    <w:t>28</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47.1</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32.1</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rPr>
                      <w:color w:val="auto"/>
                      <w:szCs w:val="21"/>
                    </w:rPr>
                  </w:pPr>
                  <w:r>
                    <w:rPr>
                      <w:color w:val="auto"/>
                      <w:szCs w:val="21"/>
                    </w:rPr>
                    <w:t>18</w:t>
                  </w:r>
                </w:p>
              </w:tc>
              <w:tc>
                <w:tcPr>
                  <w:tcW w:w="263" w:type="pct"/>
                  <w:vMerge w:val="continue"/>
                  <w:vAlign w:val="center"/>
                </w:tcPr>
                <w:p>
                  <w:pPr>
                    <w:widowControl/>
                    <w:adjustRightInd w:val="0"/>
                    <w:snapToGrid w:val="0"/>
                    <w:jc w:val="center"/>
                    <w:rPr>
                      <w:color w:val="auto"/>
                      <w:szCs w:val="21"/>
                    </w:rPr>
                  </w:pPr>
                </w:p>
              </w:tc>
              <w:tc>
                <w:tcPr>
                  <w:tcW w:w="383" w:type="pct"/>
                  <w:vMerge w:val="restart"/>
                  <w:vAlign w:val="center"/>
                </w:tcPr>
                <w:p>
                  <w:pPr>
                    <w:snapToGrid w:val="0"/>
                    <w:jc w:val="center"/>
                    <w:rPr>
                      <w:color w:val="auto"/>
                      <w:szCs w:val="21"/>
                    </w:rPr>
                  </w:pPr>
                  <w:r>
                    <w:rPr>
                      <w:color w:val="auto"/>
                      <w:szCs w:val="21"/>
                    </w:rPr>
                    <w:t>1#退火炉</w:t>
                  </w:r>
                </w:p>
              </w:tc>
              <w:tc>
                <w:tcPr>
                  <w:tcW w:w="329" w:type="pct"/>
                  <w:vMerge w:val="restart"/>
                  <w:vAlign w:val="center"/>
                </w:tcPr>
                <w:p>
                  <w:pPr>
                    <w:snapToGrid w:val="0"/>
                    <w:jc w:val="center"/>
                    <w:rPr>
                      <w:color w:val="auto"/>
                      <w:szCs w:val="21"/>
                    </w:rPr>
                  </w:pPr>
                  <w:r>
                    <w:rPr>
                      <w:color w:val="auto"/>
                      <w:szCs w:val="21"/>
                    </w:rPr>
                    <w:t>RTP001</w:t>
                  </w:r>
                </w:p>
              </w:tc>
              <w:tc>
                <w:tcPr>
                  <w:tcW w:w="325" w:type="pct"/>
                  <w:vMerge w:val="restart"/>
                  <w:vAlign w:val="center"/>
                </w:tcPr>
                <w:p>
                  <w:pPr>
                    <w:widowControl/>
                    <w:adjustRightInd w:val="0"/>
                    <w:snapToGrid w:val="0"/>
                    <w:jc w:val="center"/>
                    <w:rPr>
                      <w:color w:val="auto"/>
                      <w:szCs w:val="21"/>
                    </w:rPr>
                  </w:pPr>
                  <w:r>
                    <w:rPr>
                      <w:color w:val="auto"/>
                      <w:szCs w:val="21"/>
                    </w:rPr>
                    <w:t>85</w:t>
                  </w:r>
                </w:p>
              </w:tc>
              <w:tc>
                <w:tcPr>
                  <w:tcW w:w="340" w:type="pct"/>
                  <w:vMerge w:val="continue"/>
                  <w:vAlign w:val="center"/>
                </w:tcPr>
                <w:p>
                  <w:pPr>
                    <w:widowControl/>
                    <w:adjustRightInd w:val="0"/>
                    <w:snapToGrid w:val="0"/>
                    <w:jc w:val="center"/>
                    <w:rPr>
                      <w:color w:val="auto"/>
                      <w:szCs w:val="21"/>
                    </w:rPr>
                  </w:pPr>
                </w:p>
              </w:tc>
              <w:tc>
                <w:tcPr>
                  <w:tcW w:w="287" w:type="pct"/>
                  <w:vMerge w:val="restart"/>
                  <w:vAlign w:val="center"/>
                </w:tcPr>
                <w:p>
                  <w:pPr>
                    <w:widowControl/>
                    <w:jc w:val="center"/>
                    <w:textAlignment w:val="center"/>
                    <w:rPr>
                      <w:color w:val="auto"/>
                      <w:szCs w:val="21"/>
                    </w:rPr>
                  </w:pPr>
                  <w:r>
                    <w:rPr>
                      <w:color w:val="auto"/>
                      <w:szCs w:val="21"/>
                    </w:rPr>
                    <w:t>18</w:t>
                  </w:r>
                </w:p>
              </w:tc>
              <w:tc>
                <w:tcPr>
                  <w:tcW w:w="263" w:type="pct"/>
                  <w:vMerge w:val="restart"/>
                  <w:vAlign w:val="center"/>
                </w:tcPr>
                <w:p>
                  <w:pPr>
                    <w:widowControl/>
                    <w:jc w:val="center"/>
                    <w:textAlignment w:val="center"/>
                    <w:rPr>
                      <w:color w:val="auto"/>
                      <w:szCs w:val="21"/>
                    </w:rPr>
                  </w:pPr>
                  <w:r>
                    <w:rPr>
                      <w:color w:val="auto"/>
                      <w:szCs w:val="21"/>
                    </w:rPr>
                    <w:t>17</w:t>
                  </w:r>
                </w:p>
              </w:tc>
              <w:tc>
                <w:tcPr>
                  <w:tcW w:w="259" w:type="pct"/>
                  <w:vMerge w:val="restart"/>
                  <w:vAlign w:val="center"/>
                </w:tcPr>
                <w:p>
                  <w:pPr>
                    <w:widowControl/>
                    <w:jc w:val="center"/>
                    <w:textAlignment w:val="center"/>
                    <w:rPr>
                      <w:color w:val="auto"/>
                      <w:szCs w:val="21"/>
                    </w:rPr>
                  </w:pPr>
                  <w:r>
                    <w:rPr>
                      <w:color w:val="auto"/>
                      <w:szCs w:val="21"/>
                    </w:rPr>
                    <w:t>0</w:t>
                  </w:r>
                </w:p>
              </w:tc>
              <w:tc>
                <w:tcPr>
                  <w:tcW w:w="203" w:type="pct"/>
                  <w:vAlign w:val="center"/>
                </w:tcPr>
                <w:p>
                  <w:pPr>
                    <w:widowControl/>
                    <w:adjustRightInd w:val="0"/>
                    <w:snapToGrid w:val="0"/>
                    <w:jc w:val="center"/>
                    <w:textAlignment w:val="center"/>
                    <w:rPr>
                      <w:color w:val="auto"/>
                      <w:szCs w:val="21"/>
                    </w:rPr>
                  </w:pPr>
                  <w:r>
                    <w:rPr>
                      <w:color w:val="auto"/>
                      <w:szCs w:val="21"/>
                    </w:rPr>
                    <w:t>东</w:t>
                  </w:r>
                </w:p>
              </w:tc>
              <w:tc>
                <w:tcPr>
                  <w:tcW w:w="303" w:type="pct"/>
                  <w:vAlign w:val="center"/>
                </w:tcPr>
                <w:p>
                  <w:pPr>
                    <w:widowControl/>
                    <w:jc w:val="center"/>
                    <w:textAlignment w:val="center"/>
                    <w:rPr>
                      <w:color w:val="auto"/>
                      <w:szCs w:val="21"/>
                    </w:rPr>
                  </w:pPr>
                  <w:r>
                    <w:rPr>
                      <w:color w:val="auto"/>
                      <w:szCs w:val="21"/>
                    </w:rPr>
                    <w:t>12</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54.4</w:t>
                  </w:r>
                </w:p>
              </w:tc>
              <w:tc>
                <w:tcPr>
                  <w:tcW w:w="239" w:type="pct"/>
                  <w:vMerge w:val="restart"/>
                  <w:vAlign w:val="center"/>
                </w:tcPr>
                <w:p>
                  <w:pPr>
                    <w:widowControl/>
                    <w:adjustRightInd w:val="0"/>
                    <w:snapToGrid w:val="0"/>
                    <w:jc w:val="center"/>
                    <w:textAlignment w:val="center"/>
                    <w:rPr>
                      <w:color w:val="auto"/>
                      <w:szCs w:val="21"/>
                    </w:rPr>
                  </w:pPr>
                  <w:r>
                    <w:rPr>
                      <w:rFonts w:hint="eastAsia"/>
                      <w:color w:val="auto"/>
                      <w:szCs w:val="21"/>
                    </w:rPr>
                    <w:t>昼夜</w:t>
                  </w:r>
                </w:p>
              </w:tc>
              <w:tc>
                <w:tcPr>
                  <w:tcW w:w="375" w:type="pct"/>
                  <w:vMerge w:val="restart"/>
                  <w:vAlign w:val="center"/>
                </w:tcPr>
                <w:p>
                  <w:pPr>
                    <w:widowControl/>
                    <w:adjustRightInd w:val="0"/>
                    <w:snapToGrid w:val="0"/>
                    <w:jc w:val="center"/>
                    <w:textAlignment w:val="center"/>
                    <w:rPr>
                      <w:color w:val="auto"/>
                      <w:szCs w:val="21"/>
                    </w:rPr>
                  </w:pPr>
                  <w:r>
                    <w:rPr>
                      <w:color w:val="auto"/>
                      <w:szCs w:val="21"/>
                    </w:rPr>
                    <w:t>15</w:t>
                  </w:r>
                </w:p>
              </w:tc>
              <w:tc>
                <w:tcPr>
                  <w:tcW w:w="920" w:type="dxa"/>
                  <w:vAlign w:val="center"/>
                </w:tcPr>
                <w:p>
                  <w:pPr>
                    <w:widowControl/>
                    <w:adjustRightInd w:val="0"/>
                    <w:snapToGrid w:val="0"/>
                    <w:jc w:val="center"/>
                    <w:textAlignment w:val="center"/>
                    <w:rPr>
                      <w:color w:val="auto"/>
                      <w:szCs w:val="21"/>
                    </w:rPr>
                  </w:pPr>
                  <w:r>
                    <w:rPr>
                      <w:rFonts w:hint="eastAsia"/>
                      <w:color w:val="auto"/>
                      <w:szCs w:val="21"/>
                    </w:rPr>
                    <w:t>39.4</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autoSpaceDE w:val="0"/>
                    <w:autoSpaceDN w:val="0"/>
                    <w:adjustRightInd w:val="0"/>
                    <w:jc w:val="center"/>
                    <w:rPr>
                      <w:color w:val="auto"/>
                      <w:szCs w:val="21"/>
                    </w:rPr>
                  </w:pPr>
                </w:p>
              </w:tc>
              <w:tc>
                <w:tcPr>
                  <w:tcW w:w="329" w:type="pct"/>
                  <w:vMerge w:val="continue"/>
                  <w:vAlign w:val="center"/>
                </w:tcPr>
                <w:p>
                  <w:pPr>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widowControl/>
                    <w:jc w:val="center"/>
                    <w:textAlignment w:val="center"/>
                    <w:rPr>
                      <w:color w:val="auto"/>
                      <w:szCs w:val="21"/>
                    </w:rPr>
                  </w:pPr>
                </w:p>
              </w:tc>
              <w:tc>
                <w:tcPr>
                  <w:tcW w:w="263" w:type="pct"/>
                  <w:vMerge w:val="continue"/>
                  <w:vAlign w:val="center"/>
                </w:tcPr>
                <w:p>
                  <w:pPr>
                    <w:widowControl/>
                    <w:jc w:val="center"/>
                    <w:textAlignment w:val="center"/>
                    <w:rPr>
                      <w:color w:val="auto"/>
                      <w:szCs w:val="21"/>
                    </w:rPr>
                  </w:pPr>
                </w:p>
              </w:tc>
              <w:tc>
                <w:tcPr>
                  <w:tcW w:w="259" w:type="pct"/>
                  <w:vMerge w:val="continue"/>
                  <w:vAlign w:val="center"/>
                </w:tcPr>
                <w:p>
                  <w:pPr>
                    <w:widowControl/>
                    <w:jc w:val="center"/>
                    <w:textAlignment w:val="center"/>
                    <w:rPr>
                      <w:color w:val="auto"/>
                      <w:szCs w:val="21"/>
                    </w:rPr>
                  </w:pPr>
                </w:p>
              </w:tc>
              <w:tc>
                <w:tcPr>
                  <w:tcW w:w="203" w:type="pct"/>
                  <w:vAlign w:val="center"/>
                </w:tcPr>
                <w:p>
                  <w:pPr>
                    <w:widowControl/>
                    <w:adjustRightInd w:val="0"/>
                    <w:snapToGrid w:val="0"/>
                    <w:jc w:val="center"/>
                    <w:textAlignment w:val="center"/>
                    <w:rPr>
                      <w:color w:val="auto"/>
                      <w:szCs w:val="21"/>
                    </w:rPr>
                  </w:pPr>
                  <w:r>
                    <w:rPr>
                      <w:color w:val="auto"/>
                      <w:szCs w:val="21"/>
                    </w:rPr>
                    <w:t>南</w:t>
                  </w:r>
                </w:p>
              </w:tc>
              <w:tc>
                <w:tcPr>
                  <w:tcW w:w="303" w:type="pct"/>
                  <w:vAlign w:val="center"/>
                </w:tcPr>
                <w:p>
                  <w:pPr>
                    <w:widowControl/>
                    <w:jc w:val="center"/>
                    <w:textAlignment w:val="center"/>
                    <w:rPr>
                      <w:color w:val="auto"/>
                      <w:szCs w:val="21"/>
                    </w:rPr>
                  </w:pPr>
                  <w:r>
                    <w:rPr>
                      <w:color w:val="auto"/>
                      <w:szCs w:val="21"/>
                    </w:rPr>
                    <w:t>16</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51.9</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36.9</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autoSpaceDE w:val="0"/>
                    <w:autoSpaceDN w:val="0"/>
                    <w:adjustRightInd w:val="0"/>
                    <w:jc w:val="center"/>
                    <w:rPr>
                      <w:color w:val="auto"/>
                      <w:szCs w:val="21"/>
                    </w:rPr>
                  </w:pPr>
                </w:p>
              </w:tc>
              <w:tc>
                <w:tcPr>
                  <w:tcW w:w="329" w:type="pct"/>
                  <w:vMerge w:val="continue"/>
                  <w:vAlign w:val="center"/>
                </w:tcPr>
                <w:p>
                  <w:pPr>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widowControl/>
                    <w:jc w:val="center"/>
                    <w:textAlignment w:val="center"/>
                    <w:rPr>
                      <w:color w:val="auto"/>
                      <w:szCs w:val="21"/>
                    </w:rPr>
                  </w:pPr>
                </w:p>
              </w:tc>
              <w:tc>
                <w:tcPr>
                  <w:tcW w:w="263" w:type="pct"/>
                  <w:vMerge w:val="continue"/>
                  <w:vAlign w:val="center"/>
                </w:tcPr>
                <w:p>
                  <w:pPr>
                    <w:widowControl/>
                    <w:jc w:val="center"/>
                    <w:textAlignment w:val="center"/>
                    <w:rPr>
                      <w:color w:val="auto"/>
                      <w:szCs w:val="21"/>
                    </w:rPr>
                  </w:pPr>
                </w:p>
              </w:tc>
              <w:tc>
                <w:tcPr>
                  <w:tcW w:w="259" w:type="pct"/>
                  <w:vMerge w:val="continue"/>
                  <w:vAlign w:val="center"/>
                </w:tcPr>
                <w:p>
                  <w:pPr>
                    <w:widowControl/>
                    <w:jc w:val="center"/>
                    <w:textAlignment w:val="center"/>
                    <w:rPr>
                      <w:color w:val="auto"/>
                      <w:szCs w:val="21"/>
                    </w:rPr>
                  </w:pPr>
                </w:p>
              </w:tc>
              <w:tc>
                <w:tcPr>
                  <w:tcW w:w="203" w:type="pct"/>
                  <w:vAlign w:val="center"/>
                </w:tcPr>
                <w:p>
                  <w:pPr>
                    <w:widowControl/>
                    <w:adjustRightInd w:val="0"/>
                    <w:snapToGrid w:val="0"/>
                    <w:jc w:val="center"/>
                    <w:textAlignment w:val="center"/>
                    <w:rPr>
                      <w:color w:val="auto"/>
                      <w:szCs w:val="21"/>
                    </w:rPr>
                  </w:pPr>
                  <w:r>
                    <w:rPr>
                      <w:color w:val="auto"/>
                      <w:szCs w:val="21"/>
                    </w:rPr>
                    <w:t>西</w:t>
                  </w:r>
                </w:p>
              </w:tc>
              <w:tc>
                <w:tcPr>
                  <w:tcW w:w="303" w:type="pct"/>
                  <w:vAlign w:val="center"/>
                </w:tcPr>
                <w:p>
                  <w:pPr>
                    <w:widowControl/>
                    <w:jc w:val="center"/>
                    <w:textAlignment w:val="center"/>
                    <w:rPr>
                      <w:color w:val="auto"/>
                      <w:szCs w:val="21"/>
                    </w:rPr>
                  </w:pPr>
                  <w:r>
                    <w:rPr>
                      <w:color w:val="auto"/>
                      <w:szCs w:val="21"/>
                    </w:rPr>
                    <w:t>10</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56</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41</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autoSpaceDE w:val="0"/>
                    <w:autoSpaceDN w:val="0"/>
                    <w:adjustRightInd w:val="0"/>
                    <w:jc w:val="center"/>
                    <w:rPr>
                      <w:color w:val="auto"/>
                      <w:szCs w:val="21"/>
                    </w:rPr>
                  </w:pPr>
                </w:p>
              </w:tc>
              <w:tc>
                <w:tcPr>
                  <w:tcW w:w="329" w:type="pct"/>
                  <w:vMerge w:val="continue"/>
                  <w:vAlign w:val="center"/>
                </w:tcPr>
                <w:p>
                  <w:pPr>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widowControl/>
                    <w:jc w:val="center"/>
                    <w:textAlignment w:val="center"/>
                    <w:rPr>
                      <w:color w:val="auto"/>
                      <w:szCs w:val="21"/>
                    </w:rPr>
                  </w:pPr>
                </w:p>
              </w:tc>
              <w:tc>
                <w:tcPr>
                  <w:tcW w:w="263" w:type="pct"/>
                  <w:vMerge w:val="continue"/>
                  <w:vAlign w:val="center"/>
                </w:tcPr>
                <w:p>
                  <w:pPr>
                    <w:widowControl/>
                    <w:jc w:val="center"/>
                    <w:textAlignment w:val="center"/>
                    <w:rPr>
                      <w:color w:val="auto"/>
                      <w:szCs w:val="21"/>
                    </w:rPr>
                  </w:pPr>
                </w:p>
              </w:tc>
              <w:tc>
                <w:tcPr>
                  <w:tcW w:w="259" w:type="pct"/>
                  <w:vMerge w:val="continue"/>
                  <w:vAlign w:val="center"/>
                </w:tcPr>
                <w:p>
                  <w:pPr>
                    <w:widowControl/>
                    <w:jc w:val="center"/>
                    <w:textAlignment w:val="center"/>
                    <w:rPr>
                      <w:color w:val="auto"/>
                      <w:szCs w:val="21"/>
                    </w:rPr>
                  </w:pPr>
                </w:p>
              </w:tc>
              <w:tc>
                <w:tcPr>
                  <w:tcW w:w="203" w:type="pct"/>
                  <w:vAlign w:val="center"/>
                </w:tcPr>
                <w:p>
                  <w:pPr>
                    <w:widowControl/>
                    <w:adjustRightInd w:val="0"/>
                    <w:snapToGrid w:val="0"/>
                    <w:jc w:val="center"/>
                    <w:textAlignment w:val="center"/>
                    <w:rPr>
                      <w:color w:val="auto"/>
                      <w:szCs w:val="21"/>
                    </w:rPr>
                  </w:pPr>
                  <w:r>
                    <w:rPr>
                      <w:color w:val="auto"/>
                      <w:szCs w:val="21"/>
                    </w:rPr>
                    <w:t>北</w:t>
                  </w:r>
                </w:p>
              </w:tc>
              <w:tc>
                <w:tcPr>
                  <w:tcW w:w="303" w:type="pct"/>
                  <w:vAlign w:val="center"/>
                </w:tcPr>
                <w:p>
                  <w:pPr>
                    <w:widowControl/>
                    <w:jc w:val="center"/>
                    <w:textAlignment w:val="center"/>
                    <w:rPr>
                      <w:color w:val="auto"/>
                      <w:szCs w:val="21"/>
                    </w:rPr>
                  </w:pPr>
                  <w:r>
                    <w:rPr>
                      <w:color w:val="auto"/>
                      <w:szCs w:val="21"/>
                    </w:rPr>
                    <w:t>32</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45.9</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30.9</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rPr>
                      <w:color w:val="auto"/>
                      <w:szCs w:val="21"/>
                    </w:rPr>
                  </w:pPr>
                  <w:r>
                    <w:rPr>
                      <w:color w:val="auto"/>
                      <w:szCs w:val="21"/>
                    </w:rPr>
                    <w:t>19</w:t>
                  </w:r>
                </w:p>
              </w:tc>
              <w:tc>
                <w:tcPr>
                  <w:tcW w:w="263" w:type="pct"/>
                  <w:vMerge w:val="continue"/>
                  <w:vAlign w:val="center"/>
                </w:tcPr>
                <w:p>
                  <w:pPr>
                    <w:widowControl/>
                    <w:adjustRightInd w:val="0"/>
                    <w:snapToGrid w:val="0"/>
                    <w:jc w:val="center"/>
                    <w:rPr>
                      <w:color w:val="auto"/>
                      <w:szCs w:val="21"/>
                    </w:rPr>
                  </w:pPr>
                </w:p>
              </w:tc>
              <w:tc>
                <w:tcPr>
                  <w:tcW w:w="383" w:type="pct"/>
                  <w:vMerge w:val="restart"/>
                  <w:vAlign w:val="center"/>
                </w:tcPr>
                <w:p>
                  <w:pPr>
                    <w:snapToGrid w:val="0"/>
                    <w:jc w:val="center"/>
                    <w:rPr>
                      <w:color w:val="auto"/>
                      <w:szCs w:val="21"/>
                    </w:rPr>
                  </w:pPr>
                  <w:r>
                    <w:rPr>
                      <w:color w:val="auto"/>
                      <w:szCs w:val="21"/>
                    </w:rPr>
                    <w:t>2#退火炉</w:t>
                  </w:r>
                </w:p>
              </w:tc>
              <w:tc>
                <w:tcPr>
                  <w:tcW w:w="329" w:type="pct"/>
                  <w:vMerge w:val="restart"/>
                  <w:vAlign w:val="center"/>
                </w:tcPr>
                <w:p>
                  <w:pPr>
                    <w:snapToGrid w:val="0"/>
                    <w:jc w:val="center"/>
                    <w:rPr>
                      <w:color w:val="auto"/>
                      <w:szCs w:val="21"/>
                    </w:rPr>
                  </w:pPr>
                  <w:r>
                    <w:rPr>
                      <w:color w:val="auto"/>
                      <w:szCs w:val="21"/>
                    </w:rPr>
                    <w:t>RTP001</w:t>
                  </w:r>
                </w:p>
              </w:tc>
              <w:tc>
                <w:tcPr>
                  <w:tcW w:w="325" w:type="pct"/>
                  <w:vMerge w:val="restart"/>
                  <w:vAlign w:val="center"/>
                </w:tcPr>
                <w:p>
                  <w:pPr>
                    <w:widowControl/>
                    <w:adjustRightInd w:val="0"/>
                    <w:snapToGrid w:val="0"/>
                    <w:jc w:val="center"/>
                    <w:rPr>
                      <w:color w:val="auto"/>
                      <w:szCs w:val="21"/>
                    </w:rPr>
                  </w:pPr>
                  <w:r>
                    <w:rPr>
                      <w:color w:val="auto"/>
                      <w:szCs w:val="21"/>
                    </w:rPr>
                    <w:t>85</w:t>
                  </w:r>
                </w:p>
              </w:tc>
              <w:tc>
                <w:tcPr>
                  <w:tcW w:w="340" w:type="pct"/>
                  <w:vMerge w:val="continue"/>
                  <w:vAlign w:val="center"/>
                </w:tcPr>
                <w:p>
                  <w:pPr>
                    <w:widowControl/>
                    <w:adjustRightInd w:val="0"/>
                    <w:snapToGrid w:val="0"/>
                    <w:jc w:val="center"/>
                    <w:rPr>
                      <w:color w:val="auto"/>
                      <w:szCs w:val="21"/>
                    </w:rPr>
                  </w:pPr>
                </w:p>
              </w:tc>
              <w:tc>
                <w:tcPr>
                  <w:tcW w:w="287" w:type="pct"/>
                  <w:vMerge w:val="restart"/>
                  <w:vAlign w:val="center"/>
                </w:tcPr>
                <w:p>
                  <w:pPr>
                    <w:widowControl/>
                    <w:jc w:val="center"/>
                    <w:textAlignment w:val="center"/>
                    <w:rPr>
                      <w:color w:val="auto"/>
                      <w:szCs w:val="21"/>
                    </w:rPr>
                  </w:pPr>
                  <w:r>
                    <w:rPr>
                      <w:color w:val="auto"/>
                      <w:szCs w:val="21"/>
                    </w:rPr>
                    <w:t>16</w:t>
                  </w:r>
                </w:p>
              </w:tc>
              <w:tc>
                <w:tcPr>
                  <w:tcW w:w="263" w:type="pct"/>
                  <w:vMerge w:val="restart"/>
                  <w:vAlign w:val="center"/>
                </w:tcPr>
                <w:p>
                  <w:pPr>
                    <w:widowControl/>
                    <w:jc w:val="center"/>
                    <w:textAlignment w:val="center"/>
                    <w:rPr>
                      <w:color w:val="auto"/>
                      <w:szCs w:val="21"/>
                    </w:rPr>
                  </w:pPr>
                  <w:r>
                    <w:rPr>
                      <w:color w:val="auto"/>
                      <w:szCs w:val="21"/>
                    </w:rPr>
                    <w:t>17</w:t>
                  </w:r>
                </w:p>
              </w:tc>
              <w:tc>
                <w:tcPr>
                  <w:tcW w:w="259" w:type="pct"/>
                  <w:vMerge w:val="restart"/>
                  <w:vAlign w:val="center"/>
                </w:tcPr>
                <w:p>
                  <w:pPr>
                    <w:widowControl/>
                    <w:jc w:val="center"/>
                    <w:textAlignment w:val="center"/>
                    <w:rPr>
                      <w:color w:val="auto"/>
                      <w:szCs w:val="21"/>
                    </w:rPr>
                  </w:pPr>
                  <w:r>
                    <w:rPr>
                      <w:color w:val="auto"/>
                      <w:szCs w:val="21"/>
                    </w:rPr>
                    <w:t>0</w:t>
                  </w:r>
                </w:p>
              </w:tc>
              <w:tc>
                <w:tcPr>
                  <w:tcW w:w="203" w:type="pct"/>
                  <w:vAlign w:val="center"/>
                </w:tcPr>
                <w:p>
                  <w:pPr>
                    <w:widowControl/>
                    <w:adjustRightInd w:val="0"/>
                    <w:snapToGrid w:val="0"/>
                    <w:jc w:val="center"/>
                    <w:textAlignment w:val="center"/>
                    <w:rPr>
                      <w:color w:val="auto"/>
                      <w:szCs w:val="21"/>
                    </w:rPr>
                  </w:pPr>
                  <w:r>
                    <w:rPr>
                      <w:color w:val="auto"/>
                      <w:szCs w:val="21"/>
                    </w:rPr>
                    <w:t>东</w:t>
                  </w:r>
                </w:p>
              </w:tc>
              <w:tc>
                <w:tcPr>
                  <w:tcW w:w="303" w:type="pct"/>
                  <w:vAlign w:val="center"/>
                </w:tcPr>
                <w:p>
                  <w:pPr>
                    <w:widowControl/>
                    <w:jc w:val="center"/>
                    <w:textAlignment w:val="center"/>
                    <w:rPr>
                      <w:color w:val="auto"/>
                      <w:szCs w:val="21"/>
                    </w:rPr>
                  </w:pPr>
                  <w:r>
                    <w:rPr>
                      <w:color w:val="auto"/>
                      <w:szCs w:val="21"/>
                    </w:rPr>
                    <w:t>14</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53.1</w:t>
                  </w:r>
                </w:p>
              </w:tc>
              <w:tc>
                <w:tcPr>
                  <w:tcW w:w="239" w:type="pct"/>
                  <w:vMerge w:val="restart"/>
                  <w:vAlign w:val="center"/>
                </w:tcPr>
                <w:p>
                  <w:pPr>
                    <w:widowControl/>
                    <w:adjustRightInd w:val="0"/>
                    <w:snapToGrid w:val="0"/>
                    <w:jc w:val="center"/>
                    <w:textAlignment w:val="center"/>
                    <w:rPr>
                      <w:color w:val="auto"/>
                      <w:szCs w:val="21"/>
                    </w:rPr>
                  </w:pPr>
                  <w:r>
                    <w:rPr>
                      <w:rFonts w:hint="eastAsia"/>
                      <w:color w:val="auto"/>
                      <w:szCs w:val="21"/>
                    </w:rPr>
                    <w:t>昼夜</w:t>
                  </w:r>
                </w:p>
              </w:tc>
              <w:tc>
                <w:tcPr>
                  <w:tcW w:w="375" w:type="pct"/>
                  <w:vMerge w:val="restart"/>
                  <w:vAlign w:val="center"/>
                </w:tcPr>
                <w:p>
                  <w:pPr>
                    <w:widowControl/>
                    <w:adjustRightInd w:val="0"/>
                    <w:snapToGrid w:val="0"/>
                    <w:jc w:val="center"/>
                    <w:textAlignment w:val="center"/>
                    <w:rPr>
                      <w:color w:val="auto"/>
                      <w:szCs w:val="21"/>
                    </w:rPr>
                  </w:pPr>
                  <w:r>
                    <w:rPr>
                      <w:color w:val="auto"/>
                      <w:szCs w:val="21"/>
                    </w:rPr>
                    <w:t>15</w:t>
                  </w:r>
                </w:p>
              </w:tc>
              <w:tc>
                <w:tcPr>
                  <w:tcW w:w="920" w:type="dxa"/>
                  <w:vAlign w:val="center"/>
                </w:tcPr>
                <w:p>
                  <w:pPr>
                    <w:widowControl/>
                    <w:adjustRightInd w:val="0"/>
                    <w:snapToGrid w:val="0"/>
                    <w:jc w:val="center"/>
                    <w:textAlignment w:val="center"/>
                    <w:rPr>
                      <w:color w:val="auto"/>
                      <w:szCs w:val="21"/>
                    </w:rPr>
                  </w:pPr>
                  <w:r>
                    <w:rPr>
                      <w:rFonts w:hint="eastAsia"/>
                      <w:color w:val="auto"/>
                      <w:szCs w:val="21"/>
                    </w:rPr>
                    <w:t>38.1</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widowControl/>
                    <w:adjustRightInd w:val="0"/>
                    <w:snapToGrid w:val="0"/>
                    <w:jc w:val="center"/>
                    <w:rPr>
                      <w:color w:val="auto"/>
                      <w:szCs w:val="21"/>
                    </w:rPr>
                  </w:pPr>
                </w:p>
              </w:tc>
              <w:tc>
                <w:tcPr>
                  <w:tcW w:w="329" w:type="pct"/>
                  <w:vMerge w:val="continue"/>
                  <w:vAlign w:val="center"/>
                </w:tcPr>
                <w:p>
                  <w:pPr>
                    <w:widowControl/>
                    <w:adjustRightInd w:val="0"/>
                    <w:snapToGrid w:val="0"/>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widowControl/>
                    <w:jc w:val="center"/>
                    <w:textAlignment w:val="center"/>
                    <w:rPr>
                      <w:color w:val="auto"/>
                      <w:szCs w:val="21"/>
                    </w:rPr>
                  </w:pPr>
                </w:p>
              </w:tc>
              <w:tc>
                <w:tcPr>
                  <w:tcW w:w="263" w:type="pct"/>
                  <w:vMerge w:val="continue"/>
                  <w:vAlign w:val="center"/>
                </w:tcPr>
                <w:p>
                  <w:pPr>
                    <w:widowControl/>
                    <w:jc w:val="center"/>
                    <w:textAlignment w:val="center"/>
                    <w:rPr>
                      <w:color w:val="auto"/>
                      <w:szCs w:val="21"/>
                    </w:rPr>
                  </w:pPr>
                </w:p>
              </w:tc>
              <w:tc>
                <w:tcPr>
                  <w:tcW w:w="259" w:type="pct"/>
                  <w:vMerge w:val="continue"/>
                  <w:vAlign w:val="center"/>
                </w:tcPr>
                <w:p>
                  <w:pPr>
                    <w:widowControl/>
                    <w:jc w:val="center"/>
                    <w:textAlignment w:val="center"/>
                    <w:rPr>
                      <w:color w:val="auto"/>
                      <w:szCs w:val="21"/>
                    </w:rPr>
                  </w:pPr>
                </w:p>
              </w:tc>
              <w:tc>
                <w:tcPr>
                  <w:tcW w:w="203" w:type="pct"/>
                  <w:vAlign w:val="center"/>
                </w:tcPr>
                <w:p>
                  <w:pPr>
                    <w:widowControl/>
                    <w:adjustRightInd w:val="0"/>
                    <w:snapToGrid w:val="0"/>
                    <w:jc w:val="center"/>
                    <w:textAlignment w:val="center"/>
                    <w:rPr>
                      <w:color w:val="auto"/>
                      <w:szCs w:val="21"/>
                    </w:rPr>
                  </w:pPr>
                  <w:r>
                    <w:rPr>
                      <w:color w:val="auto"/>
                      <w:szCs w:val="21"/>
                    </w:rPr>
                    <w:t>南</w:t>
                  </w:r>
                </w:p>
              </w:tc>
              <w:tc>
                <w:tcPr>
                  <w:tcW w:w="303" w:type="pct"/>
                  <w:vAlign w:val="center"/>
                </w:tcPr>
                <w:p>
                  <w:pPr>
                    <w:widowControl/>
                    <w:jc w:val="center"/>
                    <w:textAlignment w:val="center"/>
                    <w:rPr>
                      <w:color w:val="auto"/>
                      <w:szCs w:val="21"/>
                    </w:rPr>
                  </w:pPr>
                  <w:r>
                    <w:rPr>
                      <w:color w:val="auto"/>
                      <w:szCs w:val="21"/>
                    </w:rPr>
                    <w:t>16</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51.9</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36.9</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jc w:val="center"/>
                    <w:textAlignment w:val="baseline"/>
                    <w:rPr>
                      <w:color w:val="auto"/>
                      <w:szCs w:val="21"/>
                    </w:rPr>
                  </w:pPr>
                </w:p>
              </w:tc>
              <w:tc>
                <w:tcPr>
                  <w:tcW w:w="329" w:type="pct"/>
                  <w:vMerge w:val="continue"/>
                  <w:vAlign w:val="center"/>
                </w:tcPr>
                <w:p>
                  <w:pPr>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widowControl/>
                    <w:jc w:val="center"/>
                    <w:textAlignment w:val="center"/>
                    <w:rPr>
                      <w:color w:val="auto"/>
                      <w:szCs w:val="21"/>
                    </w:rPr>
                  </w:pPr>
                </w:p>
              </w:tc>
              <w:tc>
                <w:tcPr>
                  <w:tcW w:w="263" w:type="pct"/>
                  <w:vMerge w:val="continue"/>
                  <w:vAlign w:val="center"/>
                </w:tcPr>
                <w:p>
                  <w:pPr>
                    <w:widowControl/>
                    <w:jc w:val="center"/>
                    <w:textAlignment w:val="center"/>
                    <w:rPr>
                      <w:color w:val="auto"/>
                      <w:szCs w:val="21"/>
                    </w:rPr>
                  </w:pPr>
                </w:p>
              </w:tc>
              <w:tc>
                <w:tcPr>
                  <w:tcW w:w="259" w:type="pct"/>
                  <w:vMerge w:val="continue"/>
                  <w:vAlign w:val="center"/>
                </w:tcPr>
                <w:p>
                  <w:pPr>
                    <w:widowControl/>
                    <w:jc w:val="center"/>
                    <w:textAlignment w:val="center"/>
                    <w:rPr>
                      <w:color w:val="auto"/>
                      <w:szCs w:val="21"/>
                    </w:rPr>
                  </w:pPr>
                </w:p>
              </w:tc>
              <w:tc>
                <w:tcPr>
                  <w:tcW w:w="203" w:type="pct"/>
                  <w:vAlign w:val="center"/>
                </w:tcPr>
                <w:p>
                  <w:pPr>
                    <w:widowControl/>
                    <w:adjustRightInd w:val="0"/>
                    <w:snapToGrid w:val="0"/>
                    <w:jc w:val="center"/>
                    <w:textAlignment w:val="center"/>
                    <w:rPr>
                      <w:color w:val="auto"/>
                      <w:szCs w:val="21"/>
                    </w:rPr>
                  </w:pPr>
                  <w:r>
                    <w:rPr>
                      <w:color w:val="auto"/>
                      <w:szCs w:val="21"/>
                    </w:rPr>
                    <w:t>西</w:t>
                  </w:r>
                </w:p>
              </w:tc>
              <w:tc>
                <w:tcPr>
                  <w:tcW w:w="303" w:type="pct"/>
                  <w:vAlign w:val="center"/>
                </w:tcPr>
                <w:p>
                  <w:pPr>
                    <w:widowControl/>
                    <w:jc w:val="center"/>
                    <w:textAlignment w:val="center"/>
                    <w:rPr>
                      <w:color w:val="auto"/>
                      <w:szCs w:val="21"/>
                    </w:rPr>
                  </w:pPr>
                  <w:r>
                    <w:rPr>
                      <w:color w:val="auto"/>
                      <w:szCs w:val="21"/>
                    </w:rPr>
                    <w:t>8</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57.9</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42.9</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widowControl/>
                    <w:adjustRightInd w:val="0"/>
                    <w:snapToGrid w:val="0"/>
                    <w:jc w:val="center"/>
                    <w:rPr>
                      <w:color w:val="auto"/>
                      <w:szCs w:val="21"/>
                    </w:rPr>
                  </w:pPr>
                </w:p>
              </w:tc>
              <w:tc>
                <w:tcPr>
                  <w:tcW w:w="329" w:type="pct"/>
                  <w:vMerge w:val="continue"/>
                  <w:vAlign w:val="center"/>
                </w:tcPr>
                <w:p>
                  <w:pPr>
                    <w:widowControl/>
                    <w:adjustRightInd w:val="0"/>
                    <w:snapToGrid w:val="0"/>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widowControl/>
                    <w:jc w:val="center"/>
                    <w:textAlignment w:val="center"/>
                    <w:rPr>
                      <w:color w:val="auto"/>
                      <w:szCs w:val="21"/>
                    </w:rPr>
                  </w:pPr>
                </w:p>
              </w:tc>
              <w:tc>
                <w:tcPr>
                  <w:tcW w:w="263" w:type="pct"/>
                  <w:vMerge w:val="continue"/>
                  <w:vAlign w:val="center"/>
                </w:tcPr>
                <w:p>
                  <w:pPr>
                    <w:widowControl/>
                    <w:jc w:val="center"/>
                    <w:textAlignment w:val="center"/>
                    <w:rPr>
                      <w:color w:val="auto"/>
                      <w:szCs w:val="21"/>
                    </w:rPr>
                  </w:pPr>
                </w:p>
              </w:tc>
              <w:tc>
                <w:tcPr>
                  <w:tcW w:w="259" w:type="pct"/>
                  <w:vMerge w:val="continue"/>
                  <w:vAlign w:val="center"/>
                </w:tcPr>
                <w:p>
                  <w:pPr>
                    <w:widowControl/>
                    <w:jc w:val="center"/>
                    <w:textAlignment w:val="center"/>
                    <w:rPr>
                      <w:color w:val="auto"/>
                      <w:szCs w:val="21"/>
                    </w:rPr>
                  </w:pPr>
                </w:p>
              </w:tc>
              <w:tc>
                <w:tcPr>
                  <w:tcW w:w="203" w:type="pct"/>
                  <w:vAlign w:val="center"/>
                </w:tcPr>
                <w:p>
                  <w:pPr>
                    <w:widowControl/>
                    <w:adjustRightInd w:val="0"/>
                    <w:snapToGrid w:val="0"/>
                    <w:jc w:val="center"/>
                    <w:textAlignment w:val="center"/>
                    <w:rPr>
                      <w:color w:val="auto"/>
                      <w:szCs w:val="21"/>
                    </w:rPr>
                  </w:pPr>
                  <w:r>
                    <w:rPr>
                      <w:color w:val="auto"/>
                      <w:szCs w:val="21"/>
                    </w:rPr>
                    <w:t>北</w:t>
                  </w:r>
                </w:p>
              </w:tc>
              <w:tc>
                <w:tcPr>
                  <w:tcW w:w="303" w:type="pct"/>
                  <w:vAlign w:val="center"/>
                </w:tcPr>
                <w:p>
                  <w:pPr>
                    <w:widowControl/>
                    <w:jc w:val="center"/>
                    <w:textAlignment w:val="center"/>
                    <w:rPr>
                      <w:color w:val="auto"/>
                      <w:szCs w:val="21"/>
                    </w:rPr>
                  </w:pPr>
                  <w:r>
                    <w:rPr>
                      <w:color w:val="auto"/>
                      <w:szCs w:val="21"/>
                    </w:rPr>
                    <w:t>32</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45.9</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30.9</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rPr>
                      <w:color w:val="auto"/>
                      <w:szCs w:val="21"/>
                    </w:rPr>
                  </w:pPr>
                  <w:r>
                    <w:rPr>
                      <w:color w:val="auto"/>
                      <w:szCs w:val="21"/>
                    </w:rPr>
                    <w:t>20</w:t>
                  </w:r>
                </w:p>
              </w:tc>
              <w:tc>
                <w:tcPr>
                  <w:tcW w:w="263" w:type="pct"/>
                  <w:vMerge w:val="continue"/>
                  <w:vAlign w:val="center"/>
                </w:tcPr>
                <w:p>
                  <w:pPr>
                    <w:widowControl/>
                    <w:adjustRightInd w:val="0"/>
                    <w:snapToGrid w:val="0"/>
                    <w:jc w:val="center"/>
                    <w:rPr>
                      <w:color w:val="auto"/>
                      <w:szCs w:val="21"/>
                    </w:rPr>
                  </w:pPr>
                </w:p>
              </w:tc>
              <w:tc>
                <w:tcPr>
                  <w:tcW w:w="383" w:type="pct"/>
                  <w:vMerge w:val="restart"/>
                  <w:vAlign w:val="center"/>
                </w:tcPr>
                <w:p>
                  <w:pPr>
                    <w:widowControl/>
                    <w:adjustRightInd w:val="0"/>
                    <w:snapToGrid w:val="0"/>
                    <w:jc w:val="center"/>
                    <w:rPr>
                      <w:color w:val="auto"/>
                      <w:szCs w:val="21"/>
                    </w:rPr>
                  </w:pPr>
                  <w:r>
                    <w:rPr>
                      <w:color w:val="auto"/>
                      <w:szCs w:val="21"/>
                    </w:rPr>
                    <w:t>1#风机</w:t>
                  </w:r>
                </w:p>
              </w:tc>
              <w:tc>
                <w:tcPr>
                  <w:tcW w:w="329" w:type="pct"/>
                  <w:vMerge w:val="restart"/>
                  <w:vAlign w:val="center"/>
                </w:tcPr>
                <w:p>
                  <w:pPr>
                    <w:widowControl/>
                    <w:adjustRightInd w:val="0"/>
                    <w:snapToGrid w:val="0"/>
                    <w:jc w:val="center"/>
                    <w:rPr>
                      <w:color w:val="auto"/>
                      <w:szCs w:val="21"/>
                    </w:rPr>
                  </w:pPr>
                  <w:r>
                    <w:rPr>
                      <w:rFonts w:hint="eastAsia"/>
                      <w:color w:val="auto"/>
                      <w:szCs w:val="21"/>
                    </w:rPr>
                    <w:t>48000</w:t>
                  </w:r>
                  <w:r>
                    <w:rPr>
                      <w:color w:val="auto"/>
                      <w:szCs w:val="21"/>
                    </w:rPr>
                    <w:t>m</w:t>
                  </w:r>
                  <w:r>
                    <w:rPr>
                      <w:color w:val="auto"/>
                      <w:szCs w:val="21"/>
                      <w:vertAlign w:val="superscript"/>
                    </w:rPr>
                    <w:t>3</w:t>
                  </w:r>
                  <w:r>
                    <w:rPr>
                      <w:color w:val="auto"/>
                      <w:szCs w:val="21"/>
                    </w:rPr>
                    <w:t>/h</w:t>
                  </w:r>
                </w:p>
              </w:tc>
              <w:tc>
                <w:tcPr>
                  <w:tcW w:w="325" w:type="pct"/>
                  <w:vMerge w:val="restart"/>
                  <w:vAlign w:val="center"/>
                </w:tcPr>
                <w:p>
                  <w:pPr>
                    <w:widowControl/>
                    <w:adjustRightInd w:val="0"/>
                    <w:snapToGrid w:val="0"/>
                    <w:jc w:val="center"/>
                    <w:rPr>
                      <w:color w:val="auto"/>
                      <w:szCs w:val="21"/>
                    </w:rPr>
                  </w:pPr>
                  <w:r>
                    <w:rPr>
                      <w:color w:val="auto"/>
                      <w:szCs w:val="21"/>
                    </w:rPr>
                    <w:t>90</w:t>
                  </w:r>
                </w:p>
              </w:tc>
              <w:tc>
                <w:tcPr>
                  <w:tcW w:w="340" w:type="pct"/>
                  <w:vMerge w:val="continue"/>
                  <w:vAlign w:val="center"/>
                </w:tcPr>
                <w:p>
                  <w:pPr>
                    <w:widowControl/>
                    <w:adjustRightInd w:val="0"/>
                    <w:snapToGrid w:val="0"/>
                    <w:jc w:val="center"/>
                    <w:rPr>
                      <w:color w:val="auto"/>
                      <w:szCs w:val="21"/>
                    </w:rPr>
                  </w:pPr>
                </w:p>
              </w:tc>
              <w:tc>
                <w:tcPr>
                  <w:tcW w:w="287" w:type="pct"/>
                  <w:vMerge w:val="restart"/>
                  <w:vAlign w:val="center"/>
                </w:tcPr>
                <w:p>
                  <w:pPr>
                    <w:widowControl/>
                    <w:jc w:val="center"/>
                    <w:textAlignment w:val="center"/>
                    <w:rPr>
                      <w:color w:val="auto"/>
                      <w:szCs w:val="21"/>
                    </w:rPr>
                  </w:pPr>
                  <w:r>
                    <w:rPr>
                      <w:color w:val="auto"/>
                      <w:szCs w:val="21"/>
                    </w:rPr>
                    <w:t>10</w:t>
                  </w:r>
                </w:p>
              </w:tc>
              <w:tc>
                <w:tcPr>
                  <w:tcW w:w="263" w:type="pct"/>
                  <w:vMerge w:val="restart"/>
                  <w:vAlign w:val="center"/>
                </w:tcPr>
                <w:p>
                  <w:pPr>
                    <w:widowControl/>
                    <w:jc w:val="center"/>
                    <w:textAlignment w:val="center"/>
                    <w:rPr>
                      <w:color w:val="auto"/>
                      <w:szCs w:val="21"/>
                    </w:rPr>
                  </w:pPr>
                  <w:r>
                    <w:rPr>
                      <w:color w:val="auto"/>
                      <w:szCs w:val="21"/>
                    </w:rPr>
                    <w:t>16</w:t>
                  </w:r>
                </w:p>
              </w:tc>
              <w:tc>
                <w:tcPr>
                  <w:tcW w:w="259" w:type="pct"/>
                  <w:vMerge w:val="restart"/>
                  <w:vAlign w:val="center"/>
                </w:tcPr>
                <w:p>
                  <w:pPr>
                    <w:widowControl/>
                    <w:jc w:val="center"/>
                    <w:textAlignment w:val="center"/>
                    <w:rPr>
                      <w:color w:val="auto"/>
                      <w:szCs w:val="21"/>
                    </w:rPr>
                  </w:pPr>
                  <w:r>
                    <w:rPr>
                      <w:color w:val="auto"/>
                      <w:szCs w:val="21"/>
                    </w:rPr>
                    <w:t>0</w:t>
                  </w:r>
                </w:p>
              </w:tc>
              <w:tc>
                <w:tcPr>
                  <w:tcW w:w="203" w:type="pct"/>
                  <w:vAlign w:val="center"/>
                </w:tcPr>
                <w:p>
                  <w:pPr>
                    <w:widowControl/>
                    <w:adjustRightInd w:val="0"/>
                    <w:snapToGrid w:val="0"/>
                    <w:jc w:val="center"/>
                    <w:textAlignment w:val="center"/>
                    <w:rPr>
                      <w:color w:val="auto"/>
                      <w:szCs w:val="21"/>
                    </w:rPr>
                  </w:pPr>
                  <w:r>
                    <w:rPr>
                      <w:color w:val="auto"/>
                      <w:szCs w:val="21"/>
                    </w:rPr>
                    <w:t>东</w:t>
                  </w:r>
                </w:p>
              </w:tc>
              <w:tc>
                <w:tcPr>
                  <w:tcW w:w="303" w:type="pct"/>
                  <w:vAlign w:val="center"/>
                </w:tcPr>
                <w:p>
                  <w:pPr>
                    <w:widowControl/>
                    <w:jc w:val="center"/>
                    <w:textAlignment w:val="center"/>
                    <w:rPr>
                      <w:color w:val="auto"/>
                      <w:szCs w:val="21"/>
                    </w:rPr>
                  </w:pPr>
                  <w:r>
                    <w:rPr>
                      <w:color w:val="auto"/>
                      <w:szCs w:val="21"/>
                    </w:rPr>
                    <w:t>20</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55</w:t>
                  </w:r>
                </w:p>
              </w:tc>
              <w:tc>
                <w:tcPr>
                  <w:tcW w:w="239" w:type="pct"/>
                  <w:vMerge w:val="restart"/>
                  <w:vAlign w:val="center"/>
                </w:tcPr>
                <w:p>
                  <w:pPr>
                    <w:widowControl/>
                    <w:adjustRightInd w:val="0"/>
                    <w:snapToGrid w:val="0"/>
                    <w:jc w:val="center"/>
                    <w:textAlignment w:val="center"/>
                    <w:rPr>
                      <w:color w:val="auto"/>
                      <w:szCs w:val="21"/>
                    </w:rPr>
                  </w:pPr>
                  <w:r>
                    <w:rPr>
                      <w:rFonts w:hint="eastAsia"/>
                      <w:color w:val="auto"/>
                      <w:szCs w:val="21"/>
                    </w:rPr>
                    <w:t>昼夜</w:t>
                  </w:r>
                </w:p>
              </w:tc>
              <w:tc>
                <w:tcPr>
                  <w:tcW w:w="375" w:type="pct"/>
                  <w:vMerge w:val="restart"/>
                  <w:vAlign w:val="center"/>
                </w:tcPr>
                <w:p>
                  <w:pPr>
                    <w:widowControl/>
                    <w:adjustRightInd w:val="0"/>
                    <w:snapToGrid w:val="0"/>
                    <w:jc w:val="center"/>
                    <w:textAlignment w:val="center"/>
                    <w:rPr>
                      <w:color w:val="auto"/>
                      <w:szCs w:val="21"/>
                    </w:rPr>
                  </w:pPr>
                  <w:r>
                    <w:rPr>
                      <w:color w:val="auto"/>
                      <w:szCs w:val="21"/>
                    </w:rPr>
                    <w:t>15</w:t>
                  </w:r>
                </w:p>
              </w:tc>
              <w:tc>
                <w:tcPr>
                  <w:tcW w:w="920" w:type="dxa"/>
                  <w:vAlign w:val="center"/>
                </w:tcPr>
                <w:p>
                  <w:pPr>
                    <w:widowControl/>
                    <w:adjustRightInd w:val="0"/>
                    <w:snapToGrid w:val="0"/>
                    <w:jc w:val="center"/>
                    <w:textAlignment w:val="center"/>
                    <w:rPr>
                      <w:color w:val="auto"/>
                      <w:szCs w:val="21"/>
                    </w:rPr>
                  </w:pPr>
                  <w:r>
                    <w:rPr>
                      <w:rFonts w:hint="eastAsia"/>
                      <w:color w:val="auto"/>
                      <w:szCs w:val="21"/>
                    </w:rPr>
                    <w:t>40</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widowControl/>
                    <w:adjustRightInd w:val="0"/>
                    <w:snapToGrid w:val="0"/>
                    <w:jc w:val="center"/>
                    <w:rPr>
                      <w:color w:val="auto"/>
                      <w:szCs w:val="21"/>
                    </w:rPr>
                  </w:pPr>
                </w:p>
              </w:tc>
              <w:tc>
                <w:tcPr>
                  <w:tcW w:w="329" w:type="pct"/>
                  <w:vMerge w:val="continue"/>
                  <w:vAlign w:val="center"/>
                </w:tcPr>
                <w:p>
                  <w:pPr>
                    <w:widowControl/>
                    <w:adjustRightInd w:val="0"/>
                    <w:snapToGrid w:val="0"/>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widowControl/>
                    <w:jc w:val="center"/>
                    <w:textAlignment w:val="center"/>
                    <w:rPr>
                      <w:color w:val="auto"/>
                      <w:szCs w:val="21"/>
                    </w:rPr>
                  </w:pPr>
                </w:p>
              </w:tc>
              <w:tc>
                <w:tcPr>
                  <w:tcW w:w="263" w:type="pct"/>
                  <w:vMerge w:val="continue"/>
                  <w:vAlign w:val="center"/>
                </w:tcPr>
                <w:p>
                  <w:pPr>
                    <w:widowControl/>
                    <w:jc w:val="center"/>
                    <w:textAlignment w:val="center"/>
                    <w:rPr>
                      <w:color w:val="auto"/>
                      <w:szCs w:val="21"/>
                    </w:rPr>
                  </w:pPr>
                </w:p>
              </w:tc>
              <w:tc>
                <w:tcPr>
                  <w:tcW w:w="259" w:type="pct"/>
                  <w:vMerge w:val="continue"/>
                  <w:vAlign w:val="center"/>
                </w:tcPr>
                <w:p>
                  <w:pPr>
                    <w:widowControl/>
                    <w:jc w:val="center"/>
                    <w:textAlignment w:val="center"/>
                    <w:rPr>
                      <w:color w:val="auto"/>
                      <w:szCs w:val="21"/>
                    </w:rPr>
                  </w:pPr>
                </w:p>
              </w:tc>
              <w:tc>
                <w:tcPr>
                  <w:tcW w:w="203" w:type="pct"/>
                  <w:vAlign w:val="center"/>
                </w:tcPr>
                <w:p>
                  <w:pPr>
                    <w:widowControl/>
                    <w:adjustRightInd w:val="0"/>
                    <w:snapToGrid w:val="0"/>
                    <w:jc w:val="center"/>
                    <w:textAlignment w:val="center"/>
                    <w:rPr>
                      <w:color w:val="auto"/>
                      <w:szCs w:val="21"/>
                    </w:rPr>
                  </w:pPr>
                  <w:r>
                    <w:rPr>
                      <w:color w:val="auto"/>
                      <w:szCs w:val="21"/>
                    </w:rPr>
                    <w:t>南</w:t>
                  </w:r>
                </w:p>
              </w:tc>
              <w:tc>
                <w:tcPr>
                  <w:tcW w:w="303" w:type="pct"/>
                  <w:vAlign w:val="center"/>
                </w:tcPr>
                <w:p>
                  <w:pPr>
                    <w:widowControl/>
                    <w:jc w:val="center"/>
                    <w:textAlignment w:val="center"/>
                    <w:rPr>
                      <w:color w:val="auto"/>
                      <w:szCs w:val="21"/>
                    </w:rPr>
                  </w:pPr>
                  <w:r>
                    <w:rPr>
                      <w:color w:val="auto"/>
                      <w:szCs w:val="21"/>
                    </w:rPr>
                    <w:t>15</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57.5</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42.5</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widowControl/>
                    <w:adjustRightInd w:val="0"/>
                    <w:snapToGrid w:val="0"/>
                    <w:jc w:val="center"/>
                    <w:rPr>
                      <w:color w:val="auto"/>
                      <w:szCs w:val="21"/>
                    </w:rPr>
                  </w:pPr>
                </w:p>
              </w:tc>
              <w:tc>
                <w:tcPr>
                  <w:tcW w:w="329" w:type="pct"/>
                  <w:vMerge w:val="continue"/>
                  <w:vAlign w:val="center"/>
                </w:tcPr>
                <w:p>
                  <w:pPr>
                    <w:widowControl/>
                    <w:adjustRightInd w:val="0"/>
                    <w:snapToGrid w:val="0"/>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widowControl/>
                    <w:jc w:val="center"/>
                    <w:textAlignment w:val="center"/>
                    <w:rPr>
                      <w:color w:val="auto"/>
                      <w:szCs w:val="21"/>
                    </w:rPr>
                  </w:pPr>
                </w:p>
              </w:tc>
              <w:tc>
                <w:tcPr>
                  <w:tcW w:w="263" w:type="pct"/>
                  <w:vMerge w:val="continue"/>
                  <w:vAlign w:val="center"/>
                </w:tcPr>
                <w:p>
                  <w:pPr>
                    <w:widowControl/>
                    <w:jc w:val="center"/>
                    <w:textAlignment w:val="center"/>
                    <w:rPr>
                      <w:color w:val="auto"/>
                      <w:szCs w:val="21"/>
                    </w:rPr>
                  </w:pPr>
                </w:p>
              </w:tc>
              <w:tc>
                <w:tcPr>
                  <w:tcW w:w="259" w:type="pct"/>
                  <w:vMerge w:val="continue"/>
                  <w:vAlign w:val="center"/>
                </w:tcPr>
                <w:p>
                  <w:pPr>
                    <w:widowControl/>
                    <w:jc w:val="center"/>
                    <w:textAlignment w:val="center"/>
                    <w:rPr>
                      <w:color w:val="auto"/>
                      <w:szCs w:val="21"/>
                    </w:rPr>
                  </w:pPr>
                </w:p>
              </w:tc>
              <w:tc>
                <w:tcPr>
                  <w:tcW w:w="203" w:type="pct"/>
                  <w:vAlign w:val="center"/>
                </w:tcPr>
                <w:p>
                  <w:pPr>
                    <w:widowControl/>
                    <w:adjustRightInd w:val="0"/>
                    <w:snapToGrid w:val="0"/>
                    <w:jc w:val="center"/>
                    <w:textAlignment w:val="center"/>
                    <w:rPr>
                      <w:color w:val="auto"/>
                      <w:szCs w:val="21"/>
                    </w:rPr>
                  </w:pPr>
                  <w:r>
                    <w:rPr>
                      <w:color w:val="auto"/>
                      <w:szCs w:val="21"/>
                    </w:rPr>
                    <w:t>西</w:t>
                  </w:r>
                </w:p>
              </w:tc>
              <w:tc>
                <w:tcPr>
                  <w:tcW w:w="303" w:type="pct"/>
                  <w:vAlign w:val="center"/>
                </w:tcPr>
                <w:p>
                  <w:pPr>
                    <w:widowControl/>
                    <w:jc w:val="center"/>
                    <w:textAlignment w:val="center"/>
                    <w:rPr>
                      <w:color w:val="auto"/>
                      <w:szCs w:val="21"/>
                    </w:rPr>
                  </w:pPr>
                  <w:r>
                    <w:rPr>
                      <w:color w:val="auto"/>
                      <w:szCs w:val="21"/>
                    </w:rPr>
                    <w:t>2</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63.1</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39.1</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widowControl/>
                    <w:adjustRightInd w:val="0"/>
                    <w:snapToGrid w:val="0"/>
                    <w:jc w:val="center"/>
                    <w:rPr>
                      <w:color w:val="auto"/>
                      <w:szCs w:val="21"/>
                    </w:rPr>
                  </w:pPr>
                </w:p>
              </w:tc>
              <w:tc>
                <w:tcPr>
                  <w:tcW w:w="329" w:type="pct"/>
                  <w:vMerge w:val="continue"/>
                  <w:vAlign w:val="center"/>
                </w:tcPr>
                <w:p>
                  <w:pPr>
                    <w:widowControl/>
                    <w:adjustRightInd w:val="0"/>
                    <w:snapToGrid w:val="0"/>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widowControl/>
                    <w:jc w:val="center"/>
                    <w:textAlignment w:val="center"/>
                    <w:rPr>
                      <w:color w:val="auto"/>
                      <w:szCs w:val="21"/>
                    </w:rPr>
                  </w:pPr>
                </w:p>
              </w:tc>
              <w:tc>
                <w:tcPr>
                  <w:tcW w:w="263" w:type="pct"/>
                  <w:vMerge w:val="continue"/>
                  <w:vAlign w:val="center"/>
                </w:tcPr>
                <w:p>
                  <w:pPr>
                    <w:widowControl/>
                    <w:jc w:val="center"/>
                    <w:textAlignment w:val="center"/>
                    <w:rPr>
                      <w:color w:val="auto"/>
                      <w:szCs w:val="21"/>
                    </w:rPr>
                  </w:pPr>
                </w:p>
              </w:tc>
              <w:tc>
                <w:tcPr>
                  <w:tcW w:w="259" w:type="pct"/>
                  <w:vMerge w:val="continue"/>
                  <w:vAlign w:val="center"/>
                </w:tcPr>
                <w:p>
                  <w:pPr>
                    <w:widowControl/>
                    <w:jc w:val="center"/>
                    <w:textAlignment w:val="center"/>
                    <w:rPr>
                      <w:color w:val="auto"/>
                      <w:szCs w:val="21"/>
                    </w:rPr>
                  </w:pPr>
                </w:p>
              </w:tc>
              <w:tc>
                <w:tcPr>
                  <w:tcW w:w="203" w:type="pct"/>
                  <w:vAlign w:val="center"/>
                </w:tcPr>
                <w:p>
                  <w:pPr>
                    <w:widowControl/>
                    <w:adjustRightInd w:val="0"/>
                    <w:snapToGrid w:val="0"/>
                    <w:jc w:val="center"/>
                    <w:textAlignment w:val="center"/>
                    <w:rPr>
                      <w:color w:val="auto"/>
                      <w:szCs w:val="21"/>
                    </w:rPr>
                  </w:pPr>
                  <w:r>
                    <w:rPr>
                      <w:color w:val="auto"/>
                      <w:szCs w:val="21"/>
                    </w:rPr>
                    <w:t>北</w:t>
                  </w:r>
                </w:p>
              </w:tc>
              <w:tc>
                <w:tcPr>
                  <w:tcW w:w="303" w:type="pct"/>
                  <w:vAlign w:val="center"/>
                </w:tcPr>
                <w:p>
                  <w:pPr>
                    <w:widowControl/>
                    <w:jc w:val="center"/>
                    <w:textAlignment w:val="center"/>
                    <w:rPr>
                      <w:color w:val="auto"/>
                      <w:szCs w:val="21"/>
                    </w:rPr>
                  </w:pPr>
                  <w:r>
                    <w:rPr>
                      <w:color w:val="auto"/>
                      <w:szCs w:val="21"/>
                    </w:rPr>
                    <w:t>34</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50.4</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35.4</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rPr>
                      <w:color w:val="auto"/>
                      <w:szCs w:val="21"/>
                    </w:rPr>
                  </w:pPr>
                  <w:r>
                    <w:rPr>
                      <w:color w:val="auto"/>
                      <w:szCs w:val="21"/>
                    </w:rPr>
                    <w:t>21</w:t>
                  </w:r>
                </w:p>
              </w:tc>
              <w:tc>
                <w:tcPr>
                  <w:tcW w:w="263" w:type="pct"/>
                  <w:vMerge w:val="continue"/>
                  <w:vAlign w:val="center"/>
                </w:tcPr>
                <w:p>
                  <w:pPr>
                    <w:widowControl/>
                    <w:adjustRightInd w:val="0"/>
                    <w:snapToGrid w:val="0"/>
                    <w:jc w:val="center"/>
                    <w:rPr>
                      <w:color w:val="auto"/>
                      <w:szCs w:val="21"/>
                    </w:rPr>
                  </w:pPr>
                </w:p>
              </w:tc>
              <w:tc>
                <w:tcPr>
                  <w:tcW w:w="383" w:type="pct"/>
                  <w:vMerge w:val="restart"/>
                  <w:vAlign w:val="center"/>
                </w:tcPr>
                <w:p>
                  <w:pPr>
                    <w:widowControl/>
                    <w:adjustRightInd w:val="0"/>
                    <w:snapToGrid w:val="0"/>
                    <w:jc w:val="center"/>
                    <w:rPr>
                      <w:color w:val="auto"/>
                      <w:szCs w:val="21"/>
                    </w:rPr>
                  </w:pPr>
                  <w:r>
                    <w:rPr>
                      <w:color w:val="auto"/>
                      <w:szCs w:val="21"/>
                    </w:rPr>
                    <w:t>1#空压机</w:t>
                  </w:r>
                </w:p>
              </w:tc>
              <w:tc>
                <w:tcPr>
                  <w:tcW w:w="329" w:type="pct"/>
                  <w:vMerge w:val="restart"/>
                  <w:vAlign w:val="center"/>
                </w:tcPr>
                <w:p>
                  <w:pPr>
                    <w:widowControl/>
                    <w:adjustRightInd w:val="0"/>
                    <w:snapToGrid w:val="0"/>
                    <w:jc w:val="center"/>
                    <w:rPr>
                      <w:color w:val="auto"/>
                      <w:szCs w:val="21"/>
                    </w:rPr>
                  </w:pPr>
                  <w:r>
                    <w:rPr>
                      <w:color w:val="auto"/>
                      <w:szCs w:val="21"/>
                    </w:rPr>
                    <w:t>/</w:t>
                  </w:r>
                </w:p>
              </w:tc>
              <w:tc>
                <w:tcPr>
                  <w:tcW w:w="325" w:type="pct"/>
                  <w:vMerge w:val="restart"/>
                  <w:vAlign w:val="center"/>
                </w:tcPr>
                <w:p>
                  <w:pPr>
                    <w:widowControl/>
                    <w:adjustRightInd w:val="0"/>
                    <w:snapToGrid w:val="0"/>
                    <w:jc w:val="center"/>
                    <w:rPr>
                      <w:color w:val="auto"/>
                      <w:szCs w:val="21"/>
                    </w:rPr>
                  </w:pPr>
                  <w:r>
                    <w:rPr>
                      <w:color w:val="auto"/>
                      <w:szCs w:val="21"/>
                    </w:rPr>
                    <w:t>95</w:t>
                  </w:r>
                </w:p>
              </w:tc>
              <w:tc>
                <w:tcPr>
                  <w:tcW w:w="340" w:type="pct"/>
                  <w:vMerge w:val="continue"/>
                  <w:vAlign w:val="center"/>
                </w:tcPr>
                <w:p>
                  <w:pPr>
                    <w:widowControl/>
                    <w:adjustRightInd w:val="0"/>
                    <w:snapToGrid w:val="0"/>
                    <w:jc w:val="center"/>
                    <w:rPr>
                      <w:color w:val="auto"/>
                      <w:szCs w:val="21"/>
                    </w:rPr>
                  </w:pPr>
                </w:p>
              </w:tc>
              <w:tc>
                <w:tcPr>
                  <w:tcW w:w="287" w:type="pct"/>
                  <w:vMerge w:val="restart"/>
                  <w:vAlign w:val="center"/>
                </w:tcPr>
                <w:p>
                  <w:pPr>
                    <w:widowControl/>
                    <w:jc w:val="center"/>
                    <w:textAlignment w:val="center"/>
                    <w:rPr>
                      <w:color w:val="auto"/>
                      <w:szCs w:val="21"/>
                    </w:rPr>
                  </w:pPr>
                  <w:r>
                    <w:rPr>
                      <w:color w:val="auto"/>
                      <w:szCs w:val="21"/>
                    </w:rPr>
                    <w:t>10</w:t>
                  </w:r>
                </w:p>
              </w:tc>
              <w:tc>
                <w:tcPr>
                  <w:tcW w:w="263" w:type="pct"/>
                  <w:vMerge w:val="restart"/>
                  <w:vAlign w:val="center"/>
                </w:tcPr>
                <w:p>
                  <w:pPr>
                    <w:widowControl/>
                    <w:jc w:val="center"/>
                    <w:textAlignment w:val="center"/>
                    <w:rPr>
                      <w:color w:val="auto"/>
                      <w:szCs w:val="21"/>
                    </w:rPr>
                  </w:pPr>
                  <w:r>
                    <w:rPr>
                      <w:color w:val="auto"/>
                      <w:szCs w:val="21"/>
                    </w:rPr>
                    <w:t>18</w:t>
                  </w:r>
                </w:p>
              </w:tc>
              <w:tc>
                <w:tcPr>
                  <w:tcW w:w="259" w:type="pct"/>
                  <w:vMerge w:val="restart"/>
                  <w:vAlign w:val="center"/>
                </w:tcPr>
                <w:p>
                  <w:pPr>
                    <w:widowControl/>
                    <w:jc w:val="center"/>
                    <w:textAlignment w:val="center"/>
                    <w:rPr>
                      <w:color w:val="auto"/>
                      <w:szCs w:val="21"/>
                    </w:rPr>
                  </w:pPr>
                  <w:r>
                    <w:rPr>
                      <w:color w:val="auto"/>
                      <w:szCs w:val="21"/>
                    </w:rPr>
                    <w:t>0</w:t>
                  </w:r>
                </w:p>
              </w:tc>
              <w:tc>
                <w:tcPr>
                  <w:tcW w:w="203" w:type="pct"/>
                  <w:vAlign w:val="center"/>
                </w:tcPr>
                <w:p>
                  <w:pPr>
                    <w:widowControl/>
                    <w:adjustRightInd w:val="0"/>
                    <w:snapToGrid w:val="0"/>
                    <w:jc w:val="center"/>
                    <w:textAlignment w:val="center"/>
                    <w:rPr>
                      <w:color w:val="auto"/>
                      <w:szCs w:val="21"/>
                    </w:rPr>
                  </w:pPr>
                  <w:r>
                    <w:rPr>
                      <w:color w:val="auto"/>
                      <w:szCs w:val="21"/>
                    </w:rPr>
                    <w:t>东</w:t>
                  </w:r>
                </w:p>
              </w:tc>
              <w:tc>
                <w:tcPr>
                  <w:tcW w:w="303" w:type="pct"/>
                  <w:vAlign w:val="center"/>
                </w:tcPr>
                <w:p>
                  <w:pPr>
                    <w:widowControl/>
                    <w:jc w:val="center"/>
                    <w:textAlignment w:val="center"/>
                    <w:rPr>
                      <w:color w:val="auto"/>
                      <w:szCs w:val="21"/>
                    </w:rPr>
                  </w:pPr>
                  <w:r>
                    <w:rPr>
                      <w:color w:val="auto"/>
                      <w:szCs w:val="21"/>
                    </w:rPr>
                    <w:t>20</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60</w:t>
                  </w:r>
                </w:p>
              </w:tc>
              <w:tc>
                <w:tcPr>
                  <w:tcW w:w="239" w:type="pct"/>
                  <w:vMerge w:val="restart"/>
                  <w:vAlign w:val="center"/>
                </w:tcPr>
                <w:p>
                  <w:pPr>
                    <w:widowControl/>
                    <w:adjustRightInd w:val="0"/>
                    <w:snapToGrid w:val="0"/>
                    <w:jc w:val="center"/>
                    <w:textAlignment w:val="center"/>
                    <w:rPr>
                      <w:color w:val="auto"/>
                      <w:szCs w:val="21"/>
                    </w:rPr>
                  </w:pPr>
                  <w:r>
                    <w:rPr>
                      <w:rFonts w:hint="eastAsia"/>
                      <w:color w:val="auto"/>
                      <w:szCs w:val="21"/>
                    </w:rPr>
                    <w:t>昼夜</w:t>
                  </w:r>
                </w:p>
              </w:tc>
              <w:tc>
                <w:tcPr>
                  <w:tcW w:w="375" w:type="pct"/>
                  <w:vMerge w:val="restart"/>
                  <w:vAlign w:val="center"/>
                </w:tcPr>
                <w:p>
                  <w:pPr>
                    <w:widowControl/>
                    <w:adjustRightInd w:val="0"/>
                    <w:snapToGrid w:val="0"/>
                    <w:jc w:val="center"/>
                    <w:textAlignment w:val="center"/>
                    <w:rPr>
                      <w:color w:val="auto"/>
                      <w:szCs w:val="21"/>
                    </w:rPr>
                  </w:pPr>
                  <w:r>
                    <w:rPr>
                      <w:color w:val="auto"/>
                      <w:szCs w:val="21"/>
                    </w:rPr>
                    <w:t>15</w:t>
                  </w:r>
                </w:p>
              </w:tc>
              <w:tc>
                <w:tcPr>
                  <w:tcW w:w="920" w:type="dxa"/>
                  <w:vAlign w:val="center"/>
                </w:tcPr>
                <w:p>
                  <w:pPr>
                    <w:widowControl/>
                    <w:adjustRightInd w:val="0"/>
                    <w:snapToGrid w:val="0"/>
                    <w:jc w:val="center"/>
                    <w:textAlignment w:val="center"/>
                    <w:rPr>
                      <w:color w:val="auto"/>
                      <w:szCs w:val="21"/>
                    </w:rPr>
                  </w:pPr>
                  <w:r>
                    <w:rPr>
                      <w:rFonts w:hint="eastAsia"/>
                      <w:color w:val="auto"/>
                      <w:szCs w:val="21"/>
                    </w:rPr>
                    <w:t>45</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widowControl/>
                    <w:adjustRightInd w:val="0"/>
                    <w:snapToGrid w:val="0"/>
                    <w:jc w:val="center"/>
                    <w:rPr>
                      <w:color w:val="auto"/>
                      <w:szCs w:val="21"/>
                    </w:rPr>
                  </w:pPr>
                </w:p>
              </w:tc>
              <w:tc>
                <w:tcPr>
                  <w:tcW w:w="329" w:type="pct"/>
                  <w:vMerge w:val="continue"/>
                  <w:vAlign w:val="center"/>
                </w:tcPr>
                <w:p>
                  <w:pPr>
                    <w:widowControl/>
                    <w:adjustRightInd w:val="0"/>
                    <w:snapToGrid w:val="0"/>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widowControl/>
                    <w:jc w:val="center"/>
                    <w:textAlignment w:val="center"/>
                    <w:rPr>
                      <w:color w:val="auto"/>
                      <w:szCs w:val="21"/>
                    </w:rPr>
                  </w:pPr>
                </w:p>
              </w:tc>
              <w:tc>
                <w:tcPr>
                  <w:tcW w:w="263" w:type="pct"/>
                  <w:vMerge w:val="continue"/>
                  <w:vAlign w:val="center"/>
                </w:tcPr>
                <w:p>
                  <w:pPr>
                    <w:widowControl/>
                    <w:jc w:val="center"/>
                    <w:textAlignment w:val="center"/>
                    <w:rPr>
                      <w:color w:val="auto"/>
                      <w:szCs w:val="21"/>
                    </w:rPr>
                  </w:pPr>
                </w:p>
              </w:tc>
              <w:tc>
                <w:tcPr>
                  <w:tcW w:w="259" w:type="pct"/>
                  <w:vMerge w:val="continue"/>
                  <w:vAlign w:val="center"/>
                </w:tcPr>
                <w:p>
                  <w:pPr>
                    <w:widowControl/>
                    <w:jc w:val="center"/>
                    <w:textAlignment w:val="center"/>
                    <w:rPr>
                      <w:color w:val="auto"/>
                      <w:szCs w:val="21"/>
                    </w:rPr>
                  </w:pPr>
                </w:p>
              </w:tc>
              <w:tc>
                <w:tcPr>
                  <w:tcW w:w="203" w:type="pct"/>
                  <w:vAlign w:val="center"/>
                </w:tcPr>
                <w:p>
                  <w:pPr>
                    <w:widowControl/>
                    <w:adjustRightInd w:val="0"/>
                    <w:snapToGrid w:val="0"/>
                    <w:jc w:val="center"/>
                    <w:textAlignment w:val="center"/>
                    <w:rPr>
                      <w:color w:val="auto"/>
                    </w:rPr>
                  </w:pPr>
                  <w:r>
                    <w:rPr>
                      <w:color w:val="auto"/>
                      <w:szCs w:val="21"/>
                    </w:rPr>
                    <w:t>南</w:t>
                  </w:r>
                </w:p>
              </w:tc>
              <w:tc>
                <w:tcPr>
                  <w:tcW w:w="303" w:type="pct"/>
                  <w:vAlign w:val="center"/>
                </w:tcPr>
                <w:p>
                  <w:pPr>
                    <w:widowControl/>
                    <w:jc w:val="center"/>
                    <w:textAlignment w:val="center"/>
                    <w:rPr>
                      <w:color w:val="auto"/>
                      <w:szCs w:val="21"/>
                    </w:rPr>
                  </w:pPr>
                  <w:r>
                    <w:rPr>
                      <w:color w:val="auto"/>
                      <w:szCs w:val="21"/>
                    </w:rPr>
                    <w:t>17</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61.4</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46.4</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widowControl/>
                    <w:adjustRightInd w:val="0"/>
                    <w:snapToGrid w:val="0"/>
                    <w:jc w:val="center"/>
                    <w:rPr>
                      <w:color w:val="auto"/>
                      <w:szCs w:val="21"/>
                    </w:rPr>
                  </w:pPr>
                </w:p>
              </w:tc>
              <w:tc>
                <w:tcPr>
                  <w:tcW w:w="329" w:type="pct"/>
                  <w:vMerge w:val="continue"/>
                  <w:vAlign w:val="center"/>
                </w:tcPr>
                <w:p>
                  <w:pPr>
                    <w:widowControl/>
                    <w:adjustRightInd w:val="0"/>
                    <w:snapToGrid w:val="0"/>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widowControl/>
                    <w:jc w:val="center"/>
                    <w:textAlignment w:val="center"/>
                    <w:rPr>
                      <w:color w:val="auto"/>
                      <w:szCs w:val="21"/>
                    </w:rPr>
                  </w:pPr>
                </w:p>
              </w:tc>
              <w:tc>
                <w:tcPr>
                  <w:tcW w:w="263" w:type="pct"/>
                  <w:vMerge w:val="continue"/>
                  <w:vAlign w:val="center"/>
                </w:tcPr>
                <w:p>
                  <w:pPr>
                    <w:widowControl/>
                    <w:jc w:val="center"/>
                    <w:textAlignment w:val="center"/>
                    <w:rPr>
                      <w:color w:val="auto"/>
                      <w:szCs w:val="21"/>
                    </w:rPr>
                  </w:pPr>
                </w:p>
              </w:tc>
              <w:tc>
                <w:tcPr>
                  <w:tcW w:w="259" w:type="pct"/>
                  <w:vMerge w:val="continue"/>
                  <w:vAlign w:val="center"/>
                </w:tcPr>
                <w:p>
                  <w:pPr>
                    <w:widowControl/>
                    <w:jc w:val="center"/>
                    <w:textAlignment w:val="center"/>
                    <w:rPr>
                      <w:color w:val="auto"/>
                      <w:szCs w:val="21"/>
                    </w:rPr>
                  </w:pPr>
                </w:p>
              </w:tc>
              <w:tc>
                <w:tcPr>
                  <w:tcW w:w="203" w:type="pct"/>
                  <w:vAlign w:val="center"/>
                </w:tcPr>
                <w:p>
                  <w:pPr>
                    <w:widowControl/>
                    <w:adjustRightInd w:val="0"/>
                    <w:snapToGrid w:val="0"/>
                    <w:jc w:val="center"/>
                    <w:textAlignment w:val="center"/>
                    <w:rPr>
                      <w:color w:val="auto"/>
                      <w:szCs w:val="21"/>
                    </w:rPr>
                  </w:pPr>
                  <w:r>
                    <w:rPr>
                      <w:color w:val="auto"/>
                      <w:szCs w:val="21"/>
                    </w:rPr>
                    <w:t>西</w:t>
                  </w:r>
                </w:p>
              </w:tc>
              <w:tc>
                <w:tcPr>
                  <w:tcW w:w="303" w:type="pct"/>
                  <w:vAlign w:val="center"/>
                </w:tcPr>
                <w:p>
                  <w:pPr>
                    <w:widowControl/>
                    <w:jc w:val="center"/>
                    <w:textAlignment w:val="center"/>
                    <w:rPr>
                      <w:color w:val="auto"/>
                      <w:szCs w:val="21"/>
                    </w:rPr>
                  </w:pPr>
                  <w:r>
                    <w:rPr>
                      <w:color w:val="auto"/>
                      <w:szCs w:val="21"/>
                    </w:rPr>
                    <w:t>2</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69.2</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45.2</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widowControl/>
                    <w:adjustRightInd w:val="0"/>
                    <w:snapToGrid w:val="0"/>
                    <w:jc w:val="center"/>
                    <w:rPr>
                      <w:color w:val="auto"/>
                      <w:szCs w:val="21"/>
                    </w:rPr>
                  </w:pPr>
                </w:p>
              </w:tc>
              <w:tc>
                <w:tcPr>
                  <w:tcW w:w="329" w:type="pct"/>
                  <w:vMerge w:val="continue"/>
                  <w:vAlign w:val="center"/>
                </w:tcPr>
                <w:p>
                  <w:pPr>
                    <w:widowControl/>
                    <w:adjustRightInd w:val="0"/>
                    <w:snapToGrid w:val="0"/>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widowControl/>
                    <w:jc w:val="center"/>
                    <w:textAlignment w:val="center"/>
                    <w:rPr>
                      <w:color w:val="auto"/>
                      <w:szCs w:val="21"/>
                    </w:rPr>
                  </w:pPr>
                </w:p>
              </w:tc>
              <w:tc>
                <w:tcPr>
                  <w:tcW w:w="263" w:type="pct"/>
                  <w:vMerge w:val="continue"/>
                  <w:vAlign w:val="center"/>
                </w:tcPr>
                <w:p>
                  <w:pPr>
                    <w:widowControl/>
                    <w:jc w:val="center"/>
                    <w:textAlignment w:val="center"/>
                    <w:rPr>
                      <w:color w:val="auto"/>
                      <w:szCs w:val="21"/>
                    </w:rPr>
                  </w:pPr>
                </w:p>
              </w:tc>
              <w:tc>
                <w:tcPr>
                  <w:tcW w:w="259" w:type="pct"/>
                  <w:vMerge w:val="continue"/>
                  <w:vAlign w:val="center"/>
                </w:tcPr>
                <w:p>
                  <w:pPr>
                    <w:widowControl/>
                    <w:jc w:val="center"/>
                    <w:textAlignment w:val="center"/>
                    <w:rPr>
                      <w:color w:val="auto"/>
                      <w:szCs w:val="21"/>
                    </w:rPr>
                  </w:pPr>
                </w:p>
              </w:tc>
              <w:tc>
                <w:tcPr>
                  <w:tcW w:w="203" w:type="pct"/>
                  <w:vAlign w:val="center"/>
                </w:tcPr>
                <w:p>
                  <w:pPr>
                    <w:widowControl/>
                    <w:adjustRightInd w:val="0"/>
                    <w:snapToGrid w:val="0"/>
                    <w:jc w:val="center"/>
                    <w:textAlignment w:val="center"/>
                    <w:rPr>
                      <w:color w:val="auto"/>
                      <w:szCs w:val="21"/>
                    </w:rPr>
                  </w:pPr>
                  <w:r>
                    <w:rPr>
                      <w:color w:val="auto"/>
                      <w:szCs w:val="21"/>
                    </w:rPr>
                    <w:t>北</w:t>
                  </w:r>
                </w:p>
              </w:tc>
              <w:tc>
                <w:tcPr>
                  <w:tcW w:w="303" w:type="pct"/>
                  <w:vAlign w:val="center"/>
                </w:tcPr>
                <w:p>
                  <w:pPr>
                    <w:widowControl/>
                    <w:jc w:val="center"/>
                    <w:textAlignment w:val="center"/>
                    <w:rPr>
                      <w:color w:val="auto"/>
                      <w:szCs w:val="21"/>
                    </w:rPr>
                  </w:pPr>
                  <w:r>
                    <w:rPr>
                      <w:color w:val="auto"/>
                      <w:szCs w:val="21"/>
                    </w:rPr>
                    <w:t>32</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55.9</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40.9</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rPr>
                      <w:color w:val="auto"/>
                      <w:szCs w:val="21"/>
                    </w:rPr>
                  </w:pPr>
                  <w:r>
                    <w:rPr>
                      <w:color w:val="auto"/>
                      <w:szCs w:val="21"/>
                    </w:rPr>
                    <w:t>22</w:t>
                  </w:r>
                </w:p>
              </w:tc>
              <w:tc>
                <w:tcPr>
                  <w:tcW w:w="263" w:type="pct"/>
                  <w:vMerge w:val="continue"/>
                  <w:vAlign w:val="center"/>
                </w:tcPr>
                <w:p>
                  <w:pPr>
                    <w:widowControl/>
                    <w:adjustRightInd w:val="0"/>
                    <w:snapToGrid w:val="0"/>
                    <w:jc w:val="center"/>
                    <w:rPr>
                      <w:color w:val="auto"/>
                      <w:szCs w:val="21"/>
                    </w:rPr>
                  </w:pPr>
                </w:p>
              </w:tc>
              <w:tc>
                <w:tcPr>
                  <w:tcW w:w="383" w:type="pct"/>
                  <w:vMerge w:val="restart"/>
                  <w:vAlign w:val="center"/>
                </w:tcPr>
                <w:p>
                  <w:pPr>
                    <w:widowControl/>
                    <w:adjustRightInd w:val="0"/>
                    <w:snapToGrid w:val="0"/>
                    <w:jc w:val="center"/>
                    <w:rPr>
                      <w:color w:val="auto"/>
                      <w:szCs w:val="21"/>
                    </w:rPr>
                  </w:pPr>
                  <w:r>
                    <w:rPr>
                      <w:color w:val="auto"/>
                      <w:szCs w:val="21"/>
                    </w:rPr>
                    <w:t>2#风机</w:t>
                  </w:r>
                </w:p>
              </w:tc>
              <w:tc>
                <w:tcPr>
                  <w:tcW w:w="329" w:type="pct"/>
                  <w:vMerge w:val="restart"/>
                  <w:vAlign w:val="center"/>
                </w:tcPr>
                <w:p>
                  <w:pPr>
                    <w:widowControl/>
                    <w:adjustRightInd w:val="0"/>
                    <w:snapToGrid w:val="0"/>
                    <w:jc w:val="center"/>
                    <w:rPr>
                      <w:color w:val="auto"/>
                      <w:szCs w:val="21"/>
                    </w:rPr>
                  </w:pPr>
                  <w:r>
                    <w:rPr>
                      <w:color w:val="auto"/>
                      <w:szCs w:val="21"/>
                    </w:rPr>
                    <w:t>10000m</w:t>
                  </w:r>
                  <w:r>
                    <w:rPr>
                      <w:color w:val="auto"/>
                      <w:szCs w:val="21"/>
                      <w:vertAlign w:val="superscript"/>
                    </w:rPr>
                    <w:t>3</w:t>
                  </w:r>
                  <w:r>
                    <w:rPr>
                      <w:color w:val="auto"/>
                      <w:szCs w:val="21"/>
                    </w:rPr>
                    <w:t>/h</w:t>
                  </w:r>
                </w:p>
              </w:tc>
              <w:tc>
                <w:tcPr>
                  <w:tcW w:w="325" w:type="pct"/>
                  <w:vMerge w:val="restart"/>
                  <w:vAlign w:val="center"/>
                </w:tcPr>
                <w:p>
                  <w:pPr>
                    <w:widowControl/>
                    <w:adjustRightInd w:val="0"/>
                    <w:snapToGrid w:val="0"/>
                    <w:jc w:val="center"/>
                    <w:rPr>
                      <w:color w:val="auto"/>
                      <w:szCs w:val="21"/>
                    </w:rPr>
                  </w:pPr>
                  <w:r>
                    <w:rPr>
                      <w:color w:val="auto"/>
                      <w:szCs w:val="21"/>
                    </w:rPr>
                    <w:t>85</w:t>
                  </w:r>
                </w:p>
              </w:tc>
              <w:tc>
                <w:tcPr>
                  <w:tcW w:w="340" w:type="pct"/>
                  <w:vMerge w:val="continue"/>
                  <w:vAlign w:val="center"/>
                </w:tcPr>
                <w:p>
                  <w:pPr>
                    <w:widowControl/>
                    <w:adjustRightInd w:val="0"/>
                    <w:snapToGrid w:val="0"/>
                    <w:jc w:val="center"/>
                    <w:rPr>
                      <w:color w:val="auto"/>
                      <w:szCs w:val="21"/>
                    </w:rPr>
                  </w:pPr>
                </w:p>
              </w:tc>
              <w:tc>
                <w:tcPr>
                  <w:tcW w:w="287" w:type="pct"/>
                  <w:vMerge w:val="restart"/>
                  <w:vAlign w:val="center"/>
                </w:tcPr>
                <w:p>
                  <w:pPr>
                    <w:widowControl/>
                    <w:jc w:val="center"/>
                    <w:textAlignment w:val="center"/>
                    <w:rPr>
                      <w:color w:val="auto"/>
                      <w:szCs w:val="21"/>
                    </w:rPr>
                  </w:pPr>
                  <w:r>
                    <w:rPr>
                      <w:color w:val="auto"/>
                      <w:szCs w:val="21"/>
                    </w:rPr>
                    <w:t>10</w:t>
                  </w:r>
                </w:p>
              </w:tc>
              <w:tc>
                <w:tcPr>
                  <w:tcW w:w="263" w:type="pct"/>
                  <w:vMerge w:val="restart"/>
                  <w:vAlign w:val="center"/>
                </w:tcPr>
                <w:p>
                  <w:pPr>
                    <w:widowControl/>
                    <w:jc w:val="center"/>
                    <w:textAlignment w:val="center"/>
                    <w:rPr>
                      <w:color w:val="auto"/>
                      <w:szCs w:val="21"/>
                    </w:rPr>
                  </w:pPr>
                  <w:r>
                    <w:rPr>
                      <w:color w:val="auto"/>
                      <w:szCs w:val="21"/>
                    </w:rPr>
                    <w:t>31</w:t>
                  </w:r>
                </w:p>
              </w:tc>
              <w:tc>
                <w:tcPr>
                  <w:tcW w:w="259" w:type="pct"/>
                  <w:vMerge w:val="restart"/>
                  <w:vAlign w:val="center"/>
                </w:tcPr>
                <w:p>
                  <w:pPr>
                    <w:widowControl/>
                    <w:jc w:val="center"/>
                    <w:textAlignment w:val="center"/>
                    <w:rPr>
                      <w:color w:val="auto"/>
                      <w:szCs w:val="21"/>
                    </w:rPr>
                  </w:pPr>
                  <w:r>
                    <w:rPr>
                      <w:color w:val="auto"/>
                      <w:szCs w:val="21"/>
                    </w:rPr>
                    <w:t>0</w:t>
                  </w:r>
                </w:p>
              </w:tc>
              <w:tc>
                <w:tcPr>
                  <w:tcW w:w="203" w:type="pct"/>
                  <w:vAlign w:val="center"/>
                </w:tcPr>
                <w:p>
                  <w:pPr>
                    <w:widowControl/>
                    <w:adjustRightInd w:val="0"/>
                    <w:snapToGrid w:val="0"/>
                    <w:jc w:val="center"/>
                    <w:textAlignment w:val="center"/>
                    <w:rPr>
                      <w:color w:val="auto"/>
                      <w:szCs w:val="21"/>
                    </w:rPr>
                  </w:pPr>
                  <w:r>
                    <w:rPr>
                      <w:color w:val="auto"/>
                      <w:szCs w:val="21"/>
                    </w:rPr>
                    <w:t>东</w:t>
                  </w:r>
                </w:p>
              </w:tc>
              <w:tc>
                <w:tcPr>
                  <w:tcW w:w="303" w:type="pct"/>
                  <w:vAlign w:val="center"/>
                </w:tcPr>
                <w:p>
                  <w:pPr>
                    <w:widowControl/>
                    <w:jc w:val="center"/>
                    <w:textAlignment w:val="center"/>
                    <w:rPr>
                      <w:color w:val="auto"/>
                      <w:szCs w:val="21"/>
                    </w:rPr>
                  </w:pPr>
                  <w:r>
                    <w:rPr>
                      <w:color w:val="auto"/>
                      <w:szCs w:val="21"/>
                    </w:rPr>
                    <w:t>20</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50</w:t>
                  </w:r>
                </w:p>
              </w:tc>
              <w:tc>
                <w:tcPr>
                  <w:tcW w:w="239" w:type="pct"/>
                  <w:vMerge w:val="restart"/>
                  <w:vAlign w:val="center"/>
                </w:tcPr>
                <w:p>
                  <w:pPr>
                    <w:widowControl/>
                    <w:adjustRightInd w:val="0"/>
                    <w:snapToGrid w:val="0"/>
                    <w:jc w:val="center"/>
                    <w:textAlignment w:val="center"/>
                    <w:rPr>
                      <w:color w:val="auto"/>
                      <w:szCs w:val="21"/>
                    </w:rPr>
                  </w:pPr>
                  <w:r>
                    <w:rPr>
                      <w:rFonts w:hint="eastAsia"/>
                      <w:color w:val="auto"/>
                      <w:szCs w:val="21"/>
                    </w:rPr>
                    <w:t>昼夜</w:t>
                  </w:r>
                </w:p>
              </w:tc>
              <w:tc>
                <w:tcPr>
                  <w:tcW w:w="375" w:type="pct"/>
                  <w:vMerge w:val="restart"/>
                  <w:vAlign w:val="center"/>
                </w:tcPr>
                <w:p>
                  <w:pPr>
                    <w:widowControl/>
                    <w:adjustRightInd w:val="0"/>
                    <w:snapToGrid w:val="0"/>
                    <w:jc w:val="center"/>
                    <w:textAlignment w:val="center"/>
                    <w:rPr>
                      <w:color w:val="auto"/>
                      <w:szCs w:val="21"/>
                    </w:rPr>
                  </w:pPr>
                  <w:r>
                    <w:rPr>
                      <w:color w:val="auto"/>
                      <w:szCs w:val="21"/>
                    </w:rPr>
                    <w:t>15</w:t>
                  </w:r>
                </w:p>
              </w:tc>
              <w:tc>
                <w:tcPr>
                  <w:tcW w:w="920" w:type="dxa"/>
                  <w:vAlign w:val="center"/>
                </w:tcPr>
                <w:p>
                  <w:pPr>
                    <w:widowControl/>
                    <w:adjustRightInd w:val="0"/>
                    <w:snapToGrid w:val="0"/>
                    <w:jc w:val="center"/>
                    <w:textAlignment w:val="center"/>
                    <w:rPr>
                      <w:color w:val="auto"/>
                      <w:szCs w:val="21"/>
                    </w:rPr>
                  </w:pPr>
                  <w:r>
                    <w:rPr>
                      <w:rFonts w:hint="eastAsia"/>
                      <w:color w:val="auto"/>
                      <w:szCs w:val="21"/>
                    </w:rPr>
                    <w:t>35</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widowControl/>
                    <w:adjustRightInd w:val="0"/>
                    <w:snapToGrid w:val="0"/>
                    <w:jc w:val="center"/>
                    <w:rPr>
                      <w:color w:val="auto"/>
                      <w:szCs w:val="21"/>
                    </w:rPr>
                  </w:pPr>
                </w:p>
              </w:tc>
              <w:tc>
                <w:tcPr>
                  <w:tcW w:w="329" w:type="pct"/>
                  <w:vMerge w:val="continue"/>
                  <w:vAlign w:val="center"/>
                </w:tcPr>
                <w:p>
                  <w:pPr>
                    <w:widowControl/>
                    <w:adjustRightInd w:val="0"/>
                    <w:snapToGrid w:val="0"/>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widowControl/>
                    <w:jc w:val="center"/>
                    <w:textAlignment w:val="center"/>
                    <w:rPr>
                      <w:color w:val="auto"/>
                      <w:szCs w:val="21"/>
                    </w:rPr>
                  </w:pPr>
                </w:p>
              </w:tc>
              <w:tc>
                <w:tcPr>
                  <w:tcW w:w="263" w:type="pct"/>
                  <w:vMerge w:val="continue"/>
                  <w:vAlign w:val="center"/>
                </w:tcPr>
                <w:p>
                  <w:pPr>
                    <w:widowControl/>
                    <w:jc w:val="center"/>
                    <w:textAlignment w:val="center"/>
                    <w:rPr>
                      <w:color w:val="auto"/>
                      <w:szCs w:val="21"/>
                    </w:rPr>
                  </w:pPr>
                </w:p>
              </w:tc>
              <w:tc>
                <w:tcPr>
                  <w:tcW w:w="259" w:type="pct"/>
                  <w:vMerge w:val="continue"/>
                  <w:vAlign w:val="center"/>
                </w:tcPr>
                <w:p>
                  <w:pPr>
                    <w:widowControl/>
                    <w:jc w:val="center"/>
                    <w:textAlignment w:val="center"/>
                    <w:rPr>
                      <w:color w:val="auto"/>
                      <w:szCs w:val="21"/>
                    </w:rPr>
                  </w:pPr>
                </w:p>
              </w:tc>
              <w:tc>
                <w:tcPr>
                  <w:tcW w:w="203" w:type="pct"/>
                  <w:vAlign w:val="center"/>
                </w:tcPr>
                <w:p>
                  <w:pPr>
                    <w:widowControl/>
                    <w:adjustRightInd w:val="0"/>
                    <w:snapToGrid w:val="0"/>
                    <w:jc w:val="center"/>
                    <w:textAlignment w:val="center"/>
                    <w:rPr>
                      <w:color w:val="auto"/>
                      <w:szCs w:val="21"/>
                    </w:rPr>
                  </w:pPr>
                  <w:r>
                    <w:rPr>
                      <w:color w:val="auto"/>
                      <w:szCs w:val="21"/>
                    </w:rPr>
                    <w:t>南</w:t>
                  </w:r>
                </w:p>
              </w:tc>
              <w:tc>
                <w:tcPr>
                  <w:tcW w:w="303" w:type="pct"/>
                  <w:vAlign w:val="center"/>
                </w:tcPr>
                <w:p>
                  <w:pPr>
                    <w:widowControl/>
                    <w:jc w:val="center"/>
                    <w:textAlignment w:val="center"/>
                    <w:rPr>
                      <w:color w:val="auto"/>
                      <w:szCs w:val="21"/>
                    </w:rPr>
                  </w:pPr>
                  <w:r>
                    <w:rPr>
                      <w:color w:val="auto"/>
                      <w:szCs w:val="21"/>
                    </w:rPr>
                    <w:t>30</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46.5</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31.5</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widowControl/>
                    <w:adjustRightInd w:val="0"/>
                    <w:snapToGrid w:val="0"/>
                    <w:jc w:val="center"/>
                    <w:rPr>
                      <w:color w:val="auto"/>
                      <w:szCs w:val="21"/>
                    </w:rPr>
                  </w:pPr>
                </w:p>
              </w:tc>
              <w:tc>
                <w:tcPr>
                  <w:tcW w:w="329" w:type="pct"/>
                  <w:vMerge w:val="continue"/>
                  <w:vAlign w:val="center"/>
                </w:tcPr>
                <w:p>
                  <w:pPr>
                    <w:widowControl/>
                    <w:adjustRightInd w:val="0"/>
                    <w:snapToGrid w:val="0"/>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widowControl/>
                    <w:jc w:val="center"/>
                    <w:textAlignment w:val="center"/>
                    <w:rPr>
                      <w:color w:val="auto"/>
                      <w:szCs w:val="21"/>
                    </w:rPr>
                  </w:pPr>
                </w:p>
              </w:tc>
              <w:tc>
                <w:tcPr>
                  <w:tcW w:w="263" w:type="pct"/>
                  <w:vMerge w:val="continue"/>
                  <w:vAlign w:val="center"/>
                </w:tcPr>
                <w:p>
                  <w:pPr>
                    <w:widowControl/>
                    <w:jc w:val="center"/>
                    <w:textAlignment w:val="center"/>
                    <w:rPr>
                      <w:color w:val="auto"/>
                      <w:szCs w:val="21"/>
                    </w:rPr>
                  </w:pPr>
                </w:p>
              </w:tc>
              <w:tc>
                <w:tcPr>
                  <w:tcW w:w="259" w:type="pct"/>
                  <w:vMerge w:val="continue"/>
                  <w:vAlign w:val="center"/>
                </w:tcPr>
                <w:p>
                  <w:pPr>
                    <w:widowControl/>
                    <w:jc w:val="center"/>
                    <w:textAlignment w:val="center"/>
                    <w:rPr>
                      <w:color w:val="auto"/>
                      <w:szCs w:val="21"/>
                    </w:rPr>
                  </w:pPr>
                </w:p>
              </w:tc>
              <w:tc>
                <w:tcPr>
                  <w:tcW w:w="203" w:type="pct"/>
                  <w:vAlign w:val="center"/>
                </w:tcPr>
                <w:p>
                  <w:pPr>
                    <w:widowControl/>
                    <w:adjustRightInd w:val="0"/>
                    <w:snapToGrid w:val="0"/>
                    <w:jc w:val="center"/>
                    <w:textAlignment w:val="center"/>
                    <w:rPr>
                      <w:color w:val="auto"/>
                      <w:szCs w:val="21"/>
                    </w:rPr>
                  </w:pPr>
                  <w:r>
                    <w:rPr>
                      <w:color w:val="auto"/>
                      <w:szCs w:val="21"/>
                    </w:rPr>
                    <w:t>西</w:t>
                  </w:r>
                </w:p>
              </w:tc>
              <w:tc>
                <w:tcPr>
                  <w:tcW w:w="303" w:type="pct"/>
                  <w:vAlign w:val="center"/>
                </w:tcPr>
                <w:p>
                  <w:pPr>
                    <w:widowControl/>
                    <w:jc w:val="center"/>
                    <w:textAlignment w:val="center"/>
                    <w:rPr>
                      <w:color w:val="auto"/>
                      <w:szCs w:val="21"/>
                    </w:rPr>
                  </w:pPr>
                  <w:r>
                    <w:rPr>
                      <w:color w:val="auto"/>
                      <w:szCs w:val="21"/>
                    </w:rPr>
                    <w:t>2</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64.3</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40.3</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widowControl/>
                    <w:adjustRightInd w:val="0"/>
                    <w:snapToGrid w:val="0"/>
                    <w:jc w:val="center"/>
                    <w:rPr>
                      <w:color w:val="auto"/>
                      <w:szCs w:val="21"/>
                    </w:rPr>
                  </w:pPr>
                </w:p>
              </w:tc>
              <w:tc>
                <w:tcPr>
                  <w:tcW w:w="329" w:type="pct"/>
                  <w:vMerge w:val="continue"/>
                  <w:vAlign w:val="center"/>
                </w:tcPr>
                <w:p>
                  <w:pPr>
                    <w:widowControl/>
                    <w:adjustRightInd w:val="0"/>
                    <w:snapToGrid w:val="0"/>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widowControl/>
                    <w:jc w:val="center"/>
                    <w:textAlignment w:val="center"/>
                    <w:rPr>
                      <w:color w:val="auto"/>
                      <w:szCs w:val="21"/>
                    </w:rPr>
                  </w:pPr>
                </w:p>
              </w:tc>
              <w:tc>
                <w:tcPr>
                  <w:tcW w:w="263" w:type="pct"/>
                  <w:vMerge w:val="continue"/>
                  <w:vAlign w:val="center"/>
                </w:tcPr>
                <w:p>
                  <w:pPr>
                    <w:widowControl/>
                    <w:jc w:val="center"/>
                    <w:textAlignment w:val="center"/>
                    <w:rPr>
                      <w:color w:val="auto"/>
                      <w:szCs w:val="21"/>
                    </w:rPr>
                  </w:pPr>
                </w:p>
              </w:tc>
              <w:tc>
                <w:tcPr>
                  <w:tcW w:w="259" w:type="pct"/>
                  <w:vMerge w:val="continue"/>
                  <w:vAlign w:val="center"/>
                </w:tcPr>
                <w:p>
                  <w:pPr>
                    <w:widowControl/>
                    <w:jc w:val="center"/>
                    <w:textAlignment w:val="center"/>
                    <w:rPr>
                      <w:color w:val="auto"/>
                      <w:szCs w:val="21"/>
                    </w:rPr>
                  </w:pPr>
                </w:p>
              </w:tc>
              <w:tc>
                <w:tcPr>
                  <w:tcW w:w="203" w:type="pct"/>
                  <w:vAlign w:val="center"/>
                </w:tcPr>
                <w:p>
                  <w:pPr>
                    <w:widowControl/>
                    <w:adjustRightInd w:val="0"/>
                    <w:snapToGrid w:val="0"/>
                    <w:jc w:val="center"/>
                    <w:textAlignment w:val="center"/>
                    <w:rPr>
                      <w:color w:val="auto"/>
                      <w:szCs w:val="21"/>
                    </w:rPr>
                  </w:pPr>
                  <w:r>
                    <w:rPr>
                      <w:color w:val="auto"/>
                      <w:szCs w:val="21"/>
                    </w:rPr>
                    <w:t>北</w:t>
                  </w:r>
                </w:p>
              </w:tc>
              <w:tc>
                <w:tcPr>
                  <w:tcW w:w="303" w:type="pct"/>
                  <w:vAlign w:val="center"/>
                </w:tcPr>
                <w:p>
                  <w:pPr>
                    <w:widowControl/>
                    <w:jc w:val="center"/>
                    <w:textAlignment w:val="center"/>
                    <w:rPr>
                      <w:color w:val="auto"/>
                      <w:szCs w:val="21"/>
                    </w:rPr>
                  </w:pPr>
                  <w:r>
                    <w:rPr>
                      <w:color w:val="auto"/>
                      <w:szCs w:val="21"/>
                    </w:rPr>
                    <w:t>18</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50.9</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35.9</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rPr>
                      <w:color w:val="auto"/>
                      <w:szCs w:val="21"/>
                    </w:rPr>
                  </w:pPr>
                  <w:r>
                    <w:rPr>
                      <w:color w:val="auto"/>
                      <w:szCs w:val="21"/>
                    </w:rPr>
                    <w:t>23</w:t>
                  </w:r>
                </w:p>
              </w:tc>
              <w:tc>
                <w:tcPr>
                  <w:tcW w:w="263" w:type="pct"/>
                  <w:vMerge w:val="continue"/>
                  <w:vAlign w:val="center"/>
                </w:tcPr>
                <w:p>
                  <w:pPr>
                    <w:widowControl/>
                    <w:adjustRightInd w:val="0"/>
                    <w:snapToGrid w:val="0"/>
                    <w:jc w:val="center"/>
                    <w:rPr>
                      <w:color w:val="auto"/>
                      <w:szCs w:val="21"/>
                    </w:rPr>
                  </w:pPr>
                </w:p>
              </w:tc>
              <w:tc>
                <w:tcPr>
                  <w:tcW w:w="383" w:type="pct"/>
                  <w:vMerge w:val="restart"/>
                  <w:vAlign w:val="center"/>
                </w:tcPr>
                <w:p>
                  <w:pPr>
                    <w:widowControl/>
                    <w:adjustRightInd w:val="0"/>
                    <w:snapToGrid w:val="0"/>
                    <w:jc w:val="center"/>
                    <w:rPr>
                      <w:color w:val="auto"/>
                      <w:szCs w:val="21"/>
                    </w:rPr>
                  </w:pPr>
                  <w:r>
                    <w:rPr>
                      <w:color w:val="auto"/>
                      <w:szCs w:val="21"/>
                    </w:rPr>
                    <w:t>2#空压机</w:t>
                  </w:r>
                </w:p>
              </w:tc>
              <w:tc>
                <w:tcPr>
                  <w:tcW w:w="329" w:type="pct"/>
                  <w:vMerge w:val="restart"/>
                  <w:vAlign w:val="center"/>
                </w:tcPr>
                <w:p>
                  <w:pPr>
                    <w:widowControl/>
                    <w:adjustRightInd w:val="0"/>
                    <w:snapToGrid w:val="0"/>
                    <w:jc w:val="center"/>
                    <w:rPr>
                      <w:color w:val="auto"/>
                      <w:szCs w:val="21"/>
                    </w:rPr>
                  </w:pPr>
                  <w:r>
                    <w:rPr>
                      <w:color w:val="auto"/>
                      <w:szCs w:val="21"/>
                    </w:rPr>
                    <w:t>/</w:t>
                  </w:r>
                </w:p>
              </w:tc>
              <w:tc>
                <w:tcPr>
                  <w:tcW w:w="325" w:type="pct"/>
                  <w:vMerge w:val="restart"/>
                  <w:vAlign w:val="center"/>
                </w:tcPr>
                <w:p>
                  <w:pPr>
                    <w:widowControl/>
                    <w:adjustRightInd w:val="0"/>
                    <w:snapToGrid w:val="0"/>
                    <w:jc w:val="center"/>
                    <w:rPr>
                      <w:color w:val="auto"/>
                      <w:szCs w:val="21"/>
                    </w:rPr>
                  </w:pPr>
                  <w:r>
                    <w:rPr>
                      <w:color w:val="auto"/>
                      <w:szCs w:val="21"/>
                    </w:rPr>
                    <w:t>90</w:t>
                  </w:r>
                </w:p>
              </w:tc>
              <w:tc>
                <w:tcPr>
                  <w:tcW w:w="340" w:type="pct"/>
                  <w:vMerge w:val="continue"/>
                  <w:vAlign w:val="center"/>
                </w:tcPr>
                <w:p>
                  <w:pPr>
                    <w:widowControl/>
                    <w:adjustRightInd w:val="0"/>
                    <w:snapToGrid w:val="0"/>
                    <w:jc w:val="center"/>
                    <w:rPr>
                      <w:color w:val="auto"/>
                      <w:szCs w:val="21"/>
                    </w:rPr>
                  </w:pPr>
                </w:p>
              </w:tc>
              <w:tc>
                <w:tcPr>
                  <w:tcW w:w="287" w:type="pct"/>
                  <w:vMerge w:val="restart"/>
                  <w:vAlign w:val="center"/>
                </w:tcPr>
                <w:p>
                  <w:pPr>
                    <w:widowControl/>
                    <w:jc w:val="center"/>
                    <w:textAlignment w:val="center"/>
                    <w:rPr>
                      <w:color w:val="auto"/>
                      <w:szCs w:val="21"/>
                    </w:rPr>
                  </w:pPr>
                  <w:r>
                    <w:rPr>
                      <w:color w:val="auto"/>
                      <w:szCs w:val="21"/>
                    </w:rPr>
                    <w:t>10</w:t>
                  </w:r>
                </w:p>
              </w:tc>
              <w:tc>
                <w:tcPr>
                  <w:tcW w:w="263" w:type="pct"/>
                  <w:vMerge w:val="restart"/>
                  <w:vAlign w:val="center"/>
                </w:tcPr>
                <w:p>
                  <w:pPr>
                    <w:widowControl/>
                    <w:jc w:val="center"/>
                    <w:textAlignment w:val="center"/>
                    <w:rPr>
                      <w:color w:val="auto"/>
                      <w:szCs w:val="21"/>
                    </w:rPr>
                  </w:pPr>
                  <w:r>
                    <w:rPr>
                      <w:color w:val="auto"/>
                      <w:szCs w:val="21"/>
                    </w:rPr>
                    <w:t>33</w:t>
                  </w:r>
                </w:p>
              </w:tc>
              <w:tc>
                <w:tcPr>
                  <w:tcW w:w="259" w:type="pct"/>
                  <w:vMerge w:val="restart"/>
                  <w:vAlign w:val="center"/>
                </w:tcPr>
                <w:p>
                  <w:pPr>
                    <w:widowControl/>
                    <w:jc w:val="center"/>
                    <w:textAlignment w:val="center"/>
                    <w:rPr>
                      <w:color w:val="auto"/>
                      <w:szCs w:val="21"/>
                    </w:rPr>
                  </w:pPr>
                  <w:r>
                    <w:rPr>
                      <w:color w:val="auto"/>
                      <w:szCs w:val="21"/>
                    </w:rPr>
                    <w:t>0</w:t>
                  </w:r>
                </w:p>
              </w:tc>
              <w:tc>
                <w:tcPr>
                  <w:tcW w:w="203" w:type="pct"/>
                  <w:vAlign w:val="center"/>
                </w:tcPr>
                <w:p>
                  <w:pPr>
                    <w:widowControl/>
                    <w:adjustRightInd w:val="0"/>
                    <w:snapToGrid w:val="0"/>
                    <w:jc w:val="center"/>
                    <w:textAlignment w:val="center"/>
                    <w:rPr>
                      <w:color w:val="auto"/>
                      <w:szCs w:val="21"/>
                    </w:rPr>
                  </w:pPr>
                  <w:r>
                    <w:rPr>
                      <w:color w:val="auto"/>
                      <w:szCs w:val="21"/>
                    </w:rPr>
                    <w:t>东</w:t>
                  </w:r>
                </w:p>
              </w:tc>
              <w:tc>
                <w:tcPr>
                  <w:tcW w:w="303" w:type="pct"/>
                  <w:vAlign w:val="center"/>
                </w:tcPr>
                <w:p>
                  <w:pPr>
                    <w:widowControl/>
                    <w:jc w:val="center"/>
                    <w:textAlignment w:val="center"/>
                    <w:rPr>
                      <w:color w:val="auto"/>
                      <w:szCs w:val="21"/>
                    </w:rPr>
                  </w:pPr>
                  <w:r>
                    <w:rPr>
                      <w:color w:val="auto"/>
                      <w:szCs w:val="21"/>
                    </w:rPr>
                    <w:t>20</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55</w:t>
                  </w:r>
                </w:p>
              </w:tc>
              <w:tc>
                <w:tcPr>
                  <w:tcW w:w="239" w:type="pct"/>
                  <w:vMerge w:val="restart"/>
                  <w:vAlign w:val="center"/>
                </w:tcPr>
                <w:p>
                  <w:pPr>
                    <w:widowControl/>
                    <w:adjustRightInd w:val="0"/>
                    <w:snapToGrid w:val="0"/>
                    <w:jc w:val="center"/>
                    <w:textAlignment w:val="center"/>
                    <w:rPr>
                      <w:color w:val="auto"/>
                      <w:szCs w:val="21"/>
                    </w:rPr>
                  </w:pPr>
                  <w:r>
                    <w:rPr>
                      <w:rFonts w:hint="eastAsia"/>
                      <w:color w:val="auto"/>
                      <w:szCs w:val="21"/>
                    </w:rPr>
                    <w:t>昼夜</w:t>
                  </w:r>
                </w:p>
              </w:tc>
              <w:tc>
                <w:tcPr>
                  <w:tcW w:w="375" w:type="pct"/>
                  <w:vMerge w:val="restart"/>
                  <w:vAlign w:val="center"/>
                </w:tcPr>
                <w:p>
                  <w:pPr>
                    <w:widowControl/>
                    <w:adjustRightInd w:val="0"/>
                    <w:snapToGrid w:val="0"/>
                    <w:jc w:val="center"/>
                    <w:textAlignment w:val="center"/>
                    <w:rPr>
                      <w:color w:val="auto"/>
                      <w:szCs w:val="21"/>
                    </w:rPr>
                  </w:pPr>
                  <w:r>
                    <w:rPr>
                      <w:color w:val="auto"/>
                      <w:szCs w:val="21"/>
                    </w:rPr>
                    <w:t>15</w:t>
                  </w:r>
                </w:p>
              </w:tc>
              <w:tc>
                <w:tcPr>
                  <w:tcW w:w="920" w:type="dxa"/>
                  <w:vAlign w:val="center"/>
                </w:tcPr>
                <w:p>
                  <w:pPr>
                    <w:widowControl/>
                    <w:adjustRightInd w:val="0"/>
                    <w:snapToGrid w:val="0"/>
                    <w:jc w:val="center"/>
                    <w:textAlignment w:val="center"/>
                    <w:rPr>
                      <w:color w:val="auto"/>
                      <w:szCs w:val="21"/>
                    </w:rPr>
                  </w:pPr>
                  <w:r>
                    <w:rPr>
                      <w:rFonts w:hint="eastAsia"/>
                      <w:color w:val="auto"/>
                      <w:szCs w:val="21"/>
                    </w:rPr>
                    <w:t>40</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widowControl/>
                    <w:adjustRightInd w:val="0"/>
                    <w:snapToGrid w:val="0"/>
                    <w:jc w:val="center"/>
                    <w:rPr>
                      <w:color w:val="auto"/>
                      <w:szCs w:val="21"/>
                    </w:rPr>
                  </w:pPr>
                </w:p>
              </w:tc>
              <w:tc>
                <w:tcPr>
                  <w:tcW w:w="329" w:type="pct"/>
                  <w:vMerge w:val="continue"/>
                  <w:vAlign w:val="center"/>
                </w:tcPr>
                <w:p>
                  <w:pPr>
                    <w:widowControl/>
                    <w:adjustRightInd w:val="0"/>
                    <w:snapToGrid w:val="0"/>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widowControl/>
                    <w:jc w:val="center"/>
                    <w:textAlignment w:val="center"/>
                    <w:rPr>
                      <w:color w:val="auto"/>
                      <w:szCs w:val="21"/>
                    </w:rPr>
                  </w:pPr>
                </w:p>
              </w:tc>
              <w:tc>
                <w:tcPr>
                  <w:tcW w:w="263" w:type="pct"/>
                  <w:vMerge w:val="continue"/>
                  <w:vAlign w:val="center"/>
                </w:tcPr>
                <w:p>
                  <w:pPr>
                    <w:widowControl/>
                    <w:jc w:val="center"/>
                    <w:textAlignment w:val="center"/>
                    <w:rPr>
                      <w:color w:val="auto"/>
                      <w:szCs w:val="21"/>
                    </w:rPr>
                  </w:pPr>
                </w:p>
              </w:tc>
              <w:tc>
                <w:tcPr>
                  <w:tcW w:w="259" w:type="pct"/>
                  <w:vMerge w:val="continue"/>
                  <w:vAlign w:val="center"/>
                </w:tcPr>
                <w:p>
                  <w:pPr>
                    <w:widowControl/>
                    <w:jc w:val="center"/>
                    <w:textAlignment w:val="center"/>
                    <w:rPr>
                      <w:color w:val="auto"/>
                      <w:szCs w:val="21"/>
                    </w:rPr>
                  </w:pPr>
                </w:p>
              </w:tc>
              <w:tc>
                <w:tcPr>
                  <w:tcW w:w="203" w:type="pct"/>
                  <w:vAlign w:val="center"/>
                </w:tcPr>
                <w:p>
                  <w:pPr>
                    <w:widowControl/>
                    <w:adjustRightInd w:val="0"/>
                    <w:snapToGrid w:val="0"/>
                    <w:jc w:val="center"/>
                    <w:textAlignment w:val="center"/>
                    <w:rPr>
                      <w:color w:val="auto"/>
                      <w:szCs w:val="21"/>
                    </w:rPr>
                  </w:pPr>
                  <w:r>
                    <w:rPr>
                      <w:color w:val="auto"/>
                      <w:szCs w:val="21"/>
                    </w:rPr>
                    <w:t>南</w:t>
                  </w:r>
                </w:p>
              </w:tc>
              <w:tc>
                <w:tcPr>
                  <w:tcW w:w="303" w:type="pct"/>
                  <w:vAlign w:val="center"/>
                </w:tcPr>
                <w:p>
                  <w:pPr>
                    <w:widowControl/>
                    <w:jc w:val="center"/>
                    <w:textAlignment w:val="center"/>
                    <w:rPr>
                      <w:color w:val="auto"/>
                      <w:szCs w:val="21"/>
                    </w:rPr>
                  </w:pPr>
                  <w:r>
                    <w:rPr>
                      <w:color w:val="auto"/>
                      <w:szCs w:val="21"/>
                    </w:rPr>
                    <w:t>32</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50.9</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35.9</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widowControl/>
                    <w:adjustRightInd w:val="0"/>
                    <w:snapToGrid w:val="0"/>
                    <w:jc w:val="center"/>
                    <w:rPr>
                      <w:color w:val="auto"/>
                      <w:szCs w:val="21"/>
                    </w:rPr>
                  </w:pPr>
                </w:p>
              </w:tc>
              <w:tc>
                <w:tcPr>
                  <w:tcW w:w="329" w:type="pct"/>
                  <w:vMerge w:val="continue"/>
                  <w:vAlign w:val="center"/>
                </w:tcPr>
                <w:p>
                  <w:pPr>
                    <w:widowControl/>
                    <w:adjustRightInd w:val="0"/>
                    <w:snapToGrid w:val="0"/>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widowControl/>
                    <w:jc w:val="center"/>
                    <w:textAlignment w:val="center"/>
                    <w:rPr>
                      <w:color w:val="auto"/>
                      <w:szCs w:val="21"/>
                    </w:rPr>
                  </w:pPr>
                </w:p>
              </w:tc>
              <w:tc>
                <w:tcPr>
                  <w:tcW w:w="263" w:type="pct"/>
                  <w:vMerge w:val="continue"/>
                  <w:vAlign w:val="center"/>
                </w:tcPr>
                <w:p>
                  <w:pPr>
                    <w:widowControl/>
                    <w:jc w:val="center"/>
                    <w:textAlignment w:val="center"/>
                    <w:rPr>
                      <w:color w:val="auto"/>
                      <w:szCs w:val="21"/>
                    </w:rPr>
                  </w:pPr>
                </w:p>
              </w:tc>
              <w:tc>
                <w:tcPr>
                  <w:tcW w:w="259" w:type="pct"/>
                  <w:vMerge w:val="continue"/>
                  <w:vAlign w:val="center"/>
                </w:tcPr>
                <w:p>
                  <w:pPr>
                    <w:widowControl/>
                    <w:jc w:val="center"/>
                    <w:textAlignment w:val="center"/>
                    <w:rPr>
                      <w:color w:val="auto"/>
                      <w:szCs w:val="21"/>
                    </w:rPr>
                  </w:pPr>
                </w:p>
              </w:tc>
              <w:tc>
                <w:tcPr>
                  <w:tcW w:w="203" w:type="pct"/>
                  <w:vAlign w:val="center"/>
                </w:tcPr>
                <w:p>
                  <w:pPr>
                    <w:widowControl/>
                    <w:adjustRightInd w:val="0"/>
                    <w:snapToGrid w:val="0"/>
                    <w:jc w:val="center"/>
                    <w:textAlignment w:val="center"/>
                    <w:rPr>
                      <w:color w:val="auto"/>
                      <w:szCs w:val="21"/>
                    </w:rPr>
                  </w:pPr>
                  <w:r>
                    <w:rPr>
                      <w:color w:val="auto"/>
                      <w:szCs w:val="21"/>
                    </w:rPr>
                    <w:t>西</w:t>
                  </w:r>
                </w:p>
              </w:tc>
              <w:tc>
                <w:tcPr>
                  <w:tcW w:w="303" w:type="pct"/>
                  <w:vAlign w:val="center"/>
                </w:tcPr>
                <w:p>
                  <w:pPr>
                    <w:widowControl/>
                    <w:jc w:val="center"/>
                    <w:textAlignment w:val="center"/>
                    <w:rPr>
                      <w:color w:val="auto"/>
                      <w:szCs w:val="21"/>
                    </w:rPr>
                  </w:pPr>
                  <w:r>
                    <w:rPr>
                      <w:color w:val="auto"/>
                      <w:szCs w:val="21"/>
                    </w:rPr>
                    <w:t>2</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66.9</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42.9</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widowControl/>
                    <w:adjustRightInd w:val="0"/>
                    <w:snapToGrid w:val="0"/>
                    <w:jc w:val="center"/>
                    <w:rPr>
                      <w:color w:val="auto"/>
                      <w:szCs w:val="21"/>
                    </w:rPr>
                  </w:pPr>
                </w:p>
              </w:tc>
              <w:tc>
                <w:tcPr>
                  <w:tcW w:w="329" w:type="pct"/>
                  <w:vMerge w:val="continue"/>
                  <w:vAlign w:val="center"/>
                </w:tcPr>
                <w:p>
                  <w:pPr>
                    <w:widowControl/>
                    <w:adjustRightInd w:val="0"/>
                    <w:snapToGrid w:val="0"/>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widowControl/>
                    <w:jc w:val="center"/>
                    <w:textAlignment w:val="center"/>
                    <w:rPr>
                      <w:color w:val="auto"/>
                      <w:szCs w:val="21"/>
                    </w:rPr>
                  </w:pPr>
                </w:p>
              </w:tc>
              <w:tc>
                <w:tcPr>
                  <w:tcW w:w="263" w:type="pct"/>
                  <w:vMerge w:val="continue"/>
                  <w:vAlign w:val="center"/>
                </w:tcPr>
                <w:p>
                  <w:pPr>
                    <w:widowControl/>
                    <w:jc w:val="center"/>
                    <w:textAlignment w:val="center"/>
                    <w:rPr>
                      <w:color w:val="auto"/>
                      <w:szCs w:val="21"/>
                    </w:rPr>
                  </w:pPr>
                </w:p>
              </w:tc>
              <w:tc>
                <w:tcPr>
                  <w:tcW w:w="259" w:type="pct"/>
                  <w:vMerge w:val="continue"/>
                  <w:vAlign w:val="center"/>
                </w:tcPr>
                <w:p>
                  <w:pPr>
                    <w:widowControl/>
                    <w:jc w:val="center"/>
                    <w:textAlignment w:val="center"/>
                    <w:rPr>
                      <w:color w:val="auto"/>
                      <w:szCs w:val="21"/>
                    </w:rPr>
                  </w:pPr>
                </w:p>
              </w:tc>
              <w:tc>
                <w:tcPr>
                  <w:tcW w:w="203" w:type="pct"/>
                  <w:vAlign w:val="center"/>
                </w:tcPr>
                <w:p>
                  <w:pPr>
                    <w:widowControl/>
                    <w:adjustRightInd w:val="0"/>
                    <w:snapToGrid w:val="0"/>
                    <w:jc w:val="center"/>
                    <w:textAlignment w:val="center"/>
                    <w:rPr>
                      <w:color w:val="auto"/>
                      <w:szCs w:val="21"/>
                    </w:rPr>
                  </w:pPr>
                  <w:r>
                    <w:rPr>
                      <w:color w:val="auto"/>
                      <w:szCs w:val="21"/>
                    </w:rPr>
                    <w:t>北</w:t>
                  </w:r>
                </w:p>
              </w:tc>
              <w:tc>
                <w:tcPr>
                  <w:tcW w:w="303" w:type="pct"/>
                  <w:vAlign w:val="center"/>
                </w:tcPr>
                <w:p>
                  <w:pPr>
                    <w:widowControl/>
                    <w:jc w:val="center"/>
                    <w:textAlignment w:val="center"/>
                    <w:rPr>
                      <w:color w:val="auto"/>
                      <w:szCs w:val="21"/>
                    </w:rPr>
                  </w:pPr>
                  <w:r>
                    <w:rPr>
                      <w:color w:val="auto"/>
                      <w:szCs w:val="21"/>
                    </w:rPr>
                    <w:t>16</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56.9</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41.9</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rPr>
                      <w:color w:val="auto"/>
                      <w:szCs w:val="21"/>
                    </w:rPr>
                  </w:pPr>
                  <w:r>
                    <w:rPr>
                      <w:color w:val="auto"/>
                      <w:szCs w:val="21"/>
                    </w:rPr>
                    <w:t>24</w:t>
                  </w:r>
                </w:p>
              </w:tc>
              <w:tc>
                <w:tcPr>
                  <w:tcW w:w="263" w:type="pct"/>
                  <w:vMerge w:val="continue"/>
                  <w:vAlign w:val="center"/>
                </w:tcPr>
                <w:p>
                  <w:pPr>
                    <w:widowControl/>
                    <w:adjustRightInd w:val="0"/>
                    <w:snapToGrid w:val="0"/>
                    <w:jc w:val="center"/>
                    <w:rPr>
                      <w:color w:val="auto"/>
                      <w:szCs w:val="21"/>
                    </w:rPr>
                  </w:pPr>
                </w:p>
              </w:tc>
              <w:tc>
                <w:tcPr>
                  <w:tcW w:w="383" w:type="pct"/>
                  <w:vMerge w:val="restart"/>
                  <w:vAlign w:val="center"/>
                </w:tcPr>
                <w:p>
                  <w:pPr>
                    <w:widowControl/>
                    <w:adjustRightInd w:val="0"/>
                    <w:snapToGrid w:val="0"/>
                    <w:jc w:val="center"/>
                    <w:rPr>
                      <w:color w:val="auto"/>
                      <w:szCs w:val="21"/>
                    </w:rPr>
                  </w:pPr>
                  <w:r>
                    <w:rPr>
                      <w:color w:val="auto"/>
                      <w:szCs w:val="21"/>
                    </w:rPr>
                    <w:t>皮带输送机</w:t>
                  </w:r>
                </w:p>
              </w:tc>
              <w:tc>
                <w:tcPr>
                  <w:tcW w:w="329" w:type="pct"/>
                  <w:vMerge w:val="restart"/>
                  <w:vAlign w:val="center"/>
                </w:tcPr>
                <w:p>
                  <w:pPr>
                    <w:widowControl/>
                    <w:adjustRightInd w:val="0"/>
                    <w:snapToGrid w:val="0"/>
                    <w:jc w:val="center"/>
                    <w:rPr>
                      <w:color w:val="auto"/>
                      <w:szCs w:val="21"/>
                    </w:rPr>
                  </w:pPr>
                  <w:r>
                    <w:rPr>
                      <w:color w:val="auto"/>
                      <w:szCs w:val="21"/>
                    </w:rPr>
                    <w:t>/</w:t>
                  </w:r>
                </w:p>
              </w:tc>
              <w:tc>
                <w:tcPr>
                  <w:tcW w:w="325" w:type="pct"/>
                  <w:vMerge w:val="restart"/>
                  <w:vAlign w:val="center"/>
                </w:tcPr>
                <w:p>
                  <w:pPr>
                    <w:widowControl/>
                    <w:adjustRightInd w:val="0"/>
                    <w:snapToGrid w:val="0"/>
                    <w:jc w:val="center"/>
                    <w:rPr>
                      <w:color w:val="auto"/>
                      <w:szCs w:val="21"/>
                    </w:rPr>
                  </w:pPr>
                  <w:r>
                    <w:rPr>
                      <w:color w:val="auto"/>
                      <w:szCs w:val="21"/>
                    </w:rPr>
                    <w:t>75</w:t>
                  </w:r>
                </w:p>
              </w:tc>
              <w:tc>
                <w:tcPr>
                  <w:tcW w:w="340" w:type="pct"/>
                  <w:vMerge w:val="continue"/>
                  <w:vAlign w:val="center"/>
                </w:tcPr>
                <w:p>
                  <w:pPr>
                    <w:widowControl/>
                    <w:adjustRightInd w:val="0"/>
                    <w:snapToGrid w:val="0"/>
                    <w:jc w:val="center"/>
                    <w:rPr>
                      <w:color w:val="auto"/>
                      <w:szCs w:val="21"/>
                    </w:rPr>
                  </w:pPr>
                </w:p>
              </w:tc>
              <w:tc>
                <w:tcPr>
                  <w:tcW w:w="287" w:type="pct"/>
                  <w:vMerge w:val="restart"/>
                  <w:vAlign w:val="center"/>
                </w:tcPr>
                <w:p>
                  <w:pPr>
                    <w:widowControl/>
                    <w:jc w:val="center"/>
                    <w:textAlignment w:val="center"/>
                    <w:rPr>
                      <w:color w:val="auto"/>
                      <w:szCs w:val="21"/>
                    </w:rPr>
                  </w:pPr>
                  <w:r>
                    <w:rPr>
                      <w:color w:val="auto"/>
                      <w:szCs w:val="21"/>
                    </w:rPr>
                    <w:t>25</w:t>
                  </w:r>
                </w:p>
              </w:tc>
              <w:tc>
                <w:tcPr>
                  <w:tcW w:w="263" w:type="pct"/>
                  <w:vMerge w:val="restart"/>
                  <w:vAlign w:val="center"/>
                </w:tcPr>
                <w:p>
                  <w:pPr>
                    <w:widowControl/>
                    <w:jc w:val="center"/>
                    <w:textAlignment w:val="center"/>
                    <w:rPr>
                      <w:color w:val="auto"/>
                      <w:szCs w:val="21"/>
                    </w:rPr>
                  </w:pPr>
                  <w:r>
                    <w:rPr>
                      <w:color w:val="auto"/>
                      <w:szCs w:val="21"/>
                    </w:rPr>
                    <w:t>31</w:t>
                  </w:r>
                </w:p>
              </w:tc>
              <w:tc>
                <w:tcPr>
                  <w:tcW w:w="259" w:type="pct"/>
                  <w:vMerge w:val="restart"/>
                  <w:vAlign w:val="center"/>
                </w:tcPr>
                <w:p>
                  <w:pPr>
                    <w:widowControl/>
                    <w:jc w:val="center"/>
                    <w:textAlignment w:val="center"/>
                    <w:rPr>
                      <w:color w:val="auto"/>
                      <w:szCs w:val="21"/>
                    </w:rPr>
                  </w:pPr>
                  <w:r>
                    <w:rPr>
                      <w:color w:val="auto"/>
                      <w:szCs w:val="21"/>
                    </w:rPr>
                    <w:t>0</w:t>
                  </w:r>
                </w:p>
              </w:tc>
              <w:tc>
                <w:tcPr>
                  <w:tcW w:w="203" w:type="pct"/>
                  <w:vAlign w:val="center"/>
                </w:tcPr>
                <w:p>
                  <w:pPr>
                    <w:widowControl/>
                    <w:adjustRightInd w:val="0"/>
                    <w:snapToGrid w:val="0"/>
                    <w:jc w:val="center"/>
                    <w:textAlignment w:val="center"/>
                    <w:rPr>
                      <w:color w:val="auto"/>
                      <w:szCs w:val="21"/>
                    </w:rPr>
                  </w:pPr>
                  <w:r>
                    <w:rPr>
                      <w:color w:val="auto"/>
                      <w:szCs w:val="21"/>
                    </w:rPr>
                    <w:t>东</w:t>
                  </w:r>
                </w:p>
              </w:tc>
              <w:tc>
                <w:tcPr>
                  <w:tcW w:w="303" w:type="pct"/>
                  <w:vAlign w:val="center"/>
                </w:tcPr>
                <w:p>
                  <w:pPr>
                    <w:widowControl/>
                    <w:jc w:val="center"/>
                    <w:textAlignment w:val="center"/>
                    <w:rPr>
                      <w:color w:val="auto"/>
                      <w:szCs w:val="21"/>
                    </w:rPr>
                  </w:pPr>
                  <w:r>
                    <w:rPr>
                      <w:color w:val="auto"/>
                      <w:szCs w:val="21"/>
                    </w:rPr>
                    <w:t>4</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54</w:t>
                  </w:r>
                </w:p>
              </w:tc>
              <w:tc>
                <w:tcPr>
                  <w:tcW w:w="239" w:type="pct"/>
                  <w:vMerge w:val="restart"/>
                  <w:vAlign w:val="center"/>
                </w:tcPr>
                <w:p>
                  <w:pPr>
                    <w:widowControl/>
                    <w:adjustRightInd w:val="0"/>
                    <w:snapToGrid w:val="0"/>
                    <w:jc w:val="center"/>
                    <w:textAlignment w:val="center"/>
                    <w:rPr>
                      <w:color w:val="auto"/>
                      <w:szCs w:val="21"/>
                    </w:rPr>
                  </w:pPr>
                  <w:r>
                    <w:rPr>
                      <w:rFonts w:hint="eastAsia"/>
                      <w:color w:val="auto"/>
                      <w:szCs w:val="21"/>
                    </w:rPr>
                    <w:t>昼夜</w:t>
                  </w:r>
                </w:p>
              </w:tc>
              <w:tc>
                <w:tcPr>
                  <w:tcW w:w="375" w:type="pct"/>
                  <w:vMerge w:val="restart"/>
                  <w:vAlign w:val="center"/>
                </w:tcPr>
                <w:p>
                  <w:pPr>
                    <w:widowControl/>
                    <w:adjustRightInd w:val="0"/>
                    <w:snapToGrid w:val="0"/>
                    <w:jc w:val="center"/>
                    <w:textAlignment w:val="center"/>
                    <w:rPr>
                      <w:color w:val="auto"/>
                      <w:szCs w:val="21"/>
                    </w:rPr>
                  </w:pPr>
                  <w:r>
                    <w:rPr>
                      <w:color w:val="auto"/>
                      <w:szCs w:val="21"/>
                    </w:rPr>
                    <w:t>15</w:t>
                  </w:r>
                </w:p>
              </w:tc>
              <w:tc>
                <w:tcPr>
                  <w:tcW w:w="920" w:type="dxa"/>
                  <w:vAlign w:val="center"/>
                </w:tcPr>
                <w:p>
                  <w:pPr>
                    <w:widowControl/>
                    <w:adjustRightInd w:val="0"/>
                    <w:snapToGrid w:val="0"/>
                    <w:jc w:val="center"/>
                    <w:textAlignment w:val="center"/>
                    <w:rPr>
                      <w:color w:val="auto"/>
                      <w:szCs w:val="21"/>
                    </w:rPr>
                  </w:pPr>
                  <w:r>
                    <w:rPr>
                      <w:rFonts w:hint="eastAsia"/>
                      <w:color w:val="auto"/>
                      <w:szCs w:val="21"/>
                    </w:rPr>
                    <w:t>39</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widowControl/>
                    <w:adjustRightInd w:val="0"/>
                    <w:snapToGrid w:val="0"/>
                    <w:jc w:val="center"/>
                    <w:rPr>
                      <w:color w:val="auto"/>
                      <w:szCs w:val="21"/>
                    </w:rPr>
                  </w:pPr>
                </w:p>
              </w:tc>
              <w:tc>
                <w:tcPr>
                  <w:tcW w:w="329" w:type="pct"/>
                  <w:vMerge w:val="continue"/>
                  <w:vAlign w:val="center"/>
                </w:tcPr>
                <w:p>
                  <w:pPr>
                    <w:widowControl/>
                    <w:adjustRightInd w:val="0"/>
                    <w:snapToGrid w:val="0"/>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widowControl/>
                    <w:jc w:val="center"/>
                    <w:textAlignment w:val="center"/>
                    <w:rPr>
                      <w:color w:val="auto"/>
                      <w:szCs w:val="21"/>
                    </w:rPr>
                  </w:pPr>
                </w:p>
              </w:tc>
              <w:tc>
                <w:tcPr>
                  <w:tcW w:w="263" w:type="pct"/>
                  <w:vMerge w:val="continue"/>
                  <w:vAlign w:val="center"/>
                </w:tcPr>
                <w:p>
                  <w:pPr>
                    <w:widowControl/>
                    <w:jc w:val="center"/>
                    <w:textAlignment w:val="center"/>
                    <w:rPr>
                      <w:color w:val="auto"/>
                      <w:szCs w:val="21"/>
                    </w:rPr>
                  </w:pPr>
                </w:p>
              </w:tc>
              <w:tc>
                <w:tcPr>
                  <w:tcW w:w="259" w:type="pct"/>
                  <w:vMerge w:val="continue"/>
                  <w:vAlign w:val="center"/>
                </w:tcPr>
                <w:p>
                  <w:pPr>
                    <w:widowControl/>
                    <w:jc w:val="center"/>
                    <w:textAlignment w:val="center"/>
                    <w:rPr>
                      <w:color w:val="auto"/>
                      <w:szCs w:val="21"/>
                    </w:rPr>
                  </w:pPr>
                </w:p>
              </w:tc>
              <w:tc>
                <w:tcPr>
                  <w:tcW w:w="203" w:type="pct"/>
                  <w:vAlign w:val="center"/>
                </w:tcPr>
                <w:p>
                  <w:pPr>
                    <w:widowControl/>
                    <w:adjustRightInd w:val="0"/>
                    <w:snapToGrid w:val="0"/>
                    <w:jc w:val="center"/>
                    <w:textAlignment w:val="center"/>
                    <w:rPr>
                      <w:color w:val="auto"/>
                      <w:szCs w:val="21"/>
                    </w:rPr>
                  </w:pPr>
                  <w:r>
                    <w:rPr>
                      <w:color w:val="auto"/>
                      <w:szCs w:val="21"/>
                    </w:rPr>
                    <w:t>南</w:t>
                  </w:r>
                </w:p>
              </w:tc>
              <w:tc>
                <w:tcPr>
                  <w:tcW w:w="303" w:type="pct"/>
                  <w:vAlign w:val="center"/>
                </w:tcPr>
                <w:p>
                  <w:pPr>
                    <w:widowControl/>
                    <w:jc w:val="center"/>
                    <w:textAlignment w:val="center"/>
                    <w:rPr>
                      <w:color w:val="auto"/>
                      <w:szCs w:val="21"/>
                    </w:rPr>
                  </w:pPr>
                  <w:r>
                    <w:rPr>
                      <w:color w:val="auto"/>
                      <w:szCs w:val="21"/>
                    </w:rPr>
                    <w:t>30</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36.5</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21.5</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widowControl/>
                    <w:adjustRightInd w:val="0"/>
                    <w:snapToGrid w:val="0"/>
                    <w:jc w:val="center"/>
                    <w:rPr>
                      <w:color w:val="auto"/>
                      <w:szCs w:val="21"/>
                    </w:rPr>
                  </w:pPr>
                </w:p>
              </w:tc>
              <w:tc>
                <w:tcPr>
                  <w:tcW w:w="329" w:type="pct"/>
                  <w:vMerge w:val="continue"/>
                  <w:vAlign w:val="center"/>
                </w:tcPr>
                <w:p>
                  <w:pPr>
                    <w:widowControl/>
                    <w:adjustRightInd w:val="0"/>
                    <w:snapToGrid w:val="0"/>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widowControl/>
                    <w:jc w:val="center"/>
                    <w:textAlignment w:val="center"/>
                    <w:rPr>
                      <w:color w:val="auto"/>
                      <w:szCs w:val="21"/>
                    </w:rPr>
                  </w:pPr>
                </w:p>
              </w:tc>
              <w:tc>
                <w:tcPr>
                  <w:tcW w:w="263" w:type="pct"/>
                  <w:vMerge w:val="continue"/>
                  <w:vAlign w:val="center"/>
                </w:tcPr>
                <w:p>
                  <w:pPr>
                    <w:widowControl/>
                    <w:jc w:val="center"/>
                    <w:textAlignment w:val="center"/>
                    <w:rPr>
                      <w:color w:val="auto"/>
                      <w:szCs w:val="21"/>
                    </w:rPr>
                  </w:pPr>
                </w:p>
              </w:tc>
              <w:tc>
                <w:tcPr>
                  <w:tcW w:w="259" w:type="pct"/>
                  <w:vMerge w:val="continue"/>
                  <w:vAlign w:val="center"/>
                </w:tcPr>
                <w:p>
                  <w:pPr>
                    <w:widowControl/>
                    <w:jc w:val="center"/>
                    <w:textAlignment w:val="center"/>
                    <w:rPr>
                      <w:color w:val="auto"/>
                      <w:szCs w:val="21"/>
                    </w:rPr>
                  </w:pPr>
                </w:p>
              </w:tc>
              <w:tc>
                <w:tcPr>
                  <w:tcW w:w="203" w:type="pct"/>
                  <w:vAlign w:val="center"/>
                </w:tcPr>
                <w:p>
                  <w:pPr>
                    <w:widowControl/>
                    <w:adjustRightInd w:val="0"/>
                    <w:snapToGrid w:val="0"/>
                    <w:jc w:val="center"/>
                    <w:textAlignment w:val="center"/>
                    <w:rPr>
                      <w:color w:val="auto"/>
                      <w:szCs w:val="21"/>
                    </w:rPr>
                  </w:pPr>
                  <w:r>
                    <w:rPr>
                      <w:color w:val="auto"/>
                      <w:szCs w:val="21"/>
                    </w:rPr>
                    <w:t>西</w:t>
                  </w:r>
                </w:p>
              </w:tc>
              <w:tc>
                <w:tcPr>
                  <w:tcW w:w="303" w:type="pct"/>
                  <w:vAlign w:val="center"/>
                </w:tcPr>
                <w:p>
                  <w:pPr>
                    <w:widowControl/>
                    <w:jc w:val="center"/>
                    <w:textAlignment w:val="center"/>
                    <w:rPr>
                      <w:color w:val="auto"/>
                      <w:szCs w:val="21"/>
                    </w:rPr>
                  </w:pPr>
                  <w:r>
                    <w:rPr>
                      <w:color w:val="auto"/>
                      <w:szCs w:val="21"/>
                    </w:rPr>
                    <w:t>17</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41.4</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26.4</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rPr>
                      <w:color w:val="auto"/>
                      <w:szCs w:val="21"/>
                    </w:rPr>
                  </w:pPr>
                </w:p>
              </w:tc>
              <w:tc>
                <w:tcPr>
                  <w:tcW w:w="263" w:type="pct"/>
                  <w:vMerge w:val="continue"/>
                  <w:vAlign w:val="center"/>
                </w:tcPr>
                <w:p>
                  <w:pPr>
                    <w:widowControl/>
                    <w:adjustRightInd w:val="0"/>
                    <w:snapToGrid w:val="0"/>
                    <w:jc w:val="center"/>
                    <w:rPr>
                      <w:color w:val="auto"/>
                      <w:szCs w:val="21"/>
                    </w:rPr>
                  </w:pPr>
                </w:p>
              </w:tc>
              <w:tc>
                <w:tcPr>
                  <w:tcW w:w="383" w:type="pct"/>
                  <w:vMerge w:val="continue"/>
                  <w:vAlign w:val="center"/>
                </w:tcPr>
                <w:p>
                  <w:pPr>
                    <w:widowControl/>
                    <w:adjustRightInd w:val="0"/>
                    <w:snapToGrid w:val="0"/>
                    <w:jc w:val="center"/>
                    <w:rPr>
                      <w:color w:val="auto"/>
                      <w:szCs w:val="21"/>
                    </w:rPr>
                  </w:pPr>
                </w:p>
              </w:tc>
              <w:tc>
                <w:tcPr>
                  <w:tcW w:w="329" w:type="pct"/>
                  <w:vMerge w:val="continue"/>
                  <w:vAlign w:val="center"/>
                </w:tcPr>
                <w:p>
                  <w:pPr>
                    <w:widowControl/>
                    <w:adjustRightInd w:val="0"/>
                    <w:snapToGrid w:val="0"/>
                    <w:jc w:val="center"/>
                    <w:rPr>
                      <w:color w:val="auto"/>
                      <w:szCs w:val="21"/>
                    </w:rPr>
                  </w:pPr>
                </w:p>
              </w:tc>
              <w:tc>
                <w:tcPr>
                  <w:tcW w:w="325" w:type="pct"/>
                  <w:vMerge w:val="continue"/>
                  <w:vAlign w:val="center"/>
                </w:tcPr>
                <w:p>
                  <w:pPr>
                    <w:widowControl/>
                    <w:adjustRightInd w:val="0"/>
                    <w:snapToGrid w:val="0"/>
                    <w:jc w:val="center"/>
                    <w:rPr>
                      <w:color w:val="auto"/>
                      <w:szCs w:val="21"/>
                    </w:rPr>
                  </w:pPr>
                </w:p>
              </w:tc>
              <w:tc>
                <w:tcPr>
                  <w:tcW w:w="340" w:type="pct"/>
                  <w:vMerge w:val="continue"/>
                  <w:vAlign w:val="center"/>
                </w:tcPr>
                <w:p>
                  <w:pPr>
                    <w:widowControl/>
                    <w:adjustRightInd w:val="0"/>
                    <w:snapToGrid w:val="0"/>
                    <w:jc w:val="center"/>
                    <w:rPr>
                      <w:color w:val="auto"/>
                      <w:szCs w:val="21"/>
                    </w:rPr>
                  </w:pPr>
                </w:p>
              </w:tc>
              <w:tc>
                <w:tcPr>
                  <w:tcW w:w="287" w:type="pct"/>
                  <w:vMerge w:val="continue"/>
                  <w:vAlign w:val="center"/>
                </w:tcPr>
                <w:p>
                  <w:pPr>
                    <w:widowControl/>
                    <w:jc w:val="center"/>
                    <w:textAlignment w:val="center"/>
                    <w:rPr>
                      <w:color w:val="auto"/>
                      <w:szCs w:val="21"/>
                    </w:rPr>
                  </w:pPr>
                </w:p>
              </w:tc>
              <w:tc>
                <w:tcPr>
                  <w:tcW w:w="263" w:type="pct"/>
                  <w:vMerge w:val="continue"/>
                  <w:vAlign w:val="center"/>
                </w:tcPr>
                <w:p>
                  <w:pPr>
                    <w:widowControl/>
                    <w:jc w:val="center"/>
                    <w:textAlignment w:val="center"/>
                    <w:rPr>
                      <w:color w:val="auto"/>
                      <w:szCs w:val="21"/>
                    </w:rPr>
                  </w:pPr>
                </w:p>
              </w:tc>
              <w:tc>
                <w:tcPr>
                  <w:tcW w:w="259" w:type="pct"/>
                  <w:vMerge w:val="continue"/>
                  <w:vAlign w:val="center"/>
                </w:tcPr>
                <w:p>
                  <w:pPr>
                    <w:widowControl/>
                    <w:jc w:val="center"/>
                    <w:textAlignment w:val="center"/>
                    <w:rPr>
                      <w:color w:val="auto"/>
                      <w:szCs w:val="21"/>
                    </w:rPr>
                  </w:pPr>
                </w:p>
              </w:tc>
              <w:tc>
                <w:tcPr>
                  <w:tcW w:w="203" w:type="pct"/>
                  <w:vAlign w:val="center"/>
                </w:tcPr>
                <w:p>
                  <w:pPr>
                    <w:widowControl/>
                    <w:adjustRightInd w:val="0"/>
                    <w:snapToGrid w:val="0"/>
                    <w:jc w:val="center"/>
                    <w:textAlignment w:val="center"/>
                    <w:rPr>
                      <w:color w:val="auto"/>
                      <w:szCs w:val="21"/>
                    </w:rPr>
                  </w:pPr>
                  <w:r>
                    <w:rPr>
                      <w:color w:val="auto"/>
                      <w:szCs w:val="21"/>
                    </w:rPr>
                    <w:t>北</w:t>
                  </w:r>
                </w:p>
              </w:tc>
              <w:tc>
                <w:tcPr>
                  <w:tcW w:w="303" w:type="pct"/>
                  <w:vAlign w:val="center"/>
                </w:tcPr>
                <w:p>
                  <w:pPr>
                    <w:widowControl/>
                    <w:jc w:val="center"/>
                    <w:textAlignment w:val="center"/>
                    <w:rPr>
                      <w:color w:val="auto"/>
                      <w:szCs w:val="21"/>
                    </w:rPr>
                  </w:pPr>
                  <w:r>
                    <w:rPr>
                      <w:color w:val="auto"/>
                      <w:szCs w:val="21"/>
                    </w:rPr>
                    <w:t>16</w:t>
                  </w:r>
                </w:p>
              </w:tc>
              <w:tc>
                <w:tcPr>
                  <w:tcW w:w="980" w:type="dxa"/>
                  <w:vAlign w:val="center"/>
                </w:tcPr>
                <w:p>
                  <w:pPr>
                    <w:widowControl/>
                    <w:adjustRightInd w:val="0"/>
                    <w:snapToGrid w:val="0"/>
                    <w:jc w:val="center"/>
                    <w:textAlignment w:val="center"/>
                    <w:rPr>
                      <w:color w:val="auto"/>
                      <w:szCs w:val="21"/>
                    </w:rPr>
                  </w:pPr>
                  <w:r>
                    <w:rPr>
                      <w:rFonts w:hint="eastAsia"/>
                      <w:color w:val="auto"/>
                      <w:szCs w:val="21"/>
                    </w:rPr>
                    <w:t>41.9</w:t>
                  </w:r>
                </w:p>
              </w:tc>
              <w:tc>
                <w:tcPr>
                  <w:tcW w:w="239" w:type="pct"/>
                  <w:vMerge w:val="continue"/>
                  <w:vAlign w:val="center"/>
                </w:tcPr>
                <w:p>
                  <w:pPr>
                    <w:widowControl/>
                    <w:adjustRightInd w:val="0"/>
                    <w:snapToGrid w:val="0"/>
                    <w:jc w:val="center"/>
                    <w:textAlignment w:val="center"/>
                    <w:rPr>
                      <w:color w:val="auto"/>
                      <w:szCs w:val="21"/>
                    </w:rPr>
                  </w:pPr>
                </w:p>
              </w:tc>
              <w:tc>
                <w:tcPr>
                  <w:tcW w:w="375" w:type="pct"/>
                  <w:vMerge w:val="continue"/>
                  <w:vAlign w:val="center"/>
                </w:tcPr>
                <w:p>
                  <w:pPr>
                    <w:widowControl/>
                    <w:adjustRightInd w:val="0"/>
                    <w:snapToGrid w:val="0"/>
                    <w:jc w:val="center"/>
                    <w:textAlignment w:val="center"/>
                    <w:rPr>
                      <w:color w:val="auto"/>
                      <w:szCs w:val="21"/>
                    </w:rPr>
                  </w:pPr>
                </w:p>
              </w:tc>
              <w:tc>
                <w:tcPr>
                  <w:tcW w:w="920" w:type="dxa"/>
                  <w:vAlign w:val="center"/>
                </w:tcPr>
                <w:p>
                  <w:pPr>
                    <w:widowControl/>
                    <w:adjustRightInd w:val="0"/>
                    <w:snapToGrid w:val="0"/>
                    <w:jc w:val="center"/>
                    <w:textAlignment w:val="center"/>
                    <w:rPr>
                      <w:color w:val="auto"/>
                      <w:szCs w:val="21"/>
                    </w:rPr>
                  </w:pPr>
                  <w:r>
                    <w:rPr>
                      <w:rFonts w:hint="eastAsia"/>
                      <w:color w:val="auto"/>
                      <w:szCs w:val="21"/>
                    </w:rPr>
                    <w:t>26.9</w:t>
                  </w:r>
                </w:p>
              </w:tc>
              <w:tc>
                <w:tcPr>
                  <w:tcW w:w="448" w:type="pct"/>
                  <w:tcBorders>
                    <w:right w:val="nil"/>
                  </w:tcBorders>
                  <w:vAlign w:val="center"/>
                </w:tcPr>
                <w:p>
                  <w:pPr>
                    <w:widowControl/>
                    <w:adjustRightInd w:val="0"/>
                    <w:snapToGrid w:val="0"/>
                    <w:jc w:val="center"/>
                    <w:textAlignment w:val="center"/>
                    <w:rPr>
                      <w:color w:val="auto"/>
                      <w:szCs w:val="21"/>
                    </w:rPr>
                  </w:pPr>
                  <w:r>
                    <w:rPr>
                      <w:color w:val="auto"/>
                      <w:szCs w:val="21"/>
                    </w:rPr>
                    <w:t>1</w:t>
                  </w:r>
                </w:p>
              </w:tc>
            </w:tr>
          </w:tbl>
          <w:p>
            <w:pPr>
              <w:spacing w:line="500" w:lineRule="exact"/>
              <w:jc w:val="center"/>
              <w:rPr>
                <w:b/>
                <w:bCs/>
                <w:color w:val="auto"/>
                <w:sz w:val="24"/>
              </w:rPr>
            </w:pPr>
          </w:p>
          <w:p>
            <w:pPr>
              <w:spacing w:line="500" w:lineRule="exact"/>
              <w:jc w:val="center"/>
              <w:rPr>
                <w:b/>
                <w:bCs/>
                <w:color w:val="auto"/>
                <w:sz w:val="24"/>
              </w:rPr>
            </w:pPr>
          </w:p>
          <w:p>
            <w:pPr>
              <w:spacing w:line="500" w:lineRule="exact"/>
              <w:jc w:val="center"/>
              <w:rPr>
                <w:b/>
                <w:bCs/>
                <w:color w:val="auto"/>
                <w:sz w:val="24"/>
              </w:rPr>
            </w:pPr>
          </w:p>
          <w:p>
            <w:pPr>
              <w:spacing w:line="500" w:lineRule="exact"/>
              <w:jc w:val="center"/>
              <w:rPr>
                <w:b/>
                <w:bCs/>
                <w:color w:val="auto"/>
                <w:sz w:val="24"/>
              </w:rPr>
            </w:pPr>
          </w:p>
          <w:p>
            <w:pPr>
              <w:spacing w:line="500" w:lineRule="exact"/>
              <w:jc w:val="center"/>
              <w:rPr>
                <w:b/>
                <w:bCs/>
                <w:color w:val="auto"/>
                <w:sz w:val="24"/>
              </w:rPr>
            </w:pPr>
          </w:p>
          <w:p>
            <w:pPr>
              <w:spacing w:line="500" w:lineRule="exact"/>
              <w:jc w:val="center"/>
              <w:rPr>
                <w:b/>
                <w:bCs/>
                <w:color w:val="auto"/>
                <w:sz w:val="24"/>
              </w:rPr>
            </w:pPr>
          </w:p>
          <w:p>
            <w:pPr>
              <w:spacing w:line="500" w:lineRule="exact"/>
              <w:jc w:val="center"/>
              <w:rPr>
                <w:b/>
                <w:bCs/>
                <w:color w:val="auto"/>
                <w:sz w:val="24"/>
              </w:rPr>
            </w:pPr>
          </w:p>
          <w:p>
            <w:pPr>
              <w:spacing w:line="500" w:lineRule="exact"/>
              <w:jc w:val="center"/>
              <w:rPr>
                <w:b/>
                <w:bCs/>
                <w:color w:val="auto"/>
                <w:sz w:val="24"/>
              </w:rPr>
            </w:pPr>
          </w:p>
          <w:p>
            <w:pPr>
              <w:spacing w:line="500" w:lineRule="exact"/>
              <w:jc w:val="center"/>
              <w:rPr>
                <w:b/>
                <w:bCs/>
                <w:color w:val="auto"/>
                <w:sz w:val="24"/>
              </w:rPr>
            </w:pPr>
          </w:p>
          <w:p>
            <w:pPr>
              <w:spacing w:line="500" w:lineRule="exact"/>
              <w:ind w:firstLine="480" w:firstLineChars="200"/>
              <w:rPr>
                <w:color w:val="auto"/>
                <w:sz w:val="24"/>
              </w:rPr>
            </w:pPr>
          </w:p>
          <w:p>
            <w:pPr>
              <w:spacing w:line="500" w:lineRule="exact"/>
              <w:ind w:firstLine="480" w:firstLineChars="200"/>
              <w:rPr>
                <w:color w:val="auto"/>
                <w:sz w:val="24"/>
              </w:rPr>
            </w:pPr>
          </w:p>
          <w:p>
            <w:pPr>
              <w:rPr>
                <w:color w:val="auto"/>
              </w:rPr>
            </w:pPr>
          </w:p>
        </w:tc>
      </w:tr>
    </w:tbl>
    <w:p>
      <w:pPr>
        <w:pStyle w:val="29"/>
        <w:jc w:val="center"/>
        <w:outlineLvl w:val="0"/>
        <w:rPr>
          <w:rFonts w:ascii="Times New Roman" w:hAnsi="Times New Roman" w:eastAsia="黑体"/>
          <w:snapToGrid w:val="0"/>
          <w:color w:val="auto"/>
          <w:sz w:val="30"/>
          <w:szCs w:val="30"/>
        </w:rPr>
        <w:sectPr>
          <w:pgSz w:w="16838" w:h="11906" w:orient="landscape"/>
          <w:pgMar w:top="1531" w:right="1701" w:bottom="1531" w:left="1701" w:header="851" w:footer="851" w:gutter="0"/>
          <w:cols w:space="720" w:num="1"/>
          <w:docGrid w:linePitch="312" w:charSpace="0"/>
        </w:sect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8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tcPr>
          <w:p>
            <w:pPr>
              <w:pStyle w:val="29"/>
              <w:jc w:val="center"/>
              <w:outlineLvl w:val="0"/>
              <w:rPr>
                <w:rFonts w:ascii="Times New Roman" w:hAnsi="Times New Roman" w:eastAsia="黑体"/>
                <w:snapToGrid w:val="0"/>
                <w:color w:val="auto"/>
                <w:sz w:val="30"/>
                <w:szCs w:val="30"/>
              </w:rPr>
            </w:pPr>
          </w:p>
        </w:tc>
        <w:tc>
          <w:tcPr>
            <w:tcW w:w="8381" w:type="dxa"/>
          </w:tcPr>
          <w:p>
            <w:pPr>
              <w:spacing w:line="500" w:lineRule="exact"/>
              <w:ind w:firstLine="480" w:firstLineChars="200"/>
              <w:rPr>
                <w:b/>
                <w:bCs/>
                <w:color w:val="auto"/>
                <w:sz w:val="24"/>
              </w:rPr>
            </w:pPr>
            <w:r>
              <w:rPr>
                <w:color w:val="auto"/>
                <w:sz w:val="24"/>
                <w:szCs w:val="32"/>
              </w:rPr>
              <w:t>本项目所在区域周边50m范围内无声环境敏感目标，本次评价</w:t>
            </w:r>
            <w:r>
              <w:rPr>
                <w:rFonts w:hint="eastAsia"/>
                <w:color w:val="auto"/>
                <w:sz w:val="24"/>
                <w:szCs w:val="32"/>
              </w:rPr>
              <w:t>对</w:t>
            </w:r>
            <w:r>
              <w:rPr>
                <w:color w:val="auto"/>
                <w:sz w:val="24"/>
                <w:szCs w:val="32"/>
              </w:rPr>
              <w:t>四侧厂界外1m进行厂界达标论证。</w:t>
            </w:r>
          </w:p>
          <w:p>
            <w:pPr>
              <w:spacing w:line="500" w:lineRule="exact"/>
              <w:ind w:firstLine="1687" w:firstLineChars="700"/>
              <w:rPr>
                <w:color w:val="auto"/>
                <w:sz w:val="24"/>
              </w:rPr>
            </w:pPr>
            <w:r>
              <w:rPr>
                <w:b/>
                <w:bCs/>
                <w:color w:val="auto"/>
                <w:sz w:val="24"/>
              </w:rPr>
              <w:t>表</w:t>
            </w:r>
            <w:r>
              <w:rPr>
                <w:rFonts w:hint="eastAsia"/>
                <w:b/>
                <w:bCs/>
                <w:color w:val="auto"/>
                <w:sz w:val="24"/>
              </w:rPr>
              <w:t>37</w:t>
            </w:r>
            <w:r>
              <w:rPr>
                <w:b/>
                <w:bCs/>
                <w:color w:val="auto"/>
                <w:sz w:val="24"/>
              </w:rPr>
              <w:t xml:space="preserve">  厂界噪声贡献值预测结果    单位：dB(A)</w:t>
            </w:r>
          </w:p>
          <w:tbl>
            <w:tblPr>
              <w:tblStyle w:val="33"/>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Layout w:type="fixed"/>
              <w:tblCellMar>
                <w:top w:w="0" w:type="dxa"/>
                <w:left w:w="108" w:type="dxa"/>
                <w:bottom w:w="0" w:type="dxa"/>
                <w:right w:w="108" w:type="dxa"/>
              </w:tblCellMar>
            </w:tblPr>
            <w:tblGrid>
              <w:gridCol w:w="1421"/>
              <w:gridCol w:w="1065"/>
              <w:gridCol w:w="1162"/>
              <w:gridCol w:w="1160"/>
              <w:gridCol w:w="1060"/>
              <w:gridCol w:w="1143"/>
              <w:gridCol w:w="112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CellMar>
                  <w:top w:w="0" w:type="dxa"/>
                  <w:left w:w="108" w:type="dxa"/>
                  <w:bottom w:w="0" w:type="dxa"/>
                  <w:right w:w="108" w:type="dxa"/>
                </w:tblCellMar>
              </w:tblPrEx>
              <w:trPr>
                <w:cantSplit/>
                <w:trHeight w:val="90" w:hRule="atLeast"/>
                <w:jc w:val="center"/>
              </w:trPr>
              <w:tc>
                <w:tcPr>
                  <w:tcW w:w="873" w:type="pct"/>
                  <w:vMerge w:val="restart"/>
                  <w:vAlign w:val="center"/>
                </w:tcPr>
                <w:p>
                  <w:pPr>
                    <w:spacing w:line="360" w:lineRule="exact"/>
                    <w:jc w:val="center"/>
                    <w:rPr>
                      <w:caps/>
                      <w:color w:val="auto"/>
                      <w:szCs w:val="21"/>
                    </w:rPr>
                  </w:pPr>
                  <w:r>
                    <w:rPr>
                      <w:color w:val="auto"/>
                      <w:szCs w:val="21"/>
                    </w:rPr>
                    <w:t>预测点</w:t>
                  </w:r>
                </w:p>
              </w:tc>
              <w:tc>
                <w:tcPr>
                  <w:tcW w:w="1368" w:type="pct"/>
                  <w:gridSpan w:val="2"/>
                  <w:vAlign w:val="center"/>
                </w:tcPr>
                <w:p>
                  <w:pPr>
                    <w:spacing w:line="360" w:lineRule="exact"/>
                    <w:jc w:val="center"/>
                    <w:rPr>
                      <w:color w:val="auto"/>
                      <w:szCs w:val="21"/>
                    </w:rPr>
                  </w:pPr>
                  <w:r>
                    <w:rPr>
                      <w:color w:val="auto"/>
                      <w:szCs w:val="21"/>
                    </w:rPr>
                    <w:t>贡献值</w:t>
                  </w:r>
                </w:p>
              </w:tc>
              <w:tc>
                <w:tcPr>
                  <w:tcW w:w="1365" w:type="pct"/>
                  <w:gridSpan w:val="2"/>
                  <w:tcBorders>
                    <w:left w:val="single" w:color="auto" w:sz="4" w:space="0"/>
                  </w:tcBorders>
                  <w:vAlign w:val="center"/>
                </w:tcPr>
                <w:p>
                  <w:pPr>
                    <w:spacing w:line="360" w:lineRule="exact"/>
                    <w:jc w:val="center"/>
                    <w:rPr>
                      <w:caps/>
                      <w:color w:val="auto"/>
                      <w:szCs w:val="21"/>
                    </w:rPr>
                  </w:pPr>
                  <w:r>
                    <w:rPr>
                      <w:caps/>
                      <w:color w:val="auto"/>
                      <w:szCs w:val="21"/>
                    </w:rPr>
                    <w:t>标准值</w:t>
                  </w:r>
                </w:p>
              </w:tc>
              <w:tc>
                <w:tcPr>
                  <w:tcW w:w="1392" w:type="pct"/>
                  <w:gridSpan w:val="2"/>
                  <w:tcBorders>
                    <w:left w:val="single" w:color="auto" w:sz="4" w:space="0"/>
                  </w:tcBorders>
                  <w:vAlign w:val="center"/>
                </w:tcPr>
                <w:p>
                  <w:pPr>
                    <w:spacing w:line="360" w:lineRule="exact"/>
                    <w:jc w:val="center"/>
                    <w:rPr>
                      <w:caps/>
                      <w:color w:val="auto"/>
                      <w:szCs w:val="21"/>
                    </w:rPr>
                  </w:pPr>
                  <w:r>
                    <w:rPr>
                      <w:caps/>
                      <w:color w:val="auto"/>
                      <w:szCs w:val="21"/>
                    </w:rPr>
                    <w:t>达标情况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CellMar>
                  <w:top w:w="0" w:type="dxa"/>
                  <w:left w:w="108" w:type="dxa"/>
                  <w:bottom w:w="0" w:type="dxa"/>
                  <w:right w:w="108" w:type="dxa"/>
                </w:tblCellMar>
              </w:tblPrEx>
              <w:trPr>
                <w:cantSplit/>
                <w:trHeight w:val="90" w:hRule="atLeast"/>
                <w:jc w:val="center"/>
              </w:trPr>
              <w:tc>
                <w:tcPr>
                  <w:tcW w:w="873" w:type="pct"/>
                  <w:vMerge w:val="continue"/>
                  <w:vAlign w:val="center"/>
                </w:tcPr>
                <w:p>
                  <w:pPr>
                    <w:spacing w:line="360" w:lineRule="exact"/>
                    <w:jc w:val="center"/>
                    <w:rPr>
                      <w:color w:val="auto"/>
                      <w:szCs w:val="21"/>
                    </w:rPr>
                  </w:pPr>
                </w:p>
              </w:tc>
              <w:tc>
                <w:tcPr>
                  <w:tcW w:w="654" w:type="pct"/>
                  <w:tcBorders>
                    <w:right w:val="single" w:color="auto" w:sz="4" w:space="0"/>
                  </w:tcBorders>
                  <w:vAlign w:val="center"/>
                </w:tcPr>
                <w:p>
                  <w:pPr>
                    <w:spacing w:line="360" w:lineRule="exact"/>
                    <w:jc w:val="center"/>
                    <w:rPr>
                      <w:caps/>
                      <w:color w:val="auto"/>
                      <w:szCs w:val="21"/>
                    </w:rPr>
                  </w:pPr>
                  <w:r>
                    <w:rPr>
                      <w:caps/>
                      <w:color w:val="auto"/>
                      <w:szCs w:val="21"/>
                    </w:rPr>
                    <w:t>昼间</w:t>
                  </w:r>
                </w:p>
              </w:tc>
              <w:tc>
                <w:tcPr>
                  <w:tcW w:w="713" w:type="pct"/>
                  <w:tcBorders>
                    <w:left w:val="single" w:color="auto" w:sz="4" w:space="0"/>
                    <w:right w:val="single" w:color="auto" w:sz="4" w:space="0"/>
                  </w:tcBorders>
                  <w:vAlign w:val="center"/>
                </w:tcPr>
                <w:p>
                  <w:pPr>
                    <w:spacing w:line="360" w:lineRule="exact"/>
                    <w:jc w:val="center"/>
                    <w:rPr>
                      <w:caps/>
                      <w:color w:val="auto"/>
                      <w:szCs w:val="21"/>
                    </w:rPr>
                  </w:pPr>
                  <w:r>
                    <w:rPr>
                      <w:rFonts w:hint="eastAsia"/>
                      <w:caps/>
                      <w:color w:val="auto"/>
                      <w:szCs w:val="21"/>
                    </w:rPr>
                    <w:t>夜</w:t>
                  </w:r>
                  <w:r>
                    <w:rPr>
                      <w:caps/>
                      <w:color w:val="auto"/>
                      <w:szCs w:val="21"/>
                    </w:rPr>
                    <w:t>间</w:t>
                  </w:r>
                </w:p>
              </w:tc>
              <w:tc>
                <w:tcPr>
                  <w:tcW w:w="713" w:type="pct"/>
                  <w:tcBorders>
                    <w:left w:val="single" w:color="auto" w:sz="4" w:space="0"/>
                  </w:tcBorders>
                  <w:vAlign w:val="center"/>
                </w:tcPr>
                <w:p>
                  <w:pPr>
                    <w:spacing w:line="360" w:lineRule="exact"/>
                    <w:jc w:val="center"/>
                    <w:rPr>
                      <w:caps/>
                      <w:color w:val="auto"/>
                      <w:szCs w:val="21"/>
                    </w:rPr>
                  </w:pPr>
                  <w:r>
                    <w:rPr>
                      <w:caps/>
                      <w:color w:val="auto"/>
                      <w:szCs w:val="21"/>
                    </w:rPr>
                    <w:t>昼间</w:t>
                  </w:r>
                </w:p>
              </w:tc>
              <w:tc>
                <w:tcPr>
                  <w:tcW w:w="652" w:type="pct"/>
                  <w:tcBorders>
                    <w:left w:val="single" w:color="auto" w:sz="4" w:space="0"/>
                  </w:tcBorders>
                  <w:vAlign w:val="center"/>
                </w:tcPr>
                <w:p>
                  <w:pPr>
                    <w:spacing w:line="360" w:lineRule="exact"/>
                    <w:jc w:val="center"/>
                    <w:rPr>
                      <w:caps/>
                      <w:color w:val="auto"/>
                      <w:szCs w:val="21"/>
                    </w:rPr>
                  </w:pPr>
                  <w:r>
                    <w:rPr>
                      <w:rFonts w:hint="eastAsia"/>
                      <w:caps/>
                      <w:color w:val="auto"/>
                      <w:szCs w:val="21"/>
                    </w:rPr>
                    <w:t>夜</w:t>
                  </w:r>
                  <w:r>
                    <w:rPr>
                      <w:caps/>
                      <w:color w:val="auto"/>
                      <w:szCs w:val="21"/>
                    </w:rPr>
                    <w:t>间</w:t>
                  </w:r>
                </w:p>
              </w:tc>
              <w:tc>
                <w:tcPr>
                  <w:tcW w:w="703" w:type="pct"/>
                  <w:tcBorders>
                    <w:left w:val="single" w:color="auto" w:sz="4" w:space="0"/>
                  </w:tcBorders>
                  <w:vAlign w:val="center"/>
                </w:tcPr>
                <w:p>
                  <w:pPr>
                    <w:spacing w:line="360" w:lineRule="exact"/>
                    <w:jc w:val="center"/>
                    <w:rPr>
                      <w:caps/>
                      <w:color w:val="auto"/>
                      <w:szCs w:val="21"/>
                    </w:rPr>
                  </w:pPr>
                  <w:r>
                    <w:rPr>
                      <w:caps/>
                      <w:color w:val="auto"/>
                      <w:szCs w:val="21"/>
                    </w:rPr>
                    <w:t>昼间</w:t>
                  </w:r>
                </w:p>
              </w:tc>
              <w:tc>
                <w:tcPr>
                  <w:tcW w:w="689" w:type="pct"/>
                  <w:tcBorders>
                    <w:left w:val="single" w:color="auto" w:sz="4" w:space="0"/>
                  </w:tcBorders>
                  <w:vAlign w:val="center"/>
                </w:tcPr>
                <w:p>
                  <w:pPr>
                    <w:spacing w:line="360" w:lineRule="exact"/>
                    <w:jc w:val="center"/>
                    <w:rPr>
                      <w:caps/>
                      <w:color w:val="auto"/>
                      <w:szCs w:val="21"/>
                    </w:rPr>
                  </w:pPr>
                  <w:r>
                    <w:rPr>
                      <w:rFonts w:hint="eastAsia"/>
                      <w:caps/>
                      <w:color w:val="auto"/>
                      <w:szCs w:val="21"/>
                    </w:rPr>
                    <w:t>夜</w:t>
                  </w:r>
                  <w:r>
                    <w:rPr>
                      <w:caps/>
                      <w:color w:val="auto"/>
                      <w:szCs w:val="21"/>
                    </w:rPr>
                    <w:t>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CellMar>
                  <w:top w:w="0" w:type="dxa"/>
                  <w:left w:w="108" w:type="dxa"/>
                  <w:bottom w:w="0" w:type="dxa"/>
                  <w:right w:w="108" w:type="dxa"/>
                </w:tblCellMar>
              </w:tblPrEx>
              <w:trPr>
                <w:cantSplit/>
                <w:trHeight w:val="90" w:hRule="atLeast"/>
                <w:jc w:val="center"/>
              </w:trPr>
              <w:tc>
                <w:tcPr>
                  <w:tcW w:w="873" w:type="pct"/>
                  <w:vAlign w:val="center"/>
                </w:tcPr>
                <w:p>
                  <w:pPr>
                    <w:spacing w:line="360" w:lineRule="exact"/>
                    <w:jc w:val="center"/>
                    <w:rPr>
                      <w:caps/>
                      <w:color w:val="auto"/>
                      <w:szCs w:val="21"/>
                    </w:rPr>
                  </w:pPr>
                  <w:r>
                    <w:rPr>
                      <w:rFonts w:hint="eastAsia"/>
                      <w:caps/>
                      <w:color w:val="auto"/>
                      <w:szCs w:val="21"/>
                    </w:rPr>
                    <w:t>东</w:t>
                  </w:r>
                  <w:r>
                    <w:rPr>
                      <w:caps/>
                      <w:color w:val="auto"/>
                      <w:szCs w:val="21"/>
                    </w:rPr>
                    <w:t>厂界</w:t>
                  </w:r>
                </w:p>
              </w:tc>
              <w:tc>
                <w:tcPr>
                  <w:tcW w:w="654" w:type="pct"/>
                  <w:tcBorders>
                    <w:right w:val="single" w:color="auto" w:sz="4" w:space="0"/>
                  </w:tcBorders>
                  <w:vAlign w:val="center"/>
                </w:tcPr>
                <w:p>
                  <w:pPr>
                    <w:spacing w:line="360" w:lineRule="exact"/>
                    <w:jc w:val="center"/>
                    <w:rPr>
                      <w:caps/>
                      <w:color w:val="auto"/>
                      <w:szCs w:val="21"/>
                    </w:rPr>
                  </w:pPr>
                  <w:r>
                    <w:rPr>
                      <w:rFonts w:hint="eastAsia"/>
                      <w:caps/>
                      <w:color w:val="auto"/>
                      <w:szCs w:val="21"/>
                    </w:rPr>
                    <w:t>48.6</w:t>
                  </w:r>
                </w:p>
              </w:tc>
              <w:tc>
                <w:tcPr>
                  <w:tcW w:w="1162" w:type="dxa"/>
                  <w:tcBorders>
                    <w:left w:val="single" w:color="auto" w:sz="4" w:space="0"/>
                    <w:right w:val="single" w:color="auto" w:sz="4" w:space="0"/>
                  </w:tcBorders>
                  <w:vAlign w:val="center"/>
                </w:tcPr>
                <w:p>
                  <w:pPr>
                    <w:spacing w:line="360" w:lineRule="exact"/>
                    <w:jc w:val="center"/>
                    <w:rPr>
                      <w:caps/>
                      <w:color w:val="auto"/>
                      <w:szCs w:val="21"/>
                    </w:rPr>
                  </w:pPr>
                  <w:r>
                    <w:rPr>
                      <w:rFonts w:hint="eastAsia"/>
                      <w:caps/>
                      <w:color w:val="auto"/>
                      <w:szCs w:val="21"/>
                    </w:rPr>
                    <w:t>48.6</w:t>
                  </w:r>
                </w:p>
              </w:tc>
              <w:tc>
                <w:tcPr>
                  <w:tcW w:w="713" w:type="pct"/>
                  <w:tcBorders>
                    <w:left w:val="single" w:color="auto" w:sz="4" w:space="0"/>
                  </w:tcBorders>
                  <w:vAlign w:val="center"/>
                </w:tcPr>
                <w:p>
                  <w:pPr>
                    <w:spacing w:line="360" w:lineRule="exact"/>
                    <w:jc w:val="center"/>
                    <w:rPr>
                      <w:caps/>
                      <w:color w:val="auto"/>
                      <w:szCs w:val="21"/>
                    </w:rPr>
                  </w:pPr>
                  <w:r>
                    <w:rPr>
                      <w:rFonts w:hint="eastAsia"/>
                      <w:caps/>
                      <w:color w:val="auto"/>
                      <w:szCs w:val="21"/>
                    </w:rPr>
                    <w:t>60</w:t>
                  </w:r>
                </w:p>
              </w:tc>
              <w:tc>
                <w:tcPr>
                  <w:tcW w:w="652" w:type="pct"/>
                  <w:tcBorders>
                    <w:left w:val="single" w:color="auto" w:sz="4" w:space="0"/>
                  </w:tcBorders>
                  <w:vAlign w:val="center"/>
                </w:tcPr>
                <w:p>
                  <w:pPr>
                    <w:spacing w:line="360" w:lineRule="exact"/>
                    <w:jc w:val="center"/>
                    <w:rPr>
                      <w:color w:val="auto"/>
                      <w:szCs w:val="21"/>
                    </w:rPr>
                  </w:pPr>
                  <w:r>
                    <w:rPr>
                      <w:rFonts w:hint="eastAsia"/>
                      <w:color w:val="auto"/>
                      <w:szCs w:val="21"/>
                    </w:rPr>
                    <w:t>50</w:t>
                  </w:r>
                </w:p>
              </w:tc>
              <w:tc>
                <w:tcPr>
                  <w:tcW w:w="703" w:type="pct"/>
                  <w:tcBorders>
                    <w:left w:val="single" w:color="auto" w:sz="4" w:space="0"/>
                  </w:tcBorders>
                  <w:vAlign w:val="center"/>
                </w:tcPr>
                <w:p>
                  <w:pPr>
                    <w:spacing w:line="360" w:lineRule="exact"/>
                    <w:jc w:val="center"/>
                    <w:rPr>
                      <w:color w:val="auto"/>
                      <w:szCs w:val="21"/>
                    </w:rPr>
                  </w:pPr>
                  <w:r>
                    <w:rPr>
                      <w:color w:val="auto"/>
                      <w:szCs w:val="21"/>
                    </w:rPr>
                    <w:t>达标</w:t>
                  </w:r>
                </w:p>
              </w:tc>
              <w:tc>
                <w:tcPr>
                  <w:tcW w:w="689" w:type="pct"/>
                  <w:tcBorders>
                    <w:left w:val="single" w:color="auto" w:sz="4" w:space="0"/>
                  </w:tcBorders>
                  <w:vAlign w:val="center"/>
                </w:tcPr>
                <w:p>
                  <w:pPr>
                    <w:spacing w:line="360" w:lineRule="exact"/>
                    <w:jc w:val="center"/>
                    <w:rPr>
                      <w:color w:val="auto"/>
                      <w:szCs w:val="21"/>
                    </w:rPr>
                  </w:pPr>
                  <w:r>
                    <w:rPr>
                      <w:rFonts w:hint="eastAsia"/>
                      <w:color w:val="auto"/>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CellMar>
                  <w:top w:w="0" w:type="dxa"/>
                  <w:left w:w="108" w:type="dxa"/>
                  <w:bottom w:w="0" w:type="dxa"/>
                  <w:right w:w="108" w:type="dxa"/>
                </w:tblCellMar>
              </w:tblPrEx>
              <w:trPr>
                <w:cantSplit/>
                <w:trHeight w:val="90" w:hRule="atLeast"/>
                <w:jc w:val="center"/>
              </w:trPr>
              <w:tc>
                <w:tcPr>
                  <w:tcW w:w="873" w:type="pct"/>
                  <w:vAlign w:val="center"/>
                </w:tcPr>
                <w:p>
                  <w:pPr>
                    <w:spacing w:line="360" w:lineRule="exact"/>
                    <w:jc w:val="center"/>
                    <w:rPr>
                      <w:caps/>
                      <w:color w:val="auto"/>
                      <w:szCs w:val="21"/>
                    </w:rPr>
                  </w:pPr>
                  <w:r>
                    <w:rPr>
                      <w:rFonts w:hint="eastAsia"/>
                      <w:caps/>
                      <w:color w:val="auto"/>
                      <w:szCs w:val="21"/>
                    </w:rPr>
                    <w:t>南</w:t>
                  </w:r>
                  <w:r>
                    <w:rPr>
                      <w:caps/>
                      <w:color w:val="auto"/>
                      <w:szCs w:val="21"/>
                    </w:rPr>
                    <w:t>厂界</w:t>
                  </w:r>
                </w:p>
              </w:tc>
              <w:tc>
                <w:tcPr>
                  <w:tcW w:w="654" w:type="pct"/>
                  <w:tcBorders>
                    <w:right w:val="single" w:color="auto" w:sz="4" w:space="0"/>
                  </w:tcBorders>
                  <w:vAlign w:val="center"/>
                </w:tcPr>
                <w:p>
                  <w:pPr>
                    <w:spacing w:line="360" w:lineRule="exact"/>
                    <w:jc w:val="center"/>
                    <w:rPr>
                      <w:caps/>
                      <w:color w:val="auto"/>
                      <w:szCs w:val="21"/>
                    </w:rPr>
                  </w:pPr>
                  <w:r>
                    <w:rPr>
                      <w:rFonts w:hint="eastAsia"/>
                      <w:caps/>
                      <w:color w:val="auto"/>
                      <w:szCs w:val="21"/>
                    </w:rPr>
                    <w:t>42.0</w:t>
                  </w:r>
                </w:p>
              </w:tc>
              <w:tc>
                <w:tcPr>
                  <w:tcW w:w="1162" w:type="dxa"/>
                  <w:tcBorders>
                    <w:left w:val="single" w:color="auto" w:sz="4" w:space="0"/>
                    <w:right w:val="single" w:color="auto" w:sz="4" w:space="0"/>
                  </w:tcBorders>
                  <w:vAlign w:val="center"/>
                </w:tcPr>
                <w:p>
                  <w:pPr>
                    <w:spacing w:line="360" w:lineRule="exact"/>
                    <w:jc w:val="center"/>
                    <w:rPr>
                      <w:caps/>
                      <w:color w:val="auto"/>
                      <w:szCs w:val="21"/>
                    </w:rPr>
                  </w:pPr>
                  <w:r>
                    <w:rPr>
                      <w:rFonts w:hint="eastAsia"/>
                      <w:caps/>
                      <w:color w:val="auto"/>
                      <w:szCs w:val="21"/>
                    </w:rPr>
                    <w:t>42.0</w:t>
                  </w:r>
                </w:p>
              </w:tc>
              <w:tc>
                <w:tcPr>
                  <w:tcW w:w="713" w:type="pct"/>
                  <w:tcBorders>
                    <w:left w:val="single" w:color="auto" w:sz="4" w:space="0"/>
                  </w:tcBorders>
                  <w:vAlign w:val="center"/>
                </w:tcPr>
                <w:p>
                  <w:pPr>
                    <w:spacing w:line="360" w:lineRule="exact"/>
                    <w:jc w:val="center"/>
                    <w:rPr>
                      <w:color w:val="auto"/>
                      <w:szCs w:val="21"/>
                    </w:rPr>
                  </w:pPr>
                  <w:r>
                    <w:rPr>
                      <w:rFonts w:hint="eastAsia"/>
                      <w:color w:val="auto"/>
                      <w:szCs w:val="21"/>
                    </w:rPr>
                    <w:t>60</w:t>
                  </w:r>
                </w:p>
              </w:tc>
              <w:tc>
                <w:tcPr>
                  <w:tcW w:w="652" w:type="pct"/>
                  <w:tcBorders>
                    <w:left w:val="single" w:color="auto" w:sz="4" w:space="0"/>
                  </w:tcBorders>
                  <w:vAlign w:val="center"/>
                </w:tcPr>
                <w:p>
                  <w:pPr>
                    <w:spacing w:line="360" w:lineRule="exact"/>
                    <w:jc w:val="center"/>
                    <w:rPr>
                      <w:color w:val="auto"/>
                      <w:szCs w:val="21"/>
                    </w:rPr>
                  </w:pPr>
                  <w:r>
                    <w:rPr>
                      <w:rFonts w:hint="eastAsia"/>
                      <w:color w:val="auto"/>
                      <w:szCs w:val="21"/>
                    </w:rPr>
                    <w:t>50</w:t>
                  </w:r>
                </w:p>
              </w:tc>
              <w:tc>
                <w:tcPr>
                  <w:tcW w:w="703" w:type="pct"/>
                  <w:tcBorders>
                    <w:left w:val="single" w:color="auto" w:sz="4" w:space="0"/>
                  </w:tcBorders>
                  <w:vAlign w:val="center"/>
                </w:tcPr>
                <w:p>
                  <w:pPr>
                    <w:spacing w:line="360" w:lineRule="exact"/>
                    <w:jc w:val="center"/>
                    <w:rPr>
                      <w:color w:val="auto"/>
                      <w:szCs w:val="21"/>
                    </w:rPr>
                  </w:pPr>
                  <w:r>
                    <w:rPr>
                      <w:color w:val="auto"/>
                      <w:szCs w:val="21"/>
                    </w:rPr>
                    <w:t>达标</w:t>
                  </w:r>
                </w:p>
              </w:tc>
              <w:tc>
                <w:tcPr>
                  <w:tcW w:w="689" w:type="pct"/>
                  <w:tcBorders>
                    <w:left w:val="single" w:color="auto" w:sz="4" w:space="0"/>
                  </w:tcBorders>
                  <w:vAlign w:val="center"/>
                </w:tcPr>
                <w:p>
                  <w:pPr>
                    <w:spacing w:line="360" w:lineRule="exact"/>
                    <w:jc w:val="center"/>
                    <w:rPr>
                      <w:color w:val="auto"/>
                      <w:szCs w:val="21"/>
                    </w:rPr>
                  </w:pPr>
                  <w:r>
                    <w:rPr>
                      <w:rFonts w:hint="eastAsia"/>
                      <w:color w:val="auto"/>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CellMar>
                  <w:top w:w="0" w:type="dxa"/>
                  <w:left w:w="108" w:type="dxa"/>
                  <w:bottom w:w="0" w:type="dxa"/>
                  <w:right w:w="108" w:type="dxa"/>
                </w:tblCellMar>
              </w:tblPrEx>
              <w:trPr>
                <w:cantSplit/>
                <w:trHeight w:val="90" w:hRule="atLeast"/>
                <w:jc w:val="center"/>
              </w:trPr>
              <w:tc>
                <w:tcPr>
                  <w:tcW w:w="873" w:type="pct"/>
                  <w:vAlign w:val="center"/>
                </w:tcPr>
                <w:p>
                  <w:pPr>
                    <w:spacing w:line="360" w:lineRule="exact"/>
                    <w:jc w:val="center"/>
                    <w:rPr>
                      <w:caps/>
                      <w:color w:val="auto"/>
                      <w:szCs w:val="21"/>
                    </w:rPr>
                  </w:pPr>
                  <w:r>
                    <w:rPr>
                      <w:rFonts w:hint="eastAsia"/>
                      <w:caps/>
                      <w:color w:val="auto"/>
                      <w:szCs w:val="21"/>
                    </w:rPr>
                    <w:t>西</w:t>
                  </w:r>
                  <w:r>
                    <w:rPr>
                      <w:caps/>
                      <w:color w:val="auto"/>
                      <w:szCs w:val="21"/>
                    </w:rPr>
                    <w:t>厂界</w:t>
                  </w:r>
                </w:p>
              </w:tc>
              <w:tc>
                <w:tcPr>
                  <w:tcW w:w="654" w:type="pct"/>
                  <w:tcBorders>
                    <w:right w:val="single" w:color="auto" w:sz="4" w:space="0"/>
                  </w:tcBorders>
                  <w:vAlign w:val="center"/>
                </w:tcPr>
                <w:p>
                  <w:pPr>
                    <w:spacing w:line="360" w:lineRule="exact"/>
                    <w:jc w:val="center"/>
                    <w:rPr>
                      <w:caps/>
                      <w:color w:val="auto"/>
                      <w:szCs w:val="21"/>
                    </w:rPr>
                  </w:pPr>
                  <w:r>
                    <w:rPr>
                      <w:rFonts w:hint="eastAsia"/>
                      <w:caps/>
                      <w:color w:val="auto"/>
                      <w:szCs w:val="21"/>
                    </w:rPr>
                    <w:t>44.3</w:t>
                  </w:r>
                </w:p>
              </w:tc>
              <w:tc>
                <w:tcPr>
                  <w:tcW w:w="1162" w:type="dxa"/>
                  <w:tcBorders>
                    <w:left w:val="single" w:color="auto" w:sz="4" w:space="0"/>
                    <w:right w:val="single" w:color="auto" w:sz="4" w:space="0"/>
                  </w:tcBorders>
                  <w:vAlign w:val="center"/>
                </w:tcPr>
                <w:p>
                  <w:pPr>
                    <w:spacing w:line="360" w:lineRule="exact"/>
                    <w:jc w:val="center"/>
                    <w:rPr>
                      <w:caps/>
                      <w:color w:val="auto"/>
                      <w:szCs w:val="21"/>
                    </w:rPr>
                  </w:pPr>
                  <w:r>
                    <w:rPr>
                      <w:rFonts w:hint="eastAsia"/>
                      <w:caps/>
                      <w:color w:val="auto"/>
                      <w:szCs w:val="21"/>
                    </w:rPr>
                    <w:t>44.3</w:t>
                  </w:r>
                </w:p>
              </w:tc>
              <w:tc>
                <w:tcPr>
                  <w:tcW w:w="713" w:type="pct"/>
                  <w:tcBorders>
                    <w:left w:val="single" w:color="auto" w:sz="4" w:space="0"/>
                  </w:tcBorders>
                  <w:vAlign w:val="center"/>
                </w:tcPr>
                <w:p>
                  <w:pPr>
                    <w:spacing w:line="360" w:lineRule="exact"/>
                    <w:jc w:val="center"/>
                    <w:rPr>
                      <w:color w:val="auto"/>
                      <w:szCs w:val="21"/>
                    </w:rPr>
                  </w:pPr>
                  <w:r>
                    <w:rPr>
                      <w:rFonts w:hint="eastAsia"/>
                      <w:color w:val="auto"/>
                      <w:szCs w:val="21"/>
                    </w:rPr>
                    <w:t>60</w:t>
                  </w:r>
                </w:p>
              </w:tc>
              <w:tc>
                <w:tcPr>
                  <w:tcW w:w="652" w:type="pct"/>
                  <w:tcBorders>
                    <w:left w:val="single" w:color="auto" w:sz="4" w:space="0"/>
                  </w:tcBorders>
                  <w:vAlign w:val="center"/>
                </w:tcPr>
                <w:p>
                  <w:pPr>
                    <w:spacing w:line="360" w:lineRule="exact"/>
                    <w:jc w:val="center"/>
                    <w:rPr>
                      <w:color w:val="auto"/>
                      <w:szCs w:val="21"/>
                    </w:rPr>
                  </w:pPr>
                  <w:r>
                    <w:rPr>
                      <w:rFonts w:hint="eastAsia"/>
                      <w:color w:val="auto"/>
                      <w:szCs w:val="21"/>
                    </w:rPr>
                    <w:t>50</w:t>
                  </w:r>
                </w:p>
              </w:tc>
              <w:tc>
                <w:tcPr>
                  <w:tcW w:w="703" w:type="pct"/>
                  <w:tcBorders>
                    <w:left w:val="single" w:color="auto" w:sz="4" w:space="0"/>
                  </w:tcBorders>
                  <w:vAlign w:val="center"/>
                </w:tcPr>
                <w:p>
                  <w:pPr>
                    <w:spacing w:line="360" w:lineRule="exact"/>
                    <w:jc w:val="center"/>
                    <w:rPr>
                      <w:color w:val="auto"/>
                      <w:szCs w:val="21"/>
                    </w:rPr>
                  </w:pPr>
                  <w:r>
                    <w:rPr>
                      <w:color w:val="auto"/>
                      <w:szCs w:val="21"/>
                    </w:rPr>
                    <w:t>达标</w:t>
                  </w:r>
                </w:p>
              </w:tc>
              <w:tc>
                <w:tcPr>
                  <w:tcW w:w="689" w:type="pct"/>
                  <w:tcBorders>
                    <w:left w:val="single" w:color="auto" w:sz="4" w:space="0"/>
                  </w:tcBorders>
                  <w:vAlign w:val="center"/>
                </w:tcPr>
                <w:p>
                  <w:pPr>
                    <w:spacing w:line="360" w:lineRule="exact"/>
                    <w:jc w:val="center"/>
                    <w:rPr>
                      <w:color w:val="auto"/>
                      <w:szCs w:val="21"/>
                    </w:rPr>
                  </w:pPr>
                  <w:r>
                    <w:rPr>
                      <w:rFonts w:hint="eastAsia"/>
                      <w:color w:val="auto"/>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CellMar>
                  <w:top w:w="0" w:type="dxa"/>
                  <w:left w:w="108" w:type="dxa"/>
                  <w:bottom w:w="0" w:type="dxa"/>
                  <w:right w:w="108" w:type="dxa"/>
                </w:tblCellMar>
              </w:tblPrEx>
              <w:trPr>
                <w:cantSplit/>
                <w:trHeight w:val="90" w:hRule="atLeast"/>
                <w:jc w:val="center"/>
              </w:trPr>
              <w:tc>
                <w:tcPr>
                  <w:tcW w:w="873" w:type="pct"/>
                  <w:vAlign w:val="center"/>
                </w:tcPr>
                <w:p>
                  <w:pPr>
                    <w:spacing w:line="360" w:lineRule="exact"/>
                    <w:jc w:val="center"/>
                    <w:rPr>
                      <w:caps/>
                      <w:color w:val="auto"/>
                      <w:szCs w:val="21"/>
                    </w:rPr>
                  </w:pPr>
                  <w:r>
                    <w:rPr>
                      <w:rFonts w:hint="eastAsia"/>
                      <w:caps/>
                      <w:color w:val="auto"/>
                      <w:szCs w:val="21"/>
                    </w:rPr>
                    <w:t>北</w:t>
                  </w:r>
                  <w:r>
                    <w:rPr>
                      <w:caps/>
                      <w:color w:val="auto"/>
                      <w:szCs w:val="21"/>
                    </w:rPr>
                    <w:t>厂界</w:t>
                  </w:r>
                </w:p>
              </w:tc>
              <w:tc>
                <w:tcPr>
                  <w:tcW w:w="654" w:type="pct"/>
                  <w:tcBorders>
                    <w:right w:val="single" w:color="auto" w:sz="4" w:space="0"/>
                  </w:tcBorders>
                  <w:vAlign w:val="center"/>
                </w:tcPr>
                <w:p>
                  <w:pPr>
                    <w:spacing w:line="360" w:lineRule="exact"/>
                    <w:jc w:val="center"/>
                    <w:rPr>
                      <w:caps/>
                      <w:color w:val="auto"/>
                      <w:szCs w:val="21"/>
                    </w:rPr>
                  </w:pPr>
                  <w:r>
                    <w:rPr>
                      <w:rFonts w:hint="eastAsia"/>
                      <w:caps/>
                      <w:color w:val="auto"/>
                      <w:szCs w:val="21"/>
                    </w:rPr>
                    <w:t>47.3</w:t>
                  </w:r>
                </w:p>
              </w:tc>
              <w:tc>
                <w:tcPr>
                  <w:tcW w:w="1162" w:type="dxa"/>
                  <w:tcBorders>
                    <w:left w:val="single" w:color="auto" w:sz="4" w:space="0"/>
                    <w:right w:val="single" w:color="auto" w:sz="4" w:space="0"/>
                  </w:tcBorders>
                  <w:vAlign w:val="center"/>
                </w:tcPr>
                <w:p>
                  <w:pPr>
                    <w:spacing w:line="360" w:lineRule="exact"/>
                    <w:jc w:val="center"/>
                    <w:rPr>
                      <w:caps/>
                      <w:color w:val="auto"/>
                      <w:szCs w:val="21"/>
                    </w:rPr>
                  </w:pPr>
                  <w:r>
                    <w:rPr>
                      <w:rFonts w:hint="eastAsia"/>
                      <w:caps/>
                      <w:color w:val="auto"/>
                      <w:szCs w:val="21"/>
                    </w:rPr>
                    <w:t>47.3</w:t>
                  </w:r>
                </w:p>
              </w:tc>
              <w:tc>
                <w:tcPr>
                  <w:tcW w:w="713" w:type="pct"/>
                  <w:tcBorders>
                    <w:left w:val="single" w:color="auto" w:sz="4" w:space="0"/>
                  </w:tcBorders>
                  <w:vAlign w:val="center"/>
                </w:tcPr>
                <w:p>
                  <w:pPr>
                    <w:spacing w:line="360" w:lineRule="exact"/>
                    <w:jc w:val="center"/>
                    <w:rPr>
                      <w:color w:val="auto"/>
                      <w:szCs w:val="21"/>
                    </w:rPr>
                  </w:pPr>
                  <w:r>
                    <w:rPr>
                      <w:rFonts w:hint="eastAsia"/>
                      <w:color w:val="auto"/>
                      <w:szCs w:val="21"/>
                    </w:rPr>
                    <w:t>60</w:t>
                  </w:r>
                </w:p>
              </w:tc>
              <w:tc>
                <w:tcPr>
                  <w:tcW w:w="652" w:type="pct"/>
                  <w:tcBorders>
                    <w:left w:val="single" w:color="auto" w:sz="4" w:space="0"/>
                  </w:tcBorders>
                  <w:vAlign w:val="center"/>
                </w:tcPr>
                <w:p>
                  <w:pPr>
                    <w:spacing w:line="360" w:lineRule="exact"/>
                    <w:jc w:val="center"/>
                    <w:rPr>
                      <w:color w:val="auto"/>
                      <w:szCs w:val="21"/>
                    </w:rPr>
                  </w:pPr>
                  <w:r>
                    <w:rPr>
                      <w:rFonts w:hint="eastAsia"/>
                      <w:color w:val="auto"/>
                      <w:szCs w:val="21"/>
                    </w:rPr>
                    <w:t>50</w:t>
                  </w:r>
                </w:p>
              </w:tc>
              <w:tc>
                <w:tcPr>
                  <w:tcW w:w="703" w:type="pct"/>
                  <w:tcBorders>
                    <w:left w:val="single" w:color="auto" w:sz="4" w:space="0"/>
                  </w:tcBorders>
                  <w:vAlign w:val="center"/>
                </w:tcPr>
                <w:p>
                  <w:pPr>
                    <w:spacing w:line="360" w:lineRule="exact"/>
                    <w:jc w:val="center"/>
                    <w:rPr>
                      <w:color w:val="auto"/>
                      <w:szCs w:val="21"/>
                    </w:rPr>
                  </w:pPr>
                  <w:r>
                    <w:rPr>
                      <w:color w:val="auto"/>
                      <w:szCs w:val="21"/>
                    </w:rPr>
                    <w:t>达标</w:t>
                  </w:r>
                </w:p>
              </w:tc>
              <w:tc>
                <w:tcPr>
                  <w:tcW w:w="689" w:type="pct"/>
                  <w:tcBorders>
                    <w:left w:val="single" w:color="auto" w:sz="4" w:space="0"/>
                  </w:tcBorders>
                  <w:vAlign w:val="center"/>
                </w:tcPr>
                <w:p>
                  <w:pPr>
                    <w:spacing w:line="360" w:lineRule="exact"/>
                    <w:jc w:val="center"/>
                    <w:rPr>
                      <w:color w:val="auto"/>
                      <w:szCs w:val="21"/>
                    </w:rPr>
                  </w:pPr>
                  <w:r>
                    <w:rPr>
                      <w:rFonts w:hint="eastAsia"/>
                      <w:color w:val="auto"/>
                      <w:szCs w:val="21"/>
                    </w:rPr>
                    <w:t>/</w:t>
                  </w:r>
                </w:p>
              </w:tc>
            </w:tr>
          </w:tbl>
          <w:p>
            <w:pPr>
              <w:widowControl/>
              <w:spacing w:line="500" w:lineRule="exact"/>
              <w:ind w:firstLine="480" w:firstLineChars="200"/>
              <w:rPr>
                <w:color w:val="auto"/>
                <w:sz w:val="24"/>
              </w:rPr>
            </w:pPr>
            <w:r>
              <w:rPr>
                <w:color w:val="auto"/>
                <w:sz w:val="24"/>
              </w:rPr>
              <w:t>由上表可知，</w:t>
            </w:r>
            <w:r>
              <w:rPr>
                <w:rFonts w:hint="eastAsia"/>
                <w:color w:val="auto"/>
                <w:sz w:val="24"/>
              </w:rPr>
              <w:t>四周</w:t>
            </w:r>
            <w:r>
              <w:rPr>
                <w:color w:val="auto"/>
                <w:sz w:val="24"/>
              </w:rPr>
              <w:t>厂界</w:t>
            </w:r>
            <w:r>
              <w:rPr>
                <w:rFonts w:hint="eastAsia"/>
                <w:color w:val="auto"/>
                <w:sz w:val="24"/>
              </w:rPr>
              <w:t>昼夜</w:t>
            </w:r>
            <w:r>
              <w:rPr>
                <w:color w:val="auto"/>
                <w:sz w:val="24"/>
                <w:lang w:val="zh-CN"/>
              </w:rPr>
              <w:t>噪声为</w:t>
            </w:r>
            <w:r>
              <w:rPr>
                <w:rFonts w:hint="eastAsia"/>
                <w:color w:val="auto"/>
                <w:sz w:val="24"/>
              </w:rPr>
              <w:t>42.0~48.6</w:t>
            </w:r>
            <w:r>
              <w:rPr>
                <w:color w:val="auto"/>
                <w:sz w:val="24"/>
                <w:lang w:val="zh-CN"/>
              </w:rPr>
              <w:t>dB（A），</w:t>
            </w:r>
            <w:r>
              <w:rPr>
                <w:rFonts w:hint="eastAsia"/>
                <w:color w:val="auto"/>
                <w:sz w:val="24"/>
              </w:rPr>
              <w:t>四周厂界噪声</w:t>
            </w:r>
            <w:r>
              <w:rPr>
                <w:color w:val="auto"/>
                <w:sz w:val="24"/>
                <w:lang w:val="zh-CN"/>
              </w:rPr>
              <w:t>满足</w:t>
            </w:r>
            <w:r>
              <w:rPr>
                <w:color w:val="auto"/>
                <w:kern w:val="0"/>
                <w:sz w:val="24"/>
              </w:rPr>
              <w:t>《工业企业厂界环境噪声排放标准》（GB12348－2008）中</w:t>
            </w:r>
            <w:r>
              <w:rPr>
                <w:rFonts w:hint="eastAsia"/>
                <w:color w:val="auto"/>
                <w:kern w:val="0"/>
                <w:sz w:val="24"/>
              </w:rPr>
              <w:t>2</w:t>
            </w:r>
            <w:r>
              <w:rPr>
                <w:color w:val="auto"/>
                <w:kern w:val="0"/>
                <w:sz w:val="24"/>
              </w:rPr>
              <w:t>标准</w:t>
            </w:r>
            <w:r>
              <w:rPr>
                <w:color w:val="auto"/>
                <w:sz w:val="24"/>
              </w:rPr>
              <w:t>。</w:t>
            </w:r>
          </w:p>
          <w:p>
            <w:pPr>
              <w:pStyle w:val="32"/>
              <w:spacing w:after="0" w:line="500" w:lineRule="exact"/>
              <w:ind w:left="0" w:leftChars="0" w:firstLine="480"/>
              <w:rPr>
                <w:color w:val="auto"/>
                <w:sz w:val="24"/>
                <w:szCs w:val="24"/>
              </w:rPr>
            </w:pPr>
            <w:r>
              <w:rPr>
                <w:rFonts w:hint="eastAsia"/>
                <w:color w:val="auto"/>
                <w:sz w:val="24"/>
                <w:szCs w:val="24"/>
              </w:rPr>
              <w:t>（2）</w:t>
            </w:r>
            <w:r>
              <w:rPr>
                <w:color w:val="auto"/>
                <w:sz w:val="24"/>
                <w:szCs w:val="24"/>
              </w:rPr>
              <w:t>噪声监测计划</w:t>
            </w:r>
          </w:p>
          <w:p>
            <w:pPr>
              <w:pStyle w:val="32"/>
              <w:spacing w:after="0" w:line="500" w:lineRule="exact"/>
              <w:ind w:left="0" w:leftChars="0" w:firstLine="480"/>
              <w:rPr>
                <w:b/>
                <w:bCs/>
                <w:color w:val="auto"/>
                <w:spacing w:val="-2"/>
                <w:sz w:val="24"/>
                <w:szCs w:val="24"/>
              </w:rPr>
            </w:pPr>
            <w:r>
              <w:rPr>
                <w:color w:val="auto"/>
                <w:sz w:val="24"/>
                <w:szCs w:val="24"/>
              </w:rPr>
              <w:t>本项目噪声监测计划一览表见</w:t>
            </w:r>
            <w:r>
              <w:rPr>
                <w:rFonts w:hint="eastAsia"/>
                <w:color w:val="auto"/>
                <w:sz w:val="24"/>
                <w:szCs w:val="24"/>
              </w:rPr>
              <w:t>下表</w:t>
            </w:r>
            <w:r>
              <w:rPr>
                <w:color w:val="auto"/>
                <w:sz w:val="24"/>
                <w:szCs w:val="24"/>
              </w:rPr>
              <w:t>。</w:t>
            </w:r>
          </w:p>
          <w:p>
            <w:pPr>
              <w:pStyle w:val="32"/>
              <w:spacing w:after="0" w:line="500" w:lineRule="exact"/>
              <w:ind w:left="0" w:leftChars="0" w:firstLine="2606" w:firstLineChars="1100"/>
              <w:rPr>
                <w:color w:val="auto"/>
                <w:sz w:val="24"/>
                <w:szCs w:val="24"/>
              </w:rPr>
            </w:pPr>
            <w:r>
              <w:rPr>
                <w:b/>
                <w:bCs/>
                <w:color w:val="auto"/>
                <w:spacing w:val="-2"/>
                <w:sz w:val="24"/>
                <w:szCs w:val="24"/>
              </w:rPr>
              <w:t>表</w:t>
            </w:r>
            <w:r>
              <w:rPr>
                <w:rFonts w:hint="eastAsia"/>
                <w:b/>
                <w:bCs/>
                <w:color w:val="auto"/>
                <w:spacing w:val="-2"/>
                <w:sz w:val="24"/>
                <w:szCs w:val="24"/>
              </w:rPr>
              <w:t>38</w:t>
            </w:r>
            <w:r>
              <w:rPr>
                <w:b/>
                <w:bCs/>
                <w:color w:val="auto"/>
                <w:spacing w:val="-2"/>
                <w:sz w:val="24"/>
                <w:szCs w:val="24"/>
              </w:rPr>
              <w:t xml:space="preserve">   本项目噪声监测计划一览表</w:t>
            </w: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1461"/>
              <w:gridCol w:w="1148"/>
              <w:gridCol w:w="39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4" w:type="dxa"/>
                  <w:tcBorders>
                    <w:tl2br w:val="nil"/>
                    <w:tr2bl w:val="nil"/>
                  </w:tcBorders>
                  <w:vAlign w:val="center"/>
                </w:tcPr>
                <w:p>
                  <w:pPr>
                    <w:spacing w:line="360" w:lineRule="exact"/>
                    <w:jc w:val="center"/>
                    <w:rPr>
                      <w:bCs/>
                      <w:color w:val="auto"/>
                      <w:szCs w:val="21"/>
                    </w:rPr>
                  </w:pPr>
                  <w:r>
                    <w:rPr>
                      <w:bCs/>
                      <w:color w:val="auto"/>
                      <w:szCs w:val="21"/>
                    </w:rPr>
                    <w:t>监测点位</w:t>
                  </w:r>
                </w:p>
              </w:tc>
              <w:tc>
                <w:tcPr>
                  <w:tcW w:w="1461" w:type="dxa"/>
                  <w:tcBorders>
                    <w:tl2br w:val="nil"/>
                    <w:tr2bl w:val="nil"/>
                  </w:tcBorders>
                  <w:vAlign w:val="center"/>
                </w:tcPr>
                <w:p>
                  <w:pPr>
                    <w:spacing w:line="360" w:lineRule="exact"/>
                    <w:jc w:val="center"/>
                    <w:rPr>
                      <w:bCs/>
                      <w:color w:val="auto"/>
                      <w:szCs w:val="21"/>
                    </w:rPr>
                  </w:pPr>
                  <w:r>
                    <w:rPr>
                      <w:bCs/>
                      <w:color w:val="auto"/>
                      <w:szCs w:val="21"/>
                    </w:rPr>
                    <w:t>监测因子</w:t>
                  </w:r>
                </w:p>
              </w:tc>
              <w:tc>
                <w:tcPr>
                  <w:tcW w:w="1148" w:type="dxa"/>
                  <w:tcBorders>
                    <w:tl2br w:val="nil"/>
                    <w:tr2bl w:val="nil"/>
                  </w:tcBorders>
                  <w:vAlign w:val="center"/>
                </w:tcPr>
                <w:p>
                  <w:pPr>
                    <w:spacing w:line="360" w:lineRule="exact"/>
                    <w:jc w:val="center"/>
                    <w:rPr>
                      <w:bCs/>
                      <w:color w:val="auto"/>
                      <w:szCs w:val="21"/>
                    </w:rPr>
                  </w:pPr>
                  <w:r>
                    <w:rPr>
                      <w:bCs/>
                      <w:color w:val="auto"/>
                      <w:szCs w:val="21"/>
                    </w:rPr>
                    <w:t>监测频次</w:t>
                  </w:r>
                </w:p>
              </w:tc>
              <w:tc>
                <w:tcPr>
                  <w:tcW w:w="3935" w:type="dxa"/>
                  <w:tcBorders>
                    <w:tl2br w:val="nil"/>
                    <w:tr2bl w:val="nil"/>
                  </w:tcBorders>
                  <w:vAlign w:val="center"/>
                </w:tcPr>
                <w:p>
                  <w:pPr>
                    <w:spacing w:line="360" w:lineRule="exact"/>
                    <w:jc w:val="center"/>
                    <w:rPr>
                      <w:bCs/>
                      <w:color w:val="auto"/>
                      <w:szCs w:val="21"/>
                    </w:rPr>
                  </w:pPr>
                  <w:r>
                    <w:rPr>
                      <w:bCs/>
                      <w:color w:val="auto"/>
                      <w:szCs w:val="21"/>
                    </w:rPr>
                    <w:t>执行排放标准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454" w:type="dxa"/>
                  <w:tcBorders>
                    <w:tl2br w:val="nil"/>
                    <w:tr2bl w:val="nil"/>
                  </w:tcBorders>
                  <w:vAlign w:val="center"/>
                </w:tcPr>
                <w:p>
                  <w:pPr>
                    <w:spacing w:line="360" w:lineRule="exact"/>
                    <w:jc w:val="center"/>
                    <w:rPr>
                      <w:bCs/>
                      <w:color w:val="auto"/>
                      <w:szCs w:val="21"/>
                    </w:rPr>
                  </w:pPr>
                  <w:r>
                    <w:rPr>
                      <w:color w:val="auto"/>
                      <w:szCs w:val="21"/>
                    </w:rPr>
                    <w:t>厂界外1m处</w:t>
                  </w:r>
                </w:p>
              </w:tc>
              <w:tc>
                <w:tcPr>
                  <w:tcW w:w="1461" w:type="dxa"/>
                  <w:tcBorders>
                    <w:tl2br w:val="nil"/>
                    <w:tr2bl w:val="nil"/>
                  </w:tcBorders>
                  <w:vAlign w:val="center"/>
                </w:tcPr>
                <w:p>
                  <w:pPr>
                    <w:spacing w:line="360" w:lineRule="exact"/>
                    <w:jc w:val="center"/>
                    <w:rPr>
                      <w:bCs/>
                      <w:color w:val="auto"/>
                      <w:szCs w:val="21"/>
                    </w:rPr>
                  </w:pPr>
                  <w:r>
                    <w:rPr>
                      <w:color w:val="auto"/>
                      <w:szCs w:val="21"/>
                    </w:rPr>
                    <w:t>等效连续A声级</w:t>
                  </w:r>
                </w:p>
              </w:tc>
              <w:tc>
                <w:tcPr>
                  <w:tcW w:w="1148" w:type="dxa"/>
                  <w:tcBorders>
                    <w:tl2br w:val="nil"/>
                    <w:tr2bl w:val="nil"/>
                  </w:tcBorders>
                  <w:vAlign w:val="center"/>
                </w:tcPr>
                <w:p>
                  <w:pPr>
                    <w:spacing w:line="360" w:lineRule="exact"/>
                    <w:jc w:val="center"/>
                    <w:rPr>
                      <w:bCs/>
                      <w:color w:val="auto"/>
                      <w:szCs w:val="21"/>
                    </w:rPr>
                  </w:pPr>
                  <w:r>
                    <w:rPr>
                      <w:rFonts w:hint="eastAsia"/>
                      <w:bCs/>
                      <w:color w:val="auto"/>
                      <w:szCs w:val="21"/>
                    </w:rPr>
                    <w:t>1</w:t>
                  </w:r>
                  <w:r>
                    <w:rPr>
                      <w:bCs/>
                      <w:color w:val="auto"/>
                      <w:szCs w:val="21"/>
                    </w:rPr>
                    <w:t>次/</w:t>
                  </w:r>
                  <w:r>
                    <w:rPr>
                      <w:rFonts w:hint="eastAsia"/>
                      <w:bCs/>
                      <w:color w:val="auto"/>
                      <w:szCs w:val="21"/>
                    </w:rPr>
                    <w:t>季度</w:t>
                  </w:r>
                </w:p>
              </w:tc>
              <w:tc>
                <w:tcPr>
                  <w:tcW w:w="3935" w:type="dxa"/>
                  <w:tcBorders>
                    <w:tl2br w:val="nil"/>
                    <w:tr2bl w:val="nil"/>
                  </w:tcBorders>
                  <w:vAlign w:val="center"/>
                </w:tcPr>
                <w:p>
                  <w:pPr>
                    <w:spacing w:line="360" w:lineRule="exact"/>
                    <w:jc w:val="center"/>
                    <w:rPr>
                      <w:bCs/>
                      <w:color w:val="auto"/>
                      <w:szCs w:val="21"/>
                    </w:rPr>
                  </w:pPr>
                  <w:r>
                    <w:rPr>
                      <w:color w:val="auto"/>
                      <w:szCs w:val="21"/>
                    </w:rPr>
                    <w:t>《工业企业厂界环境噪声排放标准》（GB12348-2008）</w:t>
                  </w:r>
                  <w:r>
                    <w:rPr>
                      <w:rFonts w:hint="eastAsia"/>
                      <w:color w:val="auto"/>
                      <w:szCs w:val="21"/>
                    </w:rPr>
                    <w:t>2</w:t>
                  </w:r>
                  <w:r>
                    <w:rPr>
                      <w:color w:val="auto"/>
                      <w:szCs w:val="21"/>
                    </w:rPr>
                    <w:t>类标准限值要求</w:t>
                  </w:r>
                </w:p>
              </w:tc>
            </w:tr>
          </w:tbl>
          <w:p>
            <w:pPr>
              <w:spacing w:line="500" w:lineRule="exact"/>
              <w:ind w:firstLine="482" w:firstLineChars="200"/>
              <w:rPr>
                <w:b/>
                <w:bCs/>
                <w:color w:val="auto"/>
                <w:sz w:val="24"/>
              </w:rPr>
            </w:pPr>
            <w:r>
              <w:rPr>
                <w:rFonts w:hint="eastAsia"/>
                <w:b/>
                <w:bCs/>
                <w:color w:val="auto"/>
                <w:sz w:val="24"/>
              </w:rPr>
              <w:t>4、固体废物</w:t>
            </w:r>
          </w:p>
          <w:p>
            <w:pPr>
              <w:spacing w:line="480" w:lineRule="exact"/>
              <w:ind w:firstLine="480" w:firstLineChars="200"/>
              <w:rPr>
                <w:bCs/>
                <w:color w:val="auto"/>
                <w:sz w:val="24"/>
              </w:rPr>
            </w:pPr>
            <w:bookmarkStart w:id="21" w:name="_Hlk27474609"/>
            <w:r>
              <w:rPr>
                <w:bCs/>
                <w:color w:val="auto"/>
                <w:sz w:val="24"/>
              </w:rPr>
              <w:t>（1）固废产生及</w:t>
            </w:r>
            <w:r>
              <w:rPr>
                <w:color w:val="auto"/>
                <w:sz w:val="24"/>
              </w:rPr>
              <w:t>及治理情况</w:t>
            </w:r>
          </w:p>
          <w:p>
            <w:pPr>
              <w:spacing w:line="480" w:lineRule="exact"/>
              <w:ind w:firstLine="480" w:firstLineChars="200"/>
              <w:rPr>
                <w:bCs/>
                <w:color w:val="auto"/>
                <w:sz w:val="24"/>
              </w:rPr>
            </w:pPr>
            <w:r>
              <w:rPr>
                <w:bCs/>
                <w:color w:val="auto"/>
                <w:sz w:val="24"/>
              </w:rPr>
              <w:t>项目</w:t>
            </w:r>
            <w:r>
              <w:rPr>
                <w:rFonts w:hint="eastAsia"/>
                <w:bCs/>
                <w:color w:val="auto"/>
                <w:sz w:val="24"/>
              </w:rPr>
              <w:t>产生的一般工业固体废物主要为除尘灰约39.482t/a外售综合利用、熔炼渣65t/a外售综合利用，切冒口</w:t>
            </w:r>
            <w:r>
              <w:rPr>
                <w:rFonts w:hint="eastAsia"/>
                <w:bCs/>
                <w:color w:val="auto"/>
                <w:sz w:val="24"/>
                <w:lang w:val="en-US" w:eastAsia="zh-CN"/>
              </w:rPr>
              <w:t>产生的</w:t>
            </w:r>
            <w:r>
              <w:rPr>
                <w:rFonts w:hint="eastAsia"/>
                <w:bCs/>
                <w:color w:val="auto"/>
                <w:sz w:val="24"/>
              </w:rPr>
              <w:t>废铁40t/a回用于生产，砂处理产生的废砂187.1688t/a定期作为原料外售于处理厂家，废布袋产生量为0.05t/a定期由厂家回收利用。</w:t>
            </w:r>
          </w:p>
          <w:p>
            <w:pPr>
              <w:spacing w:line="480" w:lineRule="exact"/>
              <w:ind w:firstLine="480" w:firstLineChars="200"/>
              <w:rPr>
                <w:bCs/>
                <w:color w:val="auto"/>
                <w:sz w:val="24"/>
              </w:rPr>
            </w:pPr>
            <w:r>
              <w:rPr>
                <w:rFonts w:hint="eastAsia"/>
                <w:bCs/>
                <w:color w:val="auto"/>
                <w:sz w:val="24"/>
              </w:rPr>
              <w:t>产生的危险废物主要为废</w:t>
            </w:r>
            <w:r>
              <w:rPr>
                <w:color w:val="auto"/>
                <w:sz w:val="24"/>
              </w:rPr>
              <w:t>矿物油</w:t>
            </w:r>
            <w:r>
              <w:rPr>
                <w:rFonts w:hint="eastAsia"/>
                <w:bCs/>
                <w:color w:val="auto"/>
                <w:sz w:val="24"/>
              </w:rPr>
              <w:t>产生量0.1t/a，废油桶产生量0.06t/a，属于HW08类危险废物，暂存于危险废物暂存间，定期委托有资质单位处置。</w:t>
            </w:r>
          </w:p>
          <w:p>
            <w:pPr>
              <w:spacing w:line="480" w:lineRule="exact"/>
              <w:ind w:firstLine="480" w:firstLineChars="200"/>
              <w:rPr>
                <w:bCs/>
                <w:color w:val="auto"/>
                <w:sz w:val="24"/>
              </w:rPr>
            </w:pPr>
            <w:r>
              <w:rPr>
                <w:rFonts w:hint="eastAsia"/>
                <w:bCs/>
                <w:color w:val="auto"/>
                <w:sz w:val="24"/>
              </w:rPr>
              <w:t>职工生活垃圾产生量3t/a，集中收集后</w:t>
            </w:r>
            <w:r>
              <w:rPr>
                <w:bCs/>
                <w:color w:val="auto"/>
                <w:sz w:val="24"/>
              </w:rPr>
              <w:t>由环卫部门定期清运</w:t>
            </w:r>
            <w:r>
              <w:rPr>
                <w:rFonts w:hint="eastAsia"/>
                <w:bCs/>
                <w:color w:val="auto"/>
                <w:sz w:val="24"/>
              </w:rPr>
              <w:t>。</w:t>
            </w:r>
          </w:p>
          <w:p>
            <w:pPr>
              <w:spacing w:line="480" w:lineRule="exact"/>
              <w:ind w:firstLine="480" w:firstLineChars="200"/>
              <w:rPr>
                <w:bCs/>
                <w:color w:val="auto"/>
                <w:sz w:val="24"/>
              </w:rPr>
            </w:pPr>
            <w:r>
              <w:rPr>
                <w:bCs/>
                <w:color w:val="auto"/>
                <w:sz w:val="24"/>
              </w:rPr>
              <w:t>固体废物产生量及处置措施</w:t>
            </w:r>
            <w:r>
              <w:rPr>
                <w:rFonts w:hint="eastAsia"/>
                <w:bCs/>
                <w:color w:val="auto"/>
                <w:sz w:val="24"/>
              </w:rPr>
              <w:t>情况见下表39。</w:t>
            </w:r>
          </w:p>
          <w:bookmarkEnd w:id="21"/>
          <w:p>
            <w:pPr>
              <w:spacing w:line="480" w:lineRule="exact"/>
              <w:jc w:val="center"/>
              <w:rPr>
                <w:b/>
                <w:bCs/>
                <w:snapToGrid w:val="0"/>
                <w:color w:val="auto"/>
                <w:sz w:val="24"/>
              </w:rPr>
            </w:pPr>
            <w:bookmarkStart w:id="22" w:name="_Hlk27474644"/>
          </w:p>
          <w:p>
            <w:pPr>
              <w:spacing w:line="480" w:lineRule="exact"/>
              <w:jc w:val="center"/>
              <w:rPr>
                <w:b/>
                <w:bCs/>
                <w:snapToGrid w:val="0"/>
                <w:color w:val="auto"/>
                <w:sz w:val="24"/>
              </w:rPr>
            </w:pPr>
          </w:p>
          <w:p>
            <w:pPr>
              <w:spacing w:line="480" w:lineRule="exact"/>
              <w:jc w:val="center"/>
              <w:rPr>
                <w:color w:val="auto"/>
              </w:rPr>
            </w:pPr>
            <w:r>
              <w:rPr>
                <w:b/>
                <w:bCs/>
                <w:snapToGrid w:val="0"/>
                <w:color w:val="auto"/>
                <w:sz w:val="24"/>
              </w:rPr>
              <w:t>表</w:t>
            </w:r>
            <w:r>
              <w:rPr>
                <w:rFonts w:hint="eastAsia"/>
                <w:b/>
                <w:bCs/>
                <w:snapToGrid w:val="0"/>
                <w:color w:val="auto"/>
                <w:sz w:val="24"/>
              </w:rPr>
              <w:t xml:space="preserve">39   </w:t>
            </w:r>
            <w:r>
              <w:rPr>
                <w:b/>
                <w:bCs/>
                <w:snapToGrid w:val="0"/>
                <w:color w:val="auto"/>
                <w:sz w:val="24"/>
              </w:rPr>
              <w:t>固体废物产生量及处置措施一览表</w:t>
            </w:r>
          </w:p>
          <w:tbl>
            <w:tblPr>
              <w:tblStyle w:val="33"/>
              <w:tblW w:w="823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431"/>
              <w:gridCol w:w="594"/>
              <w:gridCol w:w="1797"/>
              <w:gridCol w:w="925"/>
              <w:gridCol w:w="438"/>
              <w:gridCol w:w="596"/>
              <w:gridCol w:w="662"/>
              <w:gridCol w:w="576"/>
              <w:gridCol w:w="617"/>
              <w:gridCol w:w="830"/>
              <w:gridCol w:w="76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695" w:hRule="atLeast"/>
                <w:jc w:val="center"/>
              </w:trPr>
              <w:tc>
                <w:tcPr>
                  <w:tcW w:w="261" w:type="pct"/>
                  <w:vAlign w:val="center"/>
                </w:tcPr>
                <w:p>
                  <w:pPr>
                    <w:adjustRightInd w:val="0"/>
                    <w:contextualSpacing/>
                    <w:jc w:val="center"/>
                    <w:rPr>
                      <w:color w:val="auto"/>
                      <w:szCs w:val="21"/>
                    </w:rPr>
                  </w:pPr>
                  <w:r>
                    <w:rPr>
                      <w:color w:val="auto"/>
                      <w:szCs w:val="21"/>
                    </w:rPr>
                    <w:t>产生环节</w:t>
                  </w:r>
                </w:p>
              </w:tc>
              <w:tc>
                <w:tcPr>
                  <w:tcW w:w="360" w:type="pct"/>
                  <w:vAlign w:val="center"/>
                </w:tcPr>
                <w:p>
                  <w:pPr>
                    <w:adjustRightInd w:val="0"/>
                    <w:contextualSpacing/>
                    <w:jc w:val="center"/>
                    <w:rPr>
                      <w:color w:val="auto"/>
                      <w:szCs w:val="21"/>
                    </w:rPr>
                  </w:pPr>
                  <w:r>
                    <w:rPr>
                      <w:color w:val="auto"/>
                      <w:szCs w:val="21"/>
                    </w:rPr>
                    <w:t>固体废物名称</w:t>
                  </w:r>
                </w:p>
              </w:tc>
              <w:tc>
                <w:tcPr>
                  <w:tcW w:w="1090" w:type="pct"/>
                  <w:vAlign w:val="center"/>
                </w:tcPr>
                <w:p>
                  <w:pPr>
                    <w:adjustRightInd w:val="0"/>
                    <w:contextualSpacing/>
                    <w:jc w:val="center"/>
                    <w:rPr>
                      <w:color w:val="auto"/>
                      <w:szCs w:val="21"/>
                    </w:rPr>
                  </w:pPr>
                  <w:r>
                    <w:rPr>
                      <w:color w:val="auto"/>
                      <w:szCs w:val="21"/>
                    </w:rPr>
                    <w:t>属性</w:t>
                  </w:r>
                </w:p>
              </w:tc>
              <w:tc>
                <w:tcPr>
                  <w:tcW w:w="561" w:type="pct"/>
                  <w:vAlign w:val="center"/>
                </w:tcPr>
                <w:p>
                  <w:pPr>
                    <w:adjustRightInd w:val="0"/>
                    <w:contextualSpacing/>
                    <w:jc w:val="center"/>
                    <w:rPr>
                      <w:color w:val="auto"/>
                      <w:szCs w:val="21"/>
                    </w:rPr>
                  </w:pPr>
                  <w:r>
                    <w:rPr>
                      <w:color w:val="auto"/>
                      <w:szCs w:val="21"/>
                    </w:rPr>
                    <w:t>主要有毒有害物质名称</w:t>
                  </w:r>
                </w:p>
              </w:tc>
              <w:tc>
                <w:tcPr>
                  <w:tcW w:w="266" w:type="pct"/>
                  <w:vAlign w:val="center"/>
                </w:tcPr>
                <w:p>
                  <w:pPr>
                    <w:adjustRightInd w:val="0"/>
                    <w:contextualSpacing/>
                    <w:jc w:val="center"/>
                    <w:rPr>
                      <w:color w:val="auto"/>
                      <w:szCs w:val="21"/>
                    </w:rPr>
                  </w:pPr>
                  <w:r>
                    <w:rPr>
                      <w:color w:val="auto"/>
                      <w:szCs w:val="21"/>
                    </w:rPr>
                    <w:t>物理性状</w:t>
                  </w:r>
                </w:p>
              </w:tc>
              <w:tc>
                <w:tcPr>
                  <w:tcW w:w="362" w:type="pct"/>
                  <w:vAlign w:val="center"/>
                </w:tcPr>
                <w:p>
                  <w:pPr>
                    <w:adjustRightInd w:val="0"/>
                    <w:contextualSpacing/>
                    <w:jc w:val="center"/>
                    <w:rPr>
                      <w:color w:val="auto"/>
                      <w:szCs w:val="21"/>
                    </w:rPr>
                  </w:pPr>
                  <w:r>
                    <w:rPr>
                      <w:color w:val="auto"/>
                      <w:szCs w:val="21"/>
                    </w:rPr>
                    <w:t>环境危险特性</w:t>
                  </w:r>
                </w:p>
              </w:tc>
              <w:tc>
                <w:tcPr>
                  <w:tcW w:w="402" w:type="pct"/>
                  <w:vAlign w:val="center"/>
                </w:tcPr>
                <w:p>
                  <w:pPr>
                    <w:adjustRightInd w:val="0"/>
                    <w:contextualSpacing/>
                    <w:jc w:val="center"/>
                    <w:rPr>
                      <w:color w:val="auto"/>
                      <w:szCs w:val="21"/>
                    </w:rPr>
                  </w:pPr>
                  <w:r>
                    <w:rPr>
                      <w:color w:val="auto"/>
                      <w:szCs w:val="21"/>
                    </w:rPr>
                    <w:t>产生量(t/a)</w:t>
                  </w:r>
                </w:p>
              </w:tc>
              <w:tc>
                <w:tcPr>
                  <w:tcW w:w="350" w:type="pct"/>
                  <w:vAlign w:val="center"/>
                </w:tcPr>
                <w:p>
                  <w:pPr>
                    <w:adjustRightInd w:val="0"/>
                    <w:contextualSpacing/>
                    <w:jc w:val="center"/>
                    <w:rPr>
                      <w:color w:val="auto"/>
                      <w:szCs w:val="21"/>
                    </w:rPr>
                  </w:pPr>
                  <w:r>
                    <w:rPr>
                      <w:color w:val="auto"/>
                      <w:szCs w:val="21"/>
                    </w:rPr>
                    <w:t>贮存方式</w:t>
                  </w:r>
                </w:p>
              </w:tc>
              <w:tc>
                <w:tcPr>
                  <w:tcW w:w="375" w:type="pct"/>
                  <w:vAlign w:val="center"/>
                </w:tcPr>
                <w:p>
                  <w:pPr>
                    <w:adjustRightInd w:val="0"/>
                    <w:contextualSpacing/>
                    <w:jc w:val="center"/>
                    <w:rPr>
                      <w:color w:val="auto"/>
                      <w:szCs w:val="21"/>
                    </w:rPr>
                  </w:pPr>
                  <w:r>
                    <w:rPr>
                      <w:color w:val="auto"/>
                      <w:szCs w:val="21"/>
                    </w:rPr>
                    <w:t>利用处置方式</w:t>
                  </w:r>
                </w:p>
              </w:tc>
              <w:tc>
                <w:tcPr>
                  <w:tcW w:w="504" w:type="pct"/>
                  <w:vAlign w:val="center"/>
                </w:tcPr>
                <w:p>
                  <w:pPr>
                    <w:adjustRightInd w:val="0"/>
                    <w:contextualSpacing/>
                    <w:jc w:val="center"/>
                    <w:rPr>
                      <w:color w:val="auto"/>
                      <w:szCs w:val="21"/>
                    </w:rPr>
                  </w:pPr>
                  <w:r>
                    <w:rPr>
                      <w:color w:val="auto"/>
                      <w:szCs w:val="21"/>
                    </w:rPr>
                    <w:t>处置去向</w:t>
                  </w:r>
                </w:p>
              </w:tc>
              <w:tc>
                <w:tcPr>
                  <w:tcW w:w="465" w:type="pct"/>
                  <w:vAlign w:val="center"/>
                </w:tcPr>
                <w:p>
                  <w:pPr>
                    <w:adjustRightInd w:val="0"/>
                    <w:contextualSpacing/>
                    <w:jc w:val="center"/>
                    <w:rPr>
                      <w:color w:val="auto"/>
                      <w:szCs w:val="21"/>
                    </w:rPr>
                  </w:pPr>
                  <w:r>
                    <w:rPr>
                      <w:color w:val="auto"/>
                      <w:szCs w:val="21"/>
                    </w:rPr>
                    <w:t>利用或处置量(t/a)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261" w:type="pct"/>
                  <w:vMerge w:val="restart"/>
                  <w:vAlign w:val="center"/>
                </w:tcPr>
                <w:p>
                  <w:pPr>
                    <w:adjustRightInd w:val="0"/>
                    <w:contextualSpacing/>
                    <w:jc w:val="center"/>
                    <w:rPr>
                      <w:color w:val="auto"/>
                      <w:szCs w:val="21"/>
                    </w:rPr>
                  </w:pPr>
                  <w:r>
                    <w:rPr>
                      <w:rFonts w:hint="eastAsia"/>
                      <w:color w:val="auto"/>
                      <w:szCs w:val="21"/>
                    </w:rPr>
                    <w:t>废气处理</w:t>
                  </w:r>
                </w:p>
              </w:tc>
              <w:tc>
                <w:tcPr>
                  <w:tcW w:w="360" w:type="pct"/>
                  <w:vAlign w:val="center"/>
                </w:tcPr>
                <w:p>
                  <w:pPr>
                    <w:adjustRightInd w:val="0"/>
                    <w:contextualSpacing/>
                    <w:jc w:val="center"/>
                    <w:rPr>
                      <w:color w:val="auto"/>
                      <w:szCs w:val="21"/>
                    </w:rPr>
                  </w:pPr>
                  <w:r>
                    <w:rPr>
                      <w:rFonts w:hint="eastAsia"/>
                      <w:color w:val="auto"/>
                      <w:szCs w:val="21"/>
                    </w:rPr>
                    <w:t>除尘灰</w:t>
                  </w:r>
                </w:p>
              </w:tc>
              <w:tc>
                <w:tcPr>
                  <w:tcW w:w="1090" w:type="pct"/>
                  <w:vAlign w:val="center"/>
                </w:tcPr>
                <w:p>
                  <w:pPr>
                    <w:adjustRightInd w:val="0"/>
                    <w:contextualSpacing/>
                    <w:jc w:val="center"/>
                    <w:rPr>
                      <w:color w:val="auto"/>
                      <w:szCs w:val="21"/>
                    </w:rPr>
                  </w:pPr>
                  <w:r>
                    <w:rPr>
                      <w:rFonts w:hint="eastAsia"/>
                      <w:color w:val="auto"/>
                      <w:szCs w:val="21"/>
                    </w:rPr>
                    <w:t>一般工业固体废物SW59/900-099-S59</w:t>
                  </w:r>
                </w:p>
              </w:tc>
              <w:tc>
                <w:tcPr>
                  <w:tcW w:w="561" w:type="pct"/>
                  <w:vAlign w:val="center"/>
                </w:tcPr>
                <w:p>
                  <w:pPr>
                    <w:adjustRightInd w:val="0"/>
                    <w:contextualSpacing/>
                    <w:jc w:val="center"/>
                    <w:rPr>
                      <w:color w:val="auto"/>
                      <w:szCs w:val="21"/>
                    </w:rPr>
                  </w:pPr>
                  <w:r>
                    <w:rPr>
                      <w:rFonts w:hint="eastAsia"/>
                      <w:color w:val="auto"/>
                      <w:szCs w:val="21"/>
                    </w:rPr>
                    <w:t>/</w:t>
                  </w:r>
                </w:p>
              </w:tc>
              <w:tc>
                <w:tcPr>
                  <w:tcW w:w="266" w:type="pct"/>
                  <w:vAlign w:val="center"/>
                </w:tcPr>
                <w:p>
                  <w:pPr>
                    <w:adjustRightInd w:val="0"/>
                    <w:contextualSpacing/>
                    <w:jc w:val="center"/>
                    <w:rPr>
                      <w:color w:val="auto"/>
                      <w:szCs w:val="21"/>
                    </w:rPr>
                  </w:pPr>
                  <w:r>
                    <w:rPr>
                      <w:color w:val="auto"/>
                      <w:szCs w:val="21"/>
                    </w:rPr>
                    <w:t>固体</w:t>
                  </w:r>
                </w:p>
              </w:tc>
              <w:tc>
                <w:tcPr>
                  <w:tcW w:w="362" w:type="pct"/>
                  <w:vAlign w:val="center"/>
                </w:tcPr>
                <w:p>
                  <w:pPr>
                    <w:adjustRightInd w:val="0"/>
                    <w:contextualSpacing/>
                    <w:jc w:val="center"/>
                    <w:rPr>
                      <w:color w:val="auto"/>
                      <w:szCs w:val="21"/>
                    </w:rPr>
                  </w:pPr>
                  <w:r>
                    <w:rPr>
                      <w:rFonts w:hint="eastAsia"/>
                      <w:color w:val="auto"/>
                      <w:szCs w:val="21"/>
                    </w:rPr>
                    <w:t>/</w:t>
                  </w:r>
                </w:p>
              </w:tc>
              <w:tc>
                <w:tcPr>
                  <w:tcW w:w="402" w:type="pct"/>
                  <w:vAlign w:val="center"/>
                </w:tcPr>
                <w:p>
                  <w:pPr>
                    <w:adjustRightInd w:val="0"/>
                    <w:contextualSpacing/>
                    <w:jc w:val="center"/>
                    <w:rPr>
                      <w:color w:val="auto"/>
                      <w:szCs w:val="21"/>
                    </w:rPr>
                  </w:pPr>
                  <w:r>
                    <w:rPr>
                      <w:rFonts w:hint="eastAsia"/>
                      <w:color w:val="auto"/>
                      <w:szCs w:val="21"/>
                    </w:rPr>
                    <w:t>39.482</w:t>
                  </w:r>
                </w:p>
              </w:tc>
              <w:tc>
                <w:tcPr>
                  <w:tcW w:w="350" w:type="pct"/>
                  <w:vAlign w:val="center"/>
                </w:tcPr>
                <w:p>
                  <w:pPr>
                    <w:adjustRightInd w:val="0"/>
                    <w:contextualSpacing/>
                    <w:jc w:val="center"/>
                    <w:rPr>
                      <w:color w:val="auto"/>
                      <w:szCs w:val="21"/>
                    </w:rPr>
                  </w:pPr>
                  <w:r>
                    <w:rPr>
                      <w:rFonts w:hint="eastAsia"/>
                      <w:color w:val="auto"/>
                      <w:szCs w:val="21"/>
                    </w:rPr>
                    <w:t>密闭灰仓</w:t>
                  </w:r>
                </w:p>
              </w:tc>
              <w:tc>
                <w:tcPr>
                  <w:tcW w:w="375" w:type="pct"/>
                  <w:vAlign w:val="center"/>
                </w:tcPr>
                <w:p>
                  <w:pPr>
                    <w:adjustRightInd w:val="0"/>
                    <w:contextualSpacing/>
                    <w:jc w:val="center"/>
                    <w:rPr>
                      <w:color w:val="auto"/>
                      <w:szCs w:val="21"/>
                    </w:rPr>
                  </w:pPr>
                  <w:r>
                    <w:rPr>
                      <w:rFonts w:hint="eastAsia"/>
                      <w:color w:val="auto"/>
                      <w:szCs w:val="21"/>
                    </w:rPr>
                    <w:t>委托利用</w:t>
                  </w:r>
                </w:p>
              </w:tc>
              <w:tc>
                <w:tcPr>
                  <w:tcW w:w="504" w:type="pct"/>
                  <w:vAlign w:val="center"/>
                </w:tcPr>
                <w:p>
                  <w:pPr>
                    <w:adjustRightInd w:val="0"/>
                    <w:contextualSpacing/>
                    <w:jc w:val="center"/>
                    <w:rPr>
                      <w:color w:val="auto"/>
                      <w:szCs w:val="21"/>
                    </w:rPr>
                  </w:pPr>
                  <w:r>
                    <w:rPr>
                      <w:rFonts w:hint="eastAsia"/>
                      <w:color w:val="auto"/>
                      <w:szCs w:val="21"/>
                    </w:rPr>
                    <w:t>外售综合利用</w:t>
                  </w:r>
                </w:p>
              </w:tc>
              <w:tc>
                <w:tcPr>
                  <w:tcW w:w="465" w:type="pct"/>
                  <w:vAlign w:val="center"/>
                </w:tcPr>
                <w:p>
                  <w:pPr>
                    <w:adjustRightInd w:val="0"/>
                    <w:contextualSpacing/>
                    <w:jc w:val="center"/>
                    <w:rPr>
                      <w:color w:val="auto"/>
                      <w:szCs w:val="21"/>
                    </w:rPr>
                  </w:pPr>
                  <w:r>
                    <w:rPr>
                      <w:rFonts w:hint="eastAsia"/>
                      <w:color w:val="auto"/>
                      <w:szCs w:val="21"/>
                    </w:rPr>
                    <w:t>39.482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261" w:type="pct"/>
                  <w:vMerge w:val="continue"/>
                  <w:vAlign w:val="center"/>
                </w:tcPr>
                <w:p>
                  <w:pPr>
                    <w:adjustRightInd w:val="0"/>
                    <w:contextualSpacing/>
                    <w:jc w:val="center"/>
                    <w:rPr>
                      <w:color w:val="auto"/>
                      <w:szCs w:val="21"/>
                    </w:rPr>
                  </w:pPr>
                </w:p>
              </w:tc>
              <w:tc>
                <w:tcPr>
                  <w:tcW w:w="360" w:type="pct"/>
                  <w:vAlign w:val="center"/>
                </w:tcPr>
                <w:p>
                  <w:pPr>
                    <w:adjustRightInd w:val="0"/>
                    <w:contextualSpacing/>
                    <w:jc w:val="center"/>
                    <w:rPr>
                      <w:color w:val="auto"/>
                      <w:szCs w:val="21"/>
                    </w:rPr>
                  </w:pPr>
                  <w:r>
                    <w:rPr>
                      <w:rFonts w:hint="eastAsia"/>
                      <w:color w:val="auto"/>
                      <w:szCs w:val="21"/>
                    </w:rPr>
                    <w:t>熔炼渣</w:t>
                  </w:r>
                </w:p>
              </w:tc>
              <w:tc>
                <w:tcPr>
                  <w:tcW w:w="1090" w:type="pct"/>
                  <w:vAlign w:val="center"/>
                </w:tcPr>
                <w:p>
                  <w:pPr>
                    <w:adjustRightInd w:val="0"/>
                    <w:contextualSpacing/>
                    <w:jc w:val="center"/>
                    <w:rPr>
                      <w:color w:val="auto"/>
                      <w:szCs w:val="21"/>
                    </w:rPr>
                  </w:pPr>
                  <w:r>
                    <w:rPr>
                      <w:rFonts w:hint="eastAsia"/>
                      <w:color w:val="auto"/>
                      <w:szCs w:val="21"/>
                    </w:rPr>
                    <w:t>一般工业固体废物SW01/900-099-S01</w:t>
                  </w:r>
                </w:p>
              </w:tc>
              <w:tc>
                <w:tcPr>
                  <w:tcW w:w="561" w:type="pct"/>
                  <w:vAlign w:val="center"/>
                </w:tcPr>
                <w:p>
                  <w:pPr>
                    <w:adjustRightInd w:val="0"/>
                    <w:contextualSpacing/>
                    <w:jc w:val="center"/>
                    <w:rPr>
                      <w:color w:val="auto"/>
                      <w:szCs w:val="21"/>
                    </w:rPr>
                  </w:pPr>
                  <w:r>
                    <w:rPr>
                      <w:rFonts w:hint="eastAsia"/>
                      <w:color w:val="auto"/>
                      <w:szCs w:val="21"/>
                    </w:rPr>
                    <w:t>/</w:t>
                  </w:r>
                </w:p>
              </w:tc>
              <w:tc>
                <w:tcPr>
                  <w:tcW w:w="266" w:type="pct"/>
                  <w:vAlign w:val="center"/>
                </w:tcPr>
                <w:p>
                  <w:pPr>
                    <w:adjustRightInd w:val="0"/>
                    <w:contextualSpacing/>
                    <w:jc w:val="center"/>
                    <w:rPr>
                      <w:color w:val="auto"/>
                      <w:szCs w:val="21"/>
                    </w:rPr>
                  </w:pPr>
                  <w:r>
                    <w:rPr>
                      <w:color w:val="auto"/>
                      <w:szCs w:val="21"/>
                    </w:rPr>
                    <w:t>固体</w:t>
                  </w:r>
                </w:p>
              </w:tc>
              <w:tc>
                <w:tcPr>
                  <w:tcW w:w="362" w:type="pct"/>
                  <w:vAlign w:val="center"/>
                </w:tcPr>
                <w:p>
                  <w:pPr>
                    <w:adjustRightInd w:val="0"/>
                    <w:contextualSpacing/>
                    <w:jc w:val="center"/>
                    <w:rPr>
                      <w:color w:val="auto"/>
                      <w:szCs w:val="21"/>
                    </w:rPr>
                  </w:pPr>
                  <w:r>
                    <w:rPr>
                      <w:rFonts w:hint="eastAsia"/>
                      <w:color w:val="auto"/>
                      <w:szCs w:val="21"/>
                    </w:rPr>
                    <w:t>/</w:t>
                  </w:r>
                </w:p>
              </w:tc>
              <w:tc>
                <w:tcPr>
                  <w:tcW w:w="402" w:type="pct"/>
                  <w:vAlign w:val="center"/>
                </w:tcPr>
                <w:p>
                  <w:pPr>
                    <w:adjustRightInd w:val="0"/>
                    <w:contextualSpacing/>
                    <w:jc w:val="center"/>
                    <w:rPr>
                      <w:color w:val="auto"/>
                      <w:szCs w:val="21"/>
                    </w:rPr>
                  </w:pPr>
                  <w:r>
                    <w:rPr>
                      <w:rFonts w:hint="eastAsia"/>
                      <w:color w:val="auto"/>
                      <w:szCs w:val="21"/>
                    </w:rPr>
                    <w:t>65</w:t>
                  </w:r>
                </w:p>
              </w:tc>
              <w:tc>
                <w:tcPr>
                  <w:tcW w:w="350" w:type="pct"/>
                  <w:vMerge w:val="restart"/>
                  <w:vAlign w:val="center"/>
                </w:tcPr>
                <w:p>
                  <w:pPr>
                    <w:adjustRightInd w:val="0"/>
                    <w:contextualSpacing/>
                    <w:jc w:val="center"/>
                    <w:rPr>
                      <w:color w:val="auto"/>
                      <w:szCs w:val="21"/>
                    </w:rPr>
                  </w:pPr>
                  <w:r>
                    <w:rPr>
                      <w:rFonts w:hint="eastAsia"/>
                      <w:color w:val="auto"/>
                      <w:szCs w:val="21"/>
                    </w:rPr>
                    <w:t>一般固废暂存区</w:t>
                  </w:r>
                </w:p>
              </w:tc>
              <w:tc>
                <w:tcPr>
                  <w:tcW w:w="375" w:type="pct"/>
                  <w:vAlign w:val="center"/>
                </w:tcPr>
                <w:p>
                  <w:pPr>
                    <w:adjustRightInd w:val="0"/>
                    <w:contextualSpacing/>
                    <w:jc w:val="center"/>
                    <w:rPr>
                      <w:color w:val="auto"/>
                      <w:szCs w:val="21"/>
                    </w:rPr>
                  </w:pPr>
                  <w:r>
                    <w:rPr>
                      <w:rFonts w:hint="eastAsia"/>
                      <w:color w:val="auto"/>
                      <w:szCs w:val="21"/>
                    </w:rPr>
                    <w:t>委托利用</w:t>
                  </w:r>
                </w:p>
              </w:tc>
              <w:tc>
                <w:tcPr>
                  <w:tcW w:w="504" w:type="pct"/>
                  <w:vAlign w:val="center"/>
                </w:tcPr>
                <w:p>
                  <w:pPr>
                    <w:adjustRightInd w:val="0"/>
                    <w:contextualSpacing/>
                    <w:jc w:val="center"/>
                    <w:rPr>
                      <w:color w:val="auto"/>
                      <w:szCs w:val="21"/>
                    </w:rPr>
                  </w:pPr>
                  <w:r>
                    <w:rPr>
                      <w:rFonts w:hint="eastAsia"/>
                      <w:color w:val="auto"/>
                      <w:szCs w:val="21"/>
                    </w:rPr>
                    <w:t>外售综合利用</w:t>
                  </w:r>
                </w:p>
              </w:tc>
              <w:tc>
                <w:tcPr>
                  <w:tcW w:w="465" w:type="pct"/>
                  <w:vAlign w:val="center"/>
                </w:tcPr>
                <w:p>
                  <w:pPr>
                    <w:adjustRightInd w:val="0"/>
                    <w:contextualSpacing/>
                    <w:jc w:val="center"/>
                    <w:rPr>
                      <w:color w:val="auto"/>
                      <w:szCs w:val="21"/>
                    </w:rPr>
                  </w:pPr>
                  <w:r>
                    <w:rPr>
                      <w:rFonts w:hint="eastAsia"/>
                      <w:color w:val="auto"/>
                      <w:szCs w:val="21"/>
                    </w:rPr>
                    <w:t>65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261" w:type="pct"/>
                  <w:vMerge w:val="continue"/>
                  <w:vAlign w:val="center"/>
                </w:tcPr>
                <w:p>
                  <w:pPr>
                    <w:adjustRightInd w:val="0"/>
                    <w:contextualSpacing/>
                    <w:jc w:val="center"/>
                    <w:rPr>
                      <w:color w:val="auto"/>
                      <w:szCs w:val="21"/>
                    </w:rPr>
                  </w:pPr>
                </w:p>
              </w:tc>
              <w:tc>
                <w:tcPr>
                  <w:tcW w:w="360" w:type="pct"/>
                  <w:vAlign w:val="center"/>
                </w:tcPr>
                <w:p>
                  <w:pPr>
                    <w:adjustRightInd w:val="0"/>
                    <w:contextualSpacing/>
                    <w:jc w:val="center"/>
                    <w:rPr>
                      <w:color w:val="auto"/>
                      <w:szCs w:val="21"/>
                    </w:rPr>
                  </w:pPr>
                  <w:r>
                    <w:rPr>
                      <w:rFonts w:hint="eastAsia"/>
                      <w:color w:val="auto"/>
                      <w:szCs w:val="21"/>
                    </w:rPr>
                    <w:t>切冒口</w:t>
                  </w:r>
                  <w:r>
                    <w:rPr>
                      <w:rFonts w:hint="eastAsia"/>
                      <w:color w:val="auto"/>
                      <w:szCs w:val="21"/>
                      <w:lang w:val="en-US" w:eastAsia="zh-CN"/>
                    </w:rPr>
                    <w:t>产生的</w:t>
                  </w:r>
                  <w:r>
                    <w:rPr>
                      <w:rFonts w:hint="eastAsia"/>
                      <w:color w:val="auto"/>
                      <w:szCs w:val="21"/>
                    </w:rPr>
                    <w:t>废铁</w:t>
                  </w:r>
                </w:p>
              </w:tc>
              <w:tc>
                <w:tcPr>
                  <w:tcW w:w="1090" w:type="pct"/>
                  <w:vAlign w:val="center"/>
                </w:tcPr>
                <w:p>
                  <w:pPr>
                    <w:adjustRightInd w:val="0"/>
                    <w:contextualSpacing/>
                    <w:jc w:val="center"/>
                    <w:rPr>
                      <w:color w:val="auto"/>
                      <w:szCs w:val="21"/>
                    </w:rPr>
                  </w:pPr>
                  <w:r>
                    <w:rPr>
                      <w:rFonts w:hint="eastAsia"/>
                      <w:color w:val="auto"/>
                      <w:szCs w:val="21"/>
                    </w:rPr>
                    <w:t>一般工业固体废物SW17/900-001-S17</w:t>
                  </w:r>
                </w:p>
              </w:tc>
              <w:tc>
                <w:tcPr>
                  <w:tcW w:w="561" w:type="pct"/>
                  <w:vAlign w:val="center"/>
                </w:tcPr>
                <w:p>
                  <w:pPr>
                    <w:adjustRightInd w:val="0"/>
                    <w:contextualSpacing/>
                    <w:jc w:val="center"/>
                    <w:rPr>
                      <w:color w:val="auto"/>
                      <w:szCs w:val="21"/>
                    </w:rPr>
                  </w:pPr>
                  <w:r>
                    <w:rPr>
                      <w:rFonts w:hint="eastAsia"/>
                      <w:color w:val="auto"/>
                      <w:szCs w:val="21"/>
                    </w:rPr>
                    <w:t>/</w:t>
                  </w:r>
                </w:p>
              </w:tc>
              <w:tc>
                <w:tcPr>
                  <w:tcW w:w="266" w:type="pct"/>
                  <w:vAlign w:val="center"/>
                </w:tcPr>
                <w:p>
                  <w:pPr>
                    <w:adjustRightInd w:val="0"/>
                    <w:contextualSpacing/>
                    <w:jc w:val="center"/>
                    <w:rPr>
                      <w:color w:val="auto"/>
                      <w:szCs w:val="21"/>
                    </w:rPr>
                  </w:pPr>
                  <w:r>
                    <w:rPr>
                      <w:color w:val="auto"/>
                      <w:szCs w:val="21"/>
                    </w:rPr>
                    <w:t>固体</w:t>
                  </w:r>
                </w:p>
              </w:tc>
              <w:tc>
                <w:tcPr>
                  <w:tcW w:w="362" w:type="pct"/>
                  <w:vAlign w:val="center"/>
                </w:tcPr>
                <w:p>
                  <w:pPr>
                    <w:adjustRightInd w:val="0"/>
                    <w:contextualSpacing/>
                    <w:jc w:val="center"/>
                    <w:rPr>
                      <w:color w:val="auto"/>
                      <w:szCs w:val="21"/>
                    </w:rPr>
                  </w:pPr>
                  <w:r>
                    <w:rPr>
                      <w:rFonts w:hint="eastAsia"/>
                      <w:color w:val="auto"/>
                      <w:szCs w:val="21"/>
                    </w:rPr>
                    <w:t>/</w:t>
                  </w:r>
                </w:p>
              </w:tc>
              <w:tc>
                <w:tcPr>
                  <w:tcW w:w="402" w:type="pct"/>
                  <w:vAlign w:val="center"/>
                </w:tcPr>
                <w:p>
                  <w:pPr>
                    <w:adjustRightInd w:val="0"/>
                    <w:contextualSpacing/>
                    <w:jc w:val="center"/>
                    <w:rPr>
                      <w:color w:val="auto"/>
                      <w:szCs w:val="21"/>
                    </w:rPr>
                  </w:pPr>
                  <w:r>
                    <w:rPr>
                      <w:rFonts w:hint="eastAsia"/>
                      <w:color w:val="auto"/>
                      <w:szCs w:val="21"/>
                    </w:rPr>
                    <w:t>40</w:t>
                  </w:r>
                </w:p>
              </w:tc>
              <w:tc>
                <w:tcPr>
                  <w:tcW w:w="350" w:type="pct"/>
                  <w:vMerge w:val="continue"/>
                  <w:vAlign w:val="center"/>
                </w:tcPr>
                <w:p>
                  <w:pPr>
                    <w:adjustRightInd w:val="0"/>
                    <w:contextualSpacing/>
                    <w:jc w:val="center"/>
                    <w:rPr>
                      <w:color w:val="auto"/>
                      <w:szCs w:val="21"/>
                    </w:rPr>
                  </w:pPr>
                </w:p>
              </w:tc>
              <w:tc>
                <w:tcPr>
                  <w:tcW w:w="375" w:type="pct"/>
                  <w:vAlign w:val="center"/>
                </w:tcPr>
                <w:p>
                  <w:pPr>
                    <w:adjustRightInd w:val="0"/>
                    <w:contextualSpacing/>
                    <w:jc w:val="center"/>
                    <w:rPr>
                      <w:color w:val="auto"/>
                      <w:szCs w:val="21"/>
                    </w:rPr>
                  </w:pPr>
                  <w:r>
                    <w:rPr>
                      <w:rFonts w:hint="eastAsia"/>
                      <w:color w:val="auto"/>
                      <w:szCs w:val="21"/>
                    </w:rPr>
                    <w:t>自行利用</w:t>
                  </w:r>
                </w:p>
              </w:tc>
              <w:tc>
                <w:tcPr>
                  <w:tcW w:w="504" w:type="pct"/>
                  <w:vAlign w:val="center"/>
                </w:tcPr>
                <w:p>
                  <w:pPr>
                    <w:adjustRightInd w:val="0"/>
                    <w:contextualSpacing/>
                    <w:jc w:val="center"/>
                    <w:rPr>
                      <w:color w:val="auto"/>
                      <w:szCs w:val="21"/>
                    </w:rPr>
                  </w:pPr>
                  <w:r>
                    <w:rPr>
                      <w:color w:val="auto"/>
                      <w:szCs w:val="21"/>
                    </w:rPr>
                    <w:t>收集后返回生产系统</w:t>
                  </w:r>
                </w:p>
              </w:tc>
              <w:tc>
                <w:tcPr>
                  <w:tcW w:w="465" w:type="pct"/>
                  <w:vAlign w:val="center"/>
                </w:tcPr>
                <w:p>
                  <w:pPr>
                    <w:adjustRightInd w:val="0"/>
                    <w:contextualSpacing/>
                    <w:jc w:val="center"/>
                    <w:rPr>
                      <w:color w:val="auto"/>
                      <w:szCs w:val="21"/>
                    </w:rPr>
                  </w:pPr>
                  <w:r>
                    <w:rPr>
                      <w:rFonts w:hint="eastAsia"/>
                      <w:color w:val="auto"/>
                      <w:szCs w:val="21"/>
                    </w:rPr>
                    <w:t>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261" w:type="pct"/>
                  <w:vMerge w:val="continue"/>
                  <w:vAlign w:val="center"/>
                </w:tcPr>
                <w:p>
                  <w:pPr>
                    <w:adjustRightInd w:val="0"/>
                    <w:contextualSpacing/>
                    <w:jc w:val="center"/>
                    <w:rPr>
                      <w:color w:val="auto"/>
                      <w:szCs w:val="21"/>
                    </w:rPr>
                  </w:pPr>
                </w:p>
              </w:tc>
              <w:tc>
                <w:tcPr>
                  <w:tcW w:w="360" w:type="pct"/>
                  <w:vAlign w:val="center"/>
                </w:tcPr>
                <w:p>
                  <w:pPr>
                    <w:adjustRightInd w:val="0"/>
                    <w:contextualSpacing/>
                    <w:jc w:val="center"/>
                    <w:rPr>
                      <w:color w:val="auto"/>
                      <w:szCs w:val="21"/>
                    </w:rPr>
                  </w:pPr>
                  <w:r>
                    <w:rPr>
                      <w:rFonts w:hint="eastAsia"/>
                      <w:color w:val="auto"/>
                      <w:szCs w:val="21"/>
                    </w:rPr>
                    <w:t>废砂</w:t>
                  </w:r>
                </w:p>
              </w:tc>
              <w:tc>
                <w:tcPr>
                  <w:tcW w:w="1090" w:type="pct"/>
                  <w:vAlign w:val="center"/>
                </w:tcPr>
                <w:p>
                  <w:pPr>
                    <w:adjustRightInd w:val="0"/>
                    <w:contextualSpacing/>
                    <w:jc w:val="center"/>
                    <w:rPr>
                      <w:color w:val="auto"/>
                      <w:szCs w:val="21"/>
                    </w:rPr>
                  </w:pPr>
                  <w:r>
                    <w:rPr>
                      <w:rFonts w:hint="eastAsia"/>
                      <w:color w:val="auto"/>
                      <w:szCs w:val="21"/>
                    </w:rPr>
                    <w:t>一般工业固体废物SW59/900-001-S59</w:t>
                  </w:r>
                </w:p>
              </w:tc>
              <w:tc>
                <w:tcPr>
                  <w:tcW w:w="561" w:type="pct"/>
                  <w:vAlign w:val="center"/>
                </w:tcPr>
                <w:p>
                  <w:pPr>
                    <w:adjustRightInd w:val="0"/>
                    <w:contextualSpacing/>
                    <w:jc w:val="center"/>
                    <w:rPr>
                      <w:color w:val="auto"/>
                      <w:szCs w:val="21"/>
                    </w:rPr>
                  </w:pPr>
                  <w:r>
                    <w:rPr>
                      <w:rFonts w:hint="eastAsia"/>
                      <w:color w:val="auto"/>
                      <w:szCs w:val="21"/>
                    </w:rPr>
                    <w:t>/</w:t>
                  </w:r>
                </w:p>
              </w:tc>
              <w:tc>
                <w:tcPr>
                  <w:tcW w:w="266" w:type="pct"/>
                  <w:vAlign w:val="center"/>
                </w:tcPr>
                <w:p>
                  <w:pPr>
                    <w:adjustRightInd w:val="0"/>
                    <w:contextualSpacing/>
                    <w:jc w:val="center"/>
                    <w:rPr>
                      <w:color w:val="auto"/>
                      <w:szCs w:val="21"/>
                    </w:rPr>
                  </w:pPr>
                  <w:r>
                    <w:rPr>
                      <w:color w:val="auto"/>
                      <w:szCs w:val="21"/>
                    </w:rPr>
                    <w:t>固体</w:t>
                  </w:r>
                </w:p>
              </w:tc>
              <w:tc>
                <w:tcPr>
                  <w:tcW w:w="362" w:type="pct"/>
                  <w:vAlign w:val="center"/>
                </w:tcPr>
                <w:p>
                  <w:pPr>
                    <w:adjustRightInd w:val="0"/>
                    <w:contextualSpacing/>
                    <w:jc w:val="center"/>
                    <w:rPr>
                      <w:color w:val="auto"/>
                      <w:szCs w:val="21"/>
                    </w:rPr>
                  </w:pPr>
                  <w:r>
                    <w:rPr>
                      <w:rFonts w:hint="eastAsia"/>
                      <w:color w:val="auto"/>
                      <w:szCs w:val="21"/>
                    </w:rPr>
                    <w:t>/</w:t>
                  </w:r>
                </w:p>
              </w:tc>
              <w:tc>
                <w:tcPr>
                  <w:tcW w:w="402" w:type="pct"/>
                  <w:vAlign w:val="center"/>
                </w:tcPr>
                <w:p>
                  <w:pPr>
                    <w:adjustRightInd w:val="0"/>
                    <w:contextualSpacing/>
                    <w:jc w:val="center"/>
                    <w:rPr>
                      <w:color w:val="auto"/>
                      <w:szCs w:val="21"/>
                    </w:rPr>
                  </w:pPr>
                  <w:r>
                    <w:rPr>
                      <w:rFonts w:hint="eastAsia"/>
                      <w:color w:val="auto"/>
                      <w:szCs w:val="21"/>
                    </w:rPr>
                    <w:t>187.1688</w:t>
                  </w:r>
                </w:p>
              </w:tc>
              <w:tc>
                <w:tcPr>
                  <w:tcW w:w="350" w:type="pct"/>
                  <w:vMerge w:val="continue"/>
                  <w:vAlign w:val="center"/>
                </w:tcPr>
                <w:p>
                  <w:pPr>
                    <w:adjustRightInd w:val="0"/>
                    <w:contextualSpacing/>
                    <w:jc w:val="center"/>
                    <w:rPr>
                      <w:color w:val="auto"/>
                      <w:szCs w:val="21"/>
                    </w:rPr>
                  </w:pPr>
                </w:p>
              </w:tc>
              <w:tc>
                <w:tcPr>
                  <w:tcW w:w="375" w:type="pct"/>
                  <w:vAlign w:val="center"/>
                </w:tcPr>
                <w:p>
                  <w:pPr>
                    <w:adjustRightInd w:val="0"/>
                    <w:contextualSpacing/>
                    <w:jc w:val="center"/>
                    <w:rPr>
                      <w:color w:val="auto"/>
                      <w:szCs w:val="21"/>
                    </w:rPr>
                  </w:pPr>
                  <w:r>
                    <w:rPr>
                      <w:rFonts w:hint="eastAsia"/>
                      <w:color w:val="auto"/>
                      <w:szCs w:val="21"/>
                    </w:rPr>
                    <w:t>委托利用</w:t>
                  </w:r>
                </w:p>
              </w:tc>
              <w:tc>
                <w:tcPr>
                  <w:tcW w:w="504" w:type="pct"/>
                  <w:vAlign w:val="center"/>
                </w:tcPr>
                <w:p>
                  <w:pPr>
                    <w:adjustRightInd w:val="0"/>
                    <w:contextualSpacing/>
                    <w:jc w:val="center"/>
                    <w:rPr>
                      <w:color w:val="auto"/>
                      <w:szCs w:val="21"/>
                    </w:rPr>
                  </w:pPr>
                  <w:r>
                    <w:rPr>
                      <w:color w:val="auto"/>
                      <w:szCs w:val="21"/>
                    </w:rPr>
                    <w:t>定期由厂家回收处理</w:t>
                  </w:r>
                </w:p>
              </w:tc>
              <w:tc>
                <w:tcPr>
                  <w:tcW w:w="465" w:type="pct"/>
                  <w:vAlign w:val="center"/>
                </w:tcPr>
                <w:p>
                  <w:pPr>
                    <w:adjustRightInd w:val="0"/>
                    <w:contextualSpacing/>
                    <w:jc w:val="center"/>
                    <w:rPr>
                      <w:color w:val="auto"/>
                      <w:szCs w:val="21"/>
                    </w:rPr>
                  </w:pPr>
                  <w:r>
                    <w:rPr>
                      <w:rFonts w:hint="eastAsia"/>
                      <w:color w:val="auto"/>
                      <w:szCs w:val="21"/>
                    </w:rPr>
                    <w:t>187.1688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261" w:type="pct"/>
                  <w:vMerge w:val="continue"/>
                  <w:vAlign w:val="center"/>
                </w:tcPr>
                <w:p>
                  <w:pPr>
                    <w:adjustRightInd w:val="0"/>
                    <w:contextualSpacing/>
                    <w:jc w:val="center"/>
                    <w:rPr>
                      <w:color w:val="auto"/>
                      <w:szCs w:val="21"/>
                    </w:rPr>
                  </w:pPr>
                </w:p>
              </w:tc>
              <w:tc>
                <w:tcPr>
                  <w:tcW w:w="360" w:type="pct"/>
                  <w:vAlign w:val="center"/>
                </w:tcPr>
                <w:p>
                  <w:pPr>
                    <w:adjustRightInd w:val="0"/>
                    <w:contextualSpacing/>
                    <w:jc w:val="center"/>
                    <w:rPr>
                      <w:color w:val="auto"/>
                      <w:szCs w:val="21"/>
                    </w:rPr>
                  </w:pPr>
                  <w:r>
                    <w:rPr>
                      <w:rFonts w:hint="eastAsia"/>
                      <w:color w:val="auto"/>
                      <w:szCs w:val="21"/>
                    </w:rPr>
                    <w:t>废布袋</w:t>
                  </w:r>
                </w:p>
              </w:tc>
              <w:tc>
                <w:tcPr>
                  <w:tcW w:w="1090" w:type="pct"/>
                  <w:vAlign w:val="center"/>
                </w:tcPr>
                <w:p>
                  <w:pPr>
                    <w:adjustRightInd w:val="0"/>
                    <w:contextualSpacing/>
                    <w:jc w:val="center"/>
                    <w:rPr>
                      <w:color w:val="auto"/>
                      <w:szCs w:val="21"/>
                    </w:rPr>
                  </w:pPr>
                  <w:r>
                    <w:rPr>
                      <w:rFonts w:hint="eastAsia"/>
                      <w:color w:val="auto"/>
                      <w:szCs w:val="21"/>
                    </w:rPr>
                    <w:t>一般工业固体废物SW59/900-009-S59</w:t>
                  </w:r>
                </w:p>
              </w:tc>
              <w:tc>
                <w:tcPr>
                  <w:tcW w:w="561" w:type="pct"/>
                  <w:vAlign w:val="center"/>
                </w:tcPr>
                <w:p>
                  <w:pPr>
                    <w:adjustRightInd w:val="0"/>
                    <w:contextualSpacing/>
                    <w:jc w:val="center"/>
                    <w:rPr>
                      <w:color w:val="auto"/>
                      <w:szCs w:val="21"/>
                    </w:rPr>
                  </w:pPr>
                  <w:r>
                    <w:rPr>
                      <w:rFonts w:hint="eastAsia"/>
                      <w:color w:val="auto"/>
                      <w:szCs w:val="21"/>
                    </w:rPr>
                    <w:t>/</w:t>
                  </w:r>
                </w:p>
              </w:tc>
              <w:tc>
                <w:tcPr>
                  <w:tcW w:w="266" w:type="pct"/>
                  <w:vAlign w:val="center"/>
                </w:tcPr>
                <w:p>
                  <w:pPr>
                    <w:adjustRightInd w:val="0"/>
                    <w:contextualSpacing/>
                    <w:jc w:val="center"/>
                    <w:rPr>
                      <w:color w:val="auto"/>
                      <w:szCs w:val="21"/>
                    </w:rPr>
                  </w:pPr>
                  <w:r>
                    <w:rPr>
                      <w:color w:val="auto"/>
                      <w:szCs w:val="21"/>
                    </w:rPr>
                    <w:t>固体</w:t>
                  </w:r>
                </w:p>
              </w:tc>
              <w:tc>
                <w:tcPr>
                  <w:tcW w:w="362" w:type="pct"/>
                  <w:vAlign w:val="center"/>
                </w:tcPr>
                <w:p>
                  <w:pPr>
                    <w:adjustRightInd w:val="0"/>
                    <w:contextualSpacing/>
                    <w:jc w:val="center"/>
                    <w:rPr>
                      <w:color w:val="auto"/>
                      <w:szCs w:val="21"/>
                    </w:rPr>
                  </w:pPr>
                  <w:r>
                    <w:rPr>
                      <w:rFonts w:hint="eastAsia"/>
                      <w:color w:val="auto"/>
                      <w:szCs w:val="21"/>
                    </w:rPr>
                    <w:t>/</w:t>
                  </w:r>
                </w:p>
              </w:tc>
              <w:tc>
                <w:tcPr>
                  <w:tcW w:w="402" w:type="pct"/>
                  <w:vAlign w:val="center"/>
                </w:tcPr>
                <w:p>
                  <w:pPr>
                    <w:adjustRightInd w:val="0"/>
                    <w:contextualSpacing/>
                    <w:jc w:val="center"/>
                    <w:rPr>
                      <w:color w:val="auto"/>
                      <w:szCs w:val="21"/>
                    </w:rPr>
                  </w:pPr>
                  <w:r>
                    <w:rPr>
                      <w:rFonts w:hint="eastAsia"/>
                      <w:color w:val="auto"/>
                      <w:szCs w:val="21"/>
                    </w:rPr>
                    <w:t>0.05</w:t>
                  </w:r>
                </w:p>
              </w:tc>
              <w:tc>
                <w:tcPr>
                  <w:tcW w:w="350" w:type="pct"/>
                  <w:vAlign w:val="center"/>
                </w:tcPr>
                <w:p>
                  <w:pPr>
                    <w:adjustRightInd w:val="0"/>
                    <w:contextualSpacing/>
                    <w:jc w:val="center"/>
                    <w:rPr>
                      <w:color w:val="auto"/>
                      <w:szCs w:val="21"/>
                    </w:rPr>
                  </w:pPr>
                  <w:r>
                    <w:rPr>
                      <w:rFonts w:hint="eastAsia"/>
                      <w:color w:val="auto"/>
                      <w:szCs w:val="21"/>
                    </w:rPr>
                    <w:t>袋装</w:t>
                  </w:r>
                </w:p>
              </w:tc>
              <w:tc>
                <w:tcPr>
                  <w:tcW w:w="375" w:type="pct"/>
                  <w:vAlign w:val="center"/>
                </w:tcPr>
                <w:p>
                  <w:pPr>
                    <w:adjustRightInd w:val="0"/>
                    <w:contextualSpacing/>
                    <w:jc w:val="center"/>
                    <w:rPr>
                      <w:color w:val="auto"/>
                      <w:szCs w:val="21"/>
                    </w:rPr>
                  </w:pPr>
                  <w:r>
                    <w:rPr>
                      <w:rFonts w:hint="eastAsia"/>
                      <w:color w:val="auto"/>
                      <w:szCs w:val="21"/>
                    </w:rPr>
                    <w:t>委托利用</w:t>
                  </w:r>
                </w:p>
              </w:tc>
              <w:tc>
                <w:tcPr>
                  <w:tcW w:w="504" w:type="pct"/>
                  <w:vAlign w:val="center"/>
                </w:tcPr>
                <w:p>
                  <w:pPr>
                    <w:adjustRightInd w:val="0"/>
                    <w:contextualSpacing/>
                    <w:jc w:val="center"/>
                    <w:rPr>
                      <w:color w:val="auto"/>
                      <w:szCs w:val="21"/>
                    </w:rPr>
                  </w:pPr>
                  <w:r>
                    <w:rPr>
                      <w:color w:val="auto"/>
                      <w:szCs w:val="21"/>
                    </w:rPr>
                    <w:t>定期由厂家回收处理</w:t>
                  </w:r>
                </w:p>
              </w:tc>
              <w:tc>
                <w:tcPr>
                  <w:tcW w:w="465" w:type="pct"/>
                  <w:vAlign w:val="center"/>
                </w:tcPr>
                <w:p>
                  <w:pPr>
                    <w:adjustRightInd w:val="0"/>
                    <w:contextualSpacing/>
                    <w:jc w:val="center"/>
                    <w:rPr>
                      <w:color w:val="auto"/>
                      <w:szCs w:val="21"/>
                    </w:rPr>
                  </w:pPr>
                  <w:r>
                    <w:rPr>
                      <w:rFonts w:hint="eastAsia"/>
                      <w:color w:val="auto"/>
                      <w:szCs w:val="21"/>
                    </w:rPr>
                    <w:t>0.05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261" w:type="pct"/>
                  <w:vMerge w:val="restart"/>
                  <w:vAlign w:val="center"/>
                </w:tcPr>
                <w:p>
                  <w:pPr>
                    <w:adjustRightInd w:val="0"/>
                    <w:contextualSpacing/>
                    <w:jc w:val="center"/>
                    <w:rPr>
                      <w:color w:val="auto"/>
                      <w:szCs w:val="21"/>
                    </w:rPr>
                  </w:pPr>
                  <w:r>
                    <w:rPr>
                      <w:rFonts w:hint="eastAsia"/>
                      <w:color w:val="auto"/>
                      <w:szCs w:val="21"/>
                    </w:rPr>
                    <w:t>设备维修及维护</w:t>
                  </w:r>
                </w:p>
              </w:tc>
              <w:tc>
                <w:tcPr>
                  <w:tcW w:w="360" w:type="pct"/>
                  <w:vAlign w:val="center"/>
                </w:tcPr>
                <w:p>
                  <w:pPr>
                    <w:adjustRightInd w:val="0"/>
                    <w:contextualSpacing/>
                    <w:jc w:val="center"/>
                    <w:rPr>
                      <w:color w:val="auto"/>
                      <w:szCs w:val="21"/>
                    </w:rPr>
                  </w:pPr>
                  <w:r>
                    <w:rPr>
                      <w:rFonts w:hint="eastAsia"/>
                      <w:color w:val="auto"/>
                      <w:szCs w:val="21"/>
                    </w:rPr>
                    <w:t>废</w:t>
                  </w:r>
                  <w:r>
                    <w:rPr>
                      <w:color w:val="auto"/>
                      <w:szCs w:val="21"/>
                    </w:rPr>
                    <w:t>矿物油</w:t>
                  </w:r>
                </w:p>
              </w:tc>
              <w:tc>
                <w:tcPr>
                  <w:tcW w:w="1090" w:type="pct"/>
                  <w:vAlign w:val="center"/>
                </w:tcPr>
                <w:p>
                  <w:pPr>
                    <w:adjustRightInd w:val="0"/>
                    <w:contextualSpacing/>
                    <w:jc w:val="center"/>
                    <w:rPr>
                      <w:color w:val="auto"/>
                      <w:szCs w:val="21"/>
                    </w:rPr>
                  </w:pPr>
                  <w:r>
                    <w:rPr>
                      <w:color w:val="auto"/>
                      <w:szCs w:val="21"/>
                    </w:rPr>
                    <w:t>危险废物</w:t>
                  </w:r>
                  <w:r>
                    <w:rPr>
                      <w:rFonts w:hint="eastAsia"/>
                      <w:color w:val="auto"/>
                      <w:szCs w:val="21"/>
                    </w:rPr>
                    <w:t>/</w:t>
                  </w:r>
                  <w:r>
                    <w:rPr>
                      <w:color w:val="auto"/>
                      <w:szCs w:val="21"/>
                    </w:rPr>
                    <w:t>HW08 900-2</w:t>
                  </w:r>
                  <w:r>
                    <w:rPr>
                      <w:rFonts w:hint="eastAsia"/>
                      <w:color w:val="auto"/>
                      <w:szCs w:val="21"/>
                    </w:rPr>
                    <w:t>49</w:t>
                  </w:r>
                  <w:r>
                    <w:rPr>
                      <w:color w:val="auto"/>
                      <w:szCs w:val="21"/>
                    </w:rPr>
                    <w:t>-08</w:t>
                  </w:r>
                </w:p>
              </w:tc>
              <w:tc>
                <w:tcPr>
                  <w:tcW w:w="561" w:type="pct"/>
                  <w:vAlign w:val="center"/>
                </w:tcPr>
                <w:p>
                  <w:pPr>
                    <w:adjustRightInd w:val="0"/>
                    <w:contextualSpacing/>
                    <w:jc w:val="center"/>
                    <w:rPr>
                      <w:color w:val="auto"/>
                      <w:szCs w:val="21"/>
                    </w:rPr>
                  </w:pPr>
                  <w:r>
                    <w:rPr>
                      <w:rFonts w:hint="eastAsia"/>
                      <w:color w:val="auto"/>
                      <w:szCs w:val="21"/>
                    </w:rPr>
                    <w:t>多环芳烃</w:t>
                  </w:r>
                </w:p>
              </w:tc>
              <w:tc>
                <w:tcPr>
                  <w:tcW w:w="266" w:type="pct"/>
                  <w:vAlign w:val="center"/>
                </w:tcPr>
                <w:p>
                  <w:pPr>
                    <w:adjustRightInd w:val="0"/>
                    <w:contextualSpacing/>
                    <w:jc w:val="center"/>
                    <w:rPr>
                      <w:color w:val="auto"/>
                      <w:szCs w:val="21"/>
                    </w:rPr>
                  </w:pPr>
                  <w:r>
                    <w:rPr>
                      <w:rFonts w:hint="eastAsia"/>
                      <w:color w:val="auto"/>
                      <w:szCs w:val="21"/>
                    </w:rPr>
                    <w:t>液体</w:t>
                  </w:r>
                </w:p>
              </w:tc>
              <w:tc>
                <w:tcPr>
                  <w:tcW w:w="362" w:type="pct"/>
                  <w:vAlign w:val="center"/>
                </w:tcPr>
                <w:p>
                  <w:pPr>
                    <w:adjustRightInd w:val="0"/>
                    <w:contextualSpacing/>
                    <w:jc w:val="center"/>
                    <w:rPr>
                      <w:color w:val="auto"/>
                      <w:szCs w:val="21"/>
                    </w:rPr>
                  </w:pPr>
                  <w:r>
                    <w:rPr>
                      <w:rFonts w:hint="eastAsia"/>
                      <w:color w:val="auto"/>
                      <w:szCs w:val="21"/>
                    </w:rPr>
                    <w:t>T、I</w:t>
                  </w:r>
                </w:p>
              </w:tc>
              <w:tc>
                <w:tcPr>
                  <w:tcW w:w="402" w:type="pct"/>
                  <w:vAlign w:val="center"/>
                </w:tcPr>
                <w:p>
                  <w:pPr>
                    <w:adjustRightInd w:val="0"/>
                    <w:contextualSpacing/>
                    <w:jc w:val="center"/>
                    <w:rPr>
                      <w:color w:val="auto"/>
                      <w:szCs w:val="21"/>
                    </w:rPr>
                  </w:pPr>
                  <w:r>
                    <w:rPr>
                      <w:rFonts w:hint="eastAsia"/>
                      <w:color w:val="auto"/>
                      <w:szCs w:val="21"/>
                    </w:rPr>
                    <w:t>0.1</w:t>
                  </w:r>
                </w:p>
              </w:tc>
              <w:tc>
                <w:tcPr>
                  <w:tcW w:w="350" w:type="pct"/>
                  <w:vMerge w:val="restart"/>
                  <w:vAlign w:val="center"/>
                </w:tcPr>
                <w:p>
                  <w:pPr>
                    <w:adjustRightInd w:val="0"/>
                    <w:contextualSpacing/>
                    <w:jc w:val="center"/>
                    <w:rPr>
                      <w:color w:val="auto"/>
                      <w:szCs w:val="21"/>
                    </w:rPr>
                  </w:pPr>
                </w:p>
              </w:tc>
              <w:tc>
                <w:tcPr>
                  <w:tcW w:w="375" w:type="pct"/>
                  <w:vAlign w:val="center"/>
                </w:tcPr>
                <w:p>
                  <w:pPr>
                    <w:adjustRightInd w:val="0"/>
                    <w:contextualSpacing/>
                    <w:jc w:val="center"/>
                    <w:rPr>
                      <w:color w:val="auto"/>
                      <w:szCs w:val="21"/>
                    </w:rPr>
                  </w:pPr>
                  <w:r>
                    <w:rPr>
                      <w:rFonts w:hint="eastAsia"/>
                      <w:color w:val="auto"/>
                      <w:szCs w:val="21"/>
                    </w:rPr>
                    <w:t>委托处置</w:t>
                  </w:r>
                </w:p>
              </w:tc>
              <w:tc>
                <w:tcPr>
                  <w:tcW w:w="504" w:type="pct"/>
                  <w:vMerge w:val="restart"/>
                  <w:vAlign w:val="center"/>
                </w:tcPr>
                <w:p>
                  <w:pPr>
                    <w:adjustRightInd w:val="0"/>
                    <w:contextualSpacing/>
                    <w:jc w:val="center"/>
                    <w:rPr>
                      <w:color w:val="auto"/>
                      <w:szCs w:val="21"/>
                    </w:rPr>
                  </w:pPr>
                </w:p>
              </w:tc>
              <w:tc>
                <w:tcPr>
                  <w:tcW w:w="465" w:type="pct"/>
                  <w:vAlign w:val="center"/>
                </w:tcPr>
                <w:p>
                  <w:pPr>
                    <w:adjustRightInd w:val="0"/>
                    <w:contextualSpacing/>
                    <w:jc w:val="center"/>
                    <w:rPr>
                      <w:color w:val="auto"/>
                      <w:szCs w:val="21"/>
                    </w:rPr>
                  </w:pPr>
                  <w:r>
                    <w:rPr>
                      <w:rFonts w:hint="eastAsia"/>
                      <w:color w:val="auto"/>
                      <w:szCs w:val="21"/>
                    </w:rPr>
                    <w:t>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1049" w:hRule="atLeast"/>
                <w:jc w:val="center"/>
              </w:trPr>
              <w:tc>
                <w:tcPr>
                  <w:tcW w:w="261" w:type="pct"/>
                  <w:vMerge w:val="continue"/>
                  <w:vAlign w:val="center"/>
                </w:tcPr>
                <w:p>
                  <w:pPr>
                    <w:adjustRightInd w:val="0"/>
                    <w:contextualSpacing/>
                    <w:jc w:val="center"/>
                    <w:rPr>
                      <w:color w:val="auto"/>
                      <w:szCs w:val="21"/>
                    </w:rPr>
                  </w:pPr>
                </w:p>
              </w:tc>
              <w:tc>
                <w:tcPr>
                  <w:tcW w:w="360" w:type="pct"/>
                  <w:vAlign w:val="center"/>
                </w:tcPr>
                <w:p>
                  <w:pPr>
                    <w:adjustRightInd w:val="0"/>
                    <w:contextualSpacing/>
                    <w:jc w:val="center"/>
                    <w:rPr>
                      <w:color w:val="auto"/>
                      <w:szCs w:val="21"/>
                    </w:rPr>
                  </w:pPr>
                  <w:r>
                    <w:rPr>
                      <w:rFonts w:hint="eastAsia"/>
                      <w:color w:val="auto"/>
                      <w:szCs w:val="21"/>
                    </w:rPr>
                    <w:t>废油桶</w:t>
                  </w:r>
                </w:p>
              </w:tc>
              <w:tc>
                <w:tcPr>
                  <w:tcW w:w="1090" w:type="pct"/>
                  <w:vAlign w:val="center"/>
                </w:tcPr>
                <w:p>
                  <w:pPr>
                    <w:adjustRightInd w:val="0"/>
                    <w:contextualSpacing/>
                    <w:jc w:val="center"/>
                    <w:rPr>
                      <w:color w:val="auto"/>
                      <w:szCs w:val="21"/>
                    </w:rPr>
                  </w:pPr>
                  <w:r>
                    <w:rPr>
                      <w:color w:val="auto"/>
                      <w:szCs w:val="21"/>
                    </w:rPr>
                    <w:t>危险废物</w:t>
                  </w:r>
                  <w:r>
                    <w:rPr>
                      <w:rFonts w:hint="eastAsia"/>
                      <w:color w:val="auto"/>
                      <w:szCs w:val="21"/>
                    </w:rPr>
                    <w:t>/</w:t>
                  </w:r>
                  <w:r>
                    <w:rPr>
                      <w:color w:val="auto"/>
                      <w:szCs w:val="21"/>
                    </w:rPr>
                    <w:t>HW08</w:t>
                  </w:r>
                  <w:r>
                    <w:rPr>
                      <w:rFonts w:hint="eastAsia"/>
                      <w:color w:val="auto"/>
                      <w:szCs w:val="21"/>
                    </w:rPr>
                    <w:t xml:space="preserve"> </w:t>
                  </w:r>
                  <w:r>
                    <w:rPr>
                      <w:color w:val="auto"/>
                      <w:szCs w:val="21"/>
                    </w:rPr>
                    <w:t>900-249-08</w:t>
                  </w:r>
                </w:p>
              </w:tc>
              <w:tc>
                <w:tcPr>
                  <w:tcW w:w="561" w:type="pct"/>
                  <w:vAlign w:val="center"/>
                </w:tcPr>
                <w:p>
                  <w:pPr>
                    <w:adjustRightInd w:val="0"/>
                    <w:contextualSpacing/>
                    <w:jc w:val="center"/>
                    <w:rPr>
                      <w:color w:val="auto"/>
                      <w:szCs w:val="21"/>
                    </w:rPr>
                  </w:pPr>
                  <w:r>
                    <w:rPr>
                      <w:rFonts w:hint="eastAsia"/>
                      <w:color w:val="auto"/>
                      <w:szCs w:val="21"/>
                    </w:rPr>
                    <w:t>多环芳烃</w:t>
                  </w:r>
                </w:p>
              </w:tc>
              <w:tc>
                <w:tcPr>
                  <w:tcW w:w="266" w:type="pct"/>
                  <w:vAlign w:val="center"/>
                </w:tcPr>
                <w:p>
                  <w:pPr>
                    <w:adjustRightInd w:val="0"/>
                    <w:contextualSpacing/>
                    <w:jc w:val="center"/>
                    <w:rPr>
                      <w:color w:val="auto"/>
                      <w:szCs w:val="21"/>
                    </w:rPr>
                  </w:pPr>
                  <w:r>
                    <w:rPr>
                      <w:rFonts w:hint="eastAsia"/>
                      <w:color w:val="auto"/>
                      <w:szCs w:val="21"/>
                    </w:rPr>
                    <w:t>固体</w:t>
                  </w:r>
                </w:p>
              </w:tc>
              <w:tc>
                <w:tcPr>
                  <w:tcW w:w="362" w:type="pct"/>
                  <w:vAlign w:val="center"/>
                </w:tcPr>
                <w:p>
                  <w:pPr>
                    <w:adjustRightInd w:val="0"/>
                    <w:contextualSpacing/>
                    <w:jc w:val="center"/>
                    <w:rPr>
                      <w:color w:val="auto"/>
                      <w:szCs w:val="21"/>
                    </w:rPr>
                  </w:pPr>
                  <w:r>
                    <w:rPr>
                      <w:rFonts w:hint="eastAsia"/>
                      <w:color w:val="auto"/>
                      <w:szCs w:val="21"/>
                    </w:rPr>
                    <w:t>T、I</w:t>
                  </w:r>
                </w:p>
              </w:tc>
              <w:tc>
                <w:tcPr>
                  <w:tcW w:w="402" w:type="pct"/>
                  <w:vAlign w:val="center"/>
                </w:tcPr>
                <w:p>
                  <w:pPr>
                    <w:adjustRightInd w:val="0"/>
                    <w:contextualSpacing/>
                    <w:jc w:val="center"/>
                    <w:rPr>
                      <w:color w:val="auto"/>
                      <w:szCs w:val="21"/>
                    </w:rPr>
                  </w:pPr>
                  <w:r>
                    <w:rPr>
                      <w:rFonts w:hint="eastAsia"/>
                      <w:color w:val="auto"/>
                      <w:szCs w:val="21"/>
                    </w:rPr>
                    <w:t>0.06</w:t>
                  </w:r>
                </w:p>
              </w:tc>
              <w:tc>
                <w:tcPr>
                  <w:tcW w:w="350" w:type="pct"/>
                  <w:vMerge w:val="continue"/>
                  <w:vAlign w:val="center"/>
                </w:tcPr>
                <w:p>
                  <w:pPr>
                    <w:adjustRightInd w:val="0"/>
                    <w:contextualSpacing/>
                    <w:jc w:val="center"/>
                    <w:rPr>
                      <w:color w:val="auto"/>
                      <w:szCs w:val="21"/>
                    </w:rPr>
                  </w:pPr>
                </w:p>
              </w:tc>
              <w:tc>
                <w:tcPr>
                  <w:tcW w:w="375" w:type="pct"/>
                  <w:vAlign w:val="center"/>
                </w:tcPr>
                <w:p>
                  <w:pPr>
                    <w:adjustRightInd w:val="0"/>
                    <w:contextualSpacing/>
                    <w:jc w:val="center"/>
                    <w:rPr>
                      <w:color w:val="auto"/>
                      <w:szCs w:val="21"/>
                    </w:rPr>
                  </w:pPr>
                  <w:r>
                    <w:rPr>
                      <w:rFonts w:hint="eastAsia"/>
                      <w:color w:val="auto"/>
                      <w:szCs w:val="21"/>
                    </w:rPr>
                    <w:t>委托处置</w:t>
                  </w:r>
                </w:p>
              </w:tc>
              <w:tc>
                <w:tcPr>
                  <w:tcW w:w="504" w:type="pct"/>
                  <w:vMerge w:val="continue"/>
                  <w:vAlign w:val="center"/>
                </w:tcPr>
                <w:p>
                  <w:pPr>
                    <w:adjustRightInd w:val="0"/>
                    <w:contextualSpacing/>
                    <w:jc w:val="center"/>
                    <w:rPr>
                      <w:color w:val="auto"/>
                      <w:szCs w:val="21"/>
                    </w:rPr>
                  </w:pPr>
                </w:p>
              </w:tc>
              <w:tc>
                <w:tcPr>
                  <w:tcW w:w="465" w:type="pct"/>
                  <w:vAlign w:val="center"/>
                </w:tcPr>
                <w:p>
                  <w:pPr>
                    <w:adjustRightInd w:val="0"/>
                    <w:contextualSpacing/>
                    <w:jc w:val="center"/>
                    <w:rPr>
                      <w:color w:val="auto"/>
                      <w:szCs w:val="21"/>
                    </w:rPr>
                  </w:pPr>
                  <w:r>
                    <w:rPr>
                      <w:rFonts w:hint="eastAsia"/>
                      <w:color w:val="auto"/>
                      <w:szCs w:val="21"/>
                    </w:rPr>
                    <w:t>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880" w:hRule="atLeast"/>
                <w:jc w:val="center"/>
              </w:trPr>
              <w:tc>
                <w:tcPr>
                  <w:tcW w:w="261" w:type="pct"/>
                  <w:vAlign w:val="center"/>
                </w:tcPr>
                <w:p>
                  <w:pPr>
                    <w:adjustRightInd w:val="0"/>
                    <w:contextualSpacing/>
                    <w:jc w:val="center"/>
                    <w:rPr>
                      <w:color w:val="auto"/>
                      <w:szCs w:val="21"/>
                    </w:rPr>
                  </w:pPr>
                  <w:r>
                    <w:rPr>
                      <w:rFonts w:hint="eastAsia"/>
                      <w:color w:val="auto"/>
                      <w:szCs w:val="21"/>
                    </w:rPr>
                    <w:t>职工生活</w:t>
                  </w:r>
                </w:p>
              </w:tc>
              <w:tc>
                <w:tcPr>
                  <w:tcW w:w="360" w:type="pct"/>
                  <w:vAlign w:val="center"/>
                </w:tcPr>
                <w:p>
                  <w:pPr>
                    <w:adjustRightInd w:val="0"/>
                    <w:contextualSpacing/>
                    <w:jc w:val="center"/>
                    <w:rPr>
                      <w:color w:val="auto"/>
                      <w:szCs w:val="21"/>
                    </w:rPr>
                  </w:pPr>
                  <w:r>
                    <w:rPr>
                      <w:rFonts w:hint="eastAsia"/>
                      <w:color w:val="auto"/>
                      <w:szCs w:val="21"/>
                    </w:rPr>
                    <w:t>生活垃圾</w:t>
                  </w:r>
                </w:p>
              </w:tc>
              <w:tc>
                <w:tcPr>
                  <w:tcW w:w="1090" w:type="pct"/>
                  <w:vAlign w:val="center"/>
                </w:tcPr>
                <w:p>
                  <w:pPr>
                    <w:adjustRightInd w:val="0"/>
                    <w:contextualSpacing/>
                    <w:jc w:val="center"/>
                    <w:rPr>
                      <w:color w:val="auto"/>
                      <w:szCs w:val="21"/>
                    </w:rPr>
                  </w:pPr>
                  <w:r>
                    <w:rPr>
                      <w:rFonts w:hint="eastAsia"/>
                      <w:color w:val="auto"/>
                      <w:szCs w:val="21"/>
                    </w:rPr>
                    <w:t>/</w:t>
                  </w:r>
                </w:p>
              </w:tc>
              <w:tc>
                <w:tcPr>
                  <w:tcW w:w="561" w:type="pct"/>
                  <w:vAlign w:val="center"/>
                </w:tcPr>
                <w:p>
                  <w:pPr>
                    <w:adjustRightInd w:val="0"/>
                    <w:contextualSpacing/>
                    <w:jc w:val="center"/>
                    <w:rPr>
                      <w:color w:val="auto"/>
                      <w:szCs w:val="21"/>
                    </w:rPr>
                  </w:pPr>
                  <w:r>
                    <w:rPr>
                      <w:rFonts w:hint="eastAsia"/>
                      <w:color w:val="auto"/>
                      <w:szCs w:val="21"/>
                    </w:rPr>
                    <w:t>/</w:t>
                  </w:r>
                </w:p>
              </w:tc>
              <w:tc>
                <w:tcPr>
                  <w:tcW w:w="266" w:type="pct"/>
                  <w:vAlign w:val="center"/>
                </w:tcPr>
                <w:p>
                  <w:pPr>
                    <w:adjustRightInd w:val="0"/>
                    <w:contextualSpacing/>
                    <w:jc w:val="center"/>
                    <w:rPr>
                      <w:color w:val="auto"/>
                      <w:szCs w:val="21"/>
                    </w:rPr>
                  </w:pPr>
                  <w:r>
                    <w:rPr>
                      <w:rFonts w:hint="eastAsia"/>
                      <w:color w:val="auto"/>
                      <w:szCs w:val="21"/>
                    </w:rPr>
                    <w:t>固体</w:t>
                  </w:r>
                </w:p>
              </w:tc>
              <w:tc>
                <w:tcPr>
                  <w:tcW w:w="362" w:type="pct"/>
                  <w:vAlign w:val="center"/>
                </w:tcPr>
                <w:p>
                  <w:pPr>
                    <w:adjustRightInd w:val="0"/>
                    <w:contextualSpacing/>
                    <w:jc w:val="center"/>
                    <w:rPr>
                      <w:color w:val="auto"/>
                      <w:szCs w:val="21"/>
                    </w:rPr>
                  </w:pPr>
                  <w:r>
                    <w:rPr>
                      <w:rFonts w:hint="eastAsia"/>
                      <w:color w:val="auto"/>
                      <w:szCs w:val="21"/>
                    </w:rPr>
                    <w:t>/</w:t>
                  </w:r>
                </w:p>
              </w:tc>
              <w:tc>
                <w:tcPr>
                  <w:tcW w:w="402" w:type="pct"/>
                  <w:vAlign w:val="center"/>
                </w:tcPr>
                <w:p>
                  <w:pPr>
                    <w:adjustRightInd w:val="0"/>
                    <w:contextualSpacing/>
                    <w:jc w:val="center"/>
                    <w:rPr>
                      <w:color w:val="auto"/>
                      <w:szCs w:val="21"/>
                    </w:rPr>
                  </w:pPr>
                  <w:r>
                    <w:rPr>
                      <w:rFonts w:hint="eastAsia"/>
                      <w:color w:val="auto"/>
                      <w:szCs w:val="21"/>
                    </w:rPr>
                    <w:t>3</w:t>
                  </w:r>
                </w:p>
              </w:tc>
              <w:tc>
                <w:tcPr>
                  <w:tcW w:w="350" w:type="pct"/>
                  <w:vAlign w:val="center"/>
                </w:tcPr>
                <w:p>
                  <w:pPr>
                    <w:adjustRightInd w:val="0"/>
                    <w:contextualSpacing/>
                    <w:jc w:val="center"/>
                    <w:rPr>
                      <w:color w:val="auto"/>
                      <w:szCs w:val="21"/>
                    </w:rPr>
                  </w:pPr>
                  <w:r>
                    <w:rPr>
                      <w:rFonts w:hint="eastAsia"/>
                      <w:color w:val="auto"/>
                      <w:szCs w:val="21"/>
                    </w:rPr>
                    <w:t>垃圾桶</w:t>
                  </w:r>
                </w:p>
              </w:tc>
              <w:tc>
                <w:tcPr>
                  <w:tcW w:w="375" w:type="pct"/>
                  <w:vAlign w:val="center"/>
                </w:tcPr>
                <w:p>
                  <w:pPr>
                    <w:adjustRightInd w:val="0"/>
                    <w:contextualSpacing/>
                    <w:jc w:val="center"/>
                    <w:rPr>
                      <w:color w:val="auto"/>
                      <w:szCs w:val="21"/>
                    </w:rPr>
                  </w:pPr>
                  <w:r>
                    <w:rPr>
                      <w:rFonts w:hint="eastAsia"/>
                      <w:color w:val="auto"/>
                      <w:szCs w:val="21"/>
                    </w:rPr>
                    <w:t>委托处置</w:t>
                  </w:r>
                </w:p>
              </w:tc>
              <w:tc>
                <w:tcPr>
                  <w:tcW w:w="504" w:type="pct"/>
                  <w:vAlign w:val="center"/>
                </w:tcPr>
                <w:p>
                  <w:pPr>
                    <w:adjustRightInd w:val="0"/>
                    <w:contextualSpacing/>
                    <w:jc w:val="center"/>
                    <w:rPr>
                      <w:color w:val="auto"/>
                      <w:szCs w:val="21"/>
                    </w:rPr>
                  </w:pPr>
                  <w:r>
                    <w:rPr>
                      <w:rFonts w:hint="eastAsia"/>
                      <w:color w:val="auto"/>
                      <w:szCs w:val="21"/>
                    </w:rPr>
                    <w:t>委托环卫部门处置</w:t>
                  </w:r>
                </w:p>
              </w:tc>
              <w:tc>
                <w:tcPr>
                  <w:tcW w:w="465" w:type="pct"/>
                  <w:vAlign w:val="center"/>
                </w:tcPr>
                <w:p>
                  <w:pPr>
                    <w:adjustRightInd w:val="0"/>
                    <w:contextualSpacing/>
                    <w:jc w:val="center"/>
                    <w:rPr>
                      <w:color w:val="auto"/>
                      <w:szCs w:val="21"/>
                    </w:rPr>
                  </w:pPr>
                  <w:r>
                    <w:rPr>
                      <w:rFonts w:hint="eastAsia"/>
                      <w:color w:val="auto"/>
                      <w:szCs w:val="21"/>
                    </w:rPr>
                    <w:t>3</w:t>
                  </w:r>
                </w:p>
              </w:tc>
            </w:tr>
            <w:bookmarkEnd w:id="22"/>
          </w:tbl>
          <w:p>
            <w:pPr>
              <w:spacing w:line="480" w:lineRule="exact"/>
              <w:ind w:firstLine="480" w:firstLineChars="200"/>
              <w:rPr>
                <w:color w:val="auto"/>
                <w:sz w:val="24"/>
              </w:rPr>
            </w:pPr>
            <w:r>
              <w:rPr>
                <w:rFonts w:hint="eastAsia"/>
                <w:color w:val="auto"/>
                <w:sz w:val="24"/>
              </w:rPr>
              <w:t>（2）危险废物影响分析</w:t>
            </w:r>
          </w:p>
          <w:p>
            <w:pPr>
              <w:spacing w:line="480" w:lineRule="exact"/>
              <w:ind w:firstLine="480" w:firstLineChars="200"/>
              <w:rPr>
                <w:color w:val="auto"/>
                <w:sz w:val="24"/>
              </w:rPr>
            </w:pPr>
            <w:r>
              <w:rPr>
                <w:rFonts w:hint="eastAsia"/>
                <w:color w:val="auto"/>
                <w:sz w:val="24"/>
              </w:rPr>
              <w:t>①危险废物情况</w:t>
            </w:r>
          </w:p>
          <w:p>
            <w:pPr>
              <w:spacing w:line="480" w:lineRule="exact"/>
              <w:ind w:firstLine="480" w:firstLineChars="200"/>
              <w:rPr>
                <w:color w:val="auto"/>
                <w:sz w:val="24"/>
              </w:rPr>
            </w:pPr>
            <w:r>
              <w:rPr>
                <w:rFonts w:hint="eastAsia"/>
                <w:color w:val="auto"/>
                <w:sz w:val="24"/>
              </w:rPr>
              <w:t>项目危险废物汇总情况见表40。</w:t>
            </w:r>
          </w:p>
          <w:p>
            <w:pPr>
              <w:spacing w:line="480" w:lineRule="exact"/>
              <w:jc w:val="center"/>
              <w:rPr>
                <w:b/>
                <w:bCs/>
                <w:snapToGrid w:val="0"/>
                <w:color w:val="auto"/>
                <w:sz w:val="24"/>
              </w:rPr>
            </w:pPr>
            <w:r>
              <w:rPr>
                <w:rFonts w:hint="eastAsia"/>
                <w:b/>
                <w:bCs/>
                <w:snapToGrid w:val="0"/>
                <w:color w:val="auto"/>
                <w:sz w:val="24"/>
              </w:rPr>
              <w:t>表40  项目危险废物汇总情况一览表</w:t>
            </w:r>
          </w:p>
          <w:tbl>
            <w:tblPr>
              <w:tblStyle w:val="33"/>
              <w:tblW w:w="807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266"/>
              <w:gridCol w:w="1191"/>
              <w:gridCol w:w="642"/>
              <w:gridCol w:w="1066"/>
              <w:gridCol w:w="769"/>
              <w:gridCol w:w="772"/>
              <w:gridCol w:w="530"/>
              <w:gridCol w:w="742"/>
              <w:gridCol w:w="575"/>
              <w:gridCol w:w="152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47" w:hRule="atLeast"/>
                <w:jc w:val="center"/>
              </w:trPr>
              <w:tc>
                <w:tcPr>
                  <w:tcW w:w="266" w:type="dxa"/>
                  <w:tcBorders>
                    <w:tl2br w:val="nil"/>
                    <w:tr2bl w:val="nil"/>
                  </w:tcBorders>
                  <w:vAlign w:val="center"/>
                </w:tcPr>
                <w:p>
                  <w:pPr>
                    <w:adjustRightInd w:val="0"/>
                    <w:contextualSpacing/>
                    <w:jc w:val="center"/>
                    <w:rPr>
                      <w:color w:val="auto"/>
                      <w:szCs w:val="21"/>
                    </w:rPr>
                  </w:pPr>
                  <w:r>
                    <w:rPr>
                      <w:color w:val="auto"/>
                      <w:szCs w:val="21"/>
                    </w:rPr>
                    <w:t>序号</w:t>
                  </w:r>
                </w:p>
              </w:tc>
              <w:tc>
                <w:tcPr>
                  <w:tcW w:w="1191" w:type="dxa"/>
                  <w:tcBorders>
                    <w:tl2br w:val="nil"/>
                    <w:tr2bl w:val="nil"/>
                  </w:tcBorders>
                  <w:vAlign w:val="center"/>
                </w:tcPr>
                <w:p>
                  <w:pPr>
                    <w:adjustRightInd w:val="0"/>
                    <w:contextualSpacing/>
                    <w:jc w:val="center"/>
                    <w:rPr>
                      <w:color w:val="auto"/>
                      <w:szCs w:val="21"/>
                    </w:rPr>
                  </w:pPr>
                  <w:r>
                    <w:rPr>
                      <w:color w:val="auto"/>
                      <w:szCs w:val="21"/>
                    </w:rPr>
                    <w:t>危险废物名称</w:t>
                  </w:r>
                </w:p>
              </w:tc>
              <w:tc>
                <w:tcPr>
                  <w:tcW w:w="642" w:type="dxa"/>
                  <w:tcBorders>
                    <w:tl2br w:val="nil"/>
                    <w:tr2bl w:val="nil"/>
                  </w:tcBorders>
                  <w:vAlign w:val="center"/>
                </w:tcPr>
                <w:p>
                  <w:pPr>
                    <w:adjustRightInd w:val="0"/>
                    <w:contextualSpacing/>
                    <w:jc w:val="center"/>
                    <w:rPr>
                      <w:color w:val="auto"/>
                      <w:szCs w:val="21"/>
                    </w:rPr>
                  </w:pPr>
                  <w:r>
                    <w:rPr>
                      <w:color w:val="auto"/>
                      <w:szCs w:val="21"/>
                    </w:rPr>
                    <w:t>危险废物类别</w:t>
                  </w:r>
                </w:p>
              </w:tc>
              <w:tc>
                <w:tcPr>
                  <w:tcW w:w="1066" w:type="dxa"/>
                  <w:tcBorders>
                    <w:tl2br w:val="nil"/>
                    <w:tr2bl w:val="nil"/>
                  </w:tcBorders>
                  <w:vAlign w:val="center"/>
                </w:tcPr>
                <w:p>
                  <w:pPr>
                    <w:adjustRightInd w:val="0"/>
                    <w:contextualSpacing/>
                    <w:jc w:val="center"/>
                    <w:rPr>
                      <w:color w:val="auto"/>
                      <w:szCs w:val="21"/>
                    </w:rPr>
                  </w:pPr>
                  <w:r>
                    <w:rPr>
                      <w:color w:val="auto"/>
                      <w:szCs w:val="21"/>
                    </w:rPr>
                    <w:t>危险废物代码</w:t>
                  </w:r>
                </w:p>
              </w:tc>
              <w:tc>
                <w:tcPr>
                  <w:tcW w:w="769" w:type="dxa"/>
                  <w:tcBorders>
                    <w:tl2br w:val="nil"/>
                    <w:tr2bl w:val="nil"/>
                  </w:tcBorders>
                  <w:vAlign w:val="center"/>
                </w:tcPr>
                <w:p>
                  <w:pPr>
                    <w:adjustRightInd w:val="0"/>
                    <w:contextualSpacing/>
                    <w:jc w:val="center"/>
                    <w:rPr>
                      <w:color w:val="auto"/>
                      <w:szCs w:val="21"/>
                    </w:rPr>
                  </w:pPr>
                  <w:r>
                    <w:rPr>
                      <w:color w:val="auto"/>
                      <w:szCs w:val="21"/>
                    </w:rPr>
                    <w:t>产生量（t/a）</w:t>
                  </w:r>
                </w:p>
              </w:tc>
              <w:tc>
                <w:tcPr>
                  <w:tcW w:w="772" w:type="dxa"/>
                  <w:tcBorders>
                    <w:tl2br w:val="nil"/>
                    <w:tr2bl w:val="nil"/>
                  </w:tcBorders>
                  <w:vAlign w:val="center"/>
                </w:tcPr>
                <w:p>
                  <w:pPr>
                    <w:adjustRightInd w:val="0"/>
                    <w:contextualSpacing/>
                    <w:jc w:val="center"/>
                    <w:rPr>
                      <w:color w:val="auto"/>
                      <w:szCs w:val="21"/>
                    </w:rPr>
                  </w:pPr>
                  <w:r>
                    <w:rPr>
                      <w:color w:val="auto"/>
                      <w:szCs w:val="21"/>
                    </w:rPr>
                    <w:t>产生工序及装置</w:t>
                  </w:r>
                </w:p>
              </w:tc>
              <w:tc>
                <w:tcPr>
                  <w:tcW w:w="530" w:type="dxa"/>
                  <w:tcBorders>
                    <w:tl2br w:val="nil"/>
                    <w:tr2bl w:val="nil"/>
                  </w:tcBorders>
                  <w:vAlign w:val="center"/>
                </w:tcPr>
                <w:p>
                  <w:pPr>
                    <w:adjustRightInd w:val="0"/>
                    <w:contextualSpacing/>
                    <w:jc w:val="center"/>
                    <w:rPr>
                      <w:color w:val="auto"/>
                      <w:szCs w:val="21"/>
                    </w:rPr>
                  </w:pPr>
                  <w:r>
                    <w:rPr>
                      <w:color w:val="auto"/>
                      <w:szCs w:val="21"/>
                    </w:rPr>
                    <w:t>形态</w:t>
                  </w:r>
                </w:p>
              </w:tc>
              <w:tc>
                <w:tcPr>
                  <w:tcW w:w="742" w:type="dxa"/>
                  <w:tcBorders>
                    <w:tl2br w:val="nil"/>
                    <w:tr2bl w:val="nil"/>
                  </w:tcBorders>
                  <w:vAlign w:val="center"/>
                </w:tcPr>
                <w:p>
                  <w:pPr>
                    <w:adjustRightInd w:val="0"/>
                    <w:contextualSpacing/>
                    <w:jc w:val="center"/>
                    <w:rPr>
                      <w:color w:val="auto"/>
                      <w:szCs w:val="21"/>
                    </w:rPr>
                  </w:pPr>
                  <w:r>
                    <w:rPr>
                      <w:color w:val="auto"/>
                      <w:szCs w:val="21"/>
                    </w:rPr>
                    <w:t>有害成分</w:t>
                  </w:r>
                </w:p>
              </w:tc>
              <w:tc>
                <w:tcPr>
                  <w:tcW w:w="575" w:type="dxa"/>
                  <w:tcBorders>
                    <w:tl2br w:val="nil"/>
                    <w:tr2bl w:val="nil"/>
                  </w:tcBorders>
                  <w:vAlign w:val="center"/>
                </w:tcPr>
                <w:p>
                  <w:pPr>
                    <w:adjustRightInd w:val="0"/>
                    <w:contextualSpacing/>
                    <w:jc w:val="center"/>
                    <w:rPr>
                      <w:color w:val="auto"/>
                      <w:szCs w:val="21"/>
                    </w:rPr>
                  </w:pPr>
                  <w:r>
                    <w:rPr>
                      <w:color w:val="auto"/>
                      <w:szCs w:val="21"/>
                    </w:rPr>
                    <w:t>危险</w:t>
                  </w:r>
                </w:p>
                <w:p>
                  <w:pPr>
                    <w:adjustRightInd w:val="0"/>
                    <w:contextualSpacing/>
                    <w:jc w:val="center"/>
                    <w:rPr>
                      <w:color w:val="auto"/>
                      <w:szCs w:val="21"/>
                    </w:rPr>
                  </w:pPr>
                  <w:r>
                    <w:rPr>
                      <w:color w:val="auto"/>
                      <w:szCs w:val="21"/>
                    </w:rPr>
                    <w:t>特性</w:t>
                  </w:r>
                </w:p>
              </w:tc>
              <w:tc>
                <w:tcPr>
                  <w:tcW w:w="1522" w:type="dxa"/>
                  <w:tcBorders>
                    <w:tl2br w:val="nil"/>
                    <w:tr2bl w:val="nil"/>
                  </w:tcBorders>
                  <w:vAlign w:val="center"/>
                </w:tcPr>
                <w:p>
                  <w:pPr>
                    <w:adjustRightInd w:val="0"/>
                    <w:contextualSpacing/>
                    <w:jc w:val="center"/>
                    <w:rPr>
                      <w:color w:val="auto"/>
                      <w:szCs w:val="21"/>
                    </w:rPr>
                  </w:pPr>
                  <w:r>
                    <w:rPr>
                      <w:color w:val="auto"/>
                      <w:szCs w:val="21"/>
                    </w:rPr>
                    <w:t>污染防治措施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33" w:hRule="atLeast"/>
                <w:jc w:val="center"/>
              </w:trPr>
              <w:tc>
                <w:tcPr>
                  <w:tcW w:w="266" w:type="dxa"/>
                  <w:tcBorders>
                    <w:tl2br w:val="nil"/>
                    <w:tr2bl w:val="nil"/>
                  </w:tcBorders>
                  <w:vAlign w:val="center"/>
                </w:tcPr>
                <w:p>
                  <w:pPr>
                    <w:adjustRightInd w:val="0"/>
                    <w:contextualSpacing/>
                    <w:jc w:val="center"/>
                    <w:rPr>
                      <w:color w:val="auto"/>
                      <w:szCs w:val="21"/>
                    </w:rPr>
                  </w:pPr>
                  <w:r>
                    <w:rPr>
                      <w:color w:val="auto"/>
                      <w:szCs w:val="21"/>
                    </w:rPr>
                    <w:t>1</w:t>
                  </w:r>
                </w:p>
              </w:tc>
              <w:tc>
                <w:tcPr>
                  <w:tcW w:w="1191" w:type="dxa"/>
                  <w:tcBorders>
                    <w:tl2br w:val="nil"/>
                    <w:tr2bl w:val="nil"/>
                  </w:tcBorders>
                  <w:vAlign w:val="center"/>
                </w:tcPr>
                <w:p>
                  <w:pPr>
                    <w:adjustRightInd w:val="0"/>
                    <w:contextualSpacing/>
                    <w:jc w:val="center"/>
                    <w:rPr>
                      <w:color w:val="auto"/>
                      <w:szCs w:val="21"/>
                    </w:rPr>
                  </w:pPr>
                  <w:r>
                    <w:rPr>
                      <w:color w:val="auto"/>
                      <w:szCs w:val="21"/>
                    </w:rPr>
                    <w:t>废矿物油</w:t>
                  </w:r>
                </w:p>
              </w:tc>
              <w:tc>
                <w:tcPr>
                  <w:tcW w:w="642" w:type="dxa"/>
                  <w:tcBorders>
                    <w:tl2br w:val="nil"/>
                    <w:tr2bl w:val="nil"/>
                  </w:tcBorders>
                  <w:vAlign w:val="center"/>
                </w:tcPr>
                <w:p>
                  <w:pPr>
                    <w:adjustRightInd w:val="0"/>
                    <w:contextualSpacing/>
                    <w:jc w:val="center"/>
                    <w:rPr>
                      <w:color w:val="auto"/>
                      <w:szCs w:val="21"/>
                    </w:rPr>
                  </w:pPr>
                  <w:r>
                    <w:rPr>
                      <w:color w:val="auto"/>
                      <w:szCs w:val="21"/>
                    </w:rPr>
                    <w:t>HW08</w:t>
                  </w:r>
                </w:p>
              </w:tc>
              <w:tc>
                <w:tcPr>
                  <w:tcW w:w="1066" w:type="dxa"/>
                  <w:tcBorders>
                    <w:tl2br w:val="nil"/>
                    <w:tr2bl w:val="nil"/>
                  </w:tcBorders>
                  <w:vAlign w:val="center"/>
                </w:tcPr>
                <w:p>
                  <w:pPr>
                    <w:adjustRightInd w:val="0"/>
                    <w:contextualSpacing/>
                    <w:jc w:val="center"/>
                    <w:rPr>
                      <w:color w:val="auto"/>
                      <w:szCs w:val="21"/>
                    </w:rPr>
                  </w:pPr>
                  <w:r>
                    <w:rPr>
                      <w:color w:val="auto"/>
                      <w:szCs w:val="21"/>
                    </w:rPr>
                    <w:t>900-2</w:t>
                  </w:r>
                  <w:r>
                    <w:rPr>
                      <w:rFonts w:hint="eastAsia"/>
                      <w:color w:val="auto"/>
                      <w:szCs w:val="21"/>
                    </w:rPr>
                    <w:t>49</w:t>
                  </w:r>
                  <w:r>
                    <w:rPr>
                      <w:color w:val="auto"/>
                      <w:szCs w:val="21"/>
                    </w:rPr>
                    <w:t>-08</w:t>
                  </w:r>
                </w:p>
              </w:tc>
              <w:tc>
                <w:tcPr>
                  <w:tcW w:w="769" w:type="dxa"/>
                  <w:tcBorders>
                    <w:tl2br w:val="nil"/>
                    <w:tr2bl w:val="nil"/>
                  </w:tcBorders>
                  <w:vAlign w:val="center"/>
                </w:tcPr>
                <w:p>
                  <w:pPr>
                    <w:adjustRightInd w:val="0"/>
                    <w:contextualSpacing/>
                    <w:jc w:val="center"/>
                    <w:rPr>
                      <w:color w:val="auto"/>
                      <w:szCs w:val="21"/>
                    </w:rPr>
                  </w:pPr>
                  <w:r>
                    <w:rPr>
                      <w:rFonts w:hint="eastAsia"/>
                      <w:color w:val="auto"/>
                      <w:szCs w:val="21"/>
                    </w:rPr>
                    <w:t>0.1</w:t>
                  </w:r>
                </w:p>
              </w:tc>
              <w:tc>
                <w:tcPr>
                  <w:tcW w:w="772" w:type="dxa"/>
                  <w:vMerge w:val="restart"/>
                  <w:tcBorders>
                    <w:tl2br w:val="nil"/>
                    <w:tr2bl w:val="nil"/>
                  </w:tcBorders>
                  <w:vAlign w:val="center"/>
                </w:tcPr>
                <w:p>
                  <w:pPr>
                    <w:adjustRightInd w:val="0"/>
                    <w:contextualSpacing/>
                    <w:jc w:val="center"/>
                    <w:rPr>
                      <w:color w:val="auto"/>
                      <w:szCs w:val="21"/>
                    </w:rPr>
                  </w:pPr>
                  <w:r>
                    <w:rPr>
                      <w:color w:val="auto"/>
                      <w:szCs w:val="21"/>
                    </w:rPr>
                    <w:t>机械设备</w:t>
                  </w:r>
                  <w:r>
                    <w:rPr>
                      <w:rFonts w:hint="eastAsia"/>
                      <w:color w:val="auto"/>
                      <w:szCs w:val="21"/>
                    </w:rPr>
                    <w:t>维修及维护</w:t>
                  </w:r>
                </w:p>
                <w:p>
                  <w:pPr>
                    <w:adjustRightInd w:val="0"/>
                    <w:contextualSpacing/>
                    <w:jc w:val="center"/>
                    <w:rPr>
                      <w:color w:val="auto"/>
                      <w:szCs w:val="21"/>
                    </w:rPr>
                  </w:pPr>
                </w:p>
              </w:tc>
              <w:tc>
                <w:tcPr>
                  <w:tcW w:w="530" w:type="dxa"/>
                  <w:tcBorders>
                    <w:tl2br w:val="nil"/>
                    <w:tr2bl w:val="nil"/>
                  </w:tcBorders>
                  <w:vAlign w:val="center"/>
                </w:tcPr>
                <w:p>
                  <w:pPr>
                    <w:adjustRightInd w:val="0"/>
                    <w:contextualSpacing/>
                    <w:jc w:val="center"/>
                    <w:rPr>
                      <w:color w:val="auto"/>
                      <w:szCs w:val="21"/>
                    </w:rPr>
                  </w:pPr>
                  <w:r>
                    <w:rPr>
                      <w:color w:val="auto"/>
                      <w:szCs w:val="21"/>
                    </w:rPr>
                    <w:t>液态</w:t>
                  </w:r>
                </w:p>
              </w:tc>
              <w:tc>
                <w:tcPr>
                  <w:tcW w:w="742" w:type="dxa"/>
                  <w:vMerge w:val="restart"/>
                  <w:tcBorders>
                    <w:tl2br w:val="nil"/>
                    <w:tr2bl w:val="nil"/>
                  </w:tcBorders>
                  <w:vAlign w:val="center"/>
                </w:tcPr>
                <w:p>
                  <w:pPr>
                    <w:adjustRightInd w:val="0"/>
                    <w:contextualSpacing/>
                    <w:jc w:val="center"/>
                    <w:rPr>
                      <w:color w:val="auto"/>
                      <w:szCs w:val="21"/>
                    </w:rPr>
                  </w:pPr>
                  <w:r>
                    <w:rPr>
                      <w:color w:val="auto"/>
                      <w:szCs w:val="21"/>
                    </w:rPr>
                    <w:t>苯系物、多环芳烃</w:t>
                  </w:r>
                </w:p>
              </w:tc>
              <w:tc>
                <w:tcPr>
                  <w:tcW w:w="575" w:type="dxa"/>
                  <w:tcBorders>
                    <w:tl2br w:val="nil"/>
                    <w:tr2bl w:val="nil"/>
                  </w:tcBorders>
                  <w:vAlign w:val="center"/>
                </w:tcPr>
                <w:p>
                  <w:pPr>
                    <w:adjustRightInd w:val="0"/>
                    <w:contextualSpacing/>
                    <w:jc w:val="center"/>
                    <w:rPr>
                      <w:color w:val="auto"/>
                      <w:szCs w:val="21"/>
                    </w:rPr>
                  </w:pPr>
                  <w:r>
                    <w:rPr>
                      <w:color w:val="auto"/>
                      <w:szCs w:val="21"/>
                    </w:rPr>
                    <w:t>T、I</w:t>
                  </w:r>
                </w:p>
              </w:tc>
              <w:tc>
                <w:tcPr>
                  <w:tcW w:w="1522" w:type="dxa"/>
                  <w:vMerge w:val="restart"/>
                  <w:tcBorders>
                    <w:tl2br w:val="nil"/>
                    <w:tr2bl w:val="nil"/>
                  </w:tcBorders>
                  <w:vAlign w:val="center"/>
                </w:tcPr>
                <w:p>
                  <w:pPr>
                    <w:pStyle w:val="8"/>
                    <w:jc w:val="center"/>
                    <w:rPr>
                      <w:color w:val="auto"/>
                      <w:kern w:val="2"/>
                      <w:sz w:val="21"/>
                      <w:szCs w:val="21"/>
                    </w:rPr>
                  </w:pPr>
                  <w:r>
                    <w:rPr>
                      <w:rFonts w:hint="eastAsia"/>
                      <w:color w:val="auto"/>
                      <w:kern w:val="2"/>
                      <w:sz w:val="21"/>
                      <w:szCs w:val="21"/>
                    </w:rPr>
                    <w:t>采用专用容器收集，于废油桶一起</w:t>
                  </w:r>
                  <w:r>
                    <w:rPr>
                      <w:color w:val="auto"/>
                      <w:kern w:val="2"/>
                      <w:sz w:val="21"/>
                      <w:szCs w:val="21"/>
                    </w:rPr>
                    <w:t>暂存于厂区</w:t>
                  </w:r>
                  <w:r>
                    <w:rPr>
                      <w:rFonts w:hint="eastAsia"/>
                      <w:color w:val="auto"/>
                      <w:kern w:val="2"/>
                      <w:sz w:val="21"/>
                      <w:szCs w:val="21"/>
                    </w:rPr>
                    <w:t>危险废物暂存间</w:t>
                  </w:r>
                  <w:r>
                    <w:rPr>
                      <w:color w:val="auto"/>
                      <w:kern w:val="2"/>
                      <w:sz w:val="21"/>
                      <w:szCs w:val="21"/>
                    </w:rPr>
                    <w:t>，</w:t>
                  </w:r>
                  <w:r>
                    <w:rPr>
                      <w:rFonts w:hint="eastAsia"/>
                      <w:color w:val="auto"/>
                      <w:kern w:val="2"/>
                      <w:sz w:val="21"/>
                      <w:szCs w:val="21"/>
                    </w:rPr>
                    <w:t>委托</w:t>
                  </w:r>
                  <w:r>
                    <w:rPr>
                      <w:color w:val="auto"/>
                      <w:kern w:val="2"/>
                      <w:sz w:val="21"/>
                      <w:szCs w:val="21"/>
                    </w:rPr>
                    <w:t>有资质的危险废物处置单位处置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57" w:hRule="atLeast"/>
                <w:jc w:val="center"/>
              </w:trPr>
              <w:tc>
                <w:tcPr>
                  <w:tcW w:w="266" w:type="dxa"/>
                  <w:tcBorders>
                    <w:tl2br w:val="nil"/>
                    <w:tr2bl w:val="nil"/>
                  </w:tcBorders>
                  <w:vAlign w:val="center"/>
                </w:tcPr>
                <w:p>
                  <w:pPr>
                    <w:adjustRightInd w:val="0"/>
                    <w:contextualSpacing/>
                    <w:jc w:val="center"/>
                    <w:rPr>
                      <w:color w:val="auto"/>
                      <w:szCs w:val="21"/>
                    </w:rPr>
                  </w:pPr>
                  <w:r>
                    <w:rPr>
                      <w:color w:val="auto"/>
                      <w:szCs w:val="21"/>
                    </w:rPr>
                    <w:t>2</w:t>
                  </w:r>
                </w:p>
              </w:tc>
              <w:tc>
                <w:tcPr>
                  <w:tcW w:w="1191" w:type="dxa"/>
                  <w:tcBorders>
                    <w:tl2br w:val="nil"/>
                    <w:tr2bl w:val="nil"/>
                  </w:tcBorders>
                  <w:vAlign w:val="center"/>
                </w:tcPr>
                <w:p>
                  <w:pPr>
                    <w:adjustRightInd w:val="0"/>
                    <w:contextualSpacing/>
                    <w:jc w:val="center"/>
                    <w:rPr>
                      <w:color w:val="auto"/>
                      <w:szCs w:val="21"/>
                    </w:rPr>
                  </w:pPr>
                  <w:r>
                    <w:rPr>
                      <w:color w:val="auto"/>
                      <w:szCs w:val="21"/>
                    </w:rPr>
                    <w:t>废油桶</w:t>
                  </w:r>
                </w:p>
              </w:tc>
              <w:tc>
                <w:tcPr>
                  <w:tcW w:w="642" w:type="dxa"/>
                  <w:tcBorders>
                    <w:tl2br w:val="nil"/>
                    <w:tr2bl w:val="nil"/>
                  </w:tcBorders>
                  <w:vAlign w:val="center"/>
                </w:tcPr>
                <w:p>
                  <w:pPr>
                    <w:adjustRightInd w:val="0"/>
                    <w:contextualSpacing/>
                    <w:jc w:val="center"/>
                    <w:rPr>
                      <w:color w:val="auto"/>
                      <w:szCs w:val="21"/>
                    </w:rPr>
                  </w:pPr>
                  <w:r>
                    <w:rPr>
                      <w:color w:val="auto"/>
                      <w:szCs w:val="21"/>
                    </w:rPr>
                    <w:t>HW08</w:t>
                  </w:r>
                </w:p>
              </w:tc>
              <w:tc>
                <w:tcPr>
                  <w:tcW w:w="1066" w:type="dxa"/>
                  <w:tcBorders>
                    <w:tl2br w:val="nil"/>
                    <w:tr2bl w:val="nil"/>
                  </w:tcBorders>
                  <w:vAlign w:val="center"/>
                </w:tcPr>
                <w:p>
                  <w:pPr>
                    <w:adjustRightInd w:val="0"/>
                    <w:contextualSpacing/>
                    <w:jc w:val="center"/>
                    <w:rPr>
                      <w:color w:val="auto"/>
                      <w:szCs w:val="21"/>
                    </w:rPr>
                  </w:pPr>
                  <w:r>
                    <w:rPr>
                      <w:color w:val="auto"/>
                      <w:szCs w:val="21"/>
                    </w:rPr>
                    <w:t>900-249-08</w:t>
                  </w:r>
                </w:p>
              </w:tc>
              <w:tc>
                <w:tcPr>
                  <w:tcW w:w="769" w:type="dxa"/>
                  <w:tcBorders>
                    <w:tl2br w:val="nil"/>
                    <w:tr2bl w:val="nil"/>
                  </w:tcBorders>
                  <w:vAlign w:val="center"/>
                </w:tcPr>
                <w:p>
                  <w:pPr>
                    <w:adjustRightInd w:val="0"/>
                    <w:contextualSpacing/>
                    <w:jc w:val="center"/>
                    <w:rPr>
                      <w:color w:val="auto"/>
                      <w:szCs w:val="21"/>
                    </w:rPr>
                  </w:pPr>
                  <w:r>
                    <w:rPr>
                      <w:rFonts w:hint="eastAsia"/>
                      <w:color w:val="auto"/>
                      <w:szCs w:val="21"/>
                    </w:rPr>
                    <w:t>0.06</w:t>
                  </w:r>
                </w:p>
              </w:tc>
              <w:tc>
                <w:tcPr>
                  <w:tcW w:w="772" w:type="dxa"/>
                  <w:vMerge w:val="continue"/>
                  <w:tcBorders>
                    <w:tl2br w:val="nil"/>
                    <w:tr2bl w:val="nil"/>
                  </w:tcBorders>
                  <w:vAlign w:val="center"/>
                </w:tcPr>
                <w:p>
                  <w:pPr>
                    <w:adjustRightInd w:val="0"/>
                    <w:contextualSpacing/>
                    <w:jc w:val="center"/>
                    <w:rPr>
                      <w:color w:val="auto"/>
                      <w:szCs w:val="21"/>
                    </w:rPr>
                  </w:pPr>
                </w:p>
              </w:tc>
              <w:tc>
                <w:tcPr>
                  <w:tcW w:w="530" w:type="dxa"/>
                  <w:tcBorders>
                    <w:tl2br w:val="nil"/>
                    <w:tr2bl w:val="nil"/>
                  </w:tcBorders>
                  <w:vAlign w:val="center"/>
                </w:tcPr>
                <w:p>
                  <w:pPr>
                    <w:topLinePunct/>
                    <w:spacing w:line="0" w:lineRule="atLeast"/>
                    <w:jc w:val="center"/>
                    <w:rPr>
                      <w:color w:val="auto"/>
                      <w:spacing w:val="-23"/>
                      <w:szCs w:val="21"/>
                    </w:rPr>
                  </w:pPr>
                  <w:r>
                    <w:rPr>
                      <w:color w:val="auto"/>
                      <w:spacing w:val="-23"/>
                      <w:szCs w:val="21"/>
                    </w:rPr>
                    <w:t>固态</w:t>
                  </w:r>
                </w:p>
              </w:tc>
              <w:tc>
                <w:tcPr>
                  <w:tcW w:w="742" w:type="dxa"/>
                  <w:vMerge w:val="continue"/>
                  <w:tcBorders>
                    <w:tl2br w:val="nil"/>
                    <w:tr2bl w:val="nil"/>
                  </w:tcBorders>
                  <w:vAlign w:val="center"/>
                </w:tcPr>
                <w:p>
                  <w:pPr>
                    <w:adjustRightInd w:val="0"/>
                    <w:contextualSpacing/>
                    <w:jc w:val="center"/>
                    <w:rPr>
                      <w:color w:val="auto"/>
                      <w:szCs w:val="21"/>
                    </w:rPr>
                  </w:pPr>
                </w:p>
              </w:tc>
              <w:tc>
                <w:tcPr>
                  <w:tcW w:w="575" w:type="dxa"/>
                  <w:tcBorders>
                    <w:tl2br w:val="nil"/>
                    <w:tr2bl w:val="nil"/>
                  </w:tcBorders>
                  <w:vAlign w:val="center"/>
                </w:tcPr>
                <w:p>
                  <w:pPr>
                    <w:topLinePunct/>
                    <w:spacing w:line="0" w:lineRule="atLeast"/>
                    <w:jc w:val="center"/>
                    <w:rPr>
                      <w:color w:val="auto"/>
                      <w:spacing w:val="-23"/>
                      <w:szCs w:val="21"/>
                    </w:rPr>
                  </w:pPr>
                  <w:r>
                    <w:rPr>
                      <w:color w:val="auto"/>
                      <w:spacing w:val="-23"/>
                      <w:szCs w:val="21"/>
                    </w:rPr>
                    <w:t>T、I</w:t>
                  </w:r>
                </w:p>
              </w:tc>
              <w:tc>
                <w:tcPr>
                  <w:tcW w:w="1522" w:type="dxa"/>
                  <w:vMerge w:val="continue"/>
                  <w:tcBorders>
                    <w:tl2br w:val="nil"/>
                    <w:tr2bl w:val="nil"/>
                  </w:tcBorders>
                  <w:vAlign w:val="center"/>
                </w:tcPr>
                <w:p>
                  <w:pPr>
                    <w:spacing w:line="264" w:lineRule="auto"/>
                    <w:jc w:val="center"/>
                    <w:rPr>
                      <w:color w:val="auto"/>
                      <w:spacing w:val="-20"/>
                      <w:szCs w:val="21"/>
                    </w:rPr>
                  </w:pPr>
                </w:p>
              </w:tc>
            </w:tr>
          </w:tbl>
          <w:p>
            <w:pPr>
              <w:spacing w:line="480" w:lineRule="exact"/>
              <w:ind w:firstLine="480" w:firstLineChars="200"/>
              <w:rPr>
                <w:color w:val="auto"/>
                <w:sz w:val="24"/>
              </w:rPr>
            </w:pPr>
            <w:r>
              <w:rPr>
                <w:color w:val="auto"/>
                <w:sz w:val="24"/>
              </w:rPr>
              <w:t>②贮存场所环境影响分析</w:t>
            </w:r>
          </w:p>
          <w:p>
            <w:pPr>
              <w:spacing w:line="480" w:lineRule="exact"/>
              <w:ind w:firstLine="480" w:firstLineChars="200"/>
              <w:rPr>
                <w:color w:val="auto"/>
                <w:sz w:val="24"/>
              </w:rPr>
            </w:pPr>
            <w:r>
              <w:rPr>
                <w:color w:val="auto"/>
                <w:sz w:val="24"/>
              </w:rPr>
              <w:t>Ⅰ、贮存场所基本情况</w:t>
            </w:r>
          </w:p>
          <w:p>
            <w:pPr>
              <w:spacing w:line="480" w:lineRule="exact"/>
              <w:ind w:firstLine="480" w:firstLineChars="200"/>
              <w:rPr>
                <w:color w:val="auto"/>
                <w:sz w:val="24"/>
              </w:rPr>
            </w:pPr>
            <w:r>
              <w:rPr>
                <w:color w:val="auto"/>
                <w:sz w:val="24"/>
              </w:rPr>
              <w:t>危险废物暂存间位于厂区</w:t>
            </w:r>
            <w:r>
              <w:rPr>
                <w:rFonts w:hint="eastAsia"/>
                <w:color w:val="auto"/>
                <w:sz w:val="24"/>
              </w:rPr>
              <w:t>东</w:t>
            </w:r>
            <w:r>
              <w:rPr>
                <w:color w:val="auto"/>
                <w:sz w:val="24"/>
              </w:rPr>
              <w:t>侧，</w:t>
            </w:r>
            <w:r>
              <w:rPr>
                <w:rFonts w:hint="eastAsia"/>
                <w:color w:val="auto"/>
                <w:sz w:val="24"/>
              </w:rPr>
              <w:t>危险废物暂存间占地面积为4m</w:t>
            </w:r>
            <w:r>
              <w:rPr>
                <w:rFonts w:hint="eastAsia"/>
                <w:color w:val="auto"/>
                <w:sz w:val="24"/>
                <w:vertAlign w:val="superscript"/>
              </w:rPr>
              <w:t>2</w:t>
            </w:r>
            <w:r>
              <w:rPr>
                <w:rFonts w:hint="eastAsia"/>
                <w:color w:val="auto"/>
                <w:sz w:val="24"/>
              </w:rPr>
              <w:t>，</w:t>
            </w:r>
            <w:r>
              <w:rPr>
                <w:color w:val="auto"/>
                <w:sz w:val="24"/>
              </w:rPr>
              <w:t>危险废物在收集和贮存过程中按照《危险废物贮存污染控制标准》(GB18597-20</w:t>
            </w:r>
            <w:r>
              <w:rPr>
                <w:rFonts w:hint="eastAsia"/>
                <w:color w:val="auto"/>
                <w:sz w:val="24"/>
              </w:rPr>
              <w:t>23</w:t>
            </w:r>
            <w:r>
              <w:rPr>
                <w:color w:val="auto"/>
                <w:sz w:val="24"/>
              </w:rPr>
              <w:t>)相关要求张贴对应标签，包括危废类别、主要成分、危险情况、安全措施、数量等内容。项目危险废物贮存场所基本情况具体见表</w:t>
            </w:r>
            <w:r>
              <w:rPr>
                <w:rFonts w:hint="eastAsia"/>
                <w:color w:val="auto"/>
                <w:sz w:val="24"/>
              </w:rPr>
              <w:t>41</w:t>
            </w:r>
            <w:r>
              <w:rPr>
                <w:color w:val="auto"/>
                <w:sz w:val="24"/>
              </w:rPr>
              <w:t xml:space="preserve">。 </w:t>
            </w:r>
          </w:p>
          <w:p>
            <w:pPr>
              <w:spacing w:line="480" w:lineRule="exact"/>
              <w:jc w:val="center"/>
              <w:rPr>
                <w:b/>
                <w:bCs/>
                <w:snapToGrid w:val="0"/>
                <w:color w:val="auto"/>
                <w:sz w:val="24"/>
              </w:rPr>
            </w:pPr>
            <w:r>
              <w:rPr>
                <w:b/>
                <w:bCs/>
                <w:snapToGrid w:val="0"/>
                <w:color w:val="auto"/>
                <w:sz w:val="24"/>
              </w:rPr>
              <w:t>表</w:t>
            </w:r>
            <w:r>
              <w:rPr>
                <w:rFonts w:hint="eastAsia"/>
                <w:b/>
                <w:bCs/>
                <w:snapToGrid w:val="0"/>
                <w:color w:val="auto"/>
                <w:sz w:val="24"/>
              </w:rPr>
              <w:t>41  项目</w:t>
            </w:r>
            <w:r>
              <w:rPr>
                <w:b/>
                <w:bCs/>
                <w:snapToGrid w:val="0"/>
                <w:color w:val="auto"/>
                <w:sz w:val="24"/>
              </w:rPr>
              <w:t>危险废物</w:t>
            </w:r>
            <w:r>
              <w:rPr>
                <w:rFonts w:hint="eastAsia"/>
                <w:b/>
                <w:bCs/>
                <w:snapToGrid w:val="0"/>
                <w:color w:val="auto"/>
                <w:sz w:val="24"/>
              </w:rPr>
              <w:t>暂存间</w:t>
            </w:r>
            <w:r>
              <w:rPr>
                <w:b/>
                <w:bCs/>
                <w:snapToGrid w:val="0"/>
                <w:color w:val="auto"/>
                <w:sz w:val="24"/>
              </w:rPr>
              <w:t>危废储存情况一览表</w:t>
            </w:r>
          </w:p>
          <w:tbl>
            <w:tblPr>
              <w:tblStyle w:val="33"/>
              <w:tblW w:w="4984"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3"/>
              <w:gridCol w:w="659"/>
              <w:gridCol w:w="1197"/>
              <w:gridCol w:w="675"/>
              <w:gridCol w:w="830"/>
              <w:gridCol w:w="719"/>
              <w:gridCol w:w="916"/>
              <w:gridCol w:w="741"/>
              <w:gridCol w:w="807"/>
              <w:gridCol w:w="69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54" w:type="pct"/>
                  <w:vAlign w:val="center"/>
                </w:tcPr>
                <w:p>
                  <w:pPr>
                    <w:adjustRightInd w:val="0"/>
                    <w:snapToGrid w:val="0"/>
                    <w:jc w:val="center"/>
                    <w:rPr>
                      <w:color w:val="auto"/>
                      <w:szCs w:val="21"/>
                    </w:rPr>
                  </w:pPr>
                  <w:r>
                    <w:rPr>
                      <w:rFonts w:hint="eastAsia"/>
                      <w:color w:val="auto"/>
                      <w:szCs w:val="21"/>
                    </w:rPr>
                    <w:t>来源</w:t>
                  </w:r>
                </w:p>
              </w:tc>
              <w:tc>
                <w:tcPr>
                  <w:tcW w:w="404" w:type="pct"/>
                  <w:vAlign w:val="center"/>
                </w:tcPr>
                <w:p>
                  <w:pPr>
                    <w:adjustRightInd w:val="0"/>
                    <w:snapToGrid w:val="0"/>
                    <w:jc w:val="center"/>
                    <w:rPr>
                      <w:color w:val="auto"/>
                      <w:szCs w:val="21"/>
                    </w:rPr>
                  </w:pPr>
                  <w:r>
                    <w:rPr>
                      <w:color w:val="auto"/>
                      <w:szCs w:val="21"/>
                    </w:rPr>
                    <w:t>危废名称</w:t>
                  </w:r>
                </w:p>
              </w:tc>
              <w:tc>
                <w:tcPr>
                  <w:tcW w:w="734" w:type="pct"/>
                  <w:vAlign w:val="center"/>
                </w:tcPr>
                <w:p>
                  <w:pPr>
                    <w:adjustRightInd w:val="0"/>
                    <w:snapToGrid w:val="0"/>
                    <w:jc w:val="center"/>
                    <w:rPr>
                      <w:color w:val="auto"/>
                      <w:szCs w:val="21"/>
                    </w:rPr>
                  </w:pPr>
                  <w:r>
                    <w:rPr>
                      <w:color w:val="auto"/>
                      <w:szCs w:val="21"/>
                    </w:rPr>
                    <w:t>危废类别</w:t>
                  </w:r>
                </w:p>
              </w:tc>
              <w:tc>
                <w:tcPr>
                  <w:tcW w:w="414" w:type="pct"/>
                  <w:vAlign w:val="center"/>
                </w:tcPr>
                <w:p>
                  <w:pPr>
                    <w:adjustRightInd w:val="0"/>
                    <w:snapToGrid w:val="0"/>
                    <w:jc w:val="center"/>
                    <w:rPr>
                      <w:color w:val="auto"/>
                      <w:szCs w:val="21"/>
                    </w:rPr>
                  </w:pPr>
                  <w:r>
                    <w:rPr>
                      <w:color w:val="auto"/>
                      <w:szCs w:val="21"/>
                    </w:rPr>
                    <w:t>危险特性</w:t>
                  </w:r>
                </w:p>
              </w:tc>
              <w:tc>
                <w:tcPr>
                  <w:tcW w:w="509" w:type="pct"/>
                  <w:vAlign w:val="center"/>
                </w:tcPr>
                <w:p>
                  <w:pPr>
                    <w:adjustRightInd w:val="0"/>
                    <w:snapToGrid w:val="0"/>
                    <w:jc w:val="center"/>
                    <w:rPr>
                      <w:color w:val="auto"/>
                      <w:szCs w:val="21"/>
                    </w:rPr>
                  </w:pPr>
                  <w:r>
                    <w:rPr>
                      <w:color w:val="auto"/>
                      <w:szCs w:val="21"/>
                    </w:rPr>
                    <w:t>包装方式</w:t>
                  </w:r>
                </w:p>
              </w:tc>
              <w:tc>
                <w:tcPr>
                  <w:tcW w:w="442" w:type="pct"/>
                  <w:vAlign w:val="center"/>
                </w:tcPr>
                <w:p>
                  <w:pPr>
                    <w:adjustRightInd w:val="0"/>
                    <w:snapToGrid w:val="0"/>
                    <w:jc w:val="center"/>
                    <w:rPr>
                      <w:color w:val="auto"/>
                      <w:szCs w:val="21"/>
                    </w:rPr>
                  </w:pPr>
                  <w:r>
                    <w:rPr>
                      <w:color w:val="auto"/>
                      <w:szCs w:val="21"/>
                    </w:rPr>
                    <w:t>年产生量</w:t>
                  </w:r>
                </w:p>
              </w:tc>
              <w:tc>
                <w:tcPr>
                  <w:tcW w:w="563" w:type="pct"/>
                  <w:vAlign w:val="center"/>
                </w:tcPr>
                <w:p>
                  <w:pPr>
                    <w:adjustRightInd w:val="0"/>
                    <w:snapToGrid w:val="0"/>
                    <w:jc w:val="center"/>
                    <w:rPr>
                      <w:color w:val="auto"/>
                      <w:szCs w:val="21"/>
                    </w:rPr>
                  </w:pPr>
                  <w:r>
                    <w:rPr>
                      <w:color w:val="auto"/>
                      <w:szCs w:val="21"/>
                    </w:rPr>
                    <w:t>最大储存量（t/a）</w:t>
                  </w:r>
                </w:p>
              </w:tc>
              <w:tc>
                <w:tcPr>
                  <w:tcW w:w="455" w:type="pct"/>
                  <w:vAlign w:val="center"/>
                </w:tcPr>
                <w:p>
                  <w:pPr>
                    <w:adjustRightInd w:val="0"/>
                    <w:snapToGrid w:val="0"/>
                    <w:jc w:val="center"/>
                    <w:rPr>
                      <w:color w:val="auto"/>
                      <w:szCs w:val="21"/>
                    </w:rPr>
                  </w:pPr>
                  <w:r>
                    <w:rPr>
                      <w:rFonts w:hint="eastAsia"/>
                      <w:color w:val="auto"/>
                      <w:szCs w:val="21"/>
                    </w:rPr>
                    <w:t>周转</w:t>
                  </w:r>
                  <w:r>
                    <w:rPr>
                      <w:color w:val="auto"/>
                      <w:szCs w:val="21"/>
                    </w:rPr>
                    <w:t>周期</w:t>
                  </w:r>
                </w:p>
              </w:tc>
              <w:tc>
                <w:tcPr>
                  <w:tcW w:w="496" w:type="pct"/>
                  <w:vAlign w:val="center"/>
                </w:tcPr>
                <w:p>
                  <w:pPr>
                    <w:adjustRightInd w:val="0"/>
                    <w:snapToGrid w:val="0"/>
                    <w:jc w:val="center"/>
                    <w:rPr>
                      <w:color w:val="auto"/>
                      <w:szCs w:val="21"/>
                    </w:rPr>
                  </w:pPr>
                  <w:r>
                    <w:rPr>
                      <w:rFonts w:hint="eastAsia"/>
                      <w:color w:val="auto"/>
                      <w:szCs w:val="21"/>
                    </w:rPr>
                    <w:t>转运情况</w:t>
                  </w:r>
                </w:p>
              </w:tc>
              <w:tc>
                <w:tcPr>
                  <w:tcW w:w="425" w:type="pct"/>
                  <w:vAlign w:val="center"/>
                </w:tcPr>
                <w:p>
                  <w:pPr>
                    <w:adjustRightInd w:val="0"/>
                    <w:snapToGrid w:val="0"/>
                    <w:jc w:val="center"/>
                    <w:rPr>
                      <w:color w:val="auto"/>
                      <w:szCs w:val="21"/>
                    </w:rPr>
                  </w:pPr>
                  <w:r>
                    <w:rPr>
                      <w:rFonts w:hint="eastAsia"/>
                      <w:color w:val="auto"/>
                      <w:szCs w:val="21"/>
                    </w:rPr>
                    <w:t>处置单位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54" w:type="pct"/>
                  <w:vMerge w:val="restart"/>
                  <w:vAlign w:val="center"/>
                </w:tcPr>
                <w:p>
                  <w:pPr>
                    <w:adjustRightInd w:val="0"/>
                    <w:snapToGrid w:val="0"/>
                    <w:jc w:val="center"/>
                    <w:rPr>
                      <w:color w:val="auto"/>
                      <w:szCs w:val="21"/>
                    </w:rPr>
                  </w:pPr>
                  <w:r>
                    <w:rPr>
                      <w:rFonts w:hint="eastAsia"/>
                      <w:color w:val="auto"/>
                      <w:szCs w:val="21"/>
                    </w:rPr>
                    <w:t>生产设备维修及维护</w:t>
                  </w:r>
                </w:p>
              </w:tc>
              <w:tc>
                <w:tcPr>
                  <w:tcW w:w="404" w:type="pct"/>
                  <w:vAlign w:val="center"/>
                </w:tcPr>
                <w:p>
                  <w:pPr>
                    <w:adjustRightInd w:val="0"/>
                    <w:snapToGrid w:val="0"/>
                    <w:jc w:val="center"/>
                    <w:rPr>
                      <w:color w:val="auto"/>
                      <w:szCs w:val="21"/>
                    </w:rPr>
                  </w:pPr>
                  <w:r>
                    <w:rPr>
                      <w:color w:val="auto"/>
                      <w:szCs w:val="21"/>
                    </w:rPr>
                    <w:t>废</w:t>
                  </w:r>
                  <w:r>
                    <w:rPr>
                      <w:rFonts w:hint="eastAsia"/>
                      <w:color w:val="auto"/>
                      <w:szCs w:val="21"/>
                    </w:rPr>
                    <w:t>矿物</w:t>
                  </w:r>
                  <w:r>
                    <w:rPr>
                      <w:color w:val="auto"/>
                      <w:szCs w:val="21"/>
                    </w:rPr>
                    <w:t>油</w:t>
                  </w:r>
                </w:p>
              </w:tc>
              <w:tc>
                <w:tcPr>
                  <w:tcW w:w="734" w:type="pct"/>
                  <w:vAlign w:val="center"/>
                </w:tcPr>
                <w:p>
                  <w:pPr>
                    <w:adjustRightInd w:val="0"/>
                    <w:snapToGrid w:val="0"/>
                    <w:jc w:val="center"/>
                    <w:rPr>
                      <w:color w:val="auto"/>
                      <w:szCs w:val="21"/>
                    </w:rPr>
                  </w:pPr>
                  <w:r>
                    <w:rPr>
                      <w:color w:val="auto"/>
                      <w:szCs w:val="21"/>
                    </w:rPr>
                    <w:t>HW08</w:t>
                  </w:r>
                </w:p>
                <w:p>
                  <w:pPr>
                    <w:adjustRightInd w:val="0"/>
                    <w:snapToGrid w:val="0"/>
                    <w:jc w:val="center"/>
                    <w:rPr>
                      <w:color w:val="auto"/>
                      <w:szCs w:val="21"/>
                    </w:rPr>
                  </w:pPr>
                  <w:r>
                    <w:rPr>
                      <w:color w:val="auto"/>
                      <w:szCs w:val="21"/>
                    </w:rPr>
                    <w:t>900-2</w:t>
                  </w:r>
                  <w:r>
                    <w:rPr>
                      <w:rFonts w:hint="eastAsia"/>
                      <w:color w:val="auto"/>
                      <w:szCs w:val="21"/>
                    </w:rPr>
                    <w:t>49</w:t>
                  </w:r>
                  <w:r>
                    <w:rPr>
                      <w:color w:val="auto"/>
                      <w:szCs w:val="21"/>
                    </w:rPr>
                    <w:t>-08</w:t>
                  </w:r>
                </w:p>
              </w:tc>
              <w:tc>
                <w:tcPr>
                  <w:tcW w:w="414" w:type="pct"/>
                  <w:vAlign w:val="center"/>
                </w:tcPr>
                <w:p>
                  <w:pPr>
                    <w:adjustRightInd w:val="0"/>
                    <w:snapToGrid w:val="0"/>
                    <w:jc w:val="center"/>
                    <w:rPr>
                      <w:color w:val="auto"/>
                      <w:szCs w:val="21"/>
                    </w:rPr>
                  </w:pPr>
                  <w:r>
                    <w:rPr>
                      <w:color w:val="auto"/>
                      <w:szCs w:val="21"/>
                    </w:rPr>
                    <w:t>T,I</w:t>
                  </w:r>
                </w:p>
              </w:tc>
              <w:tc>
                <w:tcPr>
                  <w:tcW w:w="509" w:type="pct"/>
                  <w:vAlign w:val="center"/>
                </w:tcPr>
                <w:p>
                  <w:pPr>
                    <w:adjustRightInd w:val="0"/>
                    <w:snapToGrid w:val="0"/>
                    <w:jc w:val="center"/>
                    <w:rPr>
                      <w:color w:val="auto"/>
                      <w:szCs w:val="21"/>
                    </w:rPr>
                  </w:pPr>
                  <w:r>
                    <w:rPr>
                      <w:rFonts w:hint="eastAsia"/>
                      <w:color w:val="auto"/>
                      <w:szCs w:val="21"/>
                    </w:rPr>
                    <w:t>钢制</w:t>
                  </w:r>
                  <w:r>
                    <w:rPr>
                      <w:color w:val="auto"/>
                      <w:szCs w:val="21"/>
                    </w:rPr>
                    <w:t>桶装</w:t>
                  </w:r>
                </w:p>
              </w:tc>
              <w:tc>
                <w:tcPr>
                  <w:tcW w:w="442" w:type="pct"/>
                  <w:vAlign w:val="center"/>
                </w:tcPr>
                <w:p>
                  <w:pPr>
                    <w:adjustRightInd w:val="0"/>
                    <w:snapToGrid w:val="0"/>
                    <w:jc w:val="center"/>
                    <w:rPr>
                      <w:color w:val="auto"/>
                      <w:szCs w:val="21"/>
                    </w:rPr>
                  </w:pPr>
                  <w:r>
                    <w:rPr>
                      <w:rFonts w:hint="eastAsia"/>
                      <w:color w:val="auto"/>
                      <w:szCs w:val="21"/>
                    </w:rPr>
                    <w:t>0.1</w:t>
                  </w:r>
                  <w:r>
                    <w:rPr>
                      <w:color w:val="auto"/>
                      <w:szCs w:val="21"/>
                    </w:rPr>
                    <w:t>t/a</w:t>
                  </w:r>
                </w:p>
              </w:tc>
              <w:tc>
                <w:tcPr>
                  <w:tcW w:w="563" w:type="pct"/>
                  <w:vAlign w:val="center"/>
                </w:tcPr>
                <w:p>
                  <w:pPr>
                    <w:adjustRightInd w:val="0"/>
                    <w:snapToGrid w:val="0"/>
                    <w:jc w:val="center"/>
                    <w:rPr>
                      <w:color w:val="auto"/>
                      <w:szCs w:val="21"/>
                    </w:rPr>
                  </w:pPr>
                  <w:r>
                    <w:rPr>
                      <w:rFonts w:hint="eastAsia"/>
                      <w:color w:val="auto"/>
                      <w:szCs w:val="21"/>
                    </w:rPr>
                    <w:t>0.1</w:t>
                  </w:r>
                  <w:r>
                    <w:rPr>
                      <w:color w:val="auto"/>
                      <w:szCs w:val="21"/>
                    </w:rPr>
                    <w:t>t/a</w:t>
                  </w:r>
                </w:p>
              </w:tc>
              <w:tc>
                <w:tcPr>
                  <w:tcW w:w="455" w:type="pct"/>
                  <w:vAlign w:val="center"/>
                </w:tcPr>
                <w:p>
                  <w:pPr>
                    <w:adjustRightInd w:val="0"/>
                    <w:snapToGrid w:val="0"/>
                    <w:jc w:val="center"/>
                    <w:rPr>
                      <w:color w:val="auto"/>
                      <w:szCs w:val="21"/>
                    </w:rPr>
                  </w:pPr>
                  <w:r>
                    <w:rPr>
                      <w:rFonts w:hint="eastAsia"/>
                      <w:color w:val="auto"/>
                      <w:szCs w:val="21"/>
                    </w:rPr>
                    <w:t>300d</w:t>
                  </w:r>
                </w:p>
              </w:tc>
              <w:tc>
                <w:tcPr>
                  <w:tcW w:w="496" w:type="pct"/>
                  <w:vAlign w:val="center"/>
                </w:tcPr>
                <w:p>
                  <w:pPr>
                    <w:adjustRightInd w:val="0"/>
                    <w:snapToGrid w:val="0"/>
                    <w:jc w:val="center"/>
                    <w:rPr>
                      <w:color w:val="auto"/>
                      <w:szCs w:val="21"/>
                    </w:rPr>
                  </w:pPr>
                  <w:r>
                    <w:rPr>
                      <w:rFonts w:hint="eastAsia"/>
                      <w:color w:val="auto"/>
                      <w:szCs w:val="21"/>
                    </w:rPr>
                    <w:t>1次/a</w:t>
                  </w:r>
                </w:p>
              </w:tc>
              <w:tc>
                <w:tcPr>
                  <w:tcW w:w="425" w:type="pct"/>
                  <w:vMerge w:val="restart"/>
                  <w:vAlign w:val="center"/>
                </w:tcPr>
                <w:p>
                  <w:pPr>
                    <w:adjustRightInd w:val="0"/>
                    <w:snapToGrid w:val="0"/>
                    <w:jc w:val="center"/>
                    <w:rPr>
                      <w:color w:val="auto"/>
                      <w:szCs w:val="21"/>
                    </w:rPr>
                  </w:pPr>
                  <w:r>
                    <w:rPr>
                      <w:rFonts w:hint="eastAsia"/>
                      <w:color w:val="auto"/>
                      <w:szCs w:val="21"/>
                    </w:rPr>
                    <w:t>具有相应资质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81" w:hRule="atLeast"/>
                <w:jc w:val="center"/>
              </w:trPr>
              <w:tc>
                <w:tcPr>
                  <w:tcW w:w="554" w:type="pct"/>
                  <w:vMerge w:val="continue"/>
                  <w:vAlign w:val="center"/>
                </w:tcPr>
                <w:p>
                  <w:pPr>
                    <w:adjustRightInd w:val="0"/>
                    <w:snapToGrid w:val="0"/>
                    <w:jc w:val="center"/>
                    <w:rPr>
                      <w:color w:val="auto"/>
                      <w:szCs w:val="21"/>
                    </w:rPr>
                  </w:pPr>
                </w:p>
              </w:tc>
              <w:tc>
                <w:tcPr>
                  <w:tcW w:w="404" w:type="pct"/>
                  <w:vAlign w:val="center"/>
                </w:tcPr>
                <w:p>
                  <w:pPr>
                    <w:adjustRightInd w:val="0"/>
                    <w:snapToGrid w:val="0"/>
                    <w:jc w:val="center"/>
                    <w:rPr>
                      <w:color w:val="auto"/>
                      <w:szCs w:val="21"/>
                    </w:rPr>
                  </w:pPr>
                  <w:r>
                    <w:rPr>
                      <w:color w:val="auto"/>
                      <w:szCs w:val="21"/>
                    </w:rPr>
                    <w:t>废油桶</w:t>
                  </w:r>
                </w:p>
              </w:tc>
              <w:tc>
                <w:tcPr>
                  <w:tcW w:w="734" w:type="pct"/>
                  <w:vAlign w:val="center"/>
                </w:tcPr>
                <w:p>
                  <w:pPr>
                    <w:adjustRightInd w:val="0"/>
                    <w:snapToGrid w:val="0"/>
                    <w:jc w:val="center"/>
                    <w:rPr>
                      <w:color w:val="auto"/>
                      <w:szCs w:val="21"/>
                    </w:rPr>
                  </w:pPr>
                  <w:r>
                    <w:rPr>
                      <w:color w:val="auto"/>
                      <w:szCs w:val="21"/>
                    </w:rPr>
                    <w:t>HW</w:t>
                  </w:r>
                  <w:r>
                    <w:rPr>
                      <w:rFonts w:hint="eastAsia"/>
                      <w:color w:val="auto"/>
                      <w:szCs w:val="21"/>
                    </w:rPr>
                    <w:t>08</w:t>
                  </w:r>
                </w:p>
                <w:p>
                  <w:pPr>
                    <w:adjustRightInd w:val="0"/>
                    <w:snapToGrid w:val="0"/>
                    <w:jc w:val="center"/>
                    <w:rPr>
                      <w:color w:val="auto"/>
                      <w:szCs w:val="21"/>
                    </w:rPr>
                  </w:pPr>
                  <w:r>
                    <w:rPr>
                      <w:color w:val="auto"/>
                      <w:szCs w:val="21"/>
                    </w:rPr>
                    <w:t>900-</w:t>
                  </w:r>
                  <w:r>
                    <w:rPr>
                      <w:rFonts w:hint="eastAsia"/>
                      <w:color w:val="auto"/>
                      <w:szCs w:val="21"/>
                    </w:rPr>
                    <w:t>249</w:t>
                  </w:r>
                  <w:r>
                    <w:rPr>
                      <w:color w:val="auto"/>
                      <w:szCs w:val="21"/>
                    </w:rPr>
                    <w:t>-</w:t>
                  </w:r>
                  <w:r>
                    <w:rPr>
                      <w:rFonts w:hint="eastAsia"/>
                      <w:color w:val="auto"/>
                      <w:szCs w:val="21"/>
                    </w:rPr>
                    <w:t>08</w:t>
                  </w:r>
                </w:p>
              </w:tc>
              <w:tc>
                <w:tcPr>
                  <w:tcW w:w="414" w:type="pct"/>
                  <w:vAlign w:val="center"/>
                </w:tcPr>
                <w:p>
                  <w:pPr>
                    <w:adjustRightInd w:val="0"/>
                    <w:snapToGrid w:val="0"/>
                    <w:jc w:val="center"/>
                    <w:rPr>
                      <w:color w:val="auto"/>
                      <w:szCs w:val="21"/>
                    </w:rPr>
                  </w:pPr>
                  <w:r>
                    <w:rPr>
                      <w:color w:val="auto"/>
                      <w:szCs w:val="21"/>
                    </w:rPr>
                    <w:t>T,I</w:t>
                  </w:r>
                </w:p>
              </w:tc>
              <w:tc>
                <w:tcPr>
                  <w:tcW w:w="509" w:type="pct"/>
                  <w:vAlign w:val="center"/>
                </w:tcPr>
                <w:p>
                  <w:pPr>
                    <w:adjustRightInd w:val="0"/>
                    <w:snapToGrid w:val="0"/>
                    <w:jc w:val="center"/>
                    <w:rPr>
                      <w:color w:val="auto"/>
                      <w:szCs w:val="21"/>
                    </w:rPr>
                  </w:pPr>
                  <w:r>
                    <w:rPr>
                      <w:rFonts w:hint="eastAsia"/>
                      <w:color w:val="auto"/>
                      <w:szCs w:val="21"/>
                    </w:rPr>
                    <w:t>-</w:t>
                  </w:r>
                </w:p>
              </w:tc>
              <w:tc>
                <w:tcPr>
                  <w:tcW w:w="442" w:type="pct"/>
                  <w:vAlign w:val="center"/>
                </w:tcPr>
                <w:p>
                  <w:pPr>
                    <w:adjustRightInd w:val="0"/>
                    <w:snapToGrid w:val="0"/>
                    <w:jc w:val="center"/>
                    <w:rPr>
                      <w:color w:val="auto"/>
                      <w:szCs w:val="21"/>
                    </w:rPr>
                  </w:pPr>
                  <w:r>
                    <w:rPr>
                      <w:rFonts w:hint="eastAsia"/>
                      <w:color w:val="auto"/>
                      <w:szCs w:val="21"/>
                    </w:rPr>
                    <w:t>0.06t</w:t>
                  </w:r>
                  <w:r>
                    <w:rPr>
                      <w:color w:val="auto"/>
                      <w:szCs w:val="21"/>
                    </w:rPr>
                    <w:t>/a</w:t>
                  </w:r>
                </w:p>
              </w:tc>
              <w:tc>
                <w:tcPr>
                  <w:tcW w:w="563" w:type="pct"/>
                  <w:vAlign w:val="center"/>
                </w:tcPr>
                <w:p>
                  <w:pPr>
                    <w:adjustRightInd w:val="0"/>
                    <w:snapToGrid w:val="0"/>
                    <w:jc w:val="center"/>
                    <w:rPr>
                      <w:color w:val="auto"/>
                      <w:szCs w:val="21"/>
                    </w:rPr>
                  </w:pPr>
                  <w:r>
                    <w:rPr>
                      <w:rFonts w:hint="eastAsia"/>
                      <w:color w:val="auto"/>
                      <w:szCs w:val="21"/>
                    </w:rPr>
                    <w:t>0.06t</w:t>
                  </w:r>
                  <w:r>
                    <w:rPr>
                      <w:color w:val="auto"/>
                      <w:szCs w:val="21"/>
                    </w:rPr>
                    <w:t>/a</w:t>
                  </w:r>
                </w:p>
              </w:tc>
              <w:tc>
                <w:tcPr>
                  <w:tcW w:w="455" w:type="pct"/>
                  <w:vAlign w:val="center"/>
                </w:tcPr>
                <w:p>
                  <w:pPr>
                    <w:adjustRightInd w:val="0"/>
                    <w:snapToGrid w:val="0"/>
                    <w:jc w:val="center"/>
                    <w:rPr>
                      <w:color w:val="auto"/>
                      <w:szCs w:val="21"/>
                    </w:rPr>
                  </w:pPr>
                  <w:r>
                    <w:rPr>
                      <w:rFonts w:hint="eastAsia"/>
                      <w:color w:val="auto"/>
                      <w:szCs w:val="21"/>
                    </w:rPr>
                    <w:t>300d</w:t>
                  </w:r>
                </w:p>
              </w:tc>
              <w:tc>
                <w:tcPr>
                  <w:tcW w:w="496" w:type="pct"/>
                  <w:vAlign w:val="center"/>
                </w:tcPr>
                <w:p>
                  <w:pPr>
                    <w:adjustRightInd w:val="0"/>
                    <w:snapToGrid w:val="0"/>
                    <w:jc w:val="center"/>
                    <w:rPr>
                      <w:color w:val="auto"/>
                      <w:szCs w:val="21"/>
                    </w:rPr>
                  </w:pPr>
                  <w:r>
                    <w:rPr>
                      <w:rFonts w:hint="eastAsia"/>
                      <w:color w:val="auto"/>
                      <w:szCs w:val="21"/>
                    </w:rPr>
                    <w:t>1次/a</w:t>
                  </w:r>
                </w:p>
              </w:tc>
              <w:tc>
                <w:tcPr>
                  <w:tcW w:w="425" w:type="pct"/>
                  <w:vMerge w:val="continue"/>
                  <w:vAlign w:val="center"/>
                </w:tcPr>
                <w:p>
                  <w:pPr>
                    <w:adjustRightInd w:val="0"/>
                    <w:snapToGrid w:val="0"/>
                    <w:jc w:val="center"/>
                    <w:rPr>
                      <w:color w:val="auto"/>
                      <w:szCs w:val="21"/>
                    </w:rPr>
                  </w:pPr>
                </w:p>
              </w:tc>
            </w:tr>
          </w:tbl>
          <w:p>
            <w:pPr>
              <w:rPr>
                <w:color w:val="auto"/>
                <w:spacing w:val="-2"/>
                <w:szCs w:val="21"/>
              </w:rPr>
            </w:pPr>
            <w:r>
              <w:rPr>
                <w:color w:val="auto"/>
                <w:spacing w:val="-2"/>
                <w:szCs w:val="21"/>
              </w:rPr>
              <w:t>注：</w:t>
            </w:r>
            <w:r>
              <w:rPr>
                <w:rFonts w:hint="eastAsia"/>
                <w:color w:val="auto"/>
                <w:spacing w:val="-2"/>
                <w:szCs w:val="21"/>
              </w:rPr>
              <w:t>最大储存量通过转运周期换算而来</w:t>
            </w:r>
          </w:p>
          <w:p>
            <w:pPr>
              <w:spacing w:line="480" w:lineRule="exact"/>
              <w:ind w:firstLine="480" w:firstLineChars="200"/>
              <w:rPr>
                <w:color w:val="auto"/>
                <w:sz w:val="24"/>
              </w:rPr>
            </w:pPr>
            <w:r>
              <w:rPr>
                <w:color w:val="auto"/>
                <w:sz w:val="24"/>
              </w:rPr>
              <w:t>Ⅱ、危险废物贮存能力环境影响分析</w:t>
            </w:r>
          </w:p>
          <w:p>
            <w:pPr>
              <w:spacing w:line="480" w:lineRule="exact"/>
              <w:ind w:firstLine="480" w:firstLineChars="200"/>
              <w:rPr>
                <w:color w:val="auto"/>
                <w:sz w:val="24"/>
              </w:rPr>
            </w:pPr>
            <w:r>
              <w:rPr>
                <w:rFonts w:hint="eastAsia"/>
                <w:bCs/>
                <w:color w:val="auto"/>
                <w:sz w:val="24"/>
              </w:rPr>
              <w:t>厂区</w:t>
            </w:r>
            <w:r>
              <w:rPr>
                <w:color w:val="auto"/>
                <w:sz w:val="24"/>
              </w:rPr>
              <w:t>危险废物暂存间位于</w:t>
            </w:r>
            <w:r>
              <w:rPr>
                <w:rFonts w:hint="eastAsia"/>
                <w:color w:val="auto"/>
                <w:sz w:val="24"/>
              </w:rPr>
              <w:t>生产车间内东南角</w:t>
            </w:r>
            <w:r>
              <w:rPr>
                <w:color w:val="auto"/>
                <w:sz w:val="24"/>
              </w:rPr>
              <w:t>，占地面积为</w:t>
            </w:r>
            <w:r>
              <w:rPr>
                <w:rFonts w:hint="eastAsia"/>
                <w:color w:val="auto"/>
                <w:sz w:val="24"/>
              </w:rPr>
              <w:t>4</w:t>
            </w:r>
            <w:r>
              <w:rPr>
                <w:color w:val="auto"/>
                <w:sz w:val="24"/>
              </w:rPr>
              <w:t>m</w:t>
            </w:r>
            <w:r>
              <w:rPr>
                <w:color w:val="auto"/>
                <w:sz w:val="24"/>
                <w:vertAlign w:val="superscript"/>
              </w:rPr>
              <w:t>2</w:t>
            </w:r>
            <w:r>
              <w:rPr>
                <w:color w:val="auto"/>
                <w:sz w:val="24"/>
              </w:rPr>
              <w:t>，项目产生少量废矿物油和废油桶，危废间存储面积可以满足危险废物存储需求。</w:t>
            </w:r>
            <w:r>
              <w:rPr>
                <w:rFonts w:hint="eastAsia"/>
                <w:color w:val="auto"/>
                <w:sz w:val="24"/>
              </w:rPr>
              <w:t>危险废物暂存间</w:t>
            </w:r>
            <w:r>
              <w:rPr>
                <w:color w:val="auto"/>
                <w:sz w:val="24"/>
              </w:rPr>
              <w:t>按照《危险废物贮存污染控制标准》(GB18597-20</w:t>
            </w:r>
            <w:r>
              <w:rPr>
                <w:rFonts w:hint="eastAsia"/>
                <w:color w:val="auto"/>
                <w:sz w:val="24"/>
              </w:rPr>
              <w:t>23</w:t>
            </w:r>
            <w:r>
              <w:rPr>
                <w:color w:val="auto"/>
                <w:sz w:val="24"/>
              </w:rPr>
              <w:t>)的相关要求采取防火、防雨、防渗处理，设有防渗透、防溢流围堰，配有消防栓、消防沙等消防应急物资，并设立危险废物警示标志，由专人进行管理，并建有危险废物排放量及处置记录等，</w:t>
            </w:r>
            <w:r>
              <w:rPr>
                <w:rFonts w:hint="eastAsia"/>
                <w:color w:val="auto"/>
                <w:sz w:val="24"/>
              </w:rPr>
              <w:t>危险废物暂存间</w:t>
            </w:r>
            <w:r>
              <w:rPr>
                <w:color w:val="auto"/>
                <w:sz w:val="24"/>
              </w:rPr>
              <w:t>的地面和四周裙角均需进行防渗处理，保证防渗层渗透系数小于等于1×10</w:t>
            </w:r>
            <w:r>
              <w:rPr>
                <w:color w:val="auto"/>
                <w:sz w:val="24"/>
                <w:vertAlign w:val="superscript"/>
              </w:rPr>
              <w:t>-10</w:t>
            </w:r>
            <w:r>
              <w:rPr>
                <w:color w:val="auto"/>
                <w:sz w:val="24"/>
              </w:rPr>
              <w:t>cm/s。</w:t>
            </w:r>
          </w:p>
          <w:p>
            <w:pPr>
              <w:spacing w:line="480" w:lineRule="exact"/>
              <w:ind w:firstLine="480" w:firstLineChars="200"/>
              <w:rPr>
                <w:color w:val="auto"/>
                <w:sz w:val="24"/>
              </w:rPr>
            </w:pPr>
            <w:r>
              <w:rPr>
                <w:rFonts w:hint="eastAsia"/>
                <w:color w:val="auto"/>
                <w:sz w:val="24"/>
              </w:rPr>
              <w:t>③</w:t>
            </w:r>
            <w:r>
              <w:rPr>
                <w:color w:val="auto"/>
                <w:sz w:val="24"/>
              </w:rPr>
              <w:t>运输过程影响分析</w:t>
            </w:r>
          </w:p>
          <w:p>
            <w:pPr>
              <w:spacing w:line="480" w:lineRule="exact"/>
              <w:ind w:firstLine="480" w:firstLineChars="200"/>
              <w:rPr>
                <w:color w:val="auto"/>
                <w:sz w:val="24"/>
              </w:rPr>
            </w:pPr>
            <w:r>
              <w:rPr>
                <w:color w:val="auto"/>
                <w:sz w:val="24"/>
              </w:rPr>
              <w:t>厂区产生的危险废物经收集后通过运至危险废物暂存间贮存，运输</w:t>
            </w:r>
            <w:r>
              <w:rPr>
                <w:rFonts w:hint="eastAsia"/>
                <w:color w:val="auto"/>
                <w:sz w:val="24"/>
              </w:rPr>
              <w:t>路线</w:t>
            </w:r>
            <w:r>
              <w:rPr>
                <w:color w:val="auto"/>
                <w:sz w:val="24"/>
              </w:rPr>
              <w:t>较短，且路线不经过办公区等人员密集区，转运结束后及时对转运路线进行检查和清理，确保无危险废物散落或泄漏在转运路线上。危险废物运输过程中全部采用密闭容器储存，正常情况下不会发生散落或泄漏，同时本项目</w:t>
            </w:r>
            <w:r>
              <w:rPr>
                <w:rFonts w:hint="eastAsia"/>
                <w:color w:val="auto"/>
                <w:sz w:val="24"/>
              </w:rPr>
              <w:t>车间内全部硬化</w:t>
            </w:r>
            <w:r>
              <w:rPr>
                <w:color w:val="auto"/>
                <w:sz w:val="24"/>
              </w:rPr>
              <w:t xml:space="preserve">，可有效阻止泄漏后危险废物的下渗，因此危险废物在运输过程中发生散落或泄漏时，及时清理，不会对周边环境产生明显影响。 </w:t>
            </w:r>
          </w:p>
          <w:p>
            <w:pPr>
              <w:spacing w:line="480" w:lineRule="exact"/>
              <w:ind w:firstLine="480" w:firstLineChars="200"/>
              <w:rPr>
                <w:rFonts w:ascii="宋体" w:hAnsi="宋体" w:cs="宋体"/>
                <w:color w:val="auto"/>
                <w:sz w:val="24"/>
              </w:rPr>
            </w:pPr>
            <w:r>
              <w:rPr>
                <w:rFonts w:hint="eastAsia" w:ascii="宋体" w:hAnsi="宋体" w:cs="宋体"/>
                <w:color w:val="auto"/>
                <w:sz w:val="24"/>
              </w:rPr>
              <w:t xml:space="preserve">④委托处置的环境影响分析 </w:t>
            </w:r>
          </w:p>
          <w:p>
            <w:pPr>
              <w:spacing w:line="480" w:lineRule="exact"/>
              <w:ind w:firstLine="480" w:firstLineChars="200"/>
              <w:rPr>
                <w:rFonts w:ascii="宋体" w:hAnsi="宋体" w:cs="宋体"/>
                <w:color w:val="auto"/>
                <w:sz w:val="24"/>
              </w:rPr>
            </w:pPr>
            <w:r>
              <w:rPr>
                <w:color w:val="auto"/>
                <w:sz w:val="24"/>
              </w:rPr>
              <w:t>项目产生的危险废物中废矿物油</w:t>
            </w:r>
            <w:r>
              <w:rPr>
                <w:rFonts w:hint="eastAsia"/>
                <w:color w:val="auto"/>
                <w:sz w:val="24"/>
              </w:rPr>
              <w:t>、废油桶</w:t>
            </w:r>
            <w:r>
              <w:rPr>
                <w:color w:val="auto"/>
                <w:sz w:val="24"/>
              </w:rPr>
              <w:t>委托</w:t>
            </w:r>
            <w:r>
              <w:rPr>
                <w:rFonts w:hint="eastAsia"/>
                <w:color w:val="auto"/>
                <w:sz w:val="24"/>
              </w:rPr>
              <w:t>有资质单位处理</w:t>
            </w:r>
            <w:r>
              <w:rPr>
                <w:color w:val="auto"/>
                <w:sz w:val="24"/>
              </w:rPr>
              <w:t>处理，危险废物处置单位危险废物经营许可范围</w:t>
            </w:r>
            <w:r>
              <w:rPr>
                <w:rFonts w:hint="eastAsia"/>
                <w:color w:val="auto"/>
                <w:sz w:val="24"/>
              </w:rPr>
              <w:t>应</w:t>
            </w:r>
            <w:r>
              <w:rPr>
                <w:color w:val="auto"/>
                <w:sz w:val="24"/>
              </w:rPr>
              <w:t>包含项目危险废物类别，</w:t>
            </w:r>
            <w:r>
              <w:rPr>
                <w:rFonts w:hint="eastAsia"/>
                <w:color w:val="auto"/>
                <w:sz w:val="24"/>
              </w:rPr>
              <w:t>且许可证在有效期范围内，满足上述要求后，</w:t>
            </w:r>
            <w:r>
              <w:rPr>
                <w:color w:val="auto"/>
                <w:sz w:val="24"/>
              </w:rPr>
              <w:t>能够满足委托处置要求，不会对周边环境产生明显影响。</w:t>
            </w:r>
          </w:p>
          <w:p>
            <w:pPr>
              <w:spacing w:line="480" w:lineRule="exact"/>
              <w:ind w:firstLine="480" w:firstLineChars="200"/>
              <w:rPr>
                <w:color w:val="auto"/>
                <w:sz w:val="24"/>
              </w:rPr>
            </w:pPr>
            <w:r>
              <w:rPr>
                <w:color w:val="auto"/>
                <w:sz w:val="24"/>
              </w:rPr>
              <w:t>（2）环境管理要求</w:t>
            </w:r>
          </w:p>
          <w:p>
            <w:pPr>
              <w:tabs>
                <w:tab w:val="left" w:pos="6520"/>
              </w:tabs>
              <w:spacing w:line="480" w:lineRule="exact"/>
              <w:ind w:firstLine="480" w:firstLineChars="200"/>
              <w:rPr>
                <w:color w:val="auto"/>
                <w:sz w:val="24"/>
              </w:rPr>
            </w:pPr>
            <w:r>
              <w:rPr>
                <w:color w:val="auto"/>
                <w:sz w:val="24"/>
              </w:rPr>
              <w:t>①一般固废环境管理要求</w:t>
            </w:r>
          </w:p>
          <w:p>
            <w:pPr>
              <w:tabs>
                <w:tab w:val="left" w:pos="6520"/>
              </w:tabs>
              <w:spacing w:line="480" w:lineRule="exact"/>
              <w:ind w:firstLine="480" w:firstLineChars="200"/>
              <w:rPr>
                <w:color w:val="auto"/>
                <w:sz w:val="24"/>
              </w:rPr>
            </w:pPr>
            <w:r>
              <w:rPr>
                <w:color w:val="auto"/>
                <w:sz w:val="24"/>
              </w:rPr>
              <w:t>项目产生的一般固废</w:t>
            </w:r>
            <w:r>
              <w:rPr>
                <w:rFonts w:hint="eastAsia"/>
                <w:color w:val="auto"/>
                <w:sz w:val="24"/>
              </w:rPr>
              <w:t>集中</w:t>
            </w:r>
            <w:r>
              <w:rPr>
                <w:color w:val="auto"/>
                <w:sz w:val="24"/>
              </w:rPr>
              <w:t>收集后暂存于</w:t>
            </w:r>
            <w:r>
              <w:rPr>
                <w:rFonts w:hint="eastAsia"/>
                <w:color w:val="auto"/>
                <w:sz w:val="24"/>
              </w:rPr>
              <w:t>生产车间内部</w:t>
            </w:r>
            <w:r>
              <w:rPr>
                <w:color w:val="auto"/>
                <w:sz w:val="24"/>
              </w:rPr>
              <w:t>一般工业固废暂存</w:t>
            </w:r>
            <w:r>
              <w:rPr>
                <w:rFonts w:hint="eastAsia"/>
                <w:color w:val="auto"/>
                <w:sz w:val="24"/>
              </w:rPr>
              <w:t>区</w:t>
            </w:r>
            <w:r>
              <w:rPr>
                <w:color w:val="auto"/>
                <w:sz w:val="24"/>
              </w:rPr>
              <w:t>。</w:t>
            </w:r>
          </w:p>
          <w:p>
            <w:pPr>
              <w:tabs>
                <w:tab w:val="left" w:pos="6520"/>
              </w:tabs>
              <w:spacing w:line="480" w:lineRule="exact"/>
              <w:ind w:firstLine="480" w:firstLineChars="200"/>
              <w:rPr>
                <w:color w:val="auto"/>
                <w:sz w:val="24"/>
              </w:rPr>
            </w:pPr>
            <w:r>
              <w:rPr>
                <w:color w:val="auto"/>
                <w:sz w:val="24"/>
              </w:rPr>
              <w:t>一般固废暂存满足以下要求：</w:t>
            </w:r>
          </w:p>
          <w:p>
            <w:pPr>
              <w:tabs>
                <w:tab w:val="left" w:pos="6520"/>
              </w:tabs>
              <w:spacing w:line="480" w:lineRule="exact"/>
              <w:ind w:firstLine="480" w:firstLineChars="200"/>
              <w:rPr>
                <w:color w:val="auto"/>
                <w:sz w:val="24"/>
              </w:rPr>
            </w:pPr>
            <w:r>
              <w:rPr>
                <w:color w:val="auto"/>
                <w:sz w:val="24"/>
              </w:rPr>
              <w:t>为防止一般工业固体废物在厂内临时存储过程中对环境产生污染影响</w:t>
            </w:r>
            <w:r>
              <w:rPr>
                <w:rFonts w:hint="eastAsia"/>
                <w:color w:val="auto"/>
                <w:sz w:val="24"/>
              </w:rPr>
              <w:t>，</w:t>
            </w:r>
            <w:r>
              <w:rPr>
                <w:color w:val="auto"/>
                <w:sz w:val="24"/>
              </w:rPr>
              <w:t>厂内一般固体废弃物应按规定设置一般工业固体废物临时贮存场所，并专人负责固体废物的收集、贮存，同时配合地方要求进行集中处置。一般工业固体废物贮存应满足以下要求：</w:t>
            </w:r>
          </w:p>
          <w:p>
            <w:pPr>
              <w:tabs>
                <w:tab w:val="left" w:pos="6520"/>
              </w:tabs>
              <w:spacing w:line="480" w:lineRule="exact"/>
              <w:ind w:firstLine="480" w:firstLineChars="200"/>
              <w:rPr>
                <w:color w:val="auto"/>
                <w:sz w:val="24"/>
              </w:rPr>
            </w:pPr>
            <w:r>
              <w:rPr>
                <w:color w:val="auto"/>
                <w:sz w:val="24"/>
              </w:rPr>
              <w:t>1)加强监督管理，贮存场所设置环境保护图形标志；</w:t>
            </w:r>
          </w:p>
          <w:p>
            <w:pPr>
              <w:tabs>
                <w:tab w:val="left" w:pos="6520"/>
              </w:tabs>
              <w:spacing w:line="480" w:lineRule="exact"/>
              <w:ind w:firstLine="480" w:firstLineChars="200"/>
              <w:rPr>
                <w:color w:val="auto"/>
                <w:sz w:val="24"/>
              </w:rPr>
            </w:pPr>
            <w:r>
              <w:rPr>
                <w:color w:val="auto"/>
                <w:sz w:val="24"/>
              </w:rPr>
              <w:t>2)一般工业固体废物贮存，禁止危险废物和生活垃圾混入；</w:t>
            </w:r>
          </w:p>
          <w:p>
            <w:pPr>
              <w:tabs>
                <w:tab w:val="left" w:pos="6520"/>
              </w:tabs>
              <w:spacing w:line="480" w:lineRule="exact"/>
              <w:ind w:firstLine="480" w:firstLineChars="200"/>
              <w:rPr>
                <w:color w:val="auto"/>
                <w:sz w:val="24"/>
              </w:rPr>
            </w:pPr>
            <w:r>
              <w:rPr>
                <w:color w:val="auto"/>
                <w:sz w:val="24"/>
              </w:rPr>
              <w:t>3)一般工业固体废物贮存过程应满足相应防渗漏、防雨淋、防扬尘等环境保护要求；</w:t>
            </w:r>
          </w:p>
          <w:p>
            <w:pPr>
              <w:tabs>
                <w:tab w:val="left" w:pos="6520"/>
              </w:tabs>
              <w:spacing w:line="480" w:lineRule="exact"/>
              <w:ind w:firstLine="480" w:firstLineChars="200"/>
              <w:rPr>
                <w:color w:val="auto"/>
                <w:sz w:val="24"/>
              </w:rPr>
            </w:pPr>
            <w:r>
              <w:rPr>
                <w:rFonts w:hint="eastAsia"/>
                <w:color w:val="auto"/>
                <w:sz w:val="24"/>
              </w:rPr>
              <w:t>4</w:t>
            </w:r>
            <w:r>
              <w:rPr>
                <w:color w:val="auto"/>
                <w:sz w:val="24"/>
              </w:rPr>
              <w:t>)应建立检查维护制度；</w:t>
            </w:r>
          </w:p>
          <w:p>
            <w:pPr>
              <w:tabs>
                <w:tab w:val="left" w:pos="6520"/>
              </w:tabs>
              <w:spacing w:line="480" w:lineRule="exact"/>
              <w:ind w:firstLine="480" w:firstLineChars="200"/>
              <w:rPr>
                <w:color w:val="auto"/>
                <w:sz w:val="24"/>
              </w:rPr>
            </w:pPr>
            <w:r>
              <w:rPr>
                <w:rFonts w:hint="eastAsia"/>
                <w:color w:val="auto"/>
                <w:sz w:val="24"/>
              </w:rPr>
              <w:t>5</w:t>
            </w:r>
            <w:r>
              <w:rPr>
                <w:color w:val="auto"/>
                <w:sz w:val="24"/>
              </w:rPr>
              <w:t>)应建立档案制度，应将一般工业固体废物的种类和数量等资料详细记录在案，长期保存，供随时查阅。</w:t>
            </w:r>
          </w:p>
          <w:p>
            <w:pPr>
              <w:tabs>
                <w:tab w:val="left" w:pos="6520"/>
              </w:tabs>
              <w:spacing w:line="480" w:lineRule="exact"/>
              <w:ind w:firstLine="480" w:firstLineChars="200"/>
              <w:rPr>
                <w:color w:val="auto"/>
                <w:sz w:val="24"/>
              </w:rPr>
            </w:pPr>
            <w:r>
              <w:rPr>
                <w:color w:val="auto"/>
                <w:sz w:val="24"/>
              </w:rPr>
              <w:t>②危险废物环境管理要求</w:t>
            </w:r>
          </w:p>
          <w:p>
            <w:pPr>
              <w:tabs>
                <w:tab w:val="left" w:pos="6520"/>
              </w:tabs>
              <w:spacing w:line="480" w:lineRule="exact"/>
              <w:ind w:firstLine="480" w:firstLineChars="200"/>
              <w:rPr>
                <w:color w:val="auto"/>
                <w:sz w:val="24"/>
              </w:rPr>
            </w:pPr>
            <w:r>
              <w:rPr>
                <w:color w:val="auto"/>
                <w:sz w:val="24"/>
              </w:rPr>
              <w:t>为防止危险废物在厂内临时存储过程中对环境产生污染影响，根据《危险废物贮存污染控制标准》(GB18597-20</w:t>
            </w:r>
            <w:r>
              <w:rPr>
                <w:rFonts w:hint="eastAsia"/>
                <w:color w:val="auto"/>
                <w:sz w:val="24"/>
              </w:rPr>
              <w:t>23</w:t>
            </w:r>
            <w:r>
              <w:rPr>
                <w:color w:val="auto"/>
                <w:sz w:val="24"/>
              </w:rPr>
              <w:t>)相关内容，本评价要求公司危险废物环境管理应满足以下要求：</w:t>
            </w:r>
          </w:p>
          <w:p>
            <w:pPr>
              <w:tabs>
                <w:tab w:val="left" w:pos="6520"/>
              </w:tabs>
              <w:spacing w:line="480" w:lineRule="exact"/>
              <w:ind w:firstLine="480" w:firstLineChars="200"/>
              <w:rPr>
                <w:color w:val="auto"/>
                <w:sz w:val="24"/>
              </w:rPr>
            </w:pPr>
            <w:r>
              <w:rPr>
                <w:color w:val="auto"/>
                <w:sz w:val="24"/>
              </w:rPr>
              <w:t>1)危险废物</w:t>
            </w:r>
            <w:r>
              <w:rPr>
                <w:rFonts w:hint="eastAsia"/>
                <w:color w:val="auto"/>
                <w:sz w:val="24"/>
              </w:rPr>
              <w:t>暂存于生产车间东南侧设置</w:t>
            </w:r>
            <w:r>
              <w:rPr>
                <w:color w:val="auto"/>
                <w:sz w:val="24"/>
              </w:rPr>
              <w:t>一座</w:t>
            </w:r>
            <w:r>
              <w:rPr>
                <w:rFonts w:hint="eastAsia"/>
                <w:color w:val="auto"/>
                <w:sz w:val="24"/>
              </w:rPr>
              <w:t>4</w:t>
            </w:r>
            <w:r>
              <w:rPr>
                <w:color w:val="auto"/>
                <w:sz w:val="24"/>
              </w:rPr>
              <w:t>m</w:t>
            </w:r>
            <w:r>
              <w:rPr>
                <w:color w:val="auto"/>
                <w:sz w:val="24"/>
                <w:vertAlign w:val="superscript"/>
              </w:rPr>
              <w:t>2</w:t>
            </w:r>
            <w:r>
              <w:rPr>
                <w:rFonts w:hint="eastAsia"/>
                <w:color w:val="auto"/>
                <w:sz w:val="24"/>
              </w:rPr>
              <w:t>危险废物暂存间</w:t>
            </w:r>
            <w:r>
              <w:rPr>
                <w:color w:val="auto"/>
                <w:sz w:val="24"/>
              </w:rPr>
              <w:t>暂存，根据调查，按照《危险废物贮存污染控制标准》的相关要求，</w:t>
            </w:r>
            <w:r>
              <w:rPr>
                <w:rFonts w:hint="eastAsia"/>
                <w:color w:val="auto"/>
                <w:sz w:val="24"/>
              </w:rPr>
              <w:t>危险废物暂存间</w:t>
            </w:r>
            <w:r>
              <w:rPr>
                <w:color w:val="auto"/>
                <w:sz w:val="24"/>
              </w:rPr>
              <w:t>的地面和裙脚已进行防腐防渗处理，同时设置明沟和泄漏液体的收集设施。</w:t>
            </w:r>
          </w:p>
          <w:p>
            <w:pPr>
              <w:jc w:val="center"/>
              <w:rPr>
                <w:color w:val="auto"/>
              </w:rPr>
            </w:pPr>
            <w:r>
              <w:rPr>
                <w:color w:val="auto"/>
              </w:rPr>
              <w:drawing>
                <wp:inline distT="0" distB="0" distL="114300" distR="114300">
                  <wp:extent cx="3541395" cy="2232025"/>
                  <wp:effectExtent l="0" t="0" r="1905" b="15875"/>
                  <wp:docPr id="23"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7"/>
                          <pic:cNvPicPr>
                            <a:picLocks noChangeAspect="1"/>
                          </pic:cNvPicPr>
                        </pic:nvPicPr>
                        <pic:blipFill>
                          <a:blip r:embed="rId13"/>
                          <a:stretch>
                            <a:fillRect/>
                          </a:stretch>
                        </pic:blipFill>
                        <pic:spPr>
                          <a:xfrm>
                            <a:off x="0" y="0"/>
                            <a:ext cx="3541395" cy="2232025"/>
                          </a:xfrm>
                          <a:prstGeom prst="rect">
                            <a:avLst/>
                          </a:prstGeom>
                          <a:noFill/>
                          <a:ln>
                            <a:noFill/>
                          </a:ln>
                        </pic:spPr>
                      </pic:pic>
                    </a:graphicData>
                  </a:graphic>
                </wp:inline>
              </w:drawing>
            </w:r>
          </w:p>
          <w:p>
            <w:pPr>
              <w:jc w:val="center"/>
              <w:rPr>
                <w:b/>
                <w:bCs/>
                <w:snapToGrid w:val="0"/>
                <w:color w:val="auto"/>
                <w:sz w:val="24"/>
              </w:rPr>
            </w:pPr>
            <w:r>
              <w:rPr>
                <w:b/>
                <w:bCs/>
                <w:snapToGrid w:val="0"/>
                <w:color w:val="auto"/>
                <w:sz w:val="24"/>
              </w:rPr>
              <w:t>图</w:t>
            </w:r>
            <w:r>
              <w:rPr>
                <w:rFonts w:hint="eastAsia"/>
                <w:b/>
                <w:bCs/>
                <w:snapToGrid w:val="0"/>
                <w:color w:val="auto"/>
                <w:sz w:val="24"/>
              </w:rPr>
              <w:t>4</w:t>
            </w:r>
            <w:r>
              <w:rPr>
                <w:b/>
                <w:bCs/>
                <w:snapToGrid w:val="0"/>
                <w:color w:val="auto"/>
                <w:sz w:val="24"/>
              </w:rPr>
              <w:t xml:space="preserve"> 危险废物贮存场所标识示意图</w:t>
            </w:r>
          </w:p>
          <w:p>
            <w:pPr>
              <w:tabs>
                <w:tab w:val="left" w:pos="6520"/>
              </w:tabs>
              <w:spacing w:line="480" w:lineRule="exact"/>
              <w:ind w:firstLine="480" w:firstLineChars="200"/>
              <w:rPr>
                <w:color w:val="auto"/>
                <w:sz w:val="24"/>
              </w:rPr>
            </w:pPr>
            <w:r>
              <w:rPr>
                <w:color w:val="auto"/>
                <w:sz w:val="24"/>
              </w:rPr>
              <w:t>2)按照危险废物贮存污染控制标准要求，废矿物油采用容器密闭收集，与废油桶一期暂存于</w:t>
            </w:r>
            <w:r>
              <w:rPr>
                <w:rFonts w:hint="eastAsia"/>
                <w:color w:val="auto"/>
                <w:sz w:val="24"/>
              </w:rPr>
              <w:t>危险废物暂存间</w:t>
            </w:r>
            <w:r>
              <w:rPr>
                <w:color w:val="auto"/>
                <w:sz w:val="24"/>
              </w:rPr>
              <w:t>，</w:t>
            </w:r>
            <w:r>
              <w:rPr>
                <w:rFonts w:hint="eastAsia"/>
                <w:color w:val="auto"/>
                <w:sz w:val="24"/>
              </w:rPr>
              <w:t>危险废物暂存间</w:t>
            </w:r>
            <w:r>
              <w:rPr>
                <w:color w:val="auto"/>
                <w:sz w:val="24"/>
              </w:rPr>
              <w:t>内进行分区，不相容的危险废物分开存放，并设有隔断隔离。</w:t>
            </w:r>
          </w:p>
          <w:p>
            <w:pPr>
              <w:autoSpaceDE w:val="0"/>
              <w:autoSpaceDN w:val="0"/>
              <w:adjustRightInd w:val="0"/>
              <w:spacing w:line="480" w:lineRule="exact"/>
              <w:ind w:firstLine="480" w:firstLineChars="200"/>
              <w:jc w:val="left"/>
              <w:rPr>
                <w:color w:val="auto"/>
              </w:rPr>
            </w:pPr>
            <w:r>
              <w:rPr>
                <w:color w:val="auto"/>
                <w:sz w:val="24"/>
              </w:rPr>
              <w:t>3)盛放危险废物的容器应按要求设置明显的表明危险废物相关信息的标签，标签信息应填写完整翔实。</w:t>
            </w:r>
          </w:p>
          <w:p>
            <w:pPr>
              <w:spacing w:line="480" w:lineRule="exact"/>
              <w:ind w:firstLine="480" w:firstLineChars="200"/>
              <w:rPr>
                <w:bCs/>
                <w:color w:val="auto"/>
                <w:sz w:val="24"/>
              </w:rPr>
            </w:pPr>
            <w:r>
              <w:rPr>
                <w:bCs/>
                <w:color w:val="auto"/>
                <w:sz w:val="24"/>
              </w:rPr>
              <w:t>4)装载液体、半固体的危险废物的容器内必须留足够的空间，容器顶部与液体表面之间保留100mm以上的空间；</w:t>
            </w:r>
          </w:p>
          <w:p>
            <w:pPr>
              <w:spacing w:line="480" w:lineRule="exact"/>
              <w:ind w:firstLine="480" w:firstLineChars="200"/>
              <w:rPr>
                <w:bCs/>
                <w:color w:val="auto"/>
                <w:sz w:val="24"/>
              </w:rPr>
            </w:pPr>
            <w:r>
              <w:rPr>
                <w:bCs/>
                <w:color w:val="auto"/>
                <w:sz w:val="24"/>
              </w:rPr>
              <w:t>5)危险废物的产生、贮存、运移通道等按照《关于印发全省危险废物智能监控体系数据联网规范的通知》(冀环办字函[2018]203号)相关要求安装视频监控、智能地磅、电子液位计等设备并将有关数据实时传输至河北省固体废物动态管理信息平台；</w:t>
            </w:r>
          </w:p>
          <w:p>
            <w:pPr>
              <w:spacing w:line="480" w:lineRule="exact"/>
              <w:ind w:firstLine="480" w:firstLineChars="200"/>
              <w:rPr>
                <w:bCs/>
                <w:color w:val="auto"/>
                <w:sz w:val="24"/>
              </w:rPr>
            </w:pPr>
            <w:r>
              <w:rPr>
                <w:bCs/>
                <w:color w:val="auto"/>
                <w:sz w:val="24"/>
              </w:rPr>
              <w:t>6)危险废物的贮存要建立台账制度，危险废物的出入库交接记录。</w:t>
            </w:r>
          </w:p>
          <w:p>
            <w:pPr>
              <w:adjustRightInd w:val="0"/>
              <w:snapToGrid w:val="0"/>
              <w:spacing w:line="500" w:lineRule="exact"/>
              <w:ind w:firstLine="436" w:firstLineChars="182"/>
              <w:rPr>
                <w:color w:val="auto"/>
                <w:sz w:val="24"/>
              </w:rPr>
            </w:pPr>
            <w:r>
              <w:rPr>
                <w:color w:val="auto"/>
                <w:sz w:val="24"/>
              </w:rPr>
              <w:t>综合以上分析，</w:t>
            </w:r>
            <w:r>
              <w:rPr>
                <w:rFonts w:hint="eastAsia"/>
                <w:color w:val="auto"/>
                <w:sz w:val="24"/>
              </w:rPr>
              <w:t>项目</w:t>
            </w:r>
            <w:r>
              <w:rPr>
                <w:color w:val="auto"/>
                <w:sz w:val="24"/>
              </w:rPr>
              <w:t>产生的固体废物全部妥善处置。。</w:t>
            </w:r>
          </w:p>
          <w:p>
            <w:pPr>
              <w:adjustRightInd w:val="0"/>
              <w:snapToGrid w:val="0"/>
              <w:spacing w:line="500" w:lineRule="exact"/>
              <w:ind w:firstLine="439" w:firstLineChars="182"/>
              <w:rPr>
                <w:b/>
                <w:color w:val="auto"/>
                <w:sz w:val="24"/>
              </w:rPr>
            </w:pPr>
            <w:r>
              <w:rPr>
                <w:rFonts w:hint="eastAsia"/>
                <w:b/>
                <w:color w:val="auto"/>
                <w:sz w:val="24"/>
              </w:rPr>
              <w:t>5、地下水、土壤</w:t>
            </w:r>
          </w:p>
          <w:p>
            <w:pPr>
              <w:widowControl/>
              <w:spacing w:line="500" w:lineRule="exact"/>
              <w:ind w:firstLine="480" w:firstLineChars="200"/>
              <w:jc w:val="left"/>
              <w:rPr>
                <w:color w:val="auto"/>
                <w:sz w:val="24"/>
              </w:rPr>
            </w:pPr>
            <w:r>
              <w:rPr>
                <w:color w:val="auto"/>
                <w:sz w:val="24"/>
              </w:rPr>
              <w:t>项目可能涉及</w:t>
            </w:r>
            <w:r>
              <w:rPr>
                <w:rFonts w:hint="eastAsia"/>
                <w:color w:val="auto"/>
                <w:sz w:val="24"/>
              </w:rPr>
              <w:t>地下水和</w:t>
            </w:r>
            <w:r>
              <w:rPr>
                <w:color w:val="auto"/>
                <w:sz w:val="24"/>
              </w:rPr>
              <w:t>土壤污染的途径主要为</w:t>
            </w:r>
            <w:r>
              <w:rPr>
                <w:rFonts w:hint="eastAsia"/>
                <w:color w:val="auto"/>
                <w:sz w:val="24"/>
              </w:rPr>
              <w:t>润滑油</w:t>
            </w:r>
            <w:r>
              <w:rPr>
                <w:color w:val="auto"/>
                <w:sz w:val="24"/>
              </w:rPr>
              <w:t>及危险废物。通过工程分析可知，</w:t>
            </w:r>
            <w:r>
              <w:rPr>
                <w:rFonts w:hint="eastAsia"/>
                <w:bCs/>
                <w:color w:val="auto"/>
                <w:sz w:val="24"/>
              </w:rPr>
              <w:t>本项目废气</w:t>
            </w:r>
            <w:r>
              <w:rPr>
                <w:rFonts w:hint="eastAsia"/>
                <w:color w:val="auto"/>
                <w:sz w:val="24"/>
              </w:rPr>
              <w:t>为颗粒物，不涉及重金属，项目地下水和土壤污染识别见下表。</w:t>
            </w:r>
          </w:p>
          <w:p>
            <w:pPr>
              <w:widowControl/>
              <w:spacing w:line="500" w:lineRule="exact"/>
              <w:ind w:firstLine="2650" w:firstLineChars="1100"/>
              <w:jc w:val="left"/>
              <w:rPr>
                <w:b/>
                <w:bCs/>
                <w:color w:val="auto"/>
                <w:sz w:val="24"/>
              </w:rPr>
            </w:pPr>
          </w:p>
          <w:p>
            <w:pPr>
              <w:widowControl/>
              <w:spacing w:line="500" w:lineRule="exact"/>
              <w:ind w:firstLine="2650" w:firstLineChars="1100"/>
              <w:jc w:val="left"/>
              <w:rPr>
                <w:b/>
                <w:bCs/>
                <w:color w:val="auto"/>
                <w:sz w:val="24"/>
              </w:rPr>
            </w:pPr>
          </w:p>
          <w:p>
            <w:pPr>
              <w:widowControl/>
              <w:spacing w:line="500" w:lineRule="exact"/>
              <w:ind w:firstLine="2650" w:firstLineChars="1100"/>
              <w:jc w:val="left"/>
              <w:rPr>
                <w:b/>
                <w:bCs/>
                <w:color w:val="auto"/>
                <w:sz w:val="24"/>
              </w:rPr>
            </w:pPr>
            <w:r>
              <w:rPr>
                <w:b/>
                <w:bCs/>
                <w:color w:val="auto"/>
                <w:sz w:val="24"/>
              </w:rPr>
              <w:t>表</w:t>
            </w:r>
            <w:r>
              <w:rPr>
                <w:rFonts w:hint="eastAsia"/>
                <w:b/>
                <w:bCs/>
                <w:color w:val="auto"/>
                <w:sz w:val="24"/>
              </w:rPr>
              <w:t>42</w:t>
            </w:r>
            <w:r>
              <w:rPr>
                <w:b/>
                <w:bCs/>
                <w:color w:val="auto"/>
                <w:sz w:val="24"/>
              </w:rPr>
              <w:t xml:space="preserve">  </w:t>
            </w:r>
            <w:r>
              <w:rPr>
                <w:rFonts w:hint="eastAsia"/>
                <w:b/>
                <w:bCs/>
                <w:color w:val="auto"/>
                <w:sz w:val="24"/>
              </w:rPr>
              <w:t>地下水污染识别结果</w:t>
            </w: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1398"/>
              <w:gridCol w:w="1551"/>
              <w:gridCol w:w="354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9" w:type="dxa"/>
                  <w:vMerge w:val="restart"/>
                  <w:vAlign w:val="center"/>
                </w:tcPr>
                <w:p>
                  <w:pPr>
                    <w:jc w:val="center"/>
                    <w:rPr>
                      <w:color w:val="auto"/>
                      <w:szCs w:val="21"/>
                    </w:rPr>
                  </w:pPr>
                  <w:r>
                    <w:rPr>
                      <w:rFonts w:hint="eastAsia"/>
                      <w:color w:val="auto"/>
                      <w:szCs w:val="21"/>
                    </w:rPr>
                    <w:t>识别情景</w:t>
                  </w:r>
                </w:p>
              </w:tc>
              <w:tc>
                <w:tcPr>
                  <w:tcW w:w="1398" w:type="dxa"/>
                  <w:vMerge w:val="restart"/>
                  <w:vAlign w:val="center"/>
                </w:tcPr>
                <w:p>
                  <w:pPr>
                    <w:jc w:val="center"/>
                    <w:rPr>
                      <w:color w:val="auto"/>
                      <w:szCs w:val="21"/>
                    </w:rPr>
                  </w:pPr>
                  <w:r>
                    <w:rPr>
                      <w:rFonts w:hint="eastAsia"/>
                      <w:color w:val="auto"/>
                      <w:szCs w:val="21"/>
                    </w:rPr>
                    <w:t>识别内容</w:t>
                  </w:r>
                </w:p>
              </w:tc>
              <w:tc>
                <w:tcPr>
                  <w:tcW w:w="5099" w:type="dxa"/>
                  <w:gridSpan w:val="2"/>
                  <w:tcBorders>
                    <w:right w:val="nil"/>
                  </w:tcBorders>
                  <w:vAlign w:val="center"/>
                </w:tcPr>
                <w:p>
                  <w:pPr>
                    <w:jc w:val="center"/>
                    <w:rPr>
                      <w:color w:val="auto"/>
                      <w:szCs w:val="21"/>
                    </w:rPr>
                  </w:pPr>
                  <w:r>
                    <w:rPr>
                      <w:rFonts w:hint="eastAsia"/>
                      <w:color w:val="auto"/>
                      <w:szCs w:val="21"/>
                    </w:rPr>
                    <w:t>运行阶段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0" w:hRule="atLeast"/>
                <w:jc w:val="center"/>
              </w:trPr>
              <w:tc>
                <w:tcPr>
                  <w:tcW w:w="1449" w:type="dxa"/>
                  <w:vMerge w:val="continue"/>
                  <w:tcBorders>
                    <w:left w:val="nil"/>
                  </w:tcBorders>
                  <w:vAlign w:val="center"/>
                </w:tcPr>
                <w:p>
                  <w:pPr>
                    <w:jc w:val="center"/>
                    <w:rPr>
                      <w:color w:val="auto"/>
                      <w:szCs w:val="21"/>
                    </w:rPr>
                  </w:pPr>
                </w:p>
              </w:tc>
              <w:tc>
                <w:tcPr>
                  <w:tcW w:w="1398" w:type="dxa"/>
                  <w:vMerge w:val="continue"/>
                  <w:vAlign w:val="center"/>
                </w:tcPr>
                <w:p>
                  <w:pPr>
                    <w:jc w:val="center"/>
                    <w:rPr>
                      <w:color w:val="auto"/>
                      <w:szCs w:val="21"/>
                    </w:rPr>
                  </w:pPr>
                </w:p>
              </w:tc>
              <w:tc>
                <w:tcPr>
                  <w:tcW w:w="1551" w:type="dxa"/>
                  <w:vAlign w:val="center"/>
                </w:tcPr>
                <w:p>
                  <w:pPr>
                    <w:jc w:val="center"/>
                    <w:rPr>
                      <w:color w:val="auto"/>
                      <w:szCs w:val="21"/>
                    </w:rPr>
                  </w:pPr>
                  <w:r>
                    <w:rPr>
                      <w:rFonts w:hint="eastAsia"/>
                      <w:color w:val="auto"/>
                      <w:szCs w:val="21"/>
                    </w:rPr>
                    <w:t>施工期</w:t>
                  </w:r>
                </w:p>
              </w:tc>
              <w:tc>
                <w:tcPr>
                  <w:tcW w:w="3548" w:type="dxa"/>
                  <w:tcBorders>
                    <w:right w:val="nil"/>
                  </w:tcBorders>
                  <w:vAlign w:val="center"/>
                </w:tcPr>
                <w:p>
                  <w:pPr>
                    <w:jc w:val="center"/>
                    <w:rPr>
                      <w:color w:val="auto"/>
                      <w:szCs w:val="21"/>
                    </w:rPr>
                  </w:pPr>
                  <w:r>
                    <w:rPr>
                      <w:rFonts w:hint="eastAsia"/>
                      <w:color w:val="auto"/>
                      <w:szCs w:val="21"/>
                    </w:rPr>
                    <w:t>运营期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0" w:hRule="atLeast"/>
                <w:jc w:val="center"/>
              </w:trPr>
              <w:tc>
                <w:tcPr>
                  <w:tcW w:w="1449" w:type="dxa"/>
                  <w:vMerge w:val="continue"/>
                  <w:tcBorders>
                    <w:left w:val="nil"/>
                  </w:tcBorders>
                  <w:vAlign w:val="center"/>
                </w:tcPr>
                <w:p>
                  <w:pPr>
                    <w:jc w:val="center"/>
                    <w:rPr>
                      <w:color w:val="auto"/>
                      <w:szCs w:val="21"/>
                    </w:rPr>
                  </w:pPr>
                </w:p>
              </w:tc>
              <w:tc>
                <w:tcPr>
                  <w:tcW w:w="1398" w:type="dxa"/>
                  <w:vAlign w:val="center"/>
                </w:tcPr>
                <w:p>
                  <w:pPr>
                    <w:jc w:val="center"/>
                    <w:rPr>
                      <w:color w:val="auto"/>
                      <w:szCs w:val="21"/>
                    </w:rPr>
                  </w:pPr>
                  <w:r>
                    <w:rPr>
                      <w:rFonts w:hint="eastAsia"/>
                      <w:color w:val="auto"/>
                      <w:szCs w:val="21"/>
                    </w:rPr>
                    <w:t>特征因子</w:t>
                  </w:r>
                </w:p>
              </w:tc>
              <w:tc>
                <w:tcPr>
                  <w:tcW w:w="1551" w:type="dxa"/>
                  <w:vAlign w:val="center"/>
                </w:tcPr>
                <w:p>
                  <w:pPr>
                    <w:jc w:val="center"/>
                    <w:rPr>
                      <w:color w:val="auto"/>
                      <w:szCs w:val="21"/>
                    </w:rPr>
                  </w:pPr>
                  <w:r>
                    <w:rPr>
                      <w:rFonts w:hint="eastAsia"/>
                      <w:color w:val="auto"/>
                      <w:szCs w:val="21"/>
                    </w:rPr>
                    <w:t>/</w:t>
                  </w:r>
                </w:p>
              </w:tc>
              <w:tc>
                <w:tcPr>
                  <w:tcW w:w="3548" w:type="dxa"/>
                  <w:tcBorders>
                    <w:right w:val="nil"/>
                  </w:tcBorders>
                  <w:vAlign w:val="center"/>
                </w:tcPr>
                <w:p>
                  <w:pPr>
                    <w:jc w:val="center"/>
                    <w:rPr>
                      <w:color w:val="auto"/>
                      <w:szCs w:val="21"/>
                    </w:rPr>
                  </w:pPr>
                  <w:r>
                    <w:rPr>
                      <w:rFonts w:hint="eastAsia"/>
                      <w:color w:val="auto"/>
                      <w:szCs w:val="21"/>
                    </w:rPr>
                    <w:t>pH、石油烃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9" w:type="dxa"/>
                  <w:tcBorders>
                    <w:left w:val="nil"/>
                  </w:tcBorders>
                  <w:vAlign w:val="center"/>
                </w:tcPr>
                <w:p>
                  <w:pPr>
                    <w:jc w:val="center"/>
                    <w:rPr>
                      <w:color w:val="auto"/>
                      <w:szCs w:val="21"/>
                    </w:rPr>
                  </w:pPr>
                  <w:r>
                    <w:rPr>
                      <w:rFonts w:hint="eastAsia"/>
                      <w:color w:val="auto"/>
                      <w:szCs w:val="21"/>
                    </w:rPr>
                    <w:t>正常状况</w:t>
                  </w:r>
                </w:p>
              </w:tc>
              <w:tc>
                <w:tcPr>
                  <w:tcW w:w="1398" w:type="dxa"/>
                  <w:vMerge w:val="restart"/>
                  <w:vAlign w:val="center"/>
                </w:tcPr>
                <w:p>
                  <w:pPr>
                    <w:jc w:val="center"/>
                    <w:rPr>
                      <w:color w:val="auto"/>
                      <w:szCs w:val="21"/>
                    </w:rPr>
                  </w:pPr>
                  <w:r>
                    <w:rPr>
                      <w:rFonts w:hint="eastAsia"/>
                      <w:color w:val="auto"/>
                      <w:szCs w:val="21"/>
                    </w:rPr>
                    <w:t>污染途径</w:t>
                  </w:r>
                </w:p>
              </w:tc>
              <w:tc>
                <w:tcPr>
                  <w:tcW w:w="1551" w:type="dxa"/>
                  <w:vAlign w:val="center"/>
                </w:tcPr>
                <w:p>
                  <w:pPr>
                    <w:jc w:val="center"/>
                    <w:rPr>
                      <w:color w:val="auto"/>
                      <w:szCs w:val="21"/>
                    </w:rPr>
                  </w:pPr>
                  <w:r>
                    <w:rPr>
                      <w:rFonts w:hint="eastAsia"/>
                      <w:color w:val="auto"/>
                      <w:szCs w:val="21"/>
                    </w:rPr>
                    <w:t>/</w:t>
                  </w:r>
                </w:p>
              </w:tc>
              <w:tc>
                <w:tcPr>
                  <w:tcW w:w="3548" w:type="dxa"/>
                  <w:tcBorders>
                    <w:right w:val="nil"/>
                  </w:tcBorders>
                  <w:vAlign w:val="center"/>
                </w:tcPr>
                <w:p>
                  <w:pPr>
                    <w:jc w:val="center"/>
                    <w:rPr>
                      <w:color w:val="auto"/>
                      <w:szCs w:val="21"/>
                    </w:rPr>
                  </w:pPr>
                  <w:r>
                    <w:rPr>
                      <w:rFonts w:hint="eastAsia"/>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9" w:type="dxa"/>
                  <w:tcBorders>
                    <w:left w:val="nil"/>
                  </w:tcBorders>
                  <w:vAlign w:val="center"/>
                </w:tcPr>
                <w:p>
                  <w:pPr>
                    <w:jc w:val="center"/>
                    <w:rPr>
                      <w:color w:val="auto"/>
                      <w:szCs w:val="21"/>
                    </w:rPr>
                  </w:pPr>
                  <w:r>
                    <w:rPr>
                      <w:rFonts w:hint="eastAsia"/>
                      <w:color w:val="auto"/>
                      <w:szCs w:val="21"/>
                    </w:rPr>
                    <w:t>非正常状况</w:t>
                  </w:r>
                </w:p>
              </w:tc>
              <w:tc>
                <w:tcPr>
                  <w:tcW w:w="1398" w:type="dxa"/>
                  <w:vMerge w:val="continue"/>
                  <w:vAlign w:val="center"/>
                </w:tcPr>
                <w:p>
                  <w:pPr>
                    <w:jc w:val="center"/>
                    <w:rPr>
                      <w:color w:val="auto"/>
                      <w:szCs w:val="21"/>
                    </w:rPr>
                  </w:pPr>
                </w:p>
              </w:tc>
              <w:tc>
                <w:tcPr>
                  <w:tcW w:w="1551" w:type="dxa"/>
                  <w:vAlign w:val="center"/>
                </w:tcPr>
                <w:p>
                  <w:pPr>
                    <w:jc w:val="center"/>
                    <w:rPr>
                      <w:color w:val="auto"/>
                      <w:szCs w:val="21"/>
                    </w:rPr>
                  </w:pPr>
                  <w:r>
                    <w:rPr>
                      <w:rFonts w:hint="eastAsia"/>
                      <w:color w:val="auto"/>
                      <w:szCs w:val="21"/>
                    </w:rPr>
                    <w:t>/</w:t>
                  </w:r>
                </w:p>
              </w:tc>
              <w:tc>
                <w:tcPr>
                  <w:tcW w:w="3548" w:type="dxa"/>
                  <w:tcBorders>
                    <w:right w:val="nil"/>
                  </w:tcBorders>
                  <w:vAlign w:val="center"/>
                </w:tcPr>
                <w:p>
                  <w:pPr>
                    <w:jc w:val="center"/>
                    <w:rPr>
                      <w:color w:val="auto"/>
                      <w:szCs w:val="21"/>
                    </w:rPr>
                  </w:pPr>
                  <w:r>
                    <w:rPr>
                      <w:rFonts w:hint="eastAsia"/>
                      <w:color w:val="auto"/>
                      <w:szCs w:val="21"/>
                    </w:rPr>
                    <w:t>防腐防渗措施失效，垂直入渗</w:t>
                  </w:r>
                </w:p>
              </w:tc>
            </w:tr>
          </w:tbl>
          <w:p>
            <w:pPr>
              <w:widowControl/>
              <w:spacing w:line="500" w:lineRule="exact"/>
              <w:jc w:val="center"/>
              <w:rPr>
                <w:b/>
                <w:bCs/>
                <w:color w:val="auto"/>
                <w:sz w:val="24"/>
              </w:rPr>
            </w:pPr>
            <w:r>
              <w:rPr>
                <w:b/>
                <w:bCs/>
                <w:color w:val="auto"/>
                <w:sz w:val="24"/>
              </w:rPr>
              <w:t>表</w:t>
            </w:r>
            <w:r>
              <w:rPr>
                <w:rFonts w:hint="eastAsia"/>
                <w:b/>
                <w:bCs/>
                <w:color w:val="auto"/>
                <w:sz w:val="24"/>
              </w:rPr>
              <w:t xml:space="preserve">43  </w:t>
            </w:r>
            <w:r>
              <w:rPr>
                <w:b/>
                <w:bCs/>
                <w:color w:val="auto"/>
                <w:sz w:val="24"/>
              </w:rPr>
              <w:t xml:space="preserve"> </w:t>
            </w:r>
            <w:r>
              <w:rPr>
                <w:rFonts w:hint="eastAsia"/>
                <w:b/>
                <w:bCs/>
                <w:color w:val="auto"/>
                <w:sz w:val="24"/>
              </w:rPr>
              <w:t>土壤环境影响及影响因子识别表</w:t>
            </w:r>
          </w:p>
          <w:tbl>
            <w:tblPr>
              <w:tblStyle w:val="33"/>
              <w:tblW w:w="816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210"/>
              <w:gridCol w:w="1522"/>
              <w:gridCol w:w="3136"/>
              <w:gridCol w:w="1174"/>
              <w:gridCol w:w="688"/>
              <w:gridCol w:w="43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40" w:type="pct"/>
                  <w:vAlign w:val="center"/>
                </w:tcPr>
                <w:p>
                  <w:pPr>
                    <w:tabs>
                      <w:tab w:val="left" w:pos="600"/>
                    </w:tabs>
                    <w:jc w:val="center"/>
                    <w:rPr>
                      <w:b/>
                      <w:color w:val="auto"/>
                    </w:rPr>
                  </w:pPr>
                  <w:r>
                    <w:rPr>
                      <w:bCs/>
                      <w:color w:val="auto"/>
                    </w:rPr>
                    <w:t>污染源</w:t>
                  </w:r>
                </w:p>
              </w:tc>
              <w:tc>
                <w:tcPr>
                  <w:tcW w:w="931" w:type="pct"/>
                  <w:vAlign w:val="center"/>
                </w:tcPr>
                <w:p>
                  <w:pPr>
                    <w:widowControl/>
                    <w:jc w:val="center"/>
                    <w:rPr>
                      <w:bCs/>
                      <w:color w:val="auto"/>
                    </w:rPr>
                  </w:pPr>
                  <w:r>
                    <w:rPr>
                      <w:bCs/>
                      <w:color w:val="auto"/>
                    </w:rPr>
                    <w:t>工艺流程/节点</w:t>
                  </w:r>
                </w:p>
              </w:tc>
              <w:tc>
                <w:tcPr>
                  <w:tcW w:w="1919" w:type="pct"/>
                  <w:vAlign w:val="center"/>
                </w:tcPr>
                <w:p>
                  <w:pPr>
                    <w:widowControl/>
                    <w:jc w:val="center"/>
                    <w:rPr>
                      <w:bCs/>
                      <w:color w:val="auto"/>
                    </w:rPr>
                  </w:pPr>
                  <w:r>
                    <w:rPr>
                      <w:bCs/>
                      <w:color w:val="auto"/>
                    </w:rPr>
                    <w:t>污染途径</w:t>
                  </w:r>
                </w:p>
              </w:tc>
              <w:tc>
                <w:tcPr>
                  <w:tcW w:w="719" w:type="pct"/>
                  <w:vAlign w:val="center"/>
                </w:tcPr>
                <w:p>
                  <w:pPr>
                    <w:widowControl/>
                    <w:jc w:val="center"/>
                    <w:rPr>
                      <w:bCs/>
                      <w:color w:val="auto"/>
                    </w:rPr>
                  </w:pPr>
                  <w:r>
                    <w:rPr>
                      <w:bCs/>
                      <w:color w:val="auto"/>
                    </w:rPr>
                    <w:t>全部污染物指标</w:t>
                  </w:r>
                </w:p>
              </w:tc>
              <w:tc>
                <w:tcPr>
                  <w:tcW w:w="421" w:type="pct"/>
                  <w:vAlign w:val="center"/>
                </w:tcPr>
                <w:p>
                  <w:pPr>
                    <w:widowControl/>
                    <w:jc w:val="center"/>
                    <w:rPr>
                      <w:bCs/>
                      <w:color w:val="auto"/>
                    </w:rPr>
                  </w:pPr>
                  <w:r>
                    <w:rPr>
                      <w:bCs/>
                      <w:color w:val="auto"/>
                    </w:rPr>
                    <w:t>特征因子</w:t>
                  </w:r>
                </w:p>
              </w:tc>
              <w:tc>
                <w:tcPr>
                  <w:tcW w:w="267" w:type="pct"/>
                  <w:tcBorders>
                    <w:right w:val="nil"/>
                  </w:tcBorders>
                  <w:vAlign w:val="center"/>
                </w:tcPr>
                <w:p>
                  <w:pPr>
                    <w:widowControl/>
                    <w:jc w:val="center"/>
                    <w:rPr>
                      <w:bCs/>
                      <w:color w:val="auto"/>
                    </w:rPr>
                  </w:pPr>
                  <w:r>
                    <w:rPr>
                      <w:bCs/>
                      <w:color w:val="auto"/>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40" w:type="pct"/>
                  <w:tcBorders>
                    <w:left w:val="nil"/>
                  </w:tcBorders>
                  <w:vAlign w:val="center"/>
                </w:tcPr>
                <w:p>
                  <w:pPr>
                    <w:widowControl/>
                    <w:jc w:val="center"/>
                    <w:rPr>
                      <w:color w:val="auto"/>
                    </w:rPr>
                  </w:pPr>
                  <w:r>
                    <w:rPr>
                      <w:rFonts w:hint="eastAsia"/>
                      <w:color w:val="auto"/>
                    </w:rPr>
                    <w:t>润滑油</w:t>
                  </w:r>
                </w:p>
              </w:tc>
              <w:tc>
                <w:tcPr>
                  <w:tcW w:w="931" w:type="pct"/>
                  <w:vAlign w:val="center"/>
                </w:tcPr>
                <w:p>
                  <w:pPr>
                    <w:widowControl/>
                    <w:jc w:val="center"/>
                    <w:rPr>
                      <w:color w:val="auto"/>
                    </w:rPr>
                  </w:pPr>
                  <w:r>
                    <w:rPr>
                      <w:rFonts w:hint="eastAsia"/>
                      <w:color w:val="auto"/>
                    </w:rPr>
                    <w:t>生产车间内润滑油储存区</w:t>
                  </w:r>
                </w:p>
              </w:tc>
              <w:tc>
                <w:tcPr>
                  <w:tcW w:w="1919" w:type="pct"/>
                  <w:vAlign w:val="center"/>
                </w:tcPr>
                <w:p>
                  <w:pPr>
                    <w:widowControl/>
                    <w:jc w:val="center"/>
                    <w:rPr>
                      <w:color w:val="auto"/>
                    </w:rPr>
                  </w:pPr>
                  <w:r>
                    <w:rPr>
                      <w:color w:val="auto"/>
                    </w:rPr>
                    <w:t>使用油类物质的设备区，因油跑、冒、滴、漏，发生垂直入渗</w:t>
                  </w:r>
                </w:p>
              </w:tc>
              <w:tc>
                <w:tcPr>
                  <w:tcW w:w="719" w:type="pct"/>
                  <w:vAlign w:val="center"/>
                </w:tcPr>
                <w:p>
                  <w:pPr>
                    <w:widowControl/>
                    <w:jc w:val="center"/>
                    <w:rPr>
                      <w:color w:val="auto"/>
                    </w:rPr>
                  </w:pPr>
                  <w:r>
                    <w:rPr>
                      <w:rFonts w:hint="eastAsia"/>
                      <w:color w:val="auto"/>
                      <w:szCs w:val="21"/>
                    </w:rPr>
                    <w:t>石油烃</w:t>
                  </w:r>
                </w:p>
              </w:tc>
              <w:tc>
                <w:tcPr>
                  <w:tcW w:w="421" w:type="pct"/>
                  <w:vAlign w:val="center"/>
                </w:tcPr>
                <w:p>
                  <w:pPr>
                    <w:widowControl/>
                    <w:jc w:val="center"/>
                    <w:rPr>
                      <w:bCs/>
                      <w:color w:val="auto"/>
                    </w:rPr>
                  </w:pPr>
                  <w:r>
                    <w:rPr>
                      <w:bCs/>
                      <w:color w:val="auto"/>
                    </w:rPr>
                    <w:t>石油烃</w:t>
                  </w:r>
                </w:p>
              </w:tc>
              <w:tc>
                <w:tcPr>
                  <w:tcW w:w="267" w:type="pct"/>
                  <w:tcBorders>
                    <w:right w:val="nil"/>
                  </w:tcBorders>
                  <w:vAlign w:val="center"/>
                </w:tcPr>
                <w:p>
                  <w:pPr>
                    <w:widowControl/>
                    <w:jc w:val="center"/>
                    <w:rPr>
                      <w:bCs/>
                      <w:color w:val="auto"/>
                    </w:rPr>
                  </w:pPr>
                  <w:r>
                    <w:rPr>
                      <w:bCs/>
                      <w:color w:val="auto"/>
                    </w:rPr>
                    <w:t>事故</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0" w:hRule="atLeast"/>
              </w:trPr>
              <w:tc>
                <w:tcPr>
                  <w:tcW w:w="740" w:type="pct"/>
                  <w:tcBorders>
                    <w:left w:val="nil"/>
                  </w:tcBorders>
                  <w:vAlign w:val="center"/>
                </w:tcPr>
                <w:p>
                  <w:pPr>
                    <w:widowControl/>
                    <w:jc w:val="center"/>
                    <w:rPr>
                      <w:color w:val="auto"/>
                    </w:rPr>
                  </w:pPr>
                  <w:r>
                    <w:rPr>
                      <w:rFonts w:hint="eastAsia"/>
                      <w:color w:val="auto"/>
                    </w:rPr>
                    <w:t>废润滑油、废油桶</w:t>
                  </w:r>
                </w:p>
              </w:tc>
              <w:tc>
                <w:tcPr>
                  <w:tcW w:w="931" w:type="pct"/>
                  <w:vAlign w:val="center"/>
                </w:tcPr>
                <w:p>
                  <w:pPr>
                    <w:widowControl/>
                    <w:jc w:val="center"/>
                    <w:rPr>
                      <w:color w:val="auto"/>
                    </w:rPr>
                  </w:pPr>
                  <w:r>
                    <w:rPr>
                      <w:color w:val="auto"/>
                    </w:rPr>
                    <w:t>危险废物暂存</w:t>
                  </w:r>
                </w:p>
              </w:tc>
              <w:tc>
                <w:tcPr>
                  <w:tcW w:w="1919" w:type="pct"/>
                  <w:vAlign w:val="center"/>
                </w:tcPr>
                <w:p>
                  <w:pPr>
                    <w:widowControl/>
                    <w:jc w:val="center"/>
                    <w:rPr>
                      <w:color w:val="auto"/>
                    </w:rPr>
                  </w:pPr>
                  <w:r>
                    <w:rPr>
                      <w:color w:val="auto"/>
                    </w:rPr>
                    <w:t>包装损坏、防渗失效，发生垂直入渗</w:t>
                  </w:r>
                </w:p>
              </w:tc>
              <w:tc>
                <w:tcPr>
                  <w:tcW w:w="719" w:type="pct"/>
                  <w:vAlign w:val="center"/>
                </w:tcPr>
                <w:p>
                  <w:pPr>
                    <w:widowControl/>
                    <w:jc w:val="center"/>
                    <w:rPr>
                      <w:color w:val="auto"/>
                    </w:rPr>
                  </w:pPr>
                  <w:r>
                    <w:rPr>
                      <w:color w:val="auto"/>
                    </w:rPr>
                    <w:t>石油烃</w:t>
                  </w:r>
                </w:p>
              </w:tc>
              <w:tc>
                <w:tcPr>
                  <w:tcW w:w="421" w:type="pct"/>
                  <w:vAlign w:val="center"/>
                </w:tcPr>
                <w:p>
                  <w:pPr>
                    <w:widowControl/>
                    <w:jc w:val="center"/>
                    <w:rPr>
                      <w:bCs/>
                      <w:color w:val="auto"/>
                    </w:rPr>
                  </w:pPr>
                  <w:r>
                    <w:rPr>
                      <w:bCs/>
                      <w:color w:val="auto"/>
                    </w:rPr>
                    <w:t>石油烃</w:t>
                  </w:r>
                </w:p>
              </w:tc>
              <w:tc>
                <w:tcPr>
                  <w:tcW w:w="267" w:type="pct"/>
                  <w:tcBorders>
                    <w:right w:val="nil"/>
                  </w:tcBorders>
                  <w:vAlign w:val="center"/>
                </w:tcPr>
                <w:p>
                  <w:pPr>
                    <w:widowControl/>
                    <w:jc w:val="center"/>
                    <w:rPr>
                      <w:bCs/>
                      <w:color w:val="auto"/>
                    </w:rPr>
                  </w:pPr>
                  <w:r>
                    <w:rPr>
                      <w:bCs/>
                      <w:color w:val="auto"/>
                    </w:rPr>
                    <w:t>事故</w:t>
                  </w:r>
                </w:p>
              </w:tc>
            </w:tr>
          </w:tbl>
          <w:p>
            <w:pPr>
              <w:autoSpaceDE w:val="0"/>
              <w:autoSpaceDN w:val="0"/>
              <w:adjustRightInd w:val="0"/>
              <w:spacing w:line="500" w:lineRule="exact"/>
              <w:ind w:firstLine="480" w:firstLineChars="200"/>
              <w:rPr>
                <w:color w:val="auto"/>
                <w:sz w:val="24"/>
              </w:rPr>
            </w:pPr>
            <w:r>
              <w:rPr>
                <w:rFonts w:hint="eastAsia"/>
                <w:color w:val="auto"/>
                <w:sz w:val="24"/>
              </w:rPr>
              <w:t>根据上表分析可知，</w:t>
            </w:r>
            <w:r>
              <w:rPr>
                <w:color w:val="auto"/>
                <w:sz w:val="24"/>
              </w:rPr>
              <w:t>本项目涉及土壤污染的途径为</w:t>
            </w:r>
            <w:r>
              <w:rPr>
                <w:rFonts w:hint="eastAsia"/>
                <w:color w:val="auto"/>
                <w:sz w:val="24"/>
              </w:rPr>
              <w:t>润滑油、废润滑油物质</w:t>
            </w:r>
            <w:r>
              <w:rPr>
                <w:color w:val="auto"/>
                <w:sz w:val="24"/>
              </w:rPr>
              <w:t>垂直入渗。根据生产装置、辅助设施可能泄漏特殊的性质将污染区</w:t>
            </w:r>
            <w:r>
              <w:rPr>
                <w:rFonts w:hint="eastAsia"/>
                <w:color w:val="auto"/>
                <w:sz w:val="24"/>
              </w:rPr>
              <w:t>设</w:t>
            </w:r>
            <w:r>
              <w:rPr>
                <w:color w:val="auto"/>
                <w:sz w:val="24"/>
              </w:rPr>
              <w:t>为重点污染防治区，对污染防治区采取防渗方案：</w:t>
            </w:r>
          </w:p>
          <w:p>
            <w:pPr>
              <w:spacing w:line="480" w:lineRule="exact"/>
              <w:ind w:firstLine="480" w:firstLineChars="200"/>
              <w:rPr>
                <w:bCs/>
                <w:color w:val="auto"/>
                <w:sz w:val="24"/>
              </w:rPr>
            </w:pPr>
            <w:r>
              <w:rPr>
                <w:rFonts w:hint="eastAsia"/>
                <w:color w:val="auto"/>
                <w:sz w:val="24"/>
              </w:rPr>
              <w:t>（1）</w:t>
            </w:r>
            <w:r>
              <w:rPr>
                <w:rFonts w:hint="eastAsia"/>
                <w:bCs/>
                <w:color w:val="auto"/>
                <w:sz w:val="24"/>
              </w:rPr>
              <w:t>地下水</w:t>
            </w:r>
            <w:r>
              <w:rPr>
                <w:rFonts w:hint="eastAsia"/>
                <w:color w:val="auto"/>
                <w:sz w:val="24"/>
              </w:rPr>
              <w:t>、土壤</w:t>
            </w:r>
            <w:r>
              <w:rPr>
                <w:bCs/>
                <w:color w:val="auto"/>
                <w:sz w:val="24"/>
              </w:rPr>
              <w:t>污染防护措施</w:t>
            </w:r>
          </w:p>
          <w:p>
            <w:pPr>
              <w:spacing w:line="480" w:lineRule="exact"/>
              <w:ind w:firstLine="480" w:firstLineChars="200"/>
              <w:rPr>
                <w:bCs/>
                <w:color w:val="auto"/>
                <w:sz w:val="24"/>
              </w:rPr>
            </w:pPr>
            <w:r>
              <w:rPr>
                <w:color w:val="auto"/>
                <w:sz w:val="24"/>
              </w:rPr>
              <w:t>根据</w:t>
            </w:r>
            <w:r>
              <w:rPr>
                <w:rFonts w:hint="eastAsia"/>
                <w:color w:val="auto"/>
                <w:sz w:val="24"/>
              </w:rPr>
              <w:t>导则</w:t>
            </w:r>
            <w:r>
              <w:rPr>
                <w:color w:val="auto"/>
                <w:sz w:val="24"/>
              </w:rPr>
              <w:t>要求，</w:t>
            </w:r>
            <w:r>
              <w:rPr>
                <w:rFonts w:hint="eastAsia"/>
                <w:color w:val="auto"/>
                <w:sz w:val="24"/>
              </w:rPr>
              <w:t>地下水、土壤</w:t>
            </w:r>
            <w:r>
              <w:rPr>
                <w:bCs/>
                <w:color w:val="auto"/>
                <w:sz w:val="24"/>
              </w:rPr>
              <w:t>防治措施按照</w:t>
            </w:r>
            <w:r>
              <w:rPr>
                <w:rFonts w:hint="eastAsia"/>
                <w:bCs/>
                <w:color w:val="auto"/>
                <w:sz w:val="24"/>
              </w:rPr>
              <w:t>“</w:t>
            </w:r>
            <w:r>
              <w:rPr>
                <w:bCs/>
                <w:color w:val="auto"/>
                <w:sz w:val="24"/>
              </w:rPr>
              <w:t>源头控制、分区防治、污染监控、应急响应</w:t>
            </w:r>
            <w:r>
              <w:rPr>
                <w:rFonts w:hint="eastAsia"/>
                <w:bCs/>
                <w:color w:val="auto"/>
                <w:sz w:val="24"/>
              </w:rPr>
              <w:t>”</w:t>
            </w:r>
            <w:r>
              <w:rPr>
                <w:bCs/>
                <w:color w:val="auto"/>
                <w:sz w:val="24"/>
              </w:rPr>
              <w:t>相结合的原则，从污染物的产生、入渗、扩散、应急响应进行控制，尽可能从源头上减少污染物的产生，防止环境污染，严格按照国家相关规范要求，对工艺、管道、设备、污水储存及处理构</w:t>
            </w:r>
            <w:r>
              <w:rPr>
                <w:rFonts w:hint="eastAsia"/>
                <w:bCs/>
                <w:color w:val="auto"/>
                <w:sz w:val="24"/>
              </w:rPr>
              <w:t>建筑</w:t>
            </w:r>
            <w:r>
              <w:rPr>
                <w:bCs/>
                <w:color w:val="auto"/>
                <w:sz w:val="24"/>
              </w:rPr>
              <w:t>物采取相应措施，避免由于泄漏造成物料下渗污染</w:t>
            </w:r>
            <w:r>
              <w:rPr>
                <w:rFonts w:hint="eastAsia"/>
                <w:color w:val="auto"/>
                <w:sz w:val="24"/>
              </w:rPr>
              <w:t>地下水、土壤</w:t>
            </w:r>
            <w:r>
              <w:rPr>
                <w:bCs/>
                <w:color w:val="auto"/>
                <w:sz w:val="24"/>
              </w:rPr>
              <w:t>。</w:t>
            </w:r>
          </w:p>
          <w:p>
            <w:pPr>
              <w:spacing w:line="480" w:lineRule="exact"/>
              <w:ind w:firstLine="480" w:firstLineChars="200"/>
              <w:rPr>
                <w:bCs/>
                <w:color w:val="auto"/>
                <w:sz w:val="24"/>
              </w:rPr>
            </w:pPr>
            <w:r>
              <w:rPr>
                <w:bCs/>
                <w:color w:val="auto"/>
                <w:sz w:val="24"/>
              </w:rPr>
              <w:t>为防止</w:t>
            </w:r>
            <w:r>
              <w:rPr>
                <w:rFonts w:hint="eastAsia"/>
                <w:bCs/>
                <w:color w:val="auto"/>
                <w:sz w:val="24"/>
              </w:rPr>
              <w:t>有机物、油类物质</w:t>
            </w:r>
            <w:r>
              <w:rPr>
                <w:bCs/>
                <w:color w:val="auto"/>
                <w:sz w:val="24"/>
              </w:rPr>
              <w:t>对区域</w:t>
            </w:r>
            <w:r>
              <w:rPr>
                <w:rFonts w:hint="eastAsia"/>
                <w:color w:val="auto"/>
                <w:sz w:val="24"/>
              </w:rPr>
              <w:t>地下水、土壤</w:t>
            </w:r>
            <w:r>
              <w:rPr>
                <w:bCs/>
                <w:color w:val="auto"/>
                <w:sz w:val="24"/>
              </w:rPr>
              <w:t>产生污染影响，</w:t>
            </w:r>
            <w:r>
              <w:rPr>
                <w:rFonts w:hint="eastAsia"/>
                <w:bCs/>
                <w:color w:val="auto"/>
                <w:sz w:val="24"/>
              </w:rPr>
              <w:t>本项目提出地下水防护措施如下：</w:t>
            </w:r>
          </w:p>
          <w:p>
            <w:pPr>
              <w:spacing w:line="480" w:lineRule="exact"/>
              <w:ind w:firstLine="480" w:firstLineChars="200"/>
              <w:rPr>
                <w:bCs/>
                <w:color w:val="auto"/>
                <w:sz w:val="24"/>
              </w:rPr>
            </w:pPr>
            <w:r>
              <w:rPr>
                <w:rFonts w:hint="eastAsia"/>
                <w:bCs/>
                <w:color w:val="auto"/>
                <w:sz w:val="24"/>
              </w:rPr>
              <w:t>①</w:t>
            </w:r>
            <w:r>
              <w:rPr>
                <w:bCs/>
                <w:color w:val="auto"/>
                <w:sz w:val="24"/>
              </w:rPr>
              <w:t>加强设施的维护和管理，防止污染物的跑、冒、滴、漏和非正常排放。</w:t>
            </w:r>
          </w:p>
          <w:p>
            <w:pPr>
              <w:snapToGrid w:val="0"/>
              <w:spacing w:line="480" w:lineRule="exact"/>
              <w:ind w:firstLine="480" w:firstLineChars="200"/>
              <w:jc w:val="left"/>
              <w:rPr>
                <w:color w:val="auto"/>
                <w:sz w:val="24"/>
              </w:rPr>
            </w:pPr>
            <w:r>
              <w:rPr>
                <w:rFonts w:hint="eastAsia"/>
                <w:bCs/>
                <w:color w:val="auto"/>
                <w:sz w:val="24"/>
              </w:rPr>
              <w:t>②</w:t>
            </w:r>
            <w:r>
              <w:rPr>
                <w:rFonts w:hint="eastAsia"/>
                <w:color w:val="auto"/>
                <w:sz w:val="24"/>
              </w:rPr>
              <w:t>建设单位全厂分区防渗管控，具体分区防渗管控情况如下：</w:t>
            </w:r>
          </w:p>
          <w:p>
            <w:pPr>
              <w:spacing w:line="480" w:lineRule="exact"/>
              <w:ind w:firstLine="480" w:firstLineChars="200"/>
              <w:rPr>
                <w:color w:val="auto"/>
                <w:sz w:val="24"/>
              </w:rPr>
            </w:pPr>
            <w:r>
              <w:rPr>
                <w:rFonts w:hint="eastAsia"/>
                <w:color w:val="auto"/>
                <w:sz w:val="24"/>
              </w:rPr>
              <w:t>厂区内防渗情况应该分为重点防治区、一般防治区和简单防渗区。</w:t>
            </w:r>
          </w:p>
          <w:p>
            <w:pPr>
              <w:spacing w:line="480" w:lineRule="exact"/>
              <w:ind w:firstLine="480" w:firstLineChars="200"/>
              <w:rPr>
                <w:color w:val="auto"/>
                <w:sz w:val="24"/>
              </w:rPr>
            </w:pPr>
            <w:r>
              <w:rPr>
                <w:rFonts w:hint="eastAsia"/>
                <w:color w:val="auto"/>
                <w:sz w:val="24"/>
              </w:rPr>
              <w:t>重点防渗区（生产车间内润滑油储存区及</w:t>
            </w:r>
            <w:r>
              <w:rPr>
                <w:color w:val="auto"/>
                <w:sz w:val="24"/>
              </w:rPr>
              <w:t>危险废物暂存间</w:t>
            </w:r>
            <w:r>
              <w:rPr>
                <w:rFonts w:hint="eastAsia"/>
                <w:color w:val="auto"/>
                <w:sz w:val="24"/>
              </w:rPr>
              <w:t>）防渗技术要求：等效黏土防渗层Mb≥6.0m；K≤1×10</w:t>
            </w:r>
            <w:r>
              <w:rPr>
                <w:rFonts w:hint="eastAsia"/>
                <w:color w:val="auto"/>
                <w:sz w:val="24"/>
                <w:vertAlign w:val="superscript"/>
              </w:rPr>
              <w:t>-10</w:t>
            </w:r>
            <w:r>
              <w:rPr>
                <w:rFonts w:hint="eastAsia"/>
                <w:color w:val="auto"/>
                <w:sz w:val="24"/>
              </w:rPr>
              <w:t>cm/s。</w:t>
            </w:r>
          </w:p>
          <w:p>
            <w:pPr>
              <w:spacing w:line="480" w:lineRule="exact"/>
              <w:ind w:firstLine="480" w:firstLineChars="200"/>
              <w:rPr>
                <w:color w:val="auto"/>
                <w:sz w:val="24"/>
              </w:rPr>
            </w:pPr>
            <w:r>
              <w:rPr>
                <w:rFonts w:hint="eastAsia"/>
                <w:color w:val="auto"/>
                <w:sz w:val="24"/>
              </w:rPr>
              <w:t>一般防渗区：生产车间防渗技术要求：等效黏土防渗层Mb≥1.5m；K≤1×10</w:t>
            </w:r>
            <w:r>
              <w:rPr>
                <w:rFonts w:hint="eastAsia"/>
                <w:color w:val="auto"/>
                <w:sz w:val="24"/>
                <w:vertAlign w:val="superscript"/>
              </w:rPr>
              <w:t>-7</w:t>
            </w:r>
            <w:r>
              <w:rPr>
                <w:rFonts w:hint="eastAsia"/>
                <w:color w:val="auto"/>
                <w:sz w:val="24"/>
              </w:rPr>
              <w:t>cm/s，</w:t>
            </w:r>
          </w:p>
          <w:p>
            <w:pPr>
              <w:spacing w:line="500" w:lineRule="exact"/>
              <w:ind w:firstLine="480" w:firstLineChars="200"/>
              <w:rPr>
                <w:color w:val="auto"/>
                <w:sz w:val="24"/>
              </w:rPr>
            </w:pPr>
            <w:r>
              <w:rPr>
                <w:rFonts w:hint="eastAsia"/>
                <w:color w:val="auto"/>
                <w:sz w:val="24"/>
              </w:rPr>
              <w:t>简单防渗区：其它区域均为简单防渗区，一般地面硬化即可。</w:t>
            </w:r>
          </w:p>
          <w:p>
            <w:pPr>
              <w:spacing w:line="480" w:lineRule="exact"/>
              <w:ind w:firstLine="480" w:firstLineChars="200"/>
              <w:rPr>
                <w:bCs/>
                <w:color w:val="auto"/>
                <w:sz w:val="24"/>
              </w:rPr>
            </w:pPr>
            <w:r>
              <w:rPr>
                <w:rFonts w:hint="eastAsia"/>
                <w:color w:val="auto"/>
                <w:sz w:val="24"/>
              </w:rPr>
              <w:t>（2）</w:t>
            </w:r>
            <w:r>
              <w:rPr>
                <w:bCs/>
                <w:color w:val="auto"/>
                <w:sz w:val="24"/>
              </w:rPr>
              <w:t>环境影响分析结论</w:t>
            </w:r>
          </w:p>
          <w:p>
            <w:pPr>
              <w:pStyle w:val="32"/>
              <w:spacing w:after="0" w:line="500" w:lineRule="exact"/>
              <w:ind w:left="0" w:leftChars="0" w:firstLine="480"/>
              <w:rPr>
                <w:color w:val="auto"/>
                <w:sz w:val="24"/>
                <w:szCs w:val="24"/>
              </w:rPr>
            </w:pPr>
            <w:r>
              <w:rPr>
                <w:rFonts w:hint="eastAsia"/>
                <w:color w:val="auto"/>
                <w:sz w:val="24"/>
                <w:szCs w:val="24"/>
              </w:rPr>
              <w:t>综上，本项目采取上述防控措施后，项目实施无污染土壤及地下水环境的途径，不会对土壤及地下水环境产生明显影响</w:t>
            </w:r>
            <w:r>
              <w:rPr>
                <w:color w:val="auto"/>
                <w:sz w:val="24"/>
                <w:szCs w:val="24"/>
              </w:rPr>
              <w:t>为</w:t>
            </w:r>
            <w:r>
              <w:rPr>
                <w:rFonts w:hint="eastAsia"/>
                <w:color w:val="auto"/>
                <w:sz w:val="24"/>
                <w:szCs w:val="24"/>
              </w:rPr>
              <w:t>。</w:t>
            </w:r>
          </w:p>
          <w:p>
            <w:pPr>
              <w:pStyle w:val="16"/>
              <w:spacing w:line="500" w:lineRule="exact"/>
              <w:ind w:left="0" w:right="0" w:firstLine="482" w:firstLineChars="200"/>
              <w:rPr>
                <w:b/>
                <w:bCs/>
                <w:color w:val="auto"/>
                <w:sz w:val="24"/>
              </w:rPr>
            </w:pPr>
            <w:r>
              <w:rPr>
                <w:rFonts w:hint="eastAsia"/>
                <w:b/>
                <w:bCs/>
                <w:color w:val="auto"/>
                <w:sz w:val="24"/>
              </w:rPr>
              <w:t>6、生态</w:t>
            </w:r>
          </w:p>
          <w:p>
            <w:pPr>
              <w:spacing w:line="500" w:lineRule="exact"/>
              <w:ind w:firstLine="480" w:firstLineChars="200"/>
              <w:rPr>
                <w:color w:val="auto"/>
                <w:sz w:val="24"/>
              </w:rPr>
            </w:pPr>
            <w:r>
              <w:rPr>
                <w:color w:val="auto"/>
                <w:sz w:val="24"/>
              </w:rPr>
              <w:t>本项目</w:t>
            </w:r>
            <w:r>
              <w:rPr>
                <w:rFonts w:hint="eastAsia"/>
                <w:color w:val="auto"/>
                <w:sz w:val="24"/>
              </w:rPr>
              <w:t>位于</w:t>
            </w:r>
            <w:r>
              <w:rPr>
                <w:rFonts w:hint="eastAsia"/>
                <w:snapToGrid w:val="0"/>
                <w:color w:val="auto"/>
                <w:kern w:val="0"/>
                <w:sz w:val="24"/>
                <w:szCs w:val="22"/>
              </w:rPr>
              <w:t>河北省唐山市遵化市遵化镇团练屯村</w:t>
            </w:r>
            <w:r>
              <w:rPr>
                <w:rFonts w:hint="eastAsia"/>
                <w:color w:val="auto"/>
                <w:sz w:val="24"/>
              </w:rPr>
              <w:t>，</w:t>
            </w:r>
            <w:r>
              <w:rPr>
                <w:rFonts w:hint="eastAsia"/>
                <w:color w:val="auto"/>
                <w:kern w:val="0"/>
                <w:sz w:val="24"/>
              </w:rPr>
              <w:t>利用现有闲置厂房进行建设，占地区域为现有建设用地，占地现状植被覆盖度低，</w:t>
            </w:r>
            <w:r>
              <w:rPr>
                <w:rFonts w:hint="eastAsia"/>
                <w:color w:val="auto"/>
                <w:sz w:val="24"/>
              </w:rPr>
              <w:t>项目实施后对厂区合理进行绿化，不会对区域内生态环境造成明显影响。</w:t>
            </w:r>
          </w:p>
          <w:p>
            <w:pPr>
              <w:pStyle w:val="16"/>
              <w:spacing w:line="500" w:lineRule="exact"/>
              <w:ind w:left="0" w:right="0" w:firstLine="482" w:firstLineChars="200"/>
              <w:rPr>
                <w:b/>
                <w:bCs/>
                <w:color w:val="auto"/>
                <w:sz w:val="24"/>
              </w:rPr>
            </w:pPr>
            <w:r>
              <w:rPr>
                <w:rFonts w:hint="eastAsia"/>
                <w:b/>
                <w:bCs/>
                <w:color w:val="auto"/>
                <w:sz w:val="24"/>
              </w:rPr>
              <w:t>7、环境风险</w:t>
            </w:r>
          </w:p>
          <w:p>
            <w:pPr>
              <w:spacing w:line="480" w:lineRule="exact"/>
              <w:ind w:firstLine="480" w:firstLineChars="200"/>
              <w:textAlignment w:val="baseline"/>
              <w:rPr>
                <w:color w:val="auto"/>
                <w:sz w:val="24"/>
                <w:szCs w:val="20"/>
              </w:rPr>
            </w:pPr>
            <w:r>
              <w:rPr>
                <w:rFonts w:hint="eastAsia"/>
                <w:color w:val="auto"/>
                <w:sz w:val="24"/>
                <w:szCs w:val="20"/>
              </w:rPr>
              <w:t>（1）建设项目风险物质调查及Q值计算</w:t>
            </w:r>
          </w:p>
          <w:p>
            <w:pPr>
              <w:spacing w:line="480" w:lineRule="exact"/>
              <w:ind w:firstLine="480" w:firstLineChars="200"/>
              <w:textAlignment w:val="baseline"/>
              <w:rPr>
                <w:color w:val="auto"/>
                <w:sz w:val="24"/>
                <w:szCs w:val="20"/>
              </w:rPr>
            </w:pPr>
            <w:r>
              <w:rPr>
                <w:rFonts w:hint="eastAsia"/>
                <w:color w:val="auto"/>
                <w:sz w:val="24"/>
                <w:szCs w:val="20"/>
              </w:rPr>
              <w:t>项目所涉及的风险物质主要为润滑油、废矿物油、废油桶，润滑油储存于生产车间内润滑油储存区，危险废物暂存危险废物暂存间。本项目涉及的风险物质概况见下表。</w:t>
            </w:r>
          </w:p>
          <w:p>
            <w:pPr>
              <w:autoSpaceDE w:val="0"/>
              <w:autoSpaceDN w:val="0"/>
              <w:spacing w:line="480" w:lineRule="exact"/>
              <w:jc w:val="center"/>
              <w:rPr>
                <w:b/>
                <w:bCs/>
                <w:color w:val="auto"/>
                <w:kern w:val="0"/>
                <w:sz w:val="24"/>
              </w:rPr>
            </w:pPr>
            <w:r>
              <w:rPr>
                <w:b/>
                <w:bCs/>
                <w:color w:val="auto"/>
                <w:kern w:val="0"/>
                <w:sz w:val="24"/>
              </w:rPr>
              <w:t>表</w:t>
            </w:r>
            <w:r>
              <w:rPr>
                <w:rFonts w:hint="eastAsia"/>
                <w:b/>
                <w:bCs/>
                <w:color w:val="auto"/>
                <w:kern w:val="0"/>
                <w:sz w:val="24"/>
              </w:rPr>
              <w:t>44   建设项目风险源调查概况一览表</w:t>
            </w:r>
          </w:p>
          <w:tbl>
            <w:tblPr>
              <w:tblStyle w:val="33"/>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448"/>
              <w:gridCol w:w="1276"/>
              <w:gridCol w:w="2256"/>
              <w:gridCol w:w="1571"/>
              <w:gridCol w:w="237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48" w:type="dxa"/>
                  <w:vAlign w:val="center"/>
                </w:tcPr>
                <w:p>
                  <w:pPr>
                    <w:spacing w:line="240" w:lineRule="atLeast"/>
                    <w:jc w:val="center"/>
                    <w:rPr>
                      <w:color w:val="auto"/>
                      <w:spacing w:val="-10"/>
                      <w:szCs w:val="21"/>
                    </w:rPr>
                  </w:pPr>
                  <w:r>
                    <w:rPr>
                      <w:color w:val="auto"/>
                      <w:spacing w:val="-10"/>
                      <w:szCs w:val="21"/>
                    </w:rPr>
                    <w:t>序号</w:t>
                  </w:r>
                </w:p>
              </w:tc>
              <w:tc>
                <w:tcPr>
                  <w:tcW w:w="1276" w:type="dxa"/>
                  <w:vAlign w:val="center"/>
                </w:tcPr>
                <w:p>
                  <w:pPr>
                    <w:spacing w:line="240" w:lineRule="atLeast"/>
                    <w:jc w:val="center"/>
                    <w:rPr>
                      <w:color w:val="auto"/>
                      <w:spacing w:val="-10"/>
                      <w:szCs w:val="21"/>
                    </w:rPr>
                  </w:pPr>
                  <w:r>
                    <w:rPr>
                      <w:color w:val="auto"/>
                      <w:spacing w:val="-10"/>
                      <w:szCs w:val="21"/>
                    </w:rPr>
                    <w:t>危险物质名称</w:t>
                  </w:r>
                </w:p>
              </w:tc>
              <w:tc>
                <w:tcPr>
                  <w:tcW w:w="2256" w:type="dxa"/>
                  <w:vAlign w:val="center"/>
                </w:tcPr>
                <w:p>
                  <w:pPr>
                    <w:spacing w:line="240" w:lineRule="atLeast"/>
                    <w:jc w:val="center"/>
                    <w:rPr>
                      <w:color w:val="auto"/>
                      <w:spacing w:val="-10"/>
                      <w:szCs w:val="21"/>
                    </w:rPr>
                  </w:pPr>
                  <w:r>
                    <w:rPr>
                      <w:rFonts w:hint="eastAsia" w:hAnsi="宋体"/>
                      <w:color w:val="auto"/>
                      <w:spacing w:val="-10"/>
                      <w:szCs w:val="21"/>
                    </w:rPr>
                    <w:t>分布的生产单元</w:t>
                  </w:r>
                </w:p>
              </w:tc>
              <w:tc>
                <w:tcPr>
                  <w:tcW w:w="1571" w:type="dxa"/>
                  <w:vAlign w:val="center"/>
                </w:tcPr>
                <w:p>
                  <w:pPr>
                    <w:spacing w:line="240" w:lineRule="atLeast"/>
                    <w:jc w:val="center"/>
                    <w:rPr>
                      <w:color w:val="auto"/>
                      <w:spacing w:val="-10"/>
                      <w:szCs w:val="21"/>
                    </w:rPr>
                  </w:pPr>
                  <w:r>
                    <w:rPr>
                      <w:rFonts w:hint="eastAsia" w:hAnsi="宋体"/>
                      <w:color w:val="auto"/>
                      <w:spacing w:val="-10"/>
                      <w:szCs w:val="21"/>
                    </w:rPr>
                    <w:t>最大储存量(t)</w:t>
                  </w:r>
                </w:p>
              </w:tc>
              <w:tc>
                <w:tcPr>
                  <w:tcW w:w="2375" w:type="dxa"/>
                  <w:vAlign w:val="center"/>
                </w:tcPr>
                <w:p>
                  <w:pPr>
                    <w:spacing w:line="240" w:lineRule="atLeast"/>
                    <w:jc w:val="center"/>
                    <w:rPr>
                      <w:color w:val="auto"/>
                      <w:spacing w:val="-10"/>
                      <w:szCs w:val="21"/>
                    </w:rPr>
                  </w:pPr>
                  <w:r>
                    <w:rPr>
                      <w:rFonts w:hint="eastAsia" w:hAnsi="宋体"/>
                      <w:color w:val="auto"/>
                      <w:spacing w:val="-10"/>
                      <w:szCs w:val="21"/>
                    </w:rPr>
                    <w:t>生产工艺特点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48" w:type="dxa"/>
                  <w:vAlign w:val="center"/>
                </w:tcPr>
                <w:p>
                  <w:pPr>
                    <w:spacing w:line="240" w:lineRule="atLeast"/>
                    <w:jc w:val="center"/>
                    <w:rPr>
                      <w:color w:val="auto"/>
                      <w:spacing w:val="-10"/>
                      <w:szCs w:val="21"/>
                    </w:rPr>
                  </w:pPr>
                  <w:r>
                    <w:rPr>
                      <w:rFonts w:hint="eastAsia"/>
                      <w:color w:val="auto"/>
                      <w:spacing w:val="-10"/>
                      <w:szCs w:val="21"/>
                    </w:rPr>
                    <w:t>1</w:t>
                  </w:r>
                </w:p>
              </w:tc>
              <w:tc>
                <w:tcPr>
                  <w:tcW w:w="1276" w:type="dxa"/>
                  <w:vAlign w:val="center"/>
                </w:tcPr>
                <w:p>
                  <w:pPr>
                    <w:spacing w:line="240" w:lineRule="atLeast"/>
                    <w:jc w:val="center"/>
                    <w:rPr>
                      <w:color w:val="auto"/>
                      <w:spacing w:val="-10"/>
                      <w:szCs w:val="21"/>
                    </w:rPr>
                  </w:pPr>
                  <w:r>
                    <w:rPr>
                      <w:rFonts w:hint="eastAsia"/>
                      <w:color w:val="auto"/>
                      <w:spacing w:val="-10"/>
                      <w:szCs w:val="21"/>
                    </w:rPr>
                    <w:t>润滑油</w:t>
                  </w:r>
                </w:p>
              </w:tc>
              <w:tc>
                <w:tcPr>
                  <w:tcW w:w="2256" w:type="dxa"/>
                  <w:vAlign w:val="center"/>
                </w:tcPr>
                <w:p>
                  <w:pPr>
                    <w:spacing w:line="240" w:lineRule="atLeast"/>
                    <w:jc w:val="center"/>
                    <w:rPr>
                      <w:rFonts w:hAnsi="宋体"/>
                      <w:color w:val="auto"/>
                      <w:spacing w:val="-10"/>
                      <w:szCs w:val="21"/>
                    </w:rPr>
                  </w:pPr>
                  <w:r>
                    <w:rPr>
                      <w:rFonts w:hint="eastAsia" w:hAnsi="宋体"/>
                      <w:color w:val="auto"/>
                      <w:spacing w:val="-10"/>
                      <w:szCs w:val="21"/>
                    </w:rPr>
                    <w:t>润滑油储存区</w:t>
                  </w:r>
                </w:p>
              </w:tc>
              <w:tc>
                <w:tcPr>
                  <w:tcW w:w="1571" w:type="dxa"/>
                  <w:vAlign w:val="center"/>
                </w:tcPr>
                <w:p>
                  <w:pPr>
                    <w:spacing w:line="240" w:lineRule="atLeast"/>
                    <w:jc w:val="center"/>
                    <w:rPr>
                      <w:rFonts w:hAnsi="宋体"/>
                      <w:color w:val="auto"/>
                      <w:spacing w:val="-10"/>
                      <w:szCs w:val="21"/>
                    </w:rPr>
                  </w:pPr>
                  <w:r>
                    <w:rPr>
                      <w:rFonts w:hint="eastAsia" w:hAnsi="宋体"/>
                      <w:color w:val="auto"/>
                      <w:spacing w:val="-10"/>
                      <w:szCs w:val="21"/>
                    </w:rPr>
                    <w:t>0.3</w:t>
                  </w:r>
                </w:p>
              </w:tc>
              <w:tc>
                <w:tcPr>
                  <w:tcW w:w="2375" w:type="dxa"/>
                  <w:vAlign w:val="center"/>
                </w:tcPr>
                <w:p>
                  <w:pPr>
                    <w:spacing w:line="240" w:lineRule="atLeast"/>
                    <w:jc w:val="center"/>
                    <w:rPr>
                      <w:color w:val="auto"/>
                      <w:spacing w:val="-10"/>
                      <w:szCs w:val="21"/>
                    </w:rPr>
                  </w:pPr>
                  <w:r>
                    <w:rPr>
                      <w:rFonts w:hint="eastAsia"/>
                      <w:color w:val="auto"/>
                      <w:spacing w:val="-10"/>
                      <w:szCs w:val="21"/>
                    </w:rPr>
                    <w:t>涉及危险物质贮存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48" w:type="dxa"/>
                  <w:vAlign w:val="center"/>
                </w:tcPr>
                <w:p>
                  <w:pPr>
                    <w:spacing w:line="240" w:lineRule="atLeast"/>
                    <w:jc w:val="center"/>
                    <w:rPr>
                      <w:color w:val="auto"/>
                      <w:spacing w:val="-10"/>
                      <w:szCs w:val="21"/>
                    </w:rPr>
                  </w:pPr>
                  <w:r>
                    <w:rPr>
                      <w:rFonts w:hint="eastAsia"/>
                      <w:color w:val="auto"/>
                      <w:spacing w:val="-10"/>
                      <w:szCs w:val="21"/>
                    </w:rPr>
                    <w:t>2</w:t>
                  </w:r>
                </w:p>
              </w:tc>
              <w:tc>
                <w:tcPr>
                  <w:tcW w:w="1276" w:type="dxa"/>
                  <w:vAlign w:val="center"/>
                </w:tcPr>
                <w:p>
                  <w:pPr>
                    <w:spacing w:line="240" w:lineRule="atLeast"/>
                    <w:jc w:val="center"/>
                    <w:rPr>
                      <w:color w:val="auto"/>
                      <w:spacing w:val="-10"/>
                      <w:szCs w:val="21"/>
                    </w:rPr>
                  </w:pPr>
                  <w:r>
                    <w:rPr>
                      <w:rFonts w:hint="eastAsia"/>
                      <w:color w:val="auto"/>
                      <w:spacing w:val="-10"/>
                      <w:szCs w:val="21"/>
                    </w:rPr>
                    <w:t>废润滑油</w:t>
                  </w:r>
                </w:p>
              </w:tc>
              <w:tc>
                <w:tcPr>
                  <w:tcW w:w="2256" w:type="dxa"/>
                  <w:vMerge w:val="restart"/>
                  <w:vAlign w:val="center"/>
                </w:tcPr>
                <w:p>
                  <w:pPr>
                    <w:spacing w:line="240" w:lineRule="atLeast"/>
                    <w:jc w:val="center"/>
                    <w:rPr>
                      <w:rFonts w:hAnsi="宋体"/>
                      <w:color w:val="auto"/>
                      <w:spacing w:val="-10"/>
                      <w:szCs w:val="21"/>
                    </w:rPr>
                  </w:pPr>
                  <w:r>
                    <w:rPr>
                      <w:rFonts w:hint="eastAsia" w:hAnsi="宋体"/>
                      <w:color w:val="auto"/>
                      <w:spacing w:val="-10"/>
                      <w:szCs w:val="21"/>
                    </w:rPr>
                    <w:t>危险废物暂存间</w:t>
                  </w:r>
                </w:p>
              </w:tc>
              <w:tc>
                <w:tcPr>
                  <w:tcW w:w="1571" w:type="dxa"/>
                  <w:vAlign w:val="center"/>
                </w:tcPr>
                <w:p>
                  <w:pPr>
                    <w:spacing w:line="240" w:lineRule="atLeast"/>
                    <w:jc w:val="center"/>
                    <w:rPr>
                      <w:rFonts w:hAnsi="宋体"/>
                      <w:color w:val="auto"/>
                      <w:spacing w:val="-10"/>
                      <w:szCs w:val="21"/>
                    </w:rPr>
                  </w:pPr>
                  <w:r>
                    <w:rPr>
                      <w:rFonts w:hint="eastAsia" w:hAnsi="宋体"/>
                      <w:color w:val="auto"/>
                      <w:spacing w:val="-10"/>
                      <w:szCs w:val="21"/>
                    </w:rPr>
                    <w:t>0.1</w:t>
                  </w:r>
                </w:p>
              </w:tc>
              <w:tc>
                <w:tcPr>
                  <w:tcW w:w="2375" w:type="dxa"/>
                  <w:vAlign w:val="center"/>
                </w:tcPr>
                <w:p>
                  <w:pPr>
                    <w:spacing w:line="240" w:lineRule="atLeast"/>
                    <w:jc w:val="center"/>
                    <w:rPr>
                      <w:rFonts w:hAnsi="宋体"/>
                      <w:color w:val="auto"/>
                      <w:spacing w:val="-10"/>
                      <w:szCs w:val="21"/>
                    </w:rPr>
                  </w:pPr>
                  <w:r>
                    <w:rPr>
                      <w:rFonts w:hint="eastAsia"/>
                      <w:color w:val="auto"/>
                      <w:spacing w:val="-10"/>
                      <w:szCs w:val="21"/>
                    </w:rPr>
                    <w:t>涉及危险物质贮存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48" w:type="dxa"/>
                  <w:vAlign w:val="center"/>
                </w:tcPr>
                <w:p>
                  <w:pPr>
                    <w:spacing w:line="240" w:lineRule="atLeast"/>
                    <w:jc w:val="center"/>
                    <w:rPr>
                      <w:color w:val="auto"/>
                      <w:spacing w:val="-10"/>
                      <w:szCs w:val="21"/>
                    </w:rPr>
                  </w:pPr>
                  <w:r>
                    <w:rPr>
                      <w:rFonts w:hint="eastAsia"/>
                      <w:color w:val="auto"/>
                      <w:spacing w:val="-10"/>
                      <w:szCs w:val="21"/>
                    </w:rPr>
                    <w:t>3</w:t>
                  </w:r>
                </w:p>
              </w:tc>
              <w:tc>
                <w:tcPr>
                  <w:tcW w:w="1276" w:type="dxa"/>
                  <w:vAlign w:val="center"/>
                </w:tcPr>
                <w:p>
                  <w:pPr>
                    <w:spacing w:line="240" w:lineRule="atLeast"/>
                    <w:jc w:val="center"/>
                    <w:rPr>
                      <w:color w:val="auto"/>
                      <w:spacing w:val="-10"/>
                      <w:szCs w:val="21"/>
                    </w:rPr>
                  </w:pPr>
                  <w:r>
                    <w:rPr>
                      <w:rFonts w:hint="eastAsia"/>
                      <w:color w:val="auto"/>
                      <w:spacing w:val="-10"/>
                      <w:szCs w:val="21"/>
                    </w:rPr>
                    <w:t>废油桶</w:t>
                  </w:r>
                </w:p>
              </w:tc>
              <w:tc>
                <w:tcPr>
                  <w:tcW w:w="2256" w:type="dxa"/>
                  <w:vMerge w:val="continue"/>
                  <w:vAlign w:val="center"/>
                </w:tcPr>
                <w:p>
                  <w:pPr>
                    <w:spacing w:line="240" w:lineRule="atLeast"/>
                    <w:jc w:val="center"/>
                    <w:rPr>
                      <w:rFonts w:hAnsi="宋体"/>
                      <w:color w:val="auto"/>
                      <w:spacing w:val="-10"/>
                      <w:szCs w:val="21"/>
                    </w:rPr>
                  </w:pPr>
                </w:p>
              </w:tc>
              <w:tc>
                <w:tcPr>
                  <w:tcW w:w="1571" w:type="dxa"/>
                  <w:vAlign w:val="center"/>
                </w:tcPr>
                <w:p>
                  <w:pPr>
                    <w:spacing w:line="240" w:lineRule="atLeast"/>
                    <w:jc w:val="center"/>
                    <w:rPr>
                      <w:rFonts w:hAnsi="宋体"/>
                      <w:color w:val="auto"/>
                      <w:spacing w:val="-10"/>
                      <w:szCs w:val="21"/>
                    </w:rPr>
                  </w:pPr>
                  <w:r>
                    <w:rPr>
                      <w:rFonts w:hint="eastAsia" w:hAnsi="宋体"/>
                      <w:color w:val="auto"/>
                      <w:spacing w:val="-10"/>
                      <w:szCs w:val="21"/>
                    </w:rPr>
                    <w:t>0.06</w:t>
                  </w:r>
                </w:p>
              </w:tc>
              <w:tc>
                <w:tcPr>
                  <w:tcW w:w="2375" w:type="dxa"/>
                  <w:vAlign w:val="center"/>
                </w:tcPr>
                <w:p>
                  <w:pPr>
                    <w:spacing w:line="240" w:lineRule="atLeast"/>
                    <w:jc w:val="center"/>
                    <w:rPr>
                      <w:color w:val="auto"/>
                      <w:spacing w:val="-10"/>
                      <w:szCs w:val="21"/>
                    </w:rPr>
                  </w:pPr>
                  <w:r>
                    <w:rPr>
                      <w:rFonts w:hint="eastAsia"/>
                      <w:color w:val="auto"/>
                      <w:spacing w:val="-10"/>
                      <w:szCs w:val="21"/>
                    </w:rPr>
                    <w:t>涉及危险物质贮存</w:t>
                  </w:r>
                </w:p>
              </w:tc>
            </w:tr>
          </w:tbl>
          <w:p>
            <w:pPr>
              <w:spacing w:line="480" w:lineRule="exact"/>
              <w:ind w:firstLine="480" w:firstLineChars="200"/>
              <w:rPr>
                <w:color w:val="auto"/>
                <w:sz w:val="24"/>
              </w:rPr>
            </w:pPr>
            <w:r>
              <w:rPr>
                <w:rFonts w:hint="eastAsia"/>
                <w:color w:val="auto"/>
                <w:sz w:val="24"/>
              </w:rPr>
              <w:t>项目风险物质数量与临界量比值Q见下表。</w:t>
            </w:r>
          </w:p>
          <w:p>
            <w:pPr>
              <w:autoSpaceDE w:val="0"/>
              <w:autoSpaceDN w:val="0"/>
              <w:spacing w:line="480" w:lineRule="exact"/>
              <w:jc w:val="center"/>
              <w:rPr>
                <w:b/>
                <w:bCs/>
                <w:color w:val="auto"/>
                <w:kern w:val="0"/>
                <w:sz w:val="24"/>
              </w:rPr>
            </w:pPr>
            <w:r>
              <w:rPr>
                <w:b/>
                <w:bCs/>
                <w:color w:val="auto"/>
                <w:kern w:val="0"/>
                <w:sz w:val="24"/>
              </w:rPr>
              <w:t>表</w:t>
            </w:r>
            <w:r>
              <w:rPr>
                <w:rFonts w:hint="eastAsia"/>
                <w:b/>
                <w:bCs/>
                <w:color w:val="auto"/>
                <w:kern w:val="0"/>
                <w:sz w:val="24"/>
              </w:rPr>
              <w:t>45   风险物质数量与临界量比值一览表</w:t>
            </w:r>
          </w:p>
          <w:tbl>
            <w:tblPr>
              <w:tblStyle w:val="33"/>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448"/>
              <w:gridCol w:w="1276"/>
              <w:gridCol w:w="1134"/>
              <w:gridCol w:w="1843"/>
              <w:gridCol w:w="1275"/>
              <w:gridCol w:w="195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48" w:type="dxa"/>
                  <w:vAlign w:val="center"/>
                </w:tcPr>
                <w:p>
                  <w:pPr>
                    <w:spacing w:line="240" w:lineRule="atLeast"/>
                    <w:jc w:val="center"/>
                    <w:rPr>
                      <w:color w:val="auto"/>
                      <w:spacing w:val="-10"/>
                      <w:szCs w:val="21"/>
                    </w:rPr>
                  </w:pPr>
                  <w:r>
                    <w:rPr>
                      <w:color w:val="auto"/>
                      <w:spacing w:val="-10"/>
                      <w:szCs w:val="21"/>
                    </w:rPr>
                    <w:t>序号</w:t>
                  </w:r>
                </w:p>
              </w:tc>
              <w:tc>
                <w:tcPr>
                  <w:tcW w:w="1276" w:type="dxa"/>
                  <w:vAlign w:val="center"/>
                </w:tcPr>
                <w:p>
                  <w:pPr>
                    <w:spacing w:line="240" w:lineRule="atLeast"/>
                    <w:jc w:val="center"/>
                    <w:rPr>
                      <w:color w:val="auto"/>
                      <w:spacing w:val="-10"/>
                      <w:szCs w:val="21"/>
                    </w:rPr>
                  </w:pPr>
                  <w:r>
                    <w:rPr>
                      <w:color w:val="auto"/>
                      <w:spacing w:val="-10"/>
                      <w:szCs w:val="21"/>
                    </w:rPr>
                    <w:t>危险物质名称</w:t>
                  </w:r>
                </w:p>
              </w:tc>
              <w:tc>
                <w:tcPr>
                  <w:tcW w:w="1134" w:type="dxa"/>
                  <w:vAlign w:val="center"/>
                </w:tcPr>
                <w:p>
                  <w:pPr>
                    <w:spacing w:line="240" w:lineRule="atLeast"/>
                    <w:jc w:val="center"/>
                    <w:rPr>
                      <w:color w:val="auto"/>
                      <w:spacing w:val="-10"/>
                      <w:szCs w:val="21"/>
                    </w:rPr>
                  </w:pPr>
                  <w:r>
                    <w:rPr>
                      <w:rFonts w:hint="eastAsia" w:hAnsi="宋体"/>
                      <w:color w:val="auto"/>
                      <w:spacing w:val="-10"/>
                      <w:szCs w:val="21"/>
                      <w:shd w:val="clear" w:color="auto" w:fill="FFFFFF"/>
                    </w:rPr>
                    <w:t>CAS号</w:t>
                  </w:r>
                </w:p>
              </w:tc>
              <w:tc>
                <w:tcPr>
                  <w:tcW w:w="1843" w:type="dxa"/>
                  <w:vAlign w:val="center"/>
                </w:tcPr>
                <w:p>
                  <w:pPr>
                    <w:spacing w:line="240" w:lineRule="atLeast"/>
                    <w:jc w:val="center"/>
                    <w:rPr>
                      <w:color w:val="auto"/>
                      <w:spacing w:val="-10"/>
                      <w:szCs w:val="21"/>
                    </w:rPr>
                  </w:pPr>
                  <w:r>
                    <w:rPr>
                      <w:rFonts w:hint="eastAsia" w:hAnsi="宋体"/>
                      <w:color w:val="auto"/>
                      <w:spacing w:val="-10"/>
                      <w:szCs w:val="21"/>
                      <w:shd w:val="clear" w:color="auto" w:fill="FFFFFF"/>
                    </w:rPr>
                    <w:t>最大存在总量q</w:t>
                  </w:r>
                  <w:r>
                    <w:rPr>
                      <w:rFonts w:hint="eastAsia" w:hAnsi="宋体"/>
                      <w:color w:val="auto"/>
                      <w:spacing w:val="-10"/>
                      <w:szCs w:val="21"/>
                      <w:shd w:val="clear" w:color="auto" w:fill="FFFFFF"/>
                      <w:vertAlign w:val="subscript"/>
                    </w:rPr>
                    <w:t>n</w:t>
                  </w:r>
                  <w:r>
                    <w:rPr>
                      <w:rFonts w:hint="eastAsia" w:hAnsi="宋体"/>
                      <w:color w:val="auto"/>
                      <w:spacing w:val="-10"/>
                      <w:szCs w:val="21"/>
                      <w:shd w:val="clear" w:color="auto" w:fill="FFFFFF"/>
                    </w:rPr>
                    <w:t>(t)</w:t>
                  </w:r>
                </w:p>
              </w:tc>
              <w:tc>
                <w:tcPr>
                  <w:tcW w:w="1275" w:type="dxa"/>
                  <w:vAlign w:val="center"/>
                </w:tcPr>
                <w:p>
                  <w:pPr>
                    <w:spacing w:line="240" w:lineRule="atLeast"/>
                    <w:jc w:val="center"/>
                    <w:rPr>
                      <w:color w:val="auto"/>
                      <w:spacing w:val="-10"/>
                      <w:szCs w:val="21"/>
                    </w:rPr>
                  </w:pPr>
                  <w:r>
                    <w:rPr>
                      <w:rFonts w:hint="eastAsia" w:hAnsi="宋体"/>
                      <w:color w:val="auto"/>
                      <w:spacing w:val="-10"/>
                      <w:szCs w:val="21"/>
                      <w:shd w:val="clear" w:color="auto" w:fill="FFFFFF"/>
                    </w:rPr>
                    <w:t>临界量Q</w:t>
                  </w:r>
                  <w:r>
                    <w:rPr>
                      <w:rFonts w:hint="eastAsia" w:hAnsi="宋体"/>
                      <w:color w:val="auto"/>
                      <w:spacing w:val="-10"/>
                      <w:szCs w:val="21"/>
                      <w:shd w:val="clear" w:color="auto" w:fill="FFFFFF"/>
                      <w:vertAlign w:val="subscript"/>
                    </w:rPr>
                    <w:t>n</w:t>
                  </w:r>
                  <w:r>
                    <w:rPr>
                      <w:rFonts w:hint="eastAsia" w:hAnsi="宋体"/>
                      <w:color w:val="auto"/>
                      <w:spacing w:val="-10"/>
                      <w:szCs w:val="21"/>
                      <w:shd w:val="clear" w:color="auto" w:fill="FFFFFF"/>
                    </w:rPr>
                    <w:t>(t)</w:t>
                  </w:r>
                </w:p>
              </w:tc>
              <w:tc>
                <w:tcPr>
                  <w:tcW w:w="1950" w:type="dxa"/>
                  <w:vAlign w:val="center"/>
                </w:tcPr>
                <w:p>
                  <w:pPr>
                    <w:spacing w:line="240" w:lineRule="atLeast"/>
                    <w:jc w:val="center"/>
                    <w:rPr>
                      <w:color w:val="auto"/>
                      <w:spacing w:val="-10"/>
                      <w:szCs w:val="21"/>
                    </w:rPr>
                  </w:pPr>
                  <w:r>
                    <w:rPr>
                      <w:rFonts w:hint="eastAsia" w:hAnsi="宋体"/>
                      <w:color w:val="auto"/>
                      <w:spacing w:val="-10"/>
                      <w:szCs w:val="21"/>
                      <w:shd w:val="clear" w:color="auto" w:fill="FFFFFF"/>
                    </w:rPr>
                    <w:t>该种危险物质Q值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48" w:type="dxa"/>
                  <w:vAlign w:val="center"/>
                </w:tcPr>
                <w:p>
                  <w:pPr>
                    <w:spacing w:line="240" w:lineRule="atLeast"/>
                    <w:jc w:val="center"/>
                    <w:rPr>
                      <w:color w:val="auto"/>
                      <w:spacing w:val="-10"/>
                      <w:szCs w:val="21"/>
                    </w:rPr>
                  </w:pPr>
                  <w:r>
                    <w:rPr>
                      <w:rFonts w:hint="eastAsia"/>
                      <w:color w:val="auto"/>
                      <w:spacing w:val="-10"/>
                      <w:szCs w:val="21"/>
                    </w:rPr>
                    <w:t>1</w:t>
                  </w:r>
                </w:p>
              </w:tc>
              <w:tc>
                <w:tcPr>
                  <w:tcW w:w="1276" w:type="dxa"/>
                  <w:vAlign w:val="center"/>
                </w:tcPr>
                <w:p>
                  <w:pPr>
                    <w:spacing w:line="240" w:lineRule="atLeast"/>
                    <w:jc w:val="center"/>
                    <w:rPr>
                      <w:color w:val="auto"/>
                      <w:spacing w:val="-10"/>
                      <w:szCs w:val="21"/>
                    </w:rPr>
                  </w:pPr>
                  <w:r>
                    <w:rPr>
                      <w:rFonts w:hint="eastAsia"/>
                      <w:color w:val="auto"/>
                      <w:spacing w:val="-10"/>
                      <w:szCs w:val="21"/>
                    </w:rPr>
                    <w:t>润滑油</w:t>
                  </w:r>
                </w:p>
              </w:tc>
              <w:tc>
                <w:tcPr>
                  <w:tcW w:w="1134" w:type="dxa"/>
                </w:tcPr>
                <w:p>
                  <w:pPr>
                    <w:spacing w:line="240" w:lineRule="atLeast"/>
                    <w:jc w:val="center"/>
                    <w:rPr>
                      <w:rFonts w:hAnsi="宋体"/>
                      <w:color w:val="auto"/>
                      <w:spacing w:val="-10"/>
                      <w:szCs w:val="21"/>
                      <w:shd w:val="clear" w:color="auto" w:fill="FFFFFF"/>
                    </w:rPr>
                  </w:pPr>
                  <w:r>
                    <w:rPr>
                      <w:rFonts w:hint="eastAsia" w:hAnsi="宋体"/>
                      <w:color w:val="auto"/>
                      <w:spacing w:val="-10"/>
                      <w:szCs w:val="21"/>
                      <w:shd w:val="clear" w:color="auto" w:fill="FFFFFF"/>
                    </w:rPr>
                    <w:t>—</w:t>
                  </w:r>
                </w:p>
              </w:tc>
              <w:tc>
                <w:tcPr>
                  <w:tcW w:w="1843" w:type="dxa"/>
                  <w:vAlign w:val="center"/>
                </w:tcPr>
                <w:p>
                  <w:pPr>
                    <w:spacing w:line="240" w:lineRule="atLeast"/>
                    <w:jc w:val="center"/>
                    <w:rPr>
                      <w:rFonts w:hAnsi="宋体"/>
                      <w:color w:val="auto"/>
                      <w:spacing w:val="-10"/>
                      <w:szCs w:val="21"/>
                    </w:rPr>
                  </w:pPr>
                  <w:r>
                    <w:rPr>
                      <w:rFonts w:hint="eastAsia" w:hAnsi="宋体"/>
                      <w:color w:val="auto"/>
                      <w:spacing w:val="-10"/>
                      <w:szCs w:val="21"/>
                    </w:rPr>
                    <w:t>0.3</w:t>
                  </w:r>
                </w:p>
              </w:tc>
              <w:tc>
                <w:tcPr>
                  <w:tcW w:w="1275" w:type="dxa"/>
                  <w:vAlign w:val="center"/>
                </w:tcPr>
                <w:p>
                  <w:pPr>
                    <w:spacing w:line="240" w:lineRule="atLeast"/>
                    <w:jc w:val="center"/>
                    <w:rPr>
                      <w:rFonts w:hAnsi="宋体"/>
                      <w:color w:val="auto"/>
                      <w:spacing w:val="-10"/>
                      <w:szCs w:val="21"/>
                      <w:shd w:val="clear" w:color="auto" w:fill="FFFFFF"/>
                    </w:rPr>
                  </w:pPr>
                  <w:r>
                    <w:rPr>
                      <w:rFonts w:hint="eastAsia" w:hAnsi="宋体"/>
                      <w:color w:val="auto"/>
                      <w:spacing w:val="-10"/>
                      <w:szCs w:val="21"/>
                      <w:shd w:val="clear" w:color="auto" w:fill="FFFFFF"/>
                    </w:rPr>
                    <w:t>100</w:t>
                  </w:r>
                </w:p>
              </w:tc>
              <w:tc>
                <w:tcPr>
                  <w:tcW w:w="1950" w:type="dxa"/>
                  <w:vAlign w:val="center"/>
                </w:tcPr>
                <w:p>
                  <w:pPr>
                    <w:spacing w:line="240" w:lineRule="atLeast"/>
                    <w:jc w:val="center"/>
                    <w:rPr>
                      <w:rFonts w:hAnsi="宋体"/>
                      <w:color w:val="auto"/>
                      <w:spacing w:val="-10"/>
                      <w:szCs w:val="21"/>
                      <w:shd w:val="clear" w:color="auto" w:fill="FFFFFF"/>
                    </w:rPr>
                  </w:pPr>
                  <w:r>
                    <w:rPr>
                      <w:rFonts w:hint="eastAsia" w:hAnsi="宋体"/>
                      <w:color w:val="auto"/>
                      <w:spacing w:val="-10"/>
                      <w:szCs w:val="21"/>
                      <w:shd w:val="clear" w:color="auto" w:fill="FFFFFF"/>
                    </w:rPr>
                    <w:t>0.003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48" w:type="dxa"/>
                  <w:vAlign w:val="center"/>
                </w:tcPr>
                <w:p>
                  <w:pPr>
                    <w:spacing w:line="240" w:lineRule="atLeast"/>
                    <w:jc w:val="center"/>
                    <w:rPr>
                      <w:color w:val="auto"/>
                      <w:spacing w:val="-10"/>
                      <w:szCs w:val="21"/>
                    </w:rPr>
                  </w:pPr>
                  <w:r>
                    <w:rPr>
                      <w:rFonts w:hint="eastAsia"/>
                      <w:color w:val="auto"/>
                      <w:spacing w:val="-10"/>
                      <w:szCs w:val="21"/>
                    </w:rPr>
                    <w:t>2</w:t>
                  </w:r>
                </w:p>
              </w:tc>
              <w:tc>
                <w:tcPr>
                  <w:tcW w:w="1276" w:type="dxa"/>
                  <w:vAlign w:val="center"/>
                </w:tcPr>
                <w:p>
                  <w:pPr>
                    <w:spacing w:line="240" w:lineRule="atLeast"/>
                    <w:jc w:val="center"/>
                    <w:rPr>
                      <w:color w:val="auto"/>
                      <w:spacing w:val="-10"/>
                      <w:szCs w:val="21"/>
                    </w:rPr>
                  </w:pPr>
                  <w:r>
                    <w:rPr>
                      <w:rFonts w:hint="eastAsia"/>
                      <w:color w:val="auto"/>
                      <w:spacing w:val="-10"/>
                      <w:szCs w:val="21"/>
                    </w:rPr>
                    <w:t>废润滑油</w:t>
                  </w:r>
                </w:p>
              </w:tc>
              <w:tc>
                <w:tcPr>
                  <w:tcW w:w="1134" w:type="dxa"/>
                </w:tcPr>
                <w:p>
                  <w:pPr>
                    <w:spacing w:line="240" w:lineRule="atLeast"/>
                    <w:jc w:val="center"/>
                    <w:rPr>
                      <w:rFonts w:hAnsi="宋体"/>
                      <w:color w:val="auto"/>
                      <w:spacing w:val="-10"/>
                      <w:szCs w:val="21"/>
                      <w:shd w:val="clear" w:color="auto" w:fill="FFFFFF"/>
                    </w:rPr>
                  </w:pPr>
                  <w:r>
                    <w:rPr>
                      <w:rFonts w:hint="eastAsia" w:hAnsi="宋体"/>
                      <w:color w:val="auto"/>
                      <w:spacing w:val="-10"/>
                      <w:szCs w:val="21"/>
                      <w:shd w:val="clear" w:color="auto" w:fill="FFFFFF"/>
                    </w:rPr>
                    <w:t>—</w:t>
                  </w:r>
                </w:p>
              </w:tc>
              <w:tc>
                <w:tcPr>
                  <w:tcW w:w="1843" w:type="dxa"/>
                  <w:vAlign w:val="center"/>
                </w:tcPr>
                <w:p>
                  <w:pPr>
                    <w:spacing w:line="240" w:lineRule="atLeast"/>
                    <w:jc w:val="center"/>
                    <w:rPr>
                      <w:rFonts w:hAnsi="宋体"/>
                      <w:color w:val="auto"/>
                      <w:spacing w:val="-10"/>
                      <w:szCs w:val="21"/>
                    </w:rPr>
                  </w:pPr>
                  <w:r>
                    <w:rPr>
                      <w:rFonts w:hint="eastAsia" w:hAnsi="宋体"/>
                      <w:color w:val="auto"/>
                      <w:spacing w:val="-10"/>
                      <w:szCs w:val="21"/>
                    </w:rPr>
                    <w:t>0.1</w:t>
                  </w:r>
                </w:p>
              </w:tc>
              <w:tc>
                <w:tcPr>
                  <w:tcW w:w="1275" w:type="dxa"/>
                  <w:vAlign w:val="center"/>
                </w:tcPr>
                <w:p>
                  <w:pPr>
                    <w:spacing w:line="240" w:lineRule="atLeast"/>
                    <w:jc w:val="center"/>
                    <w:rPr>
                      <w:rFonts w:hAnsi="宋体"/>
                      <w:color w:val="auto"/>
                      <w:spacing w:val="-10"/>
                      <w:szCs w:val="21"/>
                      <w:shd w:val="clear" w:color="auto" w:fill="FFFFFF"/>
                    </w:rPr>
                  </w:pPr>
                  <w:r>
                    <w:rPr>
                      <w:rFonts w:hint="eastAsia" w:hAnsi="宋体"/>
                      <w:color w:val="auto"/>
                      <w:spacing w:val="-10"/>
                      <w:szCs w:val="21"/>
                      <w:shd w:val="clear" w:color="auto" w:fill="FFFFFF"/>
                    </w:rPr>
                    <w:t>2500</w:t>
                  </w:r>
                </w:p>
              </w:tc>
              <w:tc>
                <w:tcPr>
                  <w:tcW w:w="1950" w:type="dxa"/>
                  <w:vAlign w:val="center"/>
                </w:tcPr>
                <w:p>
                  <w:pPr>
                    <w:spacing w:line="240" w:lineRule="atLeast"/>
                    <w:jc w:val="center"/>
                    <w:rPr>
                      <w:rFonts w:hAnsi="宋体"/>
                      <w:color w:val="auto"/>
                      <w:spacing w:val="-10"/>
                      <w:szCs w:val="21"/>
                      <w:shd w:val="clear" w:color="auto" w:fill="FFFFFF"/>
                    </w:rPr>
                  </w:pPr>
                  <w:r>
                    <w:rPr>
                      <w:rFonts w:hint="eastAsia" w:hAnsi="宋体"/>
                      <w:color w:val="auto"/>
                      <w:spacing w:val="-10"/>
                      <w:szCs w:val="21"/>
                      <w:shd w:val="clear" w:color="auto" w:fill="FFFFFF"/>
                    </w:rPr>
                    <w:t>0.00004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48" w:type="dxa"/>
                  <w:vAlign w:val="center"/>
                </w:tcPr>
                <w:p>
                  <w:pPr>
                    <w:spacing w:line="240" w:lineRule="atLeast"/>
                    <w:jc w:val="center"/>
                    <w:rPr>
                      <w:color w:val="auto"/>
                      <w:spacing w:val="-10"/>
                      <w:szCs w:val="21"/>
                    </w:rPr>
                  </w:pPr>
                  <w:r>
                    <w:rPr>
                      <w:rFonts w:hint="eastAsia"/>
                      <w:color w:val="auto"/>
                      <w:spacing w:val="-10"/>
                      <w:szCs w:val="21"/>
                    </w:rPr>
                    <w:t>3</w:t>
                  </w:r>
                </w:p>
              </w:tc>
              <w:tc>
                <w:tcPr>
                  <w:tcW w:w="1276" w:type="dxa"/>
                  <w:vAlign w:val="center"/>
                </w:tcPr>
                <w:p>
                  <w:pPr>
                    <w:spacing w:line="240" w:lineRule="atLeast"/>
                    <w:jc w:val="center"/>
                    <w:rPr>
                      <w:color w:val="auto"/>
                      <w:spacing w:val="-10"/>
                      <w:szCs w:val="21"/>
                    </w:rPr>
                  </w:pPr>
                  <w:r>
                    <w:rPr>
                      <w:rFonts w:hint="eastAsia"/>
                      <w:color w:val="auto"/>
                      <w:spacing w:val="-10"/>
                      <w:szCs w:val="21"/>
                    </w:rPr>
                    <w:t>废油桶</w:t>
                  </w:r>
                </w:p>
              </w:tc>
              <w:tc>
                <w:tcPr>
                  <w:tcW w:w="1134" w:type="dxa"/>
                </w:tcPr>
                <w:p>
                  <w:pPr>
                    <w:spacing w:line="240" w:lineRule="atLeast"/>
                    <w:jc w:val="center"/>
                    <w:rPr>
                      <w:rFonts w:hAnsi="宋体"/>
                      <w:color w:val="auto"/>
                      <w:spacing w:val="-10"/>
                      <w:szCs w:val="21"/>
                      <w:shd w:val="clear" w:color="auto" w:fill="FFFFFF"/>
                    </w:rPr>
                  </w:pPr>
                  <w:r>
                    <w:rPr>
                      <w:rFonts w:hint="eastAsia" w:hAnsi="宋体"/>
                      <w:color w:val="auto"/>
                      <w:spacing w:val="-10"/>
                      <w:szCs w:val="21"/>
                      <w:shd w:val="clear" w:color="auto" w:fill="FFFFFF"/>
                    </w:rPr>
                    <w:t>—</w:t>
                  </w:r>
                </w:p>
              </w:tc>
              <w:tc>
                <w:tcPr>
                  <w:tcW w:w="1843" w:type="dxa"/>
                  <w:vAlign w:val="center"/>
                </w:tcPr>
                <w:p>
                  <w:pPr>
                    <w:spacing w:line="240" w:lineRule="atLeast"/>
                    <w:jc w:val="center"/>
                    <w:rPr>
                      <w:rFonts w:hAnsi="宋体"/>
                      <w:color w:val="auto"/>
                      <w:spacing w:val="-10"/>
                      <w:szCs w:val="21"/>
                    </w:rPr>
                  </w:pPr>
                  <w:r>
                    <w:rPr>
                      <w:rFonts w:hint="eastAsia" w:hAnsi="宋体"/>
                      <w:color w:val="auto"/>
                      <w:spacing w:val="-10"/>
                      <w:szCs w:val="21"/>
                    </w:rPr>
                    <w:t>0.06</w:t>
                  </w:r>
                </w:p>
              </w:tc>
              <w:tc>
                <w:tcPr>
                  <w:tcW w:w="1275" w:type="dxa"/>
                  <w:vAlign w:val="center"/>
                </w:tcPr>
                <w:p>
                  <w:pPr>
                    <w:spacing w:line="240" w:lineRule="atLeast"/>
                    <w:jc w:val="center"/>
                    <w:rPr>
                      <w:rFonts w:hAnsi="宋体"/>
                      <w:color w:val="auto"/>
                      <w:spacing w:val="-10"/>
                      <w:szCs w:val="21"/>
                      <w:shd w:val="clear" w:color="auto" w:fill="FFFFFF"/>
                    </w:rPr>
                  </w:pPr>
                  <w:r>
                    <w:rPr>
                      <w:rFonts w:hint="eastAsia" w:hAnsi="宋体"/>
                      <w:color w:val="auto"/>
                      <w:spacing w:val="-10"/>
                      <w:szCs w:val="21"/>
                      <w:shd w:val="clear" w:color="auto" w:fill="FFFFFF"/>
                    </w:rPr>
                    <w:t>2500</w:t>
                  </w:r>
                </w:p>
              </w:tc>
              <w:tc>
                <w:tcPr>
                  <w:tcW w:w="1950" w:type="dxa"/>
                  <w:vAlign w:val="center"/>
                </w:tcPr>
                <w:p>
                  <w:pPr>
                    <w:spacing w:line="240" w:lineRule="atLeast"/>
                    <w:jc w:val="center"/>
                    <w:rPr>
                      <w:rFonts w:hAnsi="宋体"/>
                      <w:color w:val="auto"/>
                      <w:spacing w:val="-10"/>
                      <w:szCs w:val="21"/>
                      <w:shd w:val="clear" w:color="auto" w:fill="FFFFFF"/>
                    </w:rPr>
                  </w:pPr>
                  <w:r>
                    <w:rPr>
                      <w:rFonts w:hint="eastAsia" w:hAnsi="宋体"/>
                      <w:color w:val="auto"/>
                      <w:spacing w:val="-10"/>
                      <w:szCs w:val="21"/>
                      <w:shd w:val="clear" w:color="auto" w:fill="FFFFFF"/>
                    </w:rPr>
                    <w:t>0.000024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5976" w:type="dxa"/>
                  <w:gridSpan w:val="5"/>
                  <w:vAlign w:val="center"/>
                </w:tcPr>
                <w:p>
                  <w:pPr>
                    <w:spacing w:line="240" w:lineRule="atLeast"/>
                    <w:jc w:val="center"/>
                    <w:rPr>
                      <w:rFonts w:hAnsi="宋体"/>
                      <w:color w:val="auto"/>
                      <w:spacing w:val="-10"/>
                      <w:szCs w:val="21"/>
                      <w:shd w:val="clear" w:color="auto" w:fill="FFFFFF"/>
                    </w:rPr>
                  </w:pPr>
                  <w:r>
                    <w:rPr>
                      <w:rFonts w:hint="eastAsia" w:hAnsi="宋体"/>
                      <w:color w:val="auto"/>
                      <w:spacing w:val="-10"/>
                      <w:szCs w:val="21"/>
                      <w:shd w:val="clear" w:color="auto" w:fill="FFFFFF"/>
                    </w:rPr>
                    <w:t>项目Q值∑</w:t>
                  </w:r>
                </w:p>
              </w:tc>
              <w:tc>
                <w:tcPr>
                  <w:tcW w:w="1950" w:type="dxa"/>
                  <w:vAlign w:val="center"/>
                </w:tcPr>
                <w:p>
                  <w:pPr>
                    <w:spacing w:line="240" w:lineRule="atLeast"/>
                    <w:jc w:val="center"/>
                    <w:rPr>
                      <w:rFonts w:hAnsi="宋体"/>
                      <w:color w:val="auto"/>
                      <w:spacing w:val="-10"/>
                      <w:szCs w:val="21"/>
                      <w:shd w:val="clear" w:color="auto" w:fill="FFFFFF"/>
                    </w:rPr>
                  </w:pPr>
                  <w:r>
                    <w:rPr>
                      <w:rFonts w:hint="eastAsia" w:hAnsi="宋体"/>
                      <w:color w:val="auto"/>
                      <w:spacing w:val="-10"/>
                      <w:szCs w:val="21"/>
                      <w:shd w:val="clear" w:color="auto" w:fill="FFFFFF"/>
                    </w:rPr>
                    <w:t>0.003064</w:t>
                  </w:r>
                </w:p>
              </w:tc>
            </w:tr>
          </w:tbl>
          <w:p>
            <w:pPr>
              <w:spacing w:line="480" w:lineRule="exact"/>
              <w:ind w:firstLine="480" w:firstLineChars="200"/>
              <w:textAlignment w:val="baseline"/>
              <w:rPr>
                <w:color w:val="auto"/>
                <w:sz w:val="24"/>
                <w:szCs w:val="20"/>
              </w:rPr>
            </w:pPr>
            <w:r>
              <w:rPr>
                <w:rFonts w:hint="eastAsia"/>
                <w:color w:val="auto"/>
                <w:sz w:val="24"/>
                <w:szCs w:val="20"/>
              </w:rPr>
              <w:t>经计算，项目Q值为0.003064，故项目风险物质数量与临界量比值＜1，根据《</w:t>
            </w:r>
            <w:r>
              <w:rPr>
                <w:rFonts w:ascii="宋体" w:hAnsi="宋体" w:cs="宋体"/>
                <w:color w:val="auto"/>
                <w:sz w:val="24"/>
              </w:rPr>
              <w:t>建设项目环境影响报告表编制技术指南（污染影响类）（试行）</w:t>
            </w:r>
            <w:r>
              <w:rPr>
                <w:rFonts w:hint="eastAsia"/>
                <w:color w:val="auto"/>
                <w:sz w:val="24"/>
                <w:szCs w:val="20"/>
              </w:rPr>
              <w:t>》中专项评价设置原则表，项目无需开展环境风险专项评价。</w:t>
            </w:r>
          </w:p>
          <w:p>
            <w:pPr>
              <w:spacing w:line="480" w:lineRule="exact"/>
              <w:ind w:firstLine="480" w:firstLineChars="200"/>
              <w:textAlignment w:val="baseline"/>
              <w:rPr>
                <w:color w:val="auto"/>
                <w:sz w:val="24"/>
                <w:szCs w:val="20"/>
              </w:rPr>
            </w:pPr>
            <w:r>
              <w:rPr>
                <w:rFonts w:hint="eastAsia"/>
                <w:color w:val="auto"/>
                <w:sz w:val="24"/>
                <w:szCs w:val="20"/>
              </w:rPr>
              <w:t>（2）建设项目风险及影响环境的途径识别</w:t>
            </w:r>
          </w:p>
          <w:p>
            <w:pPr>
              <w:spacing w:line="480" w:lineRule="exact"/>
              <w:ind w:firstLine="480" w:firstLineChars="200"/>
              <w:rPr>
                <w:color w:val="auto"/>
                <w:sz w:val="24"/>
              </w:rPr>
            </w:pPr>
            <w:r>
              <w:rPr>
                <w:color w:val="auto"/>
                <w:sz w:val="24"/>
              </w:rPr>
              <w:t>风险识别内容包括物质危险性识别、生产系统危险性识别及危险物质向环境转移的途径识别。</w:t>
            </w:r>
          </w:p>
          <w:p>
            <w:pPr>
              <w:spacing w:line="480" w:lineRule="exact"/>
              <w:ind w:firstLine="480" w:firstLineChars="200"/>
              <w:rPr>
                <w:color w:val="auto"/>
                <w:sz w:val="24"/>
              </w:rPr>
            </w:pPr>
            <w:r>
              <w:rPr>
                <w:rFonts w:hint="eastAsia" w:ascii="宋体" w:hAnsi="宋体" w:cs="宋体"/>
                <w:color w:val="auto"/>
                <w:sz w:val="24"/>
              </w:rPr>
              <w:t>①</w:t>
            </w:r>
            <w:r>
              <w:rPr>
                <w:color w:val="auto"/>
                <w:sz w:val="24"/>
              </w:rPr>
              <w:t>物质危险性识别</w:t>
            </w:r>
          </w:p>
          <w:p>
            <w:pPr>
              <w:spacing w:line="480" w:lineRule="exact"/>
              <w:ind w:firstLine="510"/>
              <w:rPr>
                <w:rFonts w:eastAsia="黑体"/>
                <w:b/>
                <w:bCs/>
                <w:color w:val="auto"/>
                <w:kern w:val="0"/>
                <w:szCs w:val="28"/>
              </w:rPr>
            </w:pPr>
            <w:r>
              <w:rPr>
                <w:color w:val="auto"/>
                <w:sz w:val="24"/>
              </w:rPr>
              <w:t>本项目涉及的危险物质主要</w:t>
            </w:r>
            <w:r>
              <w:rPr>
                <w:rFonts w:hint="eastAsia"/>
                <w:color w:val="auto"/>
                <w:sz w:val="24"/>
              </w:rPr>
              <w:t>为</w:t>
            </w:r>
            <w:r>
              <w:rPr>
                <w:color w:val="auto"/>
                <w:sz w:val="24"/>
              </w:rPr>
              <w:t>油类物质等，其危险特性、分布情况见</w:t>
            </w:r>
            <w:r>
              <w:rPr>
                <w:rFonts w:hint="eastAsia"/>
                <w:color w:val="auto"/>
                <w:sz w:val="24"/>
              </w:rPr>
              <w:t>下</w:t>
            </w:r>
            <w:r>
              <w:rPr>
                <w:color w:val="auto"/>
                <w:sz w:val="24"/>
              </w:rPr>
              <w:t>表。</w:t>
            </w:r>
          </w:p>
          <w:p>
            <w:pPr>
              <w:autoSpaceDE w:val="0"/>
              <w:autoSpaceDN w:val="0"/>
              <w:spacing w:line="480" w:lineRule="exact"/>
              <w:jc w:val="center"/>
              <w:rPr>
                <w:b/>
                <w:bCs/>
                <w:color w:val="auto"/>
                <w:kern w:val="0"/>
                <w:sz w:val="24"/>
              </w:rPr>
            </w:pPr>
            <w:r>
              <w:rPr>
                <w:b/>
                <w:bCs/>
                <w:color w:val="auto"/>
                <w:kern w:val="0"/>
                <w:sz w:val="24"/>
              </w:rPr>
              <w:t>表</w:t>
            </w:r>
            <w:r>
              <w:rPr>
                <w:rFonts w:hint="eastAsia"/>
                <w:b/>
                <w:bCs/>
                <w:color w:val="auto"/>
                <w:kern w:val="0"/>
                <w:sz w:val="24"/>
              </w:rPr>
              <w:t xml:space="preserve">46   </w:t>
            </w:r>
            <w:r>
              <w:rPr>
                <w:b/>
                <w:bCs/>
                <w:color w:val="auto"/>
                <w:kern w:val="0"/>
                <w:sz w:val="24"/>
              </w:rPr>
              <w:t>物质危险性识别结果一览表</w:t>
            </w:r>
          </w:p>
          <w:tbl>
            <w:tblPr>
              <w:tblStyle w:val="33"/>
              <w:tblW w:w="792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26"/>
              <w:gridCol w:w="1523"/>
              <w:gridCol w:w="2208"/>
              <w:gridCol w:w="1371"/>
              <w:gridCol w:w="229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26" w:type="dxa"/>
                  <w:vAlign w:val="center"/>
                </w:tcPr>
                <w:p>
                  <w:pPr>
                    <w:spacing w:line="240" w:lineRule="atLeast"/>
                    <w:jc w:val="center"/>
                    <w:rPr>
                      <w:color w:val="auto"/>
                      <w:spacing w:val="-10"/>
                      <w:szCs w:val="21"/>
                    </w:rPr>
                  </w:pPr>
                  <w:r>
                    <w:rPr>
                      <w:color w:val="auto"/>
                      <w:spacing w:val="-10"/>
                      <w:szCs w:val="21"/>
                    </w:rPr>
                    <w:t>序号</w:t>
                  </w:r>
                </w:p>
              </w:tc>
              <w:tc>
                <w:tcPr>
                  <w:tcW w:w="1523" w:type="dxa"/>
                  <w:vAlign w:val="center"/>
                </w:tcPr>
                <w:p>
                  <w:pPr>
                    <w:spacing w:line="240" w:lineRule="atLeast"/>
                    <w:jc w:val="center"/>
                    <w:rPr>
                      <w:color w:val="auto"/>
                      <w:spacing w:val="-10"/>
                      <w:szCs w:val="21"/>
                    </w:rPr>
                  </w:pPr>
                  <w:r>
                    <w:rPr>
                      <w:color w:val="auto"/>
                      <w:spacing w:val="-10"/>
                      <w:szCs w:val="21"/>
                    </w:rPr>
                    <w:t>危险物质名称</w:t>
                  </w:r>
                </w:p>
              </w:tc>
              <w:tc>
                <w:tcPr>
                  <w:tcW w:w="2208" w:type="dxa"/>
                  <w:vAlign w:val="center"/>
                </w:tcPr>
                <w:p>
                  <w:pPr>
                    <w:spacing w:line="240" w:lineRule="atLeast"/>
                    <w:jc w:val="center"/>
                    <w:rPr>
                      <w:color w:val="auto"/>
                      <w:spacing w:val="-10"/>
                      <w:szCs w:val="21"/>
                    </w:rPr>
                  </w:pPr>
                  <w:r>
                    <w:rPr>
                      <w:color w:val="auto"/>
                      <w:spacing w:val="-10"/>
                      <w:szCs w:val="21"/>
                    </w:rPr>
                    <w:t>易燃易爆性</w:t>
                  </w:r>
                </w:p>
              </w:tc>
              <w:tc>
                <w:tcPr>
                  <w:tcW w:w="1371" w:type="dxa"/>
                  <w:vAlign w:val="center"/>
                </w:tcPr>
                <w:p>
                  <w:pPr>
                    <w:spacing w:line="240" w:lineRule="atLeast"/>
                    <w:jc w:val="center"/>
                    <w:rPr>
                      <w:color w:val="auto"/>
                      <w:spacing w:val="-10"/>
                      <w:szCs w:val="21"/>
                    </w:rPr>
                  </w:pPr>
                  <w:r>
                    <w:rPr>
                      <w:color w:val="auto"/>
                      <w:spacing w:val="-10"/>
                      <w:szCs w:val="21"/>
                    </w:rPr>
                    <w:t>有毒有害性</w:t>
                  </w:r>
                </w:p>
              </w:tc>
              <w:tc>
                <w:tcPr>
                  <w:tcW w:w="2298" w:type="dxa"/>
                  <w:vAlign w:val="center"/>
                </w:tcPr>
                <w:p>
                  <w:pPr>
                    <w:spacing w:line="240" w:lineRule="atLeast"/>
                    <w:jc w:val="center"/>
                    <w:rPr>
                      <w:color w:val="auto"/>
                      <w:spacing w:val="-10"/>
                      <w:szCs w:val="21"/>
                    </w:rPr>
                  </w:pPr>
                  <w:r>
                    <w:rPr>
                      <w:color w:val="auto"/>
                      <w:spacing w:val="-10"/>
                      <w:szCs w:val="21"/>
                    </w:rPr>
                    <w:t>分布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26" w:type="dxa"/>
                  <w:vAlign w:val="center"/>
                </w:tcPr>
                <w:p>
                  <w:pPr>
                    <w:spacing w:line="240" w:lineRule="atLeast"/>
                    <w:jc w:val="center"/>
                    <w:rPr>
                      <w:color w:val="auto"/>
                      <w:spacing w:val="-10"/>
                      <w:szCs w:val="21"/>
                    </w:rPr>
                  </w:pPr>
                  <w:r>
                    <w:rPr>
                      <w:color w:val="auto"/>
                      <w:spacing w:val="-10"/>
                      <w:szCs w:val="21"/>
                    </w:rPr>
                    <w:t>1</w:t>
                  </w:r>
                </w:p>
              </w:tc>
              <w:tc>
                <w:tcPr>
                  <w:tcW w:w="1523" w:type="dxa"/>
                  <w:vAlign w:val="center"/>
                </w:tcPr>
                <w:p>
                  <w:pPr>
                    <w:spacing w:line="240" w:lineRule="atLeast"/>
                    <w:jc w:val="center"/>
                    <w:rPr>
                      <w:color w:val="auto"/>
                      <w:spacing w:val="-10"/>
                      <w:szCs w:val="21"/>
                    </w:rPr>
                  </w:pPr>
                  <w:r>
                    <w:rPr>
                      <w:color w:val="auto"/>
                      <w:spacing w:val="-10"/>
                      <w:szCs w:val="21"/>
                    </w:rPr>
                    <w:t>油类物质</w:t>
                  </w:r>
                </w:p>
              </w:tc>
              <w:tc>
                <w:tcPr>
                  <w:tcW w:w="2208" w:type="dxa"/>
                  <w:vAlign w:val="center"/>
                </w:tcPr>
                <w:p>
                  <w:pPr>
                    <w:spacing w:line="240" w:lineRule="atLeast"/>
                    <w:jc w:val="center"/>
                    <w:rPr>
                      <w:color w:val="auto"/>
                      <w:spacing w:val="-10"/>
                      <w:szCs w:val="21"/>
                    </w:rPr>
                  </w:pPr>
                  <w:r>
                    <w:rPr>
                      <w:color w:val="auto"/>
                      <w:spacing w:val="-10"/>
                      <w:kern w:val="0"/>
                      <w:szCs w:val="21"/>
                    </w:rPr>
                    <w:t>发生热裂解反应，生成易挥发及较低闪点的低聚物</w:t>
                  </w:r>
                </w:p>
              </w:tc>
              <w:tc>
                <w:tcPr>
                  <w:tcW w:w="1371" w:type="dxa"/>
                  <w:vAlign w:val="center"/>
                </w:tcPr>
                <w:p>
                  <w:pPr>
                    <w:spacing w:line="240" w:lineRule="atLeast"/>
                    <w:jc w:val="center"/>
                    <w:rPr>
                      <w:color w:val="auto"/>
                      <w:spacing w:val="-10"/>
                      <w:szCs w:val="21"/>
                    </w:rPr>
                  </w:pPr>
                  <w:r>
                    <w:rPr>
                      <w:color w:val="auto"/>
                      <w:spacing w:val="-10"/>
                      <w:szCs w:val="21"/>
                    </w:rPr>
                    <w:t>--</w:t>
                  </w:r>
                </w:p>
              </w:tc>
              <w:tc>
                <w:tcPr>
                  <w:tcW w:w="2298" w:type="dxa"/>
                  <w:vAlign w:val="center"/>
                </w:tcPr>
                <w:p>
                  <w:pPr>
                    <w:spacing w:line="240" w:lineRule="atLeast"/>
                    <w:jc w:val="center"/>
                    <w:rPr>
                      <w:color w:val="auto"/>
                      <w:spacing w:val="-10"/>
                      <w:szCs w:val="21"/>
                    </w:rPr>
                  </w:pPr>
                  <w:r>
                    <w:rPr>
                      <w:rFonts w:hint="eastAsia"/>
                      <w:color w:val="auto"/>
                      <w:spacing w:val="-10"/>
                      <w:szCs w:val="21"/>
                    </w:rPr>
                    <w:t>生产车间润滑油储存区、</w:t>
                  </w:r>
                  <w:r>
                    <w:rPr>
                      <w:color w:val="auto"/>
                      <w:spacing w:val="-10"/>
                      <w:szCs w:val="21"/>
                    </w:rPr>
                    <w:t>危废间</w:t>
                  </w:r>
                </w:p>
              </w:tc>
            </w:tr>
          </w:tbl>
          <w:p>
            <w:pPr>
              <w:spacing w:line="480" w:lineRule="exact"/>
              <w:ind w:firstLine="480" w:firstLineChars="200"/>
              <w:rPr>
                <w:color w:val="auto"/>
                <w:sz w:val="24"/>
              </w:rPr>
            </w:pPr>
            <w:r>
              <w:rPr>
                <w:rFonts w:hint="eastAsia" w:ascii="宋体" w:hAnsi="宋体" w:cs="宋体"/>
                <w:color w:val="auto"/>
                <w:sz w:val="24"/>
              </w:rPr>
              <w:t>②</w:t>
            </w:r>
            <w:r>
              <w:rPr>
                <w:color w:val="auto"/>
                <w:sz w:val="24"/>
              </w:rPr>
              <w:t>生产系统危险性识别</w:t>
            </w:r>
          </w:p>
          <w:p>
            <w:pPr>
              <w:spacing w:line="480" w:lineRule="exact"/>
              <w:ind w:firstLine="480" w:firstLineChars="200"/>
              <w:rPr>
                <w:color w:val="auto"/>
                <w:sz w:val="24"/>
              </w:rPr>
            </w:pPr>
            <w:r>
              <w:rPr>
                <w:color w:val="auto"/>
                <w:sz w:val="24"/>
              </w:rPr>
              <w:t>根据本项目工艺流程及平面布置功能分区，并结合物质危险性识别，确定危险单元包括</w:t>
            </w:r>
            <w:r>
              <w:rPr>
                <w:rFonts w:hint="eastAsia"/>
                <w:color w:val="auto"/>
                <w:sz w:val="24"/>
              </w:rPr>
              <w:t>生产车间内润滑油储存区、危险废物暂存间</w:t>
            </w:r>
            <w:r>
              <w:rPr>
                <w:color w:val="auto"/>
                <w:sz w:val="24"/>
              </w:rPr>
              <w:t>。</w:t>
            </w:r>
          </w:p>
          <w:p>
            <w:pPr>
              <w:spacing w:line="480" w:lineRule="exact"/>
              <w:ind w:firstLine="480" w:firstLineChars="200"/>
              <w:rPr>
                <w:color w:val="auto"/>
                <w:sz w:val="24"/>
              </w:rPr>
            </w:pPr>
            <w:r>
              <w:rPr>
                <w:rFonts w:hint="eastAsia" w:ascii="宋体" w:hAnsi="宋体" w:cs="宋体"/>
                <w:color w:val="auto"/>
                <w:sz w:val="24"/>
              </w:rPr>
              <w:t>③</w:t>
            </w:r>
            <w:r>
              <w:rPr>
                <w:bCs/>
                <w:color w:val="auto"/>
                <w:sz w:val="24"/>
              </w:rPr>
              <w:t>危险物质向环境转移的途径识别</w:t>
            </w:r>
          </w:p>
          <w:p>
            <w:pPr>
              <w:spacing w:line="480" w:lineRule="exact"/>
              <w:ind w:firstLine="480" w:firstLineChars="200"/>
              <w:rPr>
                <w:color w:val="auto"/>
                <w:sz w:val="24"/>
              </w:rPr>
            </w:pPr>
            <w:r>
              <w:rPr>
                <w:color w:val="auto"/>
                <w:sz w:val="24"/>
              </w:rPr>
              <w:t>根据本项目危险物质及生产系统危险性识别结果，项目涉及的环境风险类型涉及危险物质泄漏以及火灾爆炸引发的次生污染物排放。危险物质向环境转移的可能途径及影响方式主要有以下几个方面：</w:t>
            </w:r>
          </w:p>
          <w:p>
            <w:pPr>
              <w:spacing w:line="480" w:lineRule="exact"/>
              <w:ind w:firstLine="480" w:firstLineChars="200"/>
              <w:rPr>
                <w:color w:val="auto"/>
                <w:sz w:val="24"/>
              </w:rPr>
            </w:pPr>
            <w:r>
              <w:rPr>
                <w:color w:val="auto"/>
                <w:sz w:val="24"/>
              </w:rPr>
              <w:t>大气扩散：</w:t>
            </w:r>
            <w:r>
              <w:rPr>
                <w:rFonts w:hint="eastAsia"/>
                <w:color w:val="auto"/>
                <w:sz w:val="24"/>
              </w:rPr>
              <w:t>油类物质</w:t>
            </w:r>
            <w:r>
              <w:rPr>
                <w:color w:val="auto"/>
                <w:sz w:val="24"/>
              </w:rPr>
              <w:t>发生火灾或爆炸后产生的</w:t>
            </w:r>
            <w:r>
              <w:rPr>
                <w:rFonts w:hint="eastAsia"/>
                <w:color w:val="auto"/>
                <w:sz w:val="24"/>
              </w:rPr>
              <w:t>次</w:t>
            </w:r>
            <w:r>
              <w:rPr>
                <w:color w:val="auto"/>
                <w:sz w:val="24"/>
              </w:rPr>
              <w:t>生污染物进入大气环境，通过大气扩散对周围环境造成影响。</w:t>
            </w:r>
          </w:p>
          <w:p>
            <w:pPr>
              <w:spacing w:line="480" w:lineRule="exact"/>
              <w:ind w:firstLine="480" w:firstLineChars="200"/>
              <w:rPr>
                <w:color w:val="auto"/>
                <w:sz w:val="24"/>
              </w:rPr>
            </w:pPr>
            <w:r>
              <w:rPr>
                <w:color w:val="auto"/>
                <w:sz w:val="24"/>
              </w:rPr>
              <w:t>水环境扩散：项目泄漏物料和泄漏物料发生火灾事故时产生的消防废水以及初期雨水未得到有效收集而进入外环境，对周围水环境造成影响。</w:t>
            </w:r>
          </w:p>
          <w:p>
            <w:pPr>
              <w:spacing w:line="480" w:lineRule="exact"/>
              <w:ind w:firstLine="480" w:firstLineChars="200"/>
              <w:rPr>
                <w:color w:val="auto"/>
                <w:sz w:val="24"/>
              </w:rPr>
            </w:pPr>
            <w:r>
              <w:rPr>
                <w:color w:val="auto"/>
                <w:sz w:val="24"/>
              </w:rPr>
              <w:t>土壤扩散：项目</w:t>
            </w:r>
            <w:r>
              <w:rPr>
                <w:rFonts w:hint="eastAsia"/>
                <w:color w:val="auto"/>
                <w:sz w:val="24"/>
              </w:rPr>
              <w:t>油类</w:t>
            </w:r>
            <w:r>
              <w:rPr>
                <w:color w:val="auto"/>
                <w:sz w:val="24"/>
              </w:rPr>
              <w:t>物质泄漏后聚积地面，在防渗层失效情况下，通过地表渗透进入土壤或地下水，对土壤、地下水环境造成影响。</w:t>
            </w:r>
          </w:p>
          <w:p>
            <w:pPr>
              <w:spacing w:line="480" w:lineRule="exact"/>
              <w:ind w:firstLine="480" w:firstLineChars="200"/>
              <w:rPr>
                <w:color w:val="auto"/>
                <w:sz w:val="24"/>
              </w:rPr>
            </w:pPr>
            <w:r>
              <w:rPr>
                <w:rFonts w:hint="eastAsia" w:ascii="宋体" w:hAnsi="宋体" w:cs="宋体"/>
                <w:color w:val="auto"/>
                <w:sz w:val="24"/>
              </w:rPr>
              <w:t>④</w:t>
            </w:r>
            <w:r>
              <w:rPr>
                <w:color w:val="auto"/>
                <w:sz w:val="24"/>
              </w:rPr>
              <w:t>风险识别结果</w:t>
            </w:r>
          </w:p>
          <w:p>
            <w:pPr>
              <w:spacing w:line="480" w:lineRule="exact"/>
              <w:ind w:firstLine="480" w:firstLineChars="200"/>
              <w:rPr>
                <w:color w:val="auto"/>
                <w:sz w:val="24"/>
              </w:rPr>
            </w:pPr>
            <w:r>
              <w:rPr>
                <w:color w:val="auto"/>
                <w:sz w:val="24"/>
              </w:rPr>
              <w:t>本项目物质及生产系统危险性识别结果见</w:t>
            </w:r>
            <w:r>
              <w:rPr>
                <w:rFonts w:hint="eastAsia"/>
                <w:color w:val="auto"/>
                <w:sz w:val="24"/>
              </w:rPr>
              <w:t>下</w:t>
            </w:r>
            <w:r>
              <w:rPr>
                <w:color w:val="auto"/>
                <w:sz w:val="24"/>
              </w:rPr>
              <w:t>表。</w:t>
            </w:r>
          </w:p>
          <w:p>
            <w:pPr>
              <w:autoSpaceDE w:val="0"/>
              <w:autoSpaceDN w:val="0"/>
              <w:spacing w:line="480" w:lineRule="exact"/>
              <w:jc w:val="center"/>
              <w:rPr>
                <w:b/>
                <w:bCs/>
                <w:color w:val="auto"/>
                <w:kern w:val="0"/>
                <w:sz w:val="24"/>
              </w:rPr>
            </w:pPr>
            <w:r>
              <w:rPr>
                <w:b/>
                <w:bCs/>
                <w:color w:val="auto"/>
                <w:kern w:val="0"/>
                <w:sz w:val="24"/>
              </w:rPr>
              <w:t>表</w:t>
            </w:r>
            <w:r>
              <w:rPr>
                <w:rFonts w:hint="eastAsia"/>
                <w:b/>
                <w:bCs/>
                <w:color w:val="auto"/>
                <w:kern w:val="0"/>
                <w:sz w:val="24"/>
              </w:rPr>
              <w:t xml:space="preserve">47   </w:t>
            </w:r>
            <w:r>
              <w:rPr>
                <w:b/>
                <w:bCs/>
                <w:color w:val="auto"/>
                <w:kern w:val="0"/>
                <w:sz w:val="24"/>
              </w:rPr>
              <w:t>本项目环境风险识别表</w:t>
            </w:r>
          </w:p>
          <w:tbl>
            <w:tblPr>
              <w:tblStyle w:val="33"/>
              <w:tblW w:w="792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423"/>
              <w:gridCol w:w="1198"/>
              <w:gridCol w:w="1361"/>
              <w:gridCol w:w="942"/>
              <w:gridCol w:w="1211"/>
              <w:gridCol w:w="1243"/>
              <w:gridCol w:w="154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23" w:type="dxa"/>
                  <w:vAlign w:val="center"/>
                </w:tcPr>
                <w:p>
                  <w:pPr>
                    <w:spacing w:line="240" w:lineRule="atLeast"/>
                    <w:jc w:val="center"/>
                    <w:rPr>
                      <w:color w:val="auto"/>
                      <w:spacing w:val="-10"/>
                      <w:szCs w:val="21"/>
                    </w:rPr>
                  </w:pPr>
                  <w:r>
                    <w:rPr>
                      <w:color w:val="auto"/>
                      <w:spacing w:val="-10"/>
                      <w:szCs w:val="21"/>
                    </w:rPr>
                    <w:t>序号</w:t>
                  </w:r>
                </w:p>
              </w:tc>
              <w:tc>
                <w:tcPr>
                  <w:tcW w:w="1198" w:type="dxa"/>
                  <w:vAlign w:val="center"/>
                </w:tcPr>
                <w:p>
                  <w:pPr>
                    <w:spacing w:line="240" w:lineRule="atLeast"/>
                    <w:jc w:val="center"/>
                    <w:rPr>
                      <w:color w:val="auto"/>
                      <w:spacing w:val="-10"/>
                      <w:szCs w:val="21"/>
                    </w:rPr>
                  </w:pPr>
                  <w:r>
                    <w:rPr>
                      <w:color w:val="auto"/>
                      <w:spacing w:val="-10"/>
                      <w:szCs w:val="21"/>
                    </w:rPr>
                    <w:t>危险单元</w:t>
                  </w:r>
                </w:p>
              </w:tc>
              <w:tc>
                <w:tcPr>
                  <w:tcW w:w="1361" w:type="dxa"/>
                  <w:vAlign w:val="center"/>
                </w:tcPr>
                <w:p>
                  <w:pPr>
                    <w:spacing w:line="240" w:lineRule="atLeast"/>
                    <w:jc w:val="center"/>
                    <w:rPr>
                      <w:color w:val="auto"/>
                      <w:spacing w:val="-10"/>
                      <w:szCs w:val="21"/>
                    </w:rPr>
                  </w:pPr>
                  <w:r>
                    <w:rPr>
                      <w:color w:val="auto"/>
                      <w:spacing w:val="-10"/>
                      <w:szCs w:val="21"/>
                    </w:rPr>
                    <w:t>风险源</w:t>
                  </w:r>
                </w:p>
              </w:tc>
              <w:tc>
                <w:tcPr>
                  <w:tcW w:w="942" w:type="dxa"/>
                  <w:vAlign w:val="center"/>
                </w:tcPr>
                <w:p>
                  <w:pPr>
                    <w:spacing w:line="240" w:lineRule="atLeast"/>
                    <w:jc w:val="center"/>
                    <w:rPr>
                      <w:color w:val="auto"/>
                      <w:spacing w:val="-10"/>
                      <w:szCs w:val="21"/>
                    </w:rPr>
                  </w:pPr>
                  <w:r>
                    <w:rPr>
                      <w:color w:val="auto"/>
                      <w:spacing w:val="-10"/>
                      <w:szCs w:val="21"/>
                    </w:rPr>
                    <w:t>主要危险物质</w:t>
                  </w:r>
                </w:p>
              </w:tc>
              <w:tc>
                <w:tcPr>
                  <w:tcW w:w="1211" w:type="dxa"/>
                  <w:vAlign w:val="center"/>
                </w:tcPr>
                <w:p>
                  <w:pPr>
                    <w:spacing w:line="240" w:lineRule="atLeast"/>
                    <w:jc w:val="center"/>
                    <w:rPr>
                      <w:color w:val="auto"/>
                      <w:spacing w:val="-10"/>
                      <w:szCs w:val="21"/>
                    </w:rPr>
                  </w:pPr>
                  <w:r>
                    <w:rPr>
                      <w:color w:val="auto"/>
                      <w:spacing w:val="-10"/>
                      <w:szCs w:val="21"/>
                    </w:rPr>
                    <w:t>环境风险类型</w:t>
                  </w:r>
                </w:p>
              </w:tc>
              <w:tc>
                <w:tcPr>
                  <w:tcW w:w="1243" w:type="dxa"/>
                  <w:vAlign w:val="center"/>
                </w:tcPr>
                <w:p>
                  <w:pPr>
                    <w:spacing w:line="240" w:lineRule="atLeast"/>
                    <w:jc w:val="center"/>
                    <w:rPr>
                      <w:color w:val="auto"/>
                      <w:spacing w:val="-10"/>
                      <w:szCs w:val="21"/>
                    </w:rPr>
                  </w:pPr>
                  <w:r>
                    <w:rPr>
                      <w:color w:val="auto"/>
                      <w:spacing w:val="-10"/>
                      <w:szCs w:val="21"/>
                    </w:rPr>
                    <w:t>环境影响途径</w:t>
                  </w:r>
                </w:p>
              </w:tc>
              <w:tc>
                <w:tcPr>
                  <w:tcW w:w="1548" w:type="dxa"/>
                  <w:vAlign w:val="center"/>
                </w:tcPr>
                <w:p>
                  <w:pPr>
                    <w:spacing w:line="240" w:lineRule="atLeast"/>
                    <w:jc w:val="center"/>
                    <w:rPr>
                      <w:color w:val="auto"/>
                      <w:spacing w:val="-10"/>
                      <w:szCs w:val="21"/>
                    </w:rPr>
                  </w:pPr>
                  <w:r>
                    <w:rPr>
                      <w:color w:val="auto"/>
                      <w:spacing w:val="-10"/>
                      <w:szCs w:val="21"/>
                    </w:rPr>
                    <w:t>可能受影响的环境敏感目标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23" w:type="dxa"/>
                  <w:vAlign w:val="center"/>
                </w:tcPr>
                <w:p>
                  <w:pPr>
                    <w:spacing w:line="240" w:lineRule="atLeast"/>
                    <w:jc w:val="center"/>
                    <w:rPr>
                      <w:color w:val="auto"/>
                      <w:spacing w:val="-10"/>
                      <w:szCs w:val="21"/>
                    </w:rPr>
                  </w:pPr>
                  <w:r>
                    <w:rPr>
                      <w:rFonts w:hint="eastAsia"/>
                      <w:color w:val="auto"/>
                      <w:spacing w:val="-10"/>
                      <w:szCs w:val="21"/>
                    </w:rPr>
                    <w:t>1</w:t>
                  </w:r>
                </w:p>
              </w:tc>
              <w:tc>
                <w:tcPr>
                  <w:tcW w:w="1198" w:type="dxa"/>
                  <w:vAlign w:val="center"/>
                </w:tcPr>
                <w:p>
                  <w:pPr>
                    <w:widowControl/>
                    <w:jc w:val="center"/>
                    <w:rPr>
                      <w:color w:val="auto"/>
                      <w:spacing w:val="-10"/>
                      <w:szCs w:val="21"/>
                    </w:rPr>
                  </w:pPr>
                  <w:r>
                    <w:rPr>
                      <w:rFonts w:hint="eastAsia"/>
                      <w:color w:val="auto"/>
                      <w:spacing w:val="-10"/>
                      <w:szCs w:val="21"/>
                    </w:rPr>
                    <w:t>生产车间润滑油储存区</w:t>
                  </w:r>
                </w:p>
              </w:tc>
              <w:tc>
                <w:tcPr>
                  <w:tcW w:w="1361" w:type="dxa"/>
                  <w:vAlign w:val="center"/>
                </w:tcPr>
                <w:p>
                  <w:pPr>
                    <w:spacing w:line="240" w:lineRule="atLeast"/>
                    <w:jc w:val="center"/>
                    <w:rPr>
                      <w:color w:val="auto"/>
                      <w:spacing w:val="-10"/>
                      <w:szCs w:val="21"/>
                    </w:rPr>
                  </w:pPr>
                  <w:r>
                    <w:rPr>
                      <w:rFonts w:hint="eastAsia"/>
                      <w:color w:val="auto"/>
                      <w:spacing w:val="-10"/>
                      <w:szCs w:val="21"/>
                    </w:rPr>
                    <w:t>润滑油</w:t>
                  </w:r>
                </w:p>
              </w:tc>
              <w:tc>
                <w:tcPr>
                  <w:tcW w:w="942" w:type="dxa"/>
                  <w:vAlign w:val="center"/>
                </w:tcPr>
                <w:p>
                  <w:pPr>
                    <w:spacing w:line="240" w:lineRule="atLeast"/>
                    <w:jc w:val="center"/>
                    <w:rPr>
                      <w:color w:val="auto"/>
                      <w:spacing w:val="-10"/>
                      <w:szCs w:val="21"/>
                    </w:rPr>
                  </w:pPr>
                  <w:r>
                    <w:rPr>
                      <w:color w:val="auto"/>
                      <w:spacing w:val="-10"/>
                      <w:szCs w:val="21"/>
                    </w:rPr>
                    <w:t>油类物质</w:t>
                  </w:r>
                </w:p>
              </w:tc>
              <w:tc>
                <w:tcPr>
                  <w:tcW w:w="1211" w:type="dxa"/>
                  <w:vAlign w:val="center"/>
                </w:tcPr>
                <w:p>
                  <w:pPr>
                    <w:spacing w:line="240" w:lineRule="atLeast"/>
                    <w:jc w:val="center"/>
                    <w:rPr>
                      <w:color w:val="auto"/>
                      <w:spacing w:val="-10"/>
                      <w:szCs w:val="21"/>
                    </w:rPr>
                  </w:pPr>
                  <w:r>
                    <w:rPr>
                      <w:color w:val="auto"/>
                      <w:spacing w:val="-10"/>
                      <w:szCs w:val="21"/>
                    </w:rPr>
                    <w:t>泄漏、火灾</w:t>
                  </w:r>
                </w:p>
              </w:tc>
              <w:tc>
                <w:tcPr>
                  <w:tcW w:w="1243" w:type="dxa"/>
                  <w:vAlign w:val="center"/>
                </w:tcPr>
                <w:p>
                  <w:pPr>
                    <w:spacing w:line="240" w:lineRule="atLeast"/>
                    <w:jc w:val="center"/>
                    <w:rPr>
                      <w:color w:val="auto"/>
                      <w:spacing w:val="-10"/>
                      <w:szCs w:val="21"/>
                    </w:rPr>
                  </w:pPr>
                  <w:r>
                    <w:rPr>
                      <w:rFonts w:hint="eastAsia"/>
                      <w:color w:val="auto"/>
                      <w:spacing w:val="-10"/>
                      <w:szCs w:val="21"/>
                    </w:rPr>
                    <w:t>大气、</w:t>
                  </w:r>
                  <w:r>
                    <w:rPr>
                      <w:color w:val="auto"/>
                      <w:spacing w:val="-10"/>
                      <w:szCs w:val="21"/>
                    </w:rPr>
                    <w:t>地表水、地下水</w:t>
                  </w:r>
                </w:p>
              </w:tc>
              <w:tc>
                <w:tcPr>
                  <w:tcW w:w="1548" w:type="dxa"/>
                  <w:vAlign w:val="center"/>
                </w:tcPr>
                <w:p>
                  <w:pPr>
                    <w:spacing w:line="240" w:lineRule="atLeast"/>
                    <w:jc w:val="center"/>
                    <w:rPr>
                      <w:color w:val="auto"/>
                      <w:spacing w:val="-10"/>
                      <w:szCs w:val="21"/>
                    </w:rPr>
                  </w:pPr>
                  <w:r>
                    <w:rPr>
                      <w:color w:val="auto"/>
                      <w:spacing w:val="-10"/>
                      <w:szCs w:val="21"/>
                    </w:rPr>
                    <w:t>居民区、地表水、地下水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23" w:type="dxa"/>
                  <w:vAlign w:val="center"/>
                </w:tcPr>
                <w:p>
                  <w:pPr>
                    <w:spacing w:line="240" w:lineRule="atLeast"/>
                    <w:jc w:val="center"/>
                    <w:rPr>
                      <w:color w:val="auto"/>
                      <w:spacing w:val="-10"/>
                      <w:szCs w:val="21"/>
                    </w:rPr>
                  </w:pPr>
                  <w:r>
                    <w:rPr>
                      <w:rFonts w:hint="eastAsia"/>
                      <w:color w:val="auto"/>
                      <w:spacing w:val="-10"/>
                      <w:szCs w:val="21"/>
                    </w:rPr>
                    <w:t>2</w:t>
                  </w:r>
                </w:p>
              </w:tc>
              <w:tc>
                <w:tcPr>
                  <w:tcW w:w="1198" w:type="dxa"/>
                  <w:vAlign w:val="center"/>
                </w:tcPr>
                <w:p>
                  <w:pPr>
                    <w:widowControl/>
                    <w:jc w:val="center"/>
                    <w:rPr>
                      <w:color w:val="auto"/>
                      <w:spacing w:val="-10"/>
                      <w:szCs w:val="21"/>
                    </w:rPr>
                  </w:pPr>
                  <w:r>
                    <w:rPr>
                      <w:rFonts w:hint="eastAsia"/>
                      <w:color w:val="auto"/>
                      <w:spacing w:val="-10"/>
                      <w:szCs w:val="21"/>
                    </w:rPr>
                    <w:t>危险废物暂存间</w:t>
                  </w:r>
                </w:p>
              </w:tc>
              <w:tc>
                <w:tcPr>
                  <w:tcW w:w="1361" w:type="dxa"/>
                  <w:vAlign w:val="center"/>
                </w:tcPr>
                <w:p>
                  <w:pPr>
                    <w:spacing w:line="240" w:lineRule="atLeast"/>
                    <w:jc w:val="center"/>
                    <w:rPr>
                      <w:color w:val="auto"/>
                      <w:spacing w:val="-10"/>
                      <w:szCs w:val="21"/>
                    </w:rPr>
                  </w:pPr>
                  <w:r>
                    <w:rPr>
                      <w:rFonts w:hint="eastAsia"/>
                      <w:color w:val="auto"/>
                      <w:spacing w:val="-10"/>
                      <w:szCs w:val="21"/>
                    </w:rPr>
                    <w:t>废润滑油、废油桶</w:t>
                  </w:r>
                </w:p>
              </w:tc>
              <w:tc>
                <w:tcPr>
                  <w:tcW w:w="942" w:type="dxa"/>
                  <w:vAlign w:val="center"/>
                </w:tcPr>
                <w:p>
                  <w:pPr>
                    <w:spacing w:line="240" w:lineRule="atLeast"/>
                    <w:jc w:val="center"/>
                    <w:rPr>
                      <w:color w:val="auto"/>
                      <w:spacing w:val="-10"/>
                      <w:szCs w:val="21"/>
                    </w:rPr>
                  </w:pPr>
                  <w:r>
                    <w:rPr>
                      <w:color w:val="auto"/>
                      <w:spacing w:val="-10"/>
                      <w:szCs w:val="21"/>
                    </w:rPr>
                    <w:t>油类物质</w:t>
                  </w:r>
                </w:p>
              </w:tc>
              <w:tc>
                <w:tcPr>
                  <w:tcW w:w="1211" w:type="dxa"/>
                  <w:vAlign w:val="center"/>
                </w:tcPr>
                <w:p>
                  <w:pPr>
                    <w:spacing w:line="240" w:lineRule="atLeast"/>
                    <w:jc w:val="center"/>
                    <w:rPr>
                      <w:color w:val="auto"/>
                      <w:spacing w:val="-10"/>
                      <w:szCs w:val="21"/>
                    </w:rPr>
                  </w:pPr>
                  <w:r>
                    <w:rPr>
                      <w:color w:val="auto"/>
                      <w:spacing w:val="-10"/>
                      <w:szCs w:val="21"/>
                    </w:rPr>
                    <w:t>泄漏、火灾</w:t>
                  </w:r>
                </w:p>
              </w:tc>
              <w:tc>
                <w:tcPr>
                  <w:tcW w:w="1243" w:type="dxa"/>
                  <w:vAlign w:val="center"/>
                </w:tcPr>
                <w:p>
                  <w:pPr>
                    <w:spacing w:line="240" w:lineRule="atLeast"/>
                    <w:jc w:val="center"/>
                    <w:rPr>
                      <w:color w:val="auto"/>
                      <w:spacing w:val="-10"/>
                      <w:szCs w:val="21"/>
                    </w:rPr>
                  </w:pPr>
                  <w:r>
                    <w:rPr>
                      <w:rFonts w:hint="eastAsia"/>
                      <w:color w:val="auto"/>
                      <w:spacing w:val="-10"/>
                      <w:szCs w:val="21"/>
                    </w:rPr>
                    <w:t>大气、</w:t>
                  </w:r>
                  <w:r>
                    <w:rPr>
                      <w:color w:val="auto"/>
                      <w:spacing w:val="-10"/>
                      <w:szCs w:val="21"/>
                    </w:rPr>
                    <w:t>地表水、地下水</w:t>
                  </w:r>
                </w:p>
              </w:tc>
              <w:tc>
                <w:tcPr>
                  <w:tcW w:w="1548" w:type="dxa"/>
                  <w:vAlign w:val="center"/>
                </w:tcPr>
                <w:p>
                  <w:pPr>
                    <w:spacing w:line="240" w:lineRule="atLeast"/>
                    <w:jc w:val="center"/>
                    <w:rPr>
                      <w:color w:val="auto"/>
                      <w:spacing w:val="-10"/>
                      <w:szCs w:val="21"/>
                    </w:rPr>
                  </w:pPr>
                  <w:r>
                    <w:rPr>
                      <w:color w:val="auto"/>
                      <w:spacing w:val="-10"/>
                      <w:szCs w:val="21"/>
                    </w:rPr>
                    <w:t>居民区、地表水、地下水</w:t>
                  </w:r>
                </w:p>
              </w:tc>
            </w:tr>
          </w:tbl>
          <w:p>
            <w:pPr>
              <w:spacing w:line="480" w:lineRule="exact"/>
              <w:ind w:firstLine="480" w:firstLineChars="200"/>
              <w:textAlignment w:val="baseline"/>
              <w:rPr>
                <w:color w:val="auto"/>
                <w:sz w:val="24"/>
                <w:szCs w:val="20"/>
              </w:rPr>
            </w:pPr>
            <w:r>
              <w:rPr>
                <w:rFonts w:hint="eastAsia"/>
                <w:color w:val="auto"/>
                <w:sz w:val="24"/>
                <w:szCs w:val="20"/>
              </w:rPr>
              <w:t>（3）环境风险影响分析</w:t>
            </w:r>
          </w:p>
          <w:p>
            <w:pPr>
              <w:spacing w:line="480" w:lineRule="exact"/>
              <w:ind w:firstLine="480" w:firstLineChars="200"/>
              <w:rPr>
                <w:color w:val="auto"/>
                <w:sz w:val="24"/>
              </w:rPr>
            </w:pPr>
            <w:r>
              <w:rPr>
                <w:rFonts w:hint="eastAsia"/>
                <w:color w:val="auto"/>
                <w:sz w:val="24"/>
              </w:rPr>
              <w:t>油类物质储存设施可能发生泄漏事故，排放的油类物质下渗进入地下水环境或土壤，引起地下水和土壤污染，油类物质泄漏排放遇到明火发生火灾，可能会对周边大气环境产生影响，</w:t>
            </w:r>
            <w:r>
              <w:rPr>
                <w:color w:val="auto"/>
                <w:sz w:val="24"/>
              </w:rPr>
              <w:t>但本项目</w:t>
            </w:r>
            <w:r>
              <w:rPr>
                <w:rFonts w:hint="eastAsia"/>
                <w:color w:val="auto"/>
                <w:sz w:val="24"/>
              </w:rPr>
              <w:t>生产车间内润滑油储存区及</w:t>
            </w:r>
            <w:r>
              <w:rPr>
                <w:color w:val="auto"/>
                <w:sz w:val="24"/>
              </w:rPr>
              <w:t>危险废物暂存间</w:t>
            </w:r>
            <w:r>
              <w:rPr>
                <w:rFonts w:hint="eastAsia"/>
                <w:color w:val="auto"/>
                <w:sz w:val="24"/>
              </w:rPr>
              <w:t>均采取</w:t>
            </w:r>
            <w:r>
              <w:rPr>
                <w:color w:val="auto"/>
                <w:sz w:val="24"/>
              </w:rPr>
              <w:t>严格的防渗措施，并设置堵截泄漏的裙脚，油类物质无入渗地下水的通道；油类物质泄漏排放遇到明火发生火灾，但油类物质着火点相对较高，且</w:t>
            </w:r>
            <w:r>
              <w:rPr>
                <w:rFonts w:hint="eastAsia"/>
                <w:color w:val="auto"/>
                <w:sz w:val="24"/>
              </w:rPr>
              <w:t>生产车间内润滑油储存区及</w:t>
            </w:r>
            <w:r>
              <w:rPr>
                <w:color w:val="auto"/>
                <w:sz w:val="24"/>
              </w:rPr>
              <w:t>危险废物暂存间内无明火产生，因此油类物质泄漏发生次生危害的概率极小</w:t>
            </w:r>
            <w:r>
              <w:rPr>
                <w:rFonts w:hint="eastAsia"/>
                <w:color w:val="auto"/>
                <w:sz w:val="24"/>
              </w:rPr>
              <w:t>。</w:t>
            </w:r>
          </w:p>
          <w:p>
            <w:pPr>
              <w:spacing w:line="480" w:lineRule="exact"/>
              <w:ind w:firstLine="480" w:firstLineChars="200"/>
              <w:rPr>
                <w:color w:val="auto"/>
                <w:sz w:val="24"/>
              </w:rPr>
            </w:pPr>
            <w:r>
              <w:rPr>
                <w:rFonts w:hint="eastAsia"/>
                <w:color w:val="auto"/>
                <w:sz w:val="24"/>
              </w:rPr>
              <w:t>（4）</w:t>
            </w:r>
            <w:r>
              <w:rPr>
                <w:color w:val="auto"/>
                <w:sz w:val="24"/>
              </w:rPr>
              <w:t>环境风险管理</w:t>
            </w:r>
          </w:p>
          <w:p>
            <w:pPr>
              <w:spacing w:line="480" w:lineRule="exact"/>
              <w:ind w:firstLine="480" w:firstLineChars="200"/>
              <w:rPr>
                <w:color w:val="auto"/>
                <w:sz w:val="24"/>
              </w:rPr>
            </w:pPr>
            <w:r>
              <w:rPr>
                <w:color w:val="auto"/>
                <w:sz w:val="24"/>
              </w:rPr>
              <w:t>风险管理目标是采用最低合理可行原则管控环境风险。采取的环境风险防范措施应与社会经济技术发展水平相适应，运用科学的技术手段和管理方法对环境风险进行有效地预防、监控、响应。</w:t>
            </w:r>
          </w:p>
          <w:p>
            <w:pPr>
              <w:spacing w:line="480" w:lineRule="exact"/>
              <w:ind w:firstLine="480" w:firstLineChars="200"/>
              <w:rPr>
                <w:color w:val="auto"/>
                <w:sz w:val="24"/>
              </w:rPr>
            </w:pPr>
            <w:r>
              <w:rPr>
                <w:color w:val="auto"/>
                <w:sz w:val="24"/>
              </w:rPr>
              <w:t>①大气环境风险防范措施</w:t>
            </w:r>
          </w:p>
          <w:p>
            <w:pPr>
              <w:spacing w:line="480" w:lineRule="exact"/>
              <w:ind w:firstLine="480" w:firstLineChars="200"/>
              <w:rPr>
                <w:color w:val="auto"/>
                <w:sz w:val="24"/>
              </w:rPr>
            </w:pPr>
            <w:r>
              <w:rPr>
                <w:color w:val="auto"/>
                <w:sz w:val="24"/>
              </w:rPr>
              <w:t>项目油类物质泄漏排放遇到明火发生火灾，可能会对周边大气环境产生影响，但油类物质着火点相对较高，且</w:t>
            </w:r>
            <w:r>
              <w:rPr>
                <w:rFonts w:hint="eastAsia"/>
                <w:color w:val="auto"/>
                <w:sz w:val="24"/>
              </w:rPr>
              <w:t>生产车间内润滑油储存区及</w:t>
            </w:r>
            <w:r>
              <w:rPr>
                <w:color w:val="auto"/>
                <w:sz w:val="24"/>
              </w:rPr>
              <w:t>危险废物暂存间由专人进行看管并配备了灭火器、消防沙等灭火设备，若发生泄漏或火灾，可在第一时间发现并进行处理，因此油类物质泄漏发生次生危害的概率极小，不会对大气环境产生明显影响。</w:t>
            </w:r>
          </w:p>
          <w:p>
            <w:pPr>
              <w:spacing w:line="480" w:lineRule="exact"/>
              <w:ind w:firstLine="480" w:firstLineChars="200"/>
              <w:rPr>
                <w:color w:val="auto"/>
                <w:sz w:val="24"/>
              </w:rPr>
            </w:pPr>
            <w:r>
              <w:rPr>
                <w:color w:val="auto"/>
                <w:sz w:val="24"/>
              </w:rPr>
              <w:t>②地表水环境风险防范措施</w:t>
            </w:r>
          </w:p>
          <w:p>
            <w:pPr>
              <w:spacing w:line="480" w:lineRule="exact"/>
              <w:ind w:firstLine="480" w:firstLineChars="200"/>
              <w:rPr>
                <w:color w:val="auto"/>
                <w:sz w:val="24"/>
              </w:rPr>
            </w:pPr>
            <w:r>
              <w:rPr>
                <w:rFonts w:hint="eastAsia"/>
                <w:color w:val="auto"/>
                <w:sz w:val="24"/>
              </w:rPr>
              <w:t>生产车间内润滑油储存区及</w:t>
            </w:r>
            <w:r>
              <w:rPr>
                <w:color w:val="auto"/>
                <w:sz w:val="24"/>
              </w:rPr>
              <w:t>危险废物暂存间</w:t>
            </w:r>
            <w:r>
              <w:rPr>
                <w:rFonts w:hint="eastAsia"/>
                <w:color w:val="auto"/>
                <w:sz w:val="24"/>
              </w:rPr>
              <w:t>均</w:t>
            </w:r>
            <w:r>
              <w:rPr>
                <w:rFonts w:hint="eastAsia" w:ascii="宋体" w:hAnsi="宋体" w:cs="宋体"/>
                <w:color w:val="auto"/>
                <w:sz w:val="24"/>
              </w:rPr>
              <w:t>采取有效防腐防渗措施，危险废物暂存间设置有隔断、导流槽、围堰、收集井等风险防范措施，泄漏油类物质经截流沟围截进入收集井，泵送入备用存储桶后及时送有资质的危险废物处置单位处置，可确保事故状态下油类物质不会泄漏至外环境，不会对区域地表水产生污染影响</w:t>
            </w:r>
            <w:r>
              <w:rPr>
                <w:color w:val="auto"/>
                <w:sz w:val="24"/>
              </w:rPr>
              <w:t>。</w:t>
            </w:r>
          </w:p>
          <w:p>
            <w:pPr>
              <w:spacing w:line="480" w:lineRule="exact"/>
              <w:ind w:firstLine="480" w:firstLineChars="200"/>
              <w:rPr>
                <w:color w:val="auto"/>
                <w:sz w:val="24"/>
              </w:rPr>
            </w:pPr>
            <w:r>
              <w:rPr>
                <w:color w:val="auto"/>
                <w:sz w:val="24"/>
              </w:rPr>
              <w:t>③地下水环境风险防范措施</w:t>
            </w:r>
          </w:p>
          <w:p>
            <w:pPr>
              <w:spacing w:line="480" w:lineRule="exact"/>
              <w:ind w:firstLine="480" w:firstLineChars="200"/>
              <w:rPr>
                <w:color w:val="auto"/>
                <w:sz w:val="24"/>
              </w:rPr>
            </w:pPr>
            <w:r>
              <w:rPr>
                <w:color w:val="auto"/>
                <w:sz w:val="24"/>
              </w:rPr>
              <w:t>a.源头控制措施</w:t>
            </w:r>
          </w:p>
          <w:p>
            <w:pPr>
              <w:spacing w:line="480" w:lineRule="exact"/>
              <w:ind w:firstLine="480" w:firstLineChars="200"/>
              <w:rPr>
                <w:color w:val="auto"/>
                <w:sz w:val="24"/>
              </w:rPr>
            </w:pPr>
            <w:r>
              <w:rPr>
                <w:color w:val="auto"/>
                <w:sz w:val="24"/>
              </w:rPr>
              <w:t>本项目对</w:t>
            </w:r>
            <w:r>
              <w:rPr>
                <w:rFonts w:hint="eastAsia"/>
                <w:color w:val="auto"/>
                <w:sz w:val="24"/>
              </w:rPr>
              <w:t>风险区域进行</w:t>
            </w:r>
            <w:r>
              <w:rPr>
                <w:color w:val="auto"/>
                <w:sz w:val="24"/>
              </w:rPr>
              <w:t>严格</w:t>
            </w:r>
            <w:r>
              <w:rPr>
                <w:rFonts w:hint="eastAsia"/>
                <w:color w:val="auto"/>
                <w:sz w:val="24"/>
              </w:rPr>
              <w:t>排查</w:t>
            </w:r>
            <w:r>
              <w:rPr>
                <w:color w:val="auto"/>
                <w:sz w:val="24"/>
              </w:rPr>
              <w:t>，有质量问题的及时更换，</w:t>
            </w:r>
            <w:r>
              <w:rPr>
                <w:rFonts w:hint="eastAsia"/>
                <w:color w:val="auto"/>
                <w:sz w:val="24"/>
              </w:rPr>
              <w:t>盛装容器</w:t>
            </w:r>
            <w:r>
              <w:rPr>
                <w:color w:val="auto"/>
                <w:sz w:val="24"/>
              </w:rPr>
              <w:t>采用优质耐腐蚀材料制成的产品。对项目</w:t>
            </w:r>
            <w:r>
              <w:rPr>
                <w:rFonts w:hint="eastAsia"/>
                <w:color w:val="auto"/>
                <w:sz w:val="24"/>
              </w:rPr>
              <w:t>生产车间内润滑油储存区及</w:t>
            </w:r>
            <w:r>
              <w:rPr>
                <w:color w:val="auto"/>
                <w:sz w:val="24"/>
              </w:rPr>
              <w:t>危险废物暂存间等采取相应的物料控制措施，便于发现污染物的跑、冒、滴、漏，将污染物泄漏的环境风险事故降至最低限度。</w:t>
            </w:r>
          </w:p>
          <w:p>
            <w:pPr>
              <w:spacing w:line="480" w:lineRule="exact"/>
              <w:ind w:firstLine="480" w:firstLineChars="200"/>
              <w:rPr>
                <w:color w:val="auto"/>
                <w:sz w:val="24"/>
              </w:rPr>
            </w:pPr>
            <w:r>
              <w:rPr>
                <w:color w:val="auto"/>
                <w:sz w:val="24"/>
              </w:rPr>
              <w:t>b.分区防控措施</w:t>
            </w:r>
          </w:p>
          <w:p>
            <w:pPr>
              <w:spacing w:line="480" w:lineRule="exact"/>
              <w:ind w:firstLine="480" w:firstLineChars="200"/>
              <w:rPr>
                <w:bCs/>
                <w:color w:val="auto"/>
                <w:sz w:val="24"/>
              </w:rPr>
            </w:pPr>
            <w:r>
              <w:rPr>
                <w:color w:val="auto"/>
                <w:sz w:val="24"/>
              </w:rPr>
              <w:t>为避免</w:t>
            </w:r>
            <w:r>
              <w:rPr>
                <w:rFonts w:hint="eastAsia"/>
                <w:color w:val="auto"/>
                <w:sz w:val="24"/>
              </w:rPr>
              <w:t>油类物质</w:t>
            </w:r>
            <w:r>
              <w:rPr>
                <w:color w:val="auto"/>
                <w:sz w:val="24"/>
              </w:rPr>
              <w:t>对地下水造成污染影响，采取了分区防渗措施</w:t>
            </w:r>
            <w:r>
              <w:rPr>
                <w:bCs/>
                <w:color w:val="auto"/>
                <w:sz w:val="24"/>
              </w:rPr>
              <w:t>如下：</w:t>
            </w:r>
          </w:p>
          <w:p>
            <w:pPr>
              <w:spacing w:line="480" w:lineRule="exact"/>
              <w:ind w:firstLine="480" w:firstLineChars="200"/>
              <w:rPr>
                <w:color w:val="auto"/>
                <w:sz w:val="24"/>
              </w:rPr>
            </w:pPr>
            <w:r>
              <w:rPr>
                <w:rFonts w:hint="eastAsia"/>
                <w:color w:val="auto"/>
                <w:sz w:val="24"/>
              </w:rPr>
              <w:t>厂区内防渗情况应该分为重点防治区、一般防治区和简单防渗区。</w:t>
            </w:r>
          </w:p>
          <w:p>
            <w:pPr>
              <w:spacing w:line="480" w:lineRule="exact"/>
              <w:ind w:firstLine="480" w:firstLineChars="200"/>
              <w:rPr>
                <w:color w:val="auto"/>
                <w:sz w:val="24"/>
              </w:rPr>
            </w:pPr>
            <w:r>
              <w:rPr>
                <w:rFonts w:hint="eastAsia"/>
                <w:color w:val="auto"/>
                <w:sz w:val="24"/>
              </w:rPr>
              <w:t>重点防渗区（生产车间内润滑油储存区及</w:t>
            </w:r>
            <w:r>
              <w:rPr>
                <w:color w:val="auto"/>
                <w:sz w:val="24"/>
              </w:rPr>
              <w:t>危险废物暂存间</w:t>
            </w:r>
            <w:r>
              <w:rPr>
                <w:rFonts w:hint="eastAsia"/>
                <w:color w:val="auto"/>
                <w:sz w:val="24"/>
              </w:rPr>
              <w:t>）防渗技术要求：等效黏土防渗层Mb≥6.0m；K≤1×10</w:t>
            </w:r>
            <w:r>
              <w:rPr>
                <w:rFonts w:hint="eastAsia"/>
                <w:color w:val="auto"/>
                <w:sz w:val="24"/>
                <w:vertAlign w:val="superscript"/>
              </w:rPr>
              <w:t>-10</w:t>
            </w:r>
            <w:r>
              <w:rPr>
                <w:rFonts w:hint="eastAsia"/>
                <w:color w:val="auto"/>
                <w:sz w:val="24"/>
              </w:rPr>
              <w:t>cm/s。</w:t>
            </w:r>
          </w:p>
          <w:p>
            <w:pPr>
              <w:spacing w:line="480" w:lineRule="exact"/>
              <w:ind w:firstLine="480" w:firstLineChars="200"/>
              <w:rPr>
                <w:color w:val="auto"/>
                <w:sz w:val="24"/>
              </w:rPr>
            </w:pPr>
            <w:r>
              <w:rPr>
                <w:rFonts w:hint="eastAsia"/>
                <w:color w:val="auto"/>
                <w:sz w:val="24"/>
              </w:rPr>
              <w:t>一般防渗区（生产车间）防渗技术要求：等效黏土防渗层Mb≥1.5m；K≤1×10</w:t>
            </w:r>
            <w:r>
              <w:rPr>
                <w:rFonts w:hint="eastAsia"/>
                <w:color w:val="auto"/>
                <w:sz w:val="24"/>
                <w:vertAlign w:val="superscript"/>
              </w:rPr>
              <w:t>-7</w:t>
            </w:r>
            <w:r>
              <w:rPr>
                <w:rFonts w:hint="eastAsia"/>
                <w:color w:val="auto"/>
                <w:sz w:val="24"/>
              </w:rPr>
              <w:t>cm/s，</w:t>
            </w:r>
          </w:p>
          <w:p>
            <w:pPr>
              <w:spacing w:line="480" w:lineRule="exact"/>
              <w:ind w:firstLine="480" w:firstLineChars="200"/>
              <w:rPr>
                <w:color w:val="auto"/>
                <w:sz w:val="24"/>
              </w:rPr>
            </w:pPr>
            <w:r>
              <w:rPr>
                <w:rFonts w:hint="eastAsia"/>
                <w:color w:val="auto"/>
                <w:sz w:val="24"/>
              </w:rPr>
              <w:t>简单防渗区：其它区域均为简单防渗区，一般地面硬化即可。</w:t>
            </w:r>
          </w:p>
          <w:p>
            <w:pPr>
              <w:spacing w:line="480" w:lineRule="exact"/>
              <w:ind w:firstLine="480" w:firstLineChars="200"/>
              <w:rPr>
                <w:color w:val="auto"/>
                <w:sz w:val="24"/>
              </w:rPr>
            </w:pPr>
            <w:r>
              <w:rPr>
                <w:color w:val="auto"/>
                <w:sz w:val="24"/>
              </w:rPr>
              <w:t>④人员疏散通道及安置厂址</w:t>
            </w:r>
          </w:p>
          <w:p>
            <w:pPr>
              <w:spacing w:line="480" w:lineRule="exact"/>
              <w:ind w:firstLine="480" w:firstLineChars="200"/>
              <w:rPr>
                <w:color w:val="auto"/>
                <w:sz w:val="24"/>
              </w:rPr>
            </w:pPr>
            <w:r>
              <w:rPr>
                <w:color w:val="auto"/>
                <w:sz w:val="24"/>
              </w:rPr>
              <w:t>结合气象条件及区域道路制定人员疏散通道，一旦发生重大风险事故，应立即停产，立即通知下风向各敏感点，有效组织人员疏散并进行安置，并迅速启动应急预案，通知环境监测部门进驻事故现场，在现场周围布点监测，掌握事故情况下空气环境恶化状况。</w:t>
            </w:r>
          </w:p>
          <w:p>
            <w:pPr>
              <w:spacing w:line="480" w:lineRule="exact"/>
              <w:ind w:firstLine="480" w:firstLineChars="200"/>
              <w:rPr>
                <w:color w:val="auto"/>
                <w:sz w:val="24"/>
              </w:rPr>
            </w:pPr>
            <w:r>
              <w:rPr>
                <w:color w:val="auto"/>
                <w:sz w:val="24"/>
              </w:rPr>
              <w:t>⑤环境风险应急预案</w:t>
            </w:r>
          </w:p>
          <w:p>
            <w:pPr>
              <w:spacing w:line="480" w:lineRule="exact"/>
              <w:ind w:firstLine="480" w:firstLineChars="200"/>
              <w:rPr>
                <w:color w:val="auto"/>
                <w:sz w:val="24"/>
              </w:rPr>
            </w:pPr>
            <w:r>
              <w:rPr>
                <w:color w:val="auto"/>
                <w:sz w:val="24"/>
              </w:rPr>
              <w:t>本评价建议结合本项目所涉及到的风险源，编制突发环境事件应急预案。</w:t>
            </w:r>
          </w:p>
          <w:p>
            <w:pPr>
              <w:spacing w:line="480" w:lineRule="exact"/>
              <w:ind w:firstLine="480" w:firstLineChars="200"/>
              <w:rPr>
                <w:color w:val="auto"/>
                <w:sz w:val="24"/>
              </w:rPr>
            </w:pPr>
            <w:r>
              <w:rPr>
                <w:rFonts w:hint="eastAsia"/>
                <w:color w:val="auto"/>
                <w:sz w:val="24"/>
              </w:rPr>
              <w:t>（5）</w:t>
            </w:r>
            <w:r>
              <w:rPr>
                <w:color w:val="auto"/>
                <w:sz w:val="24"/>
              </w:rPr>
              <w:t>评价结论及建议</w:t>
            </w:r>
          </w:p>
          <w:p>
            <w:pPr>
              <w:spacing w:line="480" w:lineRule="exact"/>
              <w:ind w:firstLine="480" w:firstLineChars="200"/>
              <w:rPr>
                <w:color w:val="auto"/>
                <w:sz w:val="24"/>
              </w:rPr>
            </w:pPr>
            <w:r>
              <w:rPr>
                <w:rFonts w:hint="eastAsia" w:ascii="宋体" w:hAnsi="宋体" w:cs="宋体"/>
                <w:color w:val="auto"/>
                <w:sz w:val="24"/>
              </w:rPr>
              <w:t>①</w:t>
            </w:r>
            <w:r>
              <w:rPr>
                <w:color w:val="auto"/>
                <w:sz w:val="24"/>
              </w:rPr>
              <w:t>项目危险因素</w:t>
            </w:r>
          </w:p>
          <w:p>
            <w:pPr>
              <w:spacing w:line="480" w:lineRule="exact"/>
              <w:ind w:firstLine="480" w:firstLineChars="200"/>
              <w:rPr>
                <w:color w:val="auto"/>
                <w:sz w:val="24"/>
              </w:rPr>
            </w:pPr>
            <w:r>
              <w:rPr>
                <w:color w:val="auto"/>
                <w:sz w:val="24"/>
              </w:rPr>
              <w:t>本项目主要风险物质</w:t>
            </w:r>
            <w:r>
              <w:rPr>
                <w:rFonts w:hint="eastAsia"/>
                <w:color w:val="auto"/>
                <w:sz w:val="24"/>
              </w:rPr>
              <w:t>为油类物质</w:t>
            </w:r>
            <w:r>
              <w:rPr>
                <w:color w:val="auto"/>
                <w:sz w:val="24"/>
              </w:rPr>
              <w:t>，风险物质主要分布在</w:t>
            </w:r>
            <w:r>
              <w:rPr>
                <w:rFonts w:hint="eastAsia"/>
                <w:color w:val="auto"/>
                <w:sz w:val="24"/>
              </w:rPr>
              <w:t>生产车间内润滑油储存区及</w:t>
            </w:r>
            <w:r>
              <w:rPr>
                <w:color w:val="auto"/>
                <w:sz w:val="24"/>
              </w:rPr>
              <w:t>危险废物暂存间。针对本项目危险因素，建设单位按照《建筑设计防火规范》(GB50016-2006)和其它安全卫生规范的要求，</w:t>
            </w:r>
            <w:r>
              <w:rPr>
                <w:rFonts w:hint="eastAsia"/>
                <w:color w:val="auto"/>
                <w:sz w:val="24"/>
              </w:rPr>
              <w:t>进行</w:t>
            </w:r>
            <w:r>
              <w:rPr>
                <w:color w:val="auto"/>
                <w:sz w:val="24"/>
              </w:rPr>
              <w:t>了平面布局，实现事故状态下危险单元能够与其他危险单元的分割，降低环境风险。</w:t>
            </w:r>
          </w:p>
          <w:p>
            <w:pPr>
              <w:spacing w:line="480" w:lineRule="exact"/>
              <w:ind w:firstLine="480" w:firstLineChars="200"/>
              <w:rPr>
                <w:color w:val="auto"/>
                <w:sz w:val="24"/>
              </w:rPr>
            </w:pPr>
            <w:r>
              <w:rPr>
                <w:rFonts w:hint="eastAsia" w:ascii="宋体" w:hAnsi="宋体" w:cs="宋体"/>
                <w:color w:val="auto"/>
                <w:sz w:val="24"/>
              </w:rPr>
              <w:t>②</w:t>
            </w:r>
            <w:r>
              <w:rPr>
                <w:color w:val="auto"/>
                <w:sz w:val="24"/>
              </w:rPr>
              <w:t>环境敏感性与事故环境影响</w:t>
            </w:r>
          </w:p>
          <w:p>
            <w:pPr>
              <w:spacing w:line="480" w:lineRule="exact"/>
              <w:ind w:firstLine="480" w:firstLineChars="200"/>
              <w:rPr>
                <w:color w:val="auto"/>
                <w:sz w:val="24"/>
              </w:rPr>
            </w:pPr>
            <w:r>
              <w:rPr>
                <w:color w:val="auto"/>
                <w:sz w:val="24"/>
              </w:rPr>
              <w:t>根据风险分析内容，分别提出了大气环境、地表水环境、地下水环境风险保护措施及要求。</w:t>
            </w:r>
          </w:p>
          <w:p>
            <w:pPr>
              <w:spacing w:line="480" w:lineRule="exact"/>
              <w:ind w:firstLine="480" w:firstLineChars="200"/>
              <w:rPr>
                <w:color w:val="auto"/>
                <w:sz w:val="24"/>
              </w:rPr>
            </w:pPr>
            <w:r>
              <w:rPr>
                <w:rFonts w:hint="eastAsia" w:ascii="宋体" w:hAnsi="宋体" w:cs="宋体"/>
                <w:color w:val="auto"/>
                <w:sz w:val="24"/>
              </w:rPr>
              <w:t>③</w:t>
            </w:r>
            <w:r>
              <w:rPr>
                <w:color w:val="auto"/>
                <w:sz w:val="24"/>
              </w:rPr>
              <w:t>环境风险防范措施和应急预案</w:t>
            </w:r>
          </w:p>
          <w:p>
            <w:pPr>
              <w:spacing w:line="480" w:lineRule="exact"/>
              <w:ind w:firstLine="480" w:firstLineChars="200"/>
              <w:rPr>
                <w:color w:val="auto"/>
                <w:sz w:val="24"/>
              </w:rPr>
            </w:pPr>
            <w:r>
              <w:rPr>
                <w:color w:val="auto"/>
                <w:sz w:val="24"/>
              </w:rPr>
              <w:t>针对本项目可能存在</w:t>
            </w:r>
            <w:r>
              <w:rPr>
                <w:color w:val="auto"/>
                <w:sz w:val="24"/>
                <w:lang w:val="zh-CN"/>
              </w:rPr>
              <w:t>环境</w:t>
            </w:r>
            <w:r>
              <w:rPr>
                <w:color w:val="auto"/>
                <w:sz w:val="24"/>
              </w:rPr>
              <w:t>风险事故情形，分别采取了大气、地表水和地下水环境风险防范措施，提出了突发环境事件应急预案编制要求。</w:t>
            </w:r>
          </w:p>
          <w:p>
            <w:pPr>
              <w:spacing w:line="480" w:lineRule="exact"/>
              <w:ind w:firstLine="480" w:firstLineChars="200"/>
              <w:rPr>
                <w:color w:val="auto"/>
                <w:sz w:val="24"/>
              </w:rPr>
            </w:pPr>
            <w:r>
              <w:rPr>
                <w:rFonts w:hint="eastAsia" w:ascii="宋体" w:hAnsi="宋体" w:cs="宋体"/>
                <w:color w:val="auto"/>
                <w:sz w:val="24"/>
              </w:rPr>
              <w:t>④</w:t>
            </w:r>
            <w:r>
              <w:rPr>
                <w:color w:val="auto"/>
                <w:sz w:val="24"/>
              </w:rPr>
              <w:t>环境风险评价结论与建议</w:t>
            </w:r>
          </w:p>
          <w:p>
            <w:pPr>
              <w:widowControl/>
              <w:snapToGrid w:val="0"/>
              <w:spacing w:line="500" w:lineRule="exact"/>
              <w:ind w:firstLine="480" w:firstLineChars="200"/>
              <w:rPr>
                <w:color w:val="auto"/>
                <w:sz w:val="24"/>
              </w:rPr>
            </w:pPr>
            <w:r>
              <w:rPr>
                <w:color w:val="auto"/>
                <w:sz w:val="24"/>
              </w:rPr>
              <w:t>综合环境风险评价工作过程，本项目环境风险可防控，建设单位应针对环境风险事故采取多种防范措施。建议企业强化管理意识，通过加强事故应急演练增强风险防范能力</w:t>
            </w:r>
            <w:r>
              <w:rPr>
                <w:rFonts w:hint="eastAsia"/>
                <w:color w:val="auto"/>
                <w:sz w:val="24"/>
              </w:rPr>
              <w:t>。</w:t>
            </w:r>
          </w:p>
          <w:p>
            <w:pPr>
              <w:spacing w:line="500" w:lineRule="exact"/>
              <w:ind w:firstLine="480" w:firstLineChars="200"/>
              <w:rPr>
                <w:color w:val="auto"/>
                <w:sz w:val="24"/>
              </w:rPr>
            </w:pPr>
          </w:p>
          <w:p>
            <w:pPr>
              <w:spacing w:line="500" w:lineRule="exact"/>
              <w:ind w:firstLine="480" w:firstLineChars="200"/>
              <w:rPr>
                <w:color w:val="auto"/>
                <w:sz w:val="24"/>
              </w:rPr>
            </w:pPr>
          </w:p>
          <w:p>
            <w:pPr>
              <w:widowControl/>
              <w:snapToGrid w:val="0"/>
              <w:spacing w:line="500" w:lineRule="exact"/>
              <w:ind w:firstLine="480" w:firstLineChars="200"/>
              <w:rPr>
                <w:color w:val="auto"/>
                <w:sz w:val="24"/>
              </w:rPr>
            </w:pPr>
          </w:p>
          <w:p>
            <w:pPr>
              <w:spacing w:line="500" w:lineRule="exact"/>
              <w:ind w:firstLine="480" w:firstLineChars="200"/>
              <w:rPr>
                <w:color w:val="auto"/>
                <w:sz w:val="24"/>
              </w:rPr>
            </w:pPr>
          </w:p>
          <w:p>
            <w:pPr>
              <w:spacing w:line="500" w:lineRule="exact"/>
              <w:ind w:firstLine="480" w:firstLineChars="200"/>
              <w:rPr>
                <w:color w:val="auto"/>
                <w:sz w:val="24"/>
              </w:rPr>
            </w:pPr>
          </w:p>
          <w:p>
            <w:pPr>
              <w:spacing w:line="500" w:lineRule="exact"/>
              <w:ind w:firstLine="480" w:firstLineChars="200"/>
              <w:rPr>
                <w:color w:val="auto"/>
                <w:sz w:val="24"/>
              </w:rPr>
            </w:pPr>
          </w:p>
          <w:p>
            <w:pPr>
              <w:widowControl/>
              <w:snapToGrid w:val="0"/>
              <w:spacing w:line="500" w:lineRule="exact"/>
              <w:ind w:firstLine="480" w:firstLineChars="200"/>
              <w:rPr>
                <w:color w:val="auto"/>
                <w:sz w:val="24"/>
              </w:rPr>
            </w:pPr>
          </w:p>
          <w:p>
            <w:pPr>
              <w:spacing w:line="500" w:lineRule="exact"/>
              <w:ind w:firstLine="480" w:firstLineChars="200"/>
              <w:rPr>
                <w:color w:val="auto"/>
                <w:sz w:val="24"/>
              </w:rPr>
            </w:pPr>
          </w:p>
          <w:p>
            <w:pPr>
              <w:widowControl/>
              <w:snapToGrid w:val="0"/>
              <w:spacing w:line="500" w:lineRule="exact"/>
              <w:ind w:firstLine="480" w:firstLineChars="200"/>
              <w:rPr>
                <w:color w:val="auto"/>
                <w:sz w:val="24"/>
              </w:rPr>
            </w:pPr>
          </w:p>
          <w:p>
            <w:pPr>
              <w:spacing w:line="500" w:lineRule="exact"/>
              <w:ind w:firstLine="480" w:firstLineChars="200"/>
              <w:rPr>
                <w:color w:val="auto"/>
                <w:sz w:val="24"/>
              </w:rPr>
            </w:pPr>
          </w:p>
          <w:p>
            <w:pPr>
              <w:spacing w:line="500" w:lineRule="exact"/>
              <w:ind w:firstLine="480" w:firstLineChars="200"/>
              <w:rPr>
                <w:color w:val="auto"/>
                <w:sz w:val="24"/>
              </w:rPr>
            </w:pPr>
          </w:p>
          <w:p>
            <w:pPr>
              <w:widowControl/>
              <w:snapToGrid w:val="0"/>
              <w:spacing w:line="500" w:lineRule="exact"/>
              <w:ind w:firstLine="480" w:firstLineChars="200"/>
              <w:rPr>
                <w:color w:val="auto"/>
                <w:sz w:val="24"/>
              </w:rPr>
            </w:pPr>
          </w:p>
          <w:p>
            <w:pPr>
              <w:spacing w:line="500" w:lineRule="exact"/>
              <w:ind w:firstLine="480" w:firstLineChars="200"/>
              <w:rPr>
                <w:color w:val="auto"/>
                <w:sz w:val="24"/>
              </w:rPr>
            </w:pPr>
          </w:p>
          <w:p>
            <w:pPr>
              <w:widowControl/>
              <w:snapToGrid w:val="0"/>
              <w:spacing w:line="500" w:lineRule="exact"/>
              <w:ind w:firstLine="480" w:firstLineChars="200"/>
              <w:rPr>
                <w:color w:val="auto"/>
                <w:sz w:val="24"/>
              </w:rPr>
            </w:pPr>
          </w:p>
          <w:p>
            <w:pPr>
              <w:widowControl/>
              <w:snapToGrid w:val="0"/>
              <w:spacing w:line="500" w:lineRule="exact"/>
              <w:ind w:firstLine="480" w:firstLineChars="200"/>
              <w:rPr>
                <w:color w:val="auto"/>
                <w:sz w:val="24"/>
              </w:rPr>
            </w:pPr>
          </w:p>
          <w:p>
            <w:pPr>
              <w:spacing w:line="500" w:lineRule="exact"/>
              <w:ind w:firstLine="480" w:firstLineChars="200"/>
              <w:rPr>
                <w:color w:val="auto"/>
                <w:sz w:val="24"/>
              </w:rPr>
            </w:pPr>
          </w:p>
          <w:p>
            <w:pPr>
              <w:spacing w:line="500" w:lineRule="exact"/>
              <w:ind w:firstLine="480" w:firstLineChars="200"/>
              <w:rPr>
                <w:color w:val="auto"/>
                <w:sz w:val="24"/>
              </w:rPr>
            </w:pPr>
          </w:p>
          <w:p>
            <w:pPr>
              <w:spacing w:line="500" w:lineRule="exact"/>
              <w:ind w:firstLine="480" w:firstLineChars="200"/>
              <w:rPr>
                <w:color w:val="auto"/>
                <w:sz w:val="24"/>
              </w:rPr>
            </w:pPr>
          </w:p>
          <w:p>
            <w:pPr>
              <w:spacing w:line="500" w:lineRule="exact"/>
              <w:ind w:firstLine="480" w:firstLineChars="200"/>
              <w:rPr>
                <w:color w:val="auto"/>
                <w:sz w:val="24"/>
              </w:rPr>
            </w:pPr>
          </w:p>
          <w:p>
            <w:pPr>
              <w:spacing w:line="500" w:lineRule="exact"/>
              <w:ind w:firstLine="480" w:firstLineChars="200"/>
              <w:rPr>
                <w:color w:val="auto"/>
                <w:sz w:val="24"/>
              </w:rPr>
            </w:pPr>
          </w:p>
          <w:p>
            <w:pPr>
              <w:widowControl/>
              <w:snapToGrid w:val="0"/>
              <w:spacing w:line="500" w:lineRule="exact"/>
              <w:ind w:firstLine="480" w:firstLineChars="200"/>
              <w:rPr>
                <w:color w:val="auto"/>
                <w:sz w:val="24"/>
              </w:rPr>
            </w:pPr>
          </w:p>
          <w:p>
            <w:pPr>
              <w:spacing w:line="500" w:lineRule="exact"/>
              <w:ind w:firstLine="480" w:firstLineChars="200"/>
              <w:rPr>
                <w:color w:val="auto"/>
                <w:sz w:val="24"/>
              </w:rPr>
            </w:pPr>
          </w:p>
          <w:p>
            <w:pPr>
              <w:widowControl/>
              <w:spacing w:line="500" w:lineRule="exact"/>
              <w:rPr>
                <w:rFonts w:eastAsia="黑体"/>
                <w:snapToGrid w:val="0"/>
                <w:color w:val="auto"/>
                <w:sz w:val="30"/>
                <w:szCs w:val="30"/>
              </w:rPr>
            </w:pPr>
          </w:p>
        </w:tc>
      </w:tr>
    </w:tbl>
    <w:p>
      <w:pPr>
        <w:pStyle w:val="29"/>
        <w:jc w:val="center"/>
        <w:outlineLvl w:val="0"/>
        <w:rPr>
          <w:rFonts w:ascii="Times New Roman" w:hAnsi="Times New Roman" w:eastAsia="黑体"/>
          <w:snapToGrid w:val="0"/>
          <w:color w:val="auto"/>
          <w:sz w:val="30"/>
          <w:szCs w:val="30"/>
        </w:rPr>
        <w:sectPr>
          <w:pgSz w:w="11906" w:h="16838"/>
          <w:pgMar w:top="1701" w:right="1531" w:bottom="1701" w:left="1531" w:header="851" w:footer="851" w:gutter="0"/>
          <w:cols w:space="720" w:num="1"/>
          <w:docGrid w:linePitch="312" w:charSpace="0"/>
        </w:sectPr>
      </w:pPr>
    </w:p>
    <w:p>
      <w:pPr>
        <w:pStyle w:val="29"/>
        <w:jc w:val="center"/>
        <w:outlineLvl w:val="0"/>
        <w:rPr>
          <w:rFonts w:ascii="Times New Roman" w:hAnsi="Times New Roman" w:eastAsia="黑体"/>
          <w:snapToGrid w:val="0"/>
          <w:color w:val="auto"/>
          <w:sz w:val="30"/>
          <w:szCs w:val="30"/>
        </w:rPr>
      </w:pPr>
      <w:r>
        <w:rPr>
          <w:rFonts w:ascii="Times New Roman" w:hAnsi="Times New Roman" w:eastAsia="黑体"/>
          <w:snapToGrid w:val="0"/>
          <w:color w:val="auto"/>
          <w:sz w:val="30"/>
          <w:szCs w:val="30"/>
        </w:rPr>
        <w:t>五、</w:t>
      </w:r>
      <w:bookmarkStart w:id="23" w:name="_Hlk54167917"/>
      <w:r>
        <w:rPr>
          <w:rFonts w:ascii="Times New Roman" w:hAnsi="Times New Roman" w:eastAsia="黑体"/>
          <w:snapToGrid w:val="0"/>
          <w:color w:val="auto"/>
          <w:sz w:val="30"/>
          <w:szCs w:val="30"/>
        </w:rPr>
        <w:t>环境保护措施监督检查清单</w:t>
      </w:r>
      <w:bookmarkEnd w:id="19"/>
      <w:bookmarkEnd w:id="20"/>
      <w:bookmarkEnd w:id="23"/>
    </w:p>
    <w:tbl>
      <w:tblPr>
        <w:tblStyle w:val="33"/>
        <w:tblW w:w="1405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80"/>
        <w:gridCol w:w="2432"/>
        <w:gridCol w:w="1237"/>
        <w:gridCol w:w="4816"/>
        <w:gridCol w:w="379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80" w:type="dxa"/>
            <w:tcBorders>
              <w:tl2br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460" w:lineRule="exact"/>
              <w:ind w:firstLine="960" w:firstLineChars="400"/>
              <w:textAlignment w:val="auto"/>
              <w:rPr>
                <w:color w:val="auto"/>
                <w:sz w:val="24"/>
              </w:rPr>
            </w:pPr>
            <w:r>
              <w:rPr>
                <w:color w:val="auto"/>
                <w:sz w:val="24"/>
              </w:rPr>
              <w:t>内容</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color w:val="auto"/>
                <w:sz w:val="24"/>
              </w:rPr>
            </w:pPr>
            <w:r>
              <w:rPr>
                <w:color w:val="auto"/>
                <w:sz w:val="24"/>
              </w:rPr>
              <w:t>要素</w:t>
            </w:r>
          </w:p>
        </w:tc>
        <w:tc>
          <w:tcPr>
            <w:tcW w:w="2432"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color w:val="auto"/>
                <w:sz w:val="24"/>
              </w:rPr>
            </w:pPr>
            <w:r>
              <w:rPr>
                <w:color w:val="auto"/>
                <w:sz w:val="24"/>
              </w:rPr>
              <w:t>排放口(编号、名称)/污染源</w:t>
            </w:r>
          </w:p>
        </w:tc>
        <w:tc>
          <w:tcPr>
            <w:tcW w:w="1237"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color w:val="auto"/>
                <w:sz w:val="24"/>
              </w:rPr>
            </w:pPr>
            <w:r>
              <w:rPr>
                <w:color w:val="auto"/>
                <w:sz w:val="24"/>
              </w:rPr>
              <w:t>污染物项目</w:t>
            </w:r>
          </w:p>
        </w:tc>
        <w:tc>
          <w:tcPr>
            <w:tcW w:w="4816"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color w:val="auto"/>
                <w:sz w:val="24"/>
              </w:rPr>
            </w:pPr>
            <w:r>
              <w:rPr>
                <w:color w:val="auto"/>
                <w:sz w:val="24"/>
              </w:rPr>
              <w:t>环境保护措施</w:t>
            </w:r>
          </w:p>
        </w:tc>
        <w:tc>
          <w:tcPr>
            <w:tcW w:w="3794"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color w:val="auto"/>
                <w:sz w:val="24"/>
              </w:rPr>
            </w:pPr>
            <w:r>
              <w:rPr>
                <w:color w:val="auto"/>
                <w:sz w:val="24"/>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78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color w:val="auto"/>
                <w:sz w:val="24"/>
              </w:rPr>
            </w:pPr>
            <w:r>
              <w:rPr>
                <w:color w:val="auto"/>
                <w:sz w:val="24"/>
              </w:rPr>
              <w:t>大气环境</w:t>
            </w:r>
          </w:p>
        </w:tc>
        <w:tc>
          <w:tcPr>
            <w:tcW w:w="2432" w:type="dxa"/>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color w:val="auto"/>
                <w:sz w:val="24"/>
                <w:szCs w:val="24"/>
              </w:rPr>
            </w:pPr>
            <w:r>
              <w:rPr>
                <w:rFonts w:hint="eastAsia"/>
                <w:color w:val="auto"/>
                <w:sz w:val="24"/>
              </w:rPr>
              <w:t>熔炼</w:t>
            </w:r>
            <w:r>
              <w:rPr>
                <w:color w:val="auto"/>
                <w:sz w:val="24"/>
              </w:rPr>
              <w:t>废气</w:t>
            </w:r>
          </w:p>
        </w:tc>
        <w:tc>
          <w:tcPr>
            <w:tcW w:w="1237" w:type="dxa"/>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color w:val="auto"/>
                <w:sz w:val="24"/>
              </w:rPr>
            </w:pPr>
            <w:r>
              <w:rPr>
                <w:rFonts w:hint="eastAsia"/>
                <w:color w:val="auto"/>
                <w:sz w:val="24"/>
              </w:rPr>
              <w:t>颗粒物≤10</w:t>
            </w:r>
          </w:p>
        </w:tc>
        <w:tc>
          <w:tcPr>
            <w:tcW w:w="4816" w:type="dxa"/>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color w:val="auto"/>
                <w:sz w:val="24"/>
              </w:rPr>
            </w:pPr>
            <w:r>
              <w:rPr>
                <w:rFonts w:hint="eastAsia"/>
                <w:color w:val="auto"/>
                <w:sz w:val="24"/>
              </w:rPr>
              <w:t>废气经集气管道收集送脉冲袋式除尘器</w:t>
            </w:r>
            <w:r>
              <w:rPr>
                <w:rFonts w:hint="eastAsia"/>
                <w:color w:val="auto"/>
                <w:sz w:val="24"/>
                <w:szCs w:val="24"/>
              </w:rPr>
              <w:t>（10000m</w:t>
            </w:r>
            <w:r>
              <w:rPr>
                <w:rFonts w:hint="eastAsia"/>
                <w:color w:val="auto"/>
                <w:sz w:val="24"/>
                <w:szCs w:val="24"/>
                <w:vertAlign w:val="superscript"/>
              </w:rPr>
              <w:t>3</w:t>
            </w:r>
            <w:r>
              <w:rPr>
                <w:rFonts w:hint="eastAsia"/>
                <w:color w:val="auto"/>
                <w:sz w:val="24"/>
                <w:szCs w:val="24"/>
              </w:rPr>
              <w:t>/h）</w:t>
            </w:r>
            <w:r>
              <w:rPr>
                <w:rFonts w:hint="eastAsia"/>
                <w:color w:val="auto"/>
                <w:sz w:val="24"/>
              </w:rPr>
              <w:t>处理后经15m高排气筒（DA001）外排</w:t>
            </w:r>
          </w:p>
        </w:tc>
        <w:tc>
          <w:tcPr>
            <w:tcW w:w="3794"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color w:val="auto"/>
                <w:sz w:val="24"/>
              </w:rPr>
            </w:pPr>
            <w:r>
              <w:rPr>
                <w:rFonts w:hint="eastAsia"/>
                <w:color w:val="auto"/>
                <w:sz w:val="24"/>
              </w:rPr>
              <w:t>《铸造工业大气污染物排放标准》（GB39726-2020）以及《唐山市铸造行业烟气达标治理工作方案》颗粒物排放浓度不高于10mg/m</w:t>
            </w:r>
            <w:r>
              <w:rPr>
                <w:rFonts w:hint="eastAsia"/>
                <w:color w:val="auto"/>
                <w:sz w:val="24"/>
                <w:vertAlign w:val="superscript"/>
              </w:rPr>
              <w:t>3</w:t>
            </w:r>
            <w:r>
              <w:rPr>
                <w:rFonts w:hint="eastAsia"/>
                <w:color w:val="auto"/>
                <w:sz w:val="24"/>
              </w:rPr>
              <w:t>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7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color w:val="auto"/>
                <w:sz w:val="24"/>
              </w:rPr>
            </w:pPr>
          </w:p>
        </w:tc>
        <w:tc>
          <w:tcPr>
            <w:tcW w:w="2432" w:type="dxa"/>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color w:val="auto"/>
                <w:sz w:val="24"/>
              </w:rPr>
            </w:pPr>
            <w:r>
              <w:rPr>
                <w:rFonts w:hint="eastAsia"/>
                <w:color w:val="auto"/>
                <w:sz w:val="24"/>
              </w:rPr>
              <w:t>浇注、混砂、</w:t>
            </w:r>
            <w:r>
              <w:rPr>
                <w:color w:val="auto"/>
                <w:sz w:val="24"/>
              </w:rPr>
              <w:t>砂处理线</w:t>
            </w:r>
            <w:r>
              <w:rPr>
                <w:rFonts w:hint="eastAsia"/>
                <w:color w:val="auto"/>
                <w:sz w:val="24"/>
              </w:rPr>
              <w:t>以及打磨</w:t>
            </w:r>
            <w:r>
              <w:rPr>
                <w:color w:val="auto"/>
                <w:sz w:val="24"/>
              </w:rPr>
              <w:t>含尘</w:t>
            </w:r>
            <w:r>
              <w:rPr>
                <w:rFonts w:hint="eastAsia"/>
                <w:color w:val="auto"/>
                <w:sz w:val="24"/>
              </w:rPr>
              <w:t>顶吸废气</w:t>
            </w:r>
          </w:p>
        </w:tc>
        <w:tc>
          <w:tcPr>
            <w:tcW w:w="1237" w:type="dxa"/>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color w:val="auto"/>
                <w:sz w:val="24"/>
              </w:rPr>
            </w:pPr>
            <w:r>
              <w:rPr>
                <w:rFonts w:hint="eastAsia"/>
                <w:color w:val="auto"/>
                <w:sz w:val="24"/>
              </w:rPr>
              <w:t>颗粒物≤10</w:t>
            </w:r>
          </w:p>
        </w:tc>
        <w:tc>
          <w:tcPr>
            <w:tcW w:w="4816" w:type="dxa"/>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color w:val="auto"/>
                <w:sz w:val="24"/>
              </w:rPr>
            </w:pPr>
            <w:r>
              <w:rPr>
                <w:rFonts w:hint="eastAsia"/>
                <w:color w:val="auto"/>
                <w:sz w:val="24"/>
              </w:rPr>
              <w:t>各工序废气收集管道设分控阀门，风机设变频风机，废气通过集气罩收集送脉冲袋式除尘器（48000m</w:t>
            </w:r>
            <w:r>
              <w:rPr>
                <w:rFonts w:hint="eastAsia"/>
                <w:color w:val="auto"/>
                <w:sz w:val="24"/>
                <w:vertAlign w:val="superscript"/>
              </w:rPr>
              <w:t>3</w:t>
            </w:r>
            <w:r>
              <w:rPr>
                <w:rFonts w:hint="eastAsia"/>
                <w:color w:val="auto"/>
                <w:sz w:val="24"/>
              </w:rPr>
              <w:t>/h）处理后经15m高排气筒（DA002）外排</w:t>
            </w:r>
          </w:p>
        </w:tc>
        <w:tc>
          <w:tcPr>
            <w:tcW w:w="379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color w:val="auto"/>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7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color w:val="auto"/>
                <w:sz w:val="24"/>
              </w:rPr>
            </w:pPr>
          </w:p>
        </w:tc>
        <w:tc>
          <w:tcPr>
            <w:tcW w:w="2432" w:type="dxa"/>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color w:val="auto"/>
                <w:sz w:val="24"/>
              </w:rPr>
            </w:pPr>
            <w:r>
              <w:rPr>
                <w:rFonts w:hint="eastAsia"/>
                <w:color w:val="auto"/>
                <w:sz w:val="24"/>
              </w:rPr>
              <w:t>厂界无组织废气</w:t>
            </w:r>
          </w:p>
        </w:tc>
        <w:tc>
          <w:tcPr>
            <w:tcW w:w="1237" w:type="dxa"/>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color w:val="auto"/>
                <w:sz w:val="24"/>
              </w:rPr>
            </w:pPr>
            <w:r>
              <w:rPr>
                <w:rFonts w:hint="eastAsia"/>
                <w:color w:val="auto"/>
                <w:sz w:val="24"/>
              </w:rPr>
              <w:t>颗粒物≤0.5</w:t>
            </w:r>
          </w:p>
        </w:tc>
        <w:tc>
          <w:tcPr>
            <w:tcW w:w="4816" w:type="dxa"/>
            <w:vMerge w:val="restart"/>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rFonts w:hint="default" w:eastAsia="宋体"/>
                <w:bCs/>
                <w:snapToGrid w:val="0"/>
                <w:color w:val="auto"/>
                <w:kern w:val="0"/>
                <w:sz w:val="24"/>
                <w:lang w:val="en-US" w:eastAsia="zh-CN"/>
              </w:rPr>
            </w:pPr>
            <w:r>
              <w:rPr>
                <w:rFonts w:hint="eastAsia"/>
                <w:color w:val="auto"/>
                <w:sz w:val="24"/>
              </w:rPr>
              <w:t>综合生产车间全封闭，生产时车间出入口处于关闭状态，加强废气收集效率，车间设二次除尘装置；厂区道路硬化，并采取清扫、洒水等措施，保持清洁；生产车间主要出入口等易产生PM排放环节，项目建设完成后安装高清视频监控设施。视频监控数据保存六个月以上主要生产设施与污染防治设施分表计电</w:t>
            </w:r>
            <w:r>
              <w:rPr>
                <w:rFonts w:hint="eastAsia"/>
                <w:color w:val="auto"/>
                <w:sz w:val="24"/>
                <w:lang w:eastAsia="zh-CN"/>
              </w:rPr>
              <w:t>；</w:t>
            </w:r>
            <w:r>
              <w:rPr>
                <w:rFonts w:hint="eastAsia"/>
                <w:color w:val="auto"/>
                <w:sz w:val="24"/>
              </w:rPr>
              <w:t>厂区出入口设置洗车平台</w:t>
            </w:r>
          </w:p>
        </w:tc>
        <w:tc>
          <w:tcPr>
            <w:tcW w:w="3794" w:type="dxa"/>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color w:val="auto"/>
                <w:sz w:val="24"/>
              </w:rPr>
            </w:pPr>
            <w:r>
              <w:rPr>
                <w:rFonts w:hint="eastAsia"/>
                <w:color w:val="auto"/>
                <w:sz w:val="24"/>
              </w:rPr>
              <w:t>《唐山市铸造行业烟气达标治理工作方案》烃限值要求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7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color w:val="auto"/>
                <w:sz w:val="24"/>
              </w:rPr>
            </w:pPr>
          </w:p>
        </w:tc>
        <w:tc>
          <w:tcPr>
            <w:tcW w:w="2432" w:type="dxa"/>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color w:val="auto"/>
                <w:sz w:val="24"/>
              </w:rPr>
            </w:pPr>
            <w:r>
              <w:rPr>
                <w:rFonts w:hint="eastAsia"/>
                <w:color w:val="auto"/>
                <w:sz w:val="24"/>
              </w:rPr>
              <w:t>车间无组织废气</w:t>
            </w:r>
          </w:p>
        </w:tc>
        <w:tc>
          <w:tcPr>
            <w:tcW w:w="1237" w:type="dxa"/>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color w:val="auto"/>
                <w:sz w:val="24"/>
              </w:rPr>
            </w:pPr>
            <w:r>
              <w:rPr>
                <w:rFonts w:hint="eastAsia"/>
                <w:color w:val="auto"/>
                <w:sz w:val="24"/>
              </w:rPr>
              <w:t>颗粒物≤1</w:t>
            </w:r>
          </w:p>
        </w:tc>
        <w:tc>
          <w:tcPr>
            <w:tcW w:w="4816" w:type="dxa"/>
            <w:vMerge w:val="continue"/>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bCs/>
                <w:snapToGrid w:val="0"/>
                <w:color w:val="auto"/>
                <w:kern w:val="0"/>
                <w:sz w:val="24"/>
              </w:rPr>
            </w:pPr>
          </w:p>
        </w:tc>
        <w:tc>
          <w:tcPr>
            <w:tcW w:w="3794" w:type="dxa"/>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color w:val="auto"/>
                <w:sz w:val="24"/>
              </w:rPr>
            </w:pPr>
            <w:r>
              <w:rPr>
                <w:rFonts w:hint="eastAsia"/>
                <w:color w:val="auto"/>
                <w:sz w:val="24"/>
              </w:rPr>
              <w:t>《唐山市铸造行业烟气达标治理工作方案》 熔炼车间边界外1m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78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color w:val="auto"/>
                <w:sz w:val="24"/>
              </w:rPr>
            </w:pPr>
            <w:r>
              <w:rPr>
                <w:color w:val="auto"/>
                <w:sz w:val="24"/>
              </w:rPr>
              <w:t>地表水环境</w:t>
            </w:r>
          </w:p>
        </w:tc>
        <w:tc>
          <w:tcPr>
            <w:tcW w:w="2432" w:type="dxa"/>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color w:val="auto"/>
                <w:sz w:val="24"/>
              </w:rPr>
            </w:pPr>
            <w:r>
              <w:rPr>
                <w:rFonts w:hint="eastAsia"/>
                <w:color w:val="auto"/>
                <w:sz w:val="24"/>
              </w:rPr>
              <w:t>循环冷却水</w:t>
            </w:r>
          </w:p>
        </w:tc>
        <w:tc>
          <w:tcPr>
            <w:tcW w:w="1237" w:type="dxa"/>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color w:val="auto"/>
                <w:sz w:val="24"/>
              </w:rPr>
            </w:pPr>
            <w:r>
              <w:rPr>
                <w:color w:val="auto"/>
                <w:sz w:val="24"/>
              </w:rPr>
              <w:t>SS</w:t>
            </w:r>
          </w:p>
          <w:p>
            <w:pPr>
              <w:keepNext w:val="0"/>
              <w:keepLines w:val="0"/>
              <w:pageBreakBefore w:val="0"/>
              <w:widowControl w:val="0"/>
              <w:kinsoku/>
              <w:wordWrap/>
              <w:overflowPunct/>
              <w:topLinePunct w:val="0"/>
              <w:autoSpaceDE/>
              <w:autoSpaceDN/>
              <w:bidi w:val="0"/>
              <w:spacing w:line="460" w:lineRule="exact"/>
              <w:jc w:val="center"/>
              <w:textAlignment w:val="auto"/>
              <w:rPr>
                <w:color w:val="auto"/>
                <w:sz w:val="24"/>
              </w:rPr>
            </w:pPr>
            <w:r>
              <w:rPr>
                <w:color w:val="auto"/>
                <w:sz w:val="24"/>
              </w:rPr>
              <w:t>COD</w:t>
            </w:r>
          </w:p>
        </w:tc>
        <w:tc>
          <w:tcPr>
            <w:tcW w:w="4816" w:type="dxa"/>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color w:val="auto"/>
                <w:sz w:val="24"/>
              </w:rPr>
            </w:pPr>
            <w:r>
              <w:rPr>
                <w:rFonts w:hint="eastAsia"/>
                <w:color w:val="auto"/>
                <w:sz w:val="24"/>
              </w:rPr>
              <w:t>循环利用，不外排</w:t>
            </w:r>
          </w:p>
        </w:tc>
        <w:tc>
          <w:tcPr>
            <w:tcW w:w="3794"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color w:val="auto"/>
                <w:sz w:val="24"/>
              </w:rPr>
            </w:pPr>
            <w:r>
              <w:rPr>
                <w:rFonts w:hint="eastAsia"/>
                <w:color w:val="auto"/>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7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color w:val="auto"/>
                <w:sz w:val="24"/>
              </w:rPr>
            </w:pPr>
          </w:p>
        </w:tc>
        <w:tc>
          <w:tcPr>
            <w:tcW w:w="2432" w:type="dxa"/>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color w:val="auto"/>
                <w:sz w:val="24"/>
              </w:rPr>
            </w:pPr>
            <w:r>
              <w:rPr>
                <w:color w:val="auto"/>
                <w:sz w:val="24"/>
              </w:rPr>
              <w:t>生活污水</w:t>
            </w:r>
          </w:p>
        </w:tc>
        <w:tc>
          <w:tcPr>
            <w:tcW w:w="1237" w:type="dxa"/>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color w:val="auto"/>
                <w:sz w:val="24"/>
              </w:rPr>
            </w:pPr>
            <w:r>
              <w:rPr>
                <w:color w:val="auto"/>
                <w:sz w:val="24"/>
              </w:rPr>
              <w:t>SS</w:t>
            </w:r>
          </w:p>
          <w:p>
            <w:pPr>
              <w:keepNext w:val="0"/>
              <w:keepLines w:val="0"/>
              <w:pageBreakBefore w:val="0"/>
              <w:widowControl w:val="0"/>
              <w:kinsoku/>
              <w:wordWrap/>
              <w:overflowPunct/>
              <w:topLinePunct w:val="0"/>
              <w:autoSpaceDE/>
              <w:autoSpaceDN/>
              <w:bidi w:val="0"/>
              <w:spacing w:line="460" w:lineRule="exact"/>
              <w:jc w:val="center"/>
              <w:textAlignment w:val="auto"/>
              <w:rPr>
                <w:color w:val="auto"/>
                <w:sz w:val="24"/>
              </w:rPr>
            </w:pPr>
            <w:r>
              <w:rPr>
                <w:color w:val="auto"/>
                <w:sz w:val="24"/>
              </w:rPr>
              <w:t>COD</w:t>
            </w:r>
          </w:p>
        </w:tc>
        <w:tc>
          <w:tcPr>
            <w:tcW w:w="4816" w:type="dxa"/>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color w:val="auto"/>
                <w:sz w:val="24"/>
              </w:rPr>
            </w:pPr>
            <w:r>
              <w:rPr>
                <w:rFonts w:hint="eastAsia"/>
                <w:color w:val="auto"/>
                <w:sz w:val="24"/>
              </w:rPr>
              <w:t>泼洒抑尘不外排</w:t>
            </w:r>
          </w:p>
        </w:tc>
        <w:tc>
          <w:tcPr>
            <w:tcW w:w="3794"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color w:val="auto"/>
                <w:sz w:val="24"/>
              </w:rPr>
            </w:pPr>
            <w:r>
              <w:rPr>
                <w:rFonts w:hint="eastAsia"/>
                <w:color w:val="auto"/>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80"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color w:val="auto"/>
                <w:sz w:val="24"/>
              </w:rPr>
            </w:pPr>
            <w:r>
              <w:rPr>
                <w:color w:val="auto"/>
                <w:sz w:val="24"/>
              </w:rPr>
              <w:t>声环境</w:t>
            </w:r>
          </w:p>
        </w:tc>
        <w:tc>
          <w:tcPr>
            <w:tcW w:w="2432"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cs="宋体"/>
                <w:color w:val="auto"/>
                <w:sz w:val="24"/>
              </w:rPr>
            </w:pPr>
            <w:r>
              <w:rPr>
                <w:rFonts w:hint="eastAsia" w:cs="宋体"/>
                <w:color w:val="auto"/>
                <w:sz w:val="24"/>
              </w:rPr>
              <w:t>电炉、退火炉、砂处理设备、震动脱模、震击式造型机、滚砂机、混砂机、天车、角磨机、风机、空压机等</w:t>
            </w:r>
          </w:p>
        </w:tc>
        <w:tc>
          <w:tcPr>
            <w:tcW w:w="1237"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cs="宋体"/>
                <w:color w:val="auto"/>
                <w:sz w:val="24"/>
              </w:rPr>
            </w:pPr>
            <w:r>
              <w:rPr>
                <w:rFonts w:hint="eastAsia" w:cs="宋体"/>
                <w:color w:val="auto"/>
                <w:sz w:val="24"/>
              </w:rPr>
              <w:t>连续等效A声级</w:t>
            </w:r>
          </w:p>
        </w:tc>
        <w:tc>
          <w:tcPr>
            <w:tcW w:w="4816"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color w:val="auto"/>
                <w:sz w:val="24"/>
              </w:rPr>
            </w:pPr>
            <w:r>
              <w:rPr>
                <w:rFonts w:hint="eastAsia"/>
                <w:color w:val="auto"/>
                <w:sz w:val="24"/>
              </w:rPr>
              <w:t>设备置于单</w:t>
            </w:r>
            <w:r>
              <w:rPr>
                <w:color w:val="auto"/>
                <w:sz w:val="24"/>
              </w:rPr>
              <w:t>层彩钢板结构的封闭</w:t>
            </w:r>
            <w:r>
              <w:rPr>
                <w:rFonts w:hint="eastAsia"/>
                <w:color w:val="auto"/>
                <w:sz w:val="24"/>
              </w:rPr>
              <w:t>库房</w:t>
            </w:r>
            <w:r>
              <w:rPr>
                <w:color w:val="auto"/>
                <w:sz w:val="24"/>
              </w:rPr>
              <w:t>内</w:t>
            </w:r>
            <w:r>
              <w:rPr>
                <w:rFonts w:hint="eastAsia"/>
                <w:color w:val="auto"/>
                <w:sz w:val="24"/>
              </w:rPr>
              <w:t>，设备均加装减振基础，</w:t>
            </w:r>
            <w:r>
              <w:rPr>
                <w:snapToGrid w:val="0"/>
                <w:color w:val="auto"/>
                <w:kern w:val="0"/>
                <w:sz w:val="24"/>
              </w:rPr>
              <w:t>可综合降噪</w:t>
            </w:r>
            <w:r>
              <w:rPr>
                <w:rFonts w:hint="eastAsia"/>
                <w:snapToGrid w:val="0"/>
                <w:color w:val="auto"/>
                <w:kern w:val="0"/>
                <w:sz w:val="24"/>
              </w:rPr>
              <w:t>15</w:t>
            </w:r>
            <w:r>
              <w:rPr>
                <w:snapToGrid w:val="0"/>
                <w:color w:val="auto"/>
                <w:kern w:val="0"/>
                <w:sz w:val="24"/>
              </w:rPr>
              <w:t>dB（A）</w:t>
            </w:r>
          </w:p>
        </w:tc>
        <w:tc>
          <w:tcPr>
            <w:tcW w:w="3794"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color w:val="auto"/>
                <w:sz w:val="24"/>
              </w:rPr>
            </w:pPr>
            <w:r>
              <w:rPr>
                <w:color w:val="auto"/>
                <w:sz w:val="24"/>
              </w:rPr>
              <w:t>厂界噪声</w:t>
            </w:r>
            <w:r>
              <w:rPr>
                <w:rFonts w:hint="eastAsia"/>
                <w:color w:val="auto"/>
                <w:sz w:val="24"/>
              </w:rPr>
              <w:t>贡献值均</w:t>
            </w:r>
            <w:r>
              <w:rPr>
                <w:color w:val="auto"/>
                <w:sz w:val="24"/>
              </w:rPr>
              <w:t>满足《工业企业厂界环境噪声排放标准》（GB12348-2008）</w:t>
            </w:r>
            <w:r>
              <w:rPr>
                <w:rFonts w:hint="eastAsia"/>
                <w:color w:val="auto"/>
                <w:sz w:val="24"/>
              </w:rPr>
              <w:t>2</w:t>
            </w:r>
            <w:r>
              <w:rPr>
                <w:color w:val="auto"/>
                <w:sz w:val="24"/>
              </w:rPr>
              <w:t>类标准限值要求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80"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color w:val="auto"/>
                <w:sz w:val="24"/>
              </w:rPr>
            </w:pPr>
            <w:r>
              <w:rPr>
                <w:color w:val="auto"/>
                <w:sz w:val="24"/>
              </w:rPr>
              <w:t>电磁辐射</w:t>
            </w:r>
          </w:p>
        </w:tc>
        <w:tc>
          <w:tcPr>
            <w:tcW w:w="2432"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color w:val="auto"/>
                <w:sz w:val="24"/>
              </w:rPr>
            </w:pPr>
            <w:r>
              <w:rPr>
                <w:rFonts w:hint="eastAsia"/>
                <w:color w:val="auto"/>
                <w:sz w:val="24"/>
              </w:rPr>
              <w:t>-</w:t>
            </w:r>
          </w:p>
        </w:tc>
        <w:tc>
          <w:tcPr>
            <w:tcW w:w="1237"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color w:val="auto"/>
                <w:sz w:val="24"/>
              </w:rPr>
            </w:pPr>
            <w:r>
              <w:rPr>
                <w:rFonts w:hint="eastAsia"/>
                <w:color w:val="auto"/>
                <w:sz w:val="24"/>
              </w:rPr>
              <w:t>-</w:t>
            </w:r>
          </w:p>
        </w:tc>
        <w:tc>
          <w:tcPr>
            <w:tcW w:w="4816"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color w:val="auto"/>
                <w:sz w:val="24"/>
              </w:rPr>
            </w:pPr>
            <w:r>
              <w:rPr>
                <w:rFonts w:hint="eastAsia"/>
                <w:color w:val="auto"/>
                <w:sz w:val="24"/>
              </w:rPr>
              <w:t>-</w:t>
            </w:r>
          </w:p>
        </w:tc>
        <w:tc>
          <w:tcPr>
            <w:tcW w:w="3794"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color w:val="auto"/>
                <w:sz w:val="24"/>
              </w:rPr>
            </w:pPr>
            <w:r>
              <w:rPr>
                <w:rFonts w:hint="eastAsia"/>
                <w:color w:val="auto"/>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8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color w:val="auto"/>
                <w:sz w:val="24"/>
              </w:rPr>
            </w:pPr>
            <w:r>
              <w:rPr>
                <w:color w:val="auto"/>
                <w:sz w:val="24"/>
              </w:rPr>
              <w:t>固体废物</w:t>
            </w:r>
          </w:p>
        </w:tc>
        <w:tc>
          <w:tcPr>
            <w:tcW w:w="12279"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snapToGrid w:val="0"/>
                <w:color w:val="auto"/>
                <w:kern w:val="0"/>
                <w:sz w:val="24"/>
              </w:rPr>
            </w:pPr>
            <w:r>
              <w:rPr>
                <w:rFonts w:hint="eastAsia"/>
                <w:color w:val="auto"/>
                <w:sz w:val="24"/>
              </w:rPr>
              <w:t>除尘灰集中收集至吨包袋后外售综合利用、熔炼渣集中收集后外售综合利用，切冒口</w:t>
            </w:r>
            <w:r>
              <w:rPr>
                <w:rFonts w:hint="eastAsia"/>
                <w:color w:val="auto"/>
                <w:sz w:val="24"/>
                <w:lang w:val="en-US" w:eastAsia="zh-CN"/>
              </w:rPr>
              <w:t>产生的</w:t>
            </w:r>
            <w:r>
              <w:rPr>
                <w:rFonts w:hint="eastAsia"/>
                <w:color w:val="auto"/>
                <w:sz w:val="24"/>
              </w:rPr>
              <w:t>废铁回用于生产，砂处理产生的废砂吨包袋包装后定期作为原料外售于处理厂家，废布袋定期由厂家回收</w:t>
            </w:r>
            <w:r>
              <w:rPr>
                <w:bCs/>
                <w:snapToGrid w:val="0"/>
                <w:color w:val="auto"/>
                <w:kern w:val="0"/>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color w:val="auto"/>
                <w:sz w:val="24"/>
              </w:rPr>
            </w:pPr>
          </w:p>
        </w:tc>
        <w:tc>
          <w:tcPr>
            <w:tcW w:w="12279"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color w:val="auto"/>
                <w:sz w:val="24"/>
              </w:rPr>
            </w:pPr>
            <w:r>
              <w:rPr>
                <w:rFonts w:hint="eastAsia"/>
                <w:color w:val="auto"/>
                <w:sz w:val="24"/>
              </w:rPr>
              <w:t>废</w:t>
            </w:r>
            <w:r>
              <w:rPr>
                <w:color w:val="auto"/>
                <w:sz w:val="24"/>
              </w:rPr>
              <w:t>矿物油</w:t>
            </w:r>
            <w:r>
              <w:rPr>
                <w:rFonts w:hint="eastAsia"/>
                <w:color w:val="auto"/>
                <w:sz w:val="24"/>
              </w:rPr>
              <w:t>、废油桶暂存于危废间，委托有资质单位处置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80"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color w:val="auto"/>
                <w:sz w:val="24"/>
              </w:rPr>
            </w:pPr>
            <w:r>
              <w:rPr>
                <w:color w:val="auto"/>
                <w:sz w:val="24"/>
              </w:rPr>
              <w:t>土壤及地下水污染防治措施</w:t>
            </w:r>
          </w:p>
        </w:tc>
        <w:tc>
          <w:tcPr>
            <w:tcW w:w="12279" w:type="dxa"/>
            <w:gridSpan w:val="4"/>
            <w:vAlign w:val="center"/>
          </w:tcPr>
          <w:p>
            <w:pPr>
              <w:keepNext w:val="0"/>
              <w:keepLines w:val="0"/>
              <w:pageBreakBefore w:val="0"/>
              <w:widowControl w:val="0"/>
              <w:kinsoku/>
              <w:wordWrap/>
              <w:overflowPunct/>
              <w:topLinePunct w:val="0"/>
              <w:autoSpaceDE/>
              <w:autoSpaceDN/>
              <w:bidi w:val="0"/>
              <w:spacing w:line="460" w:lineRule="exact"/>
              <w:ind w:firstLine="480" w:firstLineChars="200"/>
              <w:textAlignment w:val="auto"/>
              <w:rPr>
                <w:bCs/>
                <w:color w:val="auto"/>
                <w:sz w:val="24"/>
              </w:rPr>
            </w:pPr>
            <w:r>
              <w:rPr>
                <w:color w:val="auto"/>
                <w:sz w:val="24"/>
              </w:rPr>
              <w:t>根据</w:t>
            </w:r>
            <w:r>
              <w:rPr>
                <w:rFonts w:hint="eastAsia"/>
                <w:color w:val="auto"/>
                <w:sz w:val="24"/>
              </w:rPr>
              <w:t>导则</w:t>
            </w:r>
            <w:r>
              <w:rPr>
                <w:color w:val="auto"/>
                <w:sz w:val="24"/>
              </w:rPr>
              <w:t>要求，</w:t>
            </w:r>
            <w:r>
              <w:rPr>
                <w:rFonts w:hint="eastAsia"/>
                <w:color w:val="auto"/>
                <w:sz w:val="24"/>
              </w:rPr>
              <w:t>地下水、土壤</w:t>
            </w:r>
            <w:r>
              <w:rPr>
                <w:bCs/>
                <w:color w:val="auto"/>
                <w:sz w:val="24"/>
              </w:rPr>
              <w:t>防治措施按照</w:t>
            </w:r>
            <w:r>
              <w:rPr>
                <w:rFonts w:hint="eastAsia"/>
                <w:bCs/>
                <w:color w:val="auto"/>
                <w:sz w:val="24"/>
              </w:rPr>
              <w:t>“</w:t>
            </w:r>
            <w:r>
              <w:rPr>
                <w:bCs/>
                <w:color w:val="auto"/>
                <w:sz w:val="24"/>
              </w:rPr>
              <w:t>源头控制、分区防治、污染监控、应急响应</w:t>
            </w:r>
            <w:r>
              <w:rPr>
                <w:rFonts w:hint="eastAsia"/>
                <w:bCs/>
                <w:color w:val="auto"/>
                <w:sz w:val="24"/>
              </w:rPr>
              <w:t>”</w:t>
            </w:r>
            <w:r>
              <w:rPr>
                <w:bCs/>
                <w:color w:val="auto"/>
                <w:sz w:val="24"/>
              </w:rPr>
              <w:t>相结合的原则，从污染物的产生、入渗、扩散、应急响应进行控制，尽可能从源头上减少污染物的产生，防止环境污染，严格按照国家相关规范要求，对工艺、管道、设备、污水储存及处理构</w:t>
            </w:r>
            <w:r>
              <w:rPr>
                <w:rFonts w:hint="eastAsia"/>
                <w:bCs/>
                <w:color w:val="auto"/>
                <w:sz w:val="24"/>
              </w:rPr>
              <w:t>建筑</w:t>
            </w:r>
            <w:r>
              <w:rPr>
                <w:bCs/>
                <w:color w:val="auto"/>
                <w:sz w:val="24"/>
              </w:rPr>
              <w:t>物采取相应措施，避免由于泄漏造成物料下渗污染</w:t>
            </w:r>
            <w:r>
              <w:rPr>
                <w:rFonts w:hint="eastAsia"/>
                <w:color w:val="auto"/>
                <w:sz w:val="24"/>
              </w:rPr>
              <w:t>地下水、土壤</w:t>
            </w:r>
            <w:r>
              <w:rPr>
                <w:bCs/>
                <w:color w:val="auto"/>
                <w:sz w:val="24"/>
              </w:rPr>
              <w:t>。</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bCs/>
                <w:color w:val="auto"/>
                <w:sz w:val="24"/>
              </w:rPr>
            </w:pPr>
            <w:r>
              <w:rPr>
                <w:bCs/>
                <w:color w:val="auto"/>
                <w:sz w:val="24"/>
              </w:rPr>
              <w:t>为防止</w:t>
            </w:r>
            <w:r>
              <w:rPr>
                <w:rFonts w:hint="eastAsia"/>
                <w:bCs/>
                <w:color w:val="auto"/>
                <w:sz w:val="24"/>
              </w:rPr>
              <w:t>有机物、油类物质</w:t>
            </w:r>
            <w:r>
              <w:rPr>
                <w:bCs/>
                <w:color w:val="auto"/>
                <w:sz w:val="24"/>
              </w:rPr>
              <w:t>对区域</w:t>
            </w:r>
            <w:r>
              <w:rPr>
                <w:rFonts w:hint="eastAsia"/>
                <w:color w:val="auto"/>
                <w:sz w:val="24"/>
              </w:rPr>
              <w:t>地下水、土壤</w:t>
            </w:r>
            <w:r>
              <w:rPr>
                <w:bCs/>
                <w:color w:val="auto"/>
                <w:sz w:val="24"/>
              </w:rPr>
              <w:t>产生污染影响，</w:t>
            </w:r>
            <w:r>
              <w:rPr>
                <w:rFonts w:hint="eastAsia"/>
                <w:bCs/>
                <w:color w:val="auto"/>
                <w:sz w:val="24"/>
              </w:rPr>
              <w:t>本项目提出地下水防护措施如下：</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bCs/>
                <w:color w:val="auto"/>
                <w:sz w:val="24"/>
              </w:rPr>
            </w:pPr>
            <w:r>
              <w:rPr>
                <w:rFonts w:hint="eastAsia"/>
                <w:bCs/>
                <w:color w:val="auto"/>
                <w:sz w:val="24"/>
              </w:rPr>
              <w:t>①</w:t>
            </w:r>
            <w:r>
              <w:rPr>
                <w:bCs/>
                <w:color w:val="auto"/>
                <w:sz w:val="24"/>
              </w:rPr>
              <w:t>加强设施的维护和管理，防止污染物的跑、冒、滴、漏和非正常排放。</w:t>
            </w:r>
          </w:p>
          <w:p>
            <w:pPr>
              <w:keepNext w:val="0"/>
              <w:keepLines w:val="0"/>
              <w:pageBreakBefore w:val="0"/>
              <w:widowControl w:val="0"/>
              <w:kinsoku/>
              <w:wordWrap/>
              <w:overflowPunct/>
              <w:topLinePunct w:val="0"/>
              <w:autoSpaceDE/>
              <w:autoSpaceDN/>
              <w:bidi w:val="0"/>
              <w:snapToGrid w:val="0"/>
              <w:spacing w:line="460" w:lineRule="exact"/>
              <w:ind w:firstLine="480" w:firstLineChars="200"/>
              <w:jc w:val="left"/>
              <w:textAlignment w:val="auto"/>
              <w:rPr>
                <w:color w:val="auto"/>
                <w:sz w:val="24"/>
              </w:rPr>
            </w:pPr>
            <w:r>
              <w:rPr>
                <w:rFonts w:hint="eastAsia"/>
                <w:bCs/>
                <w:color w:val="auto"/>
                <w:sz w:val="24"/>
              </w:rPr>
              <w:t>②</w:t>
            </w:r>
            <w:r>
              <w:rPr>
                <w:rFonts w:hint="eastAsia"/>
                <w:color w:val="auto"/>
                <w:sz w:val="24"/>
              </w:rPr>
              <w:t>建设单位全厂分区防渗管控，具体分区防渗管控情况如下：</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color w:val="auto"/>
                <w:sz w:val="24"/>
              </w:rPr>
            </w:pPr>
            <w:r>
              <w:rPr>
                <w:rFonts w:hint="eastAsia"/>
                <w:color w:val="auto"/>
                <w:sz w:val="24"/>
              </w:rPr>
              <w:t>厂区内防渗情况应该分为重点防治区、一般防治区和简单防渗区。</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color w:val="auto"/>
                <w:sz w:val="24"/>
              </w:rPr>
            </w:pPr>
            <w:r>
              <w:rPr>
                <w:rFonts w:hint="eastAsia"/>
                <w:color w:val="auto"/>
                <w:sz w:val="24"/>
              </w:rPr>
              <w:t>重点防渗区（生产车间内润滑油储存区及</w:t>
            </w:r>
            <w:r>
              <w:rPr>
                <w:color w:val="auto"/>
                <w:sz w:val="24"/>
              </w:rPr>
              <w:t>危险废物暂存间</w:t>
            </w:r>
            <w:r>
              <w:rPr>
                <w:rFonts w:hint="eastAsia"/>
                <w:color w:val="auto"/>
                <w:sz w:val="24"/>
              </w:rPr>
              <w:t>）防渗技术要求：等效黏土防渗层Mb≥6.0m；K≤1×10</w:t>
            </w:r>
            <w:r>
              <w:rPr>
                <w:rFonts w:hint="eastAsia"/>
                <w:color w:val="auto"/>
                <w:sz w:val="24"/>
                <w:vertAlign w:val="superscript"/>
              </w:rPr>
              <w:t>-10</w:t>
            </w:r>
            <w:r>
              <w:rPr>
                <w:rFonts w:hint="eastAsia"/>
                <w:color w:val="auto"/>
                <w:sz w:val="24"/>
              </w:rPr>
              <w:t>cm/s。</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color w:val="auto"/>
                <w:sz w:val="24"/>
              </w:rPr>
            </w:pPr>
            <w:r>
              <w:rPr>
                <w:rFonts w:hint="eastAsia"/>
                <w:color w:val="auto"/>
                <w:sz w:val="24"/>
              </w:rPr>
              <w:t>一般防渗区：生产车间防渗技术要求：等效黏土防渗层Mb≥1.5m；K≤1×10</w:t>
            </w:r>
            <w:r>
              <w:rPr>
                <w:rFonts w:hint="eastAsia"/>
                <w:color w:val="auto"/>
                <w:sz w:val="24"/>
                <w:vertAlign w:val="superscript"/>
              </w:rPr>
              <w:t>-7</w:t>
            </w:r>
            <w:r>
              <w:rPr>
                <w:rFonts w:hint="eastAsia"/>
                <w:color w:val="auto"/>
                <w:sz w:val="24"/>
              </w:rPr>
              <w:t>cm/s，</w:t>
            </w:r>
          </w:p>
          <w:p>
            <w:pPr>
              <w:keepNext w:val="0"/>
              <w:keepLines w:val="0"/>
              <w:pageBreakBefore w:val="0"/>
              <w:widowControl w:val="0"/>
              <w:kinsoku/>
              <w:wordWrap/>
              <w:overflowPunct/>
              <w:topLinePunct w:val="0"/>
              <w:autoSpaceDE/>
              <w:autoSpaceDN/>
              <w:bidi w:val="0"/>
              <w:adjustRightInd w:val="0"/>
              <w:spacing w:line="460" w:lineRule="exact"/>
              <w:ind w:firstLine="480" w:firstLineChars="200"/>
              <w:textAlignment w:val="auto"/>
              <w:rPr>
                <w:color w:val="auto"/>
                <w:sz w:val="24"/>
              </w:rPr>
            </w:pPr>
            <w:r>
              <w:rPr>
                <w:rFonts w:hint="eastAsia"/>
                <w:color w:val="auto"/>
                <w:sz w:val="24"/>
              </w:rPr>
              <w:t>简单防渗区：其它区域均为简单防渗区，一般地面硬化即可</w:t>
            </w:r>
            <w:r>
              <w:rPr>
                <w:color w:val="auto"/>
                <w:kern w:val="0"/>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80"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color w:val="auto"/>
                <w:sz w:val="24"/>
              </w:rPr>
            </w:pPr>
            <w:r>
              <w:rPr>
                <w:color w:val="auto"/>
                <w:sz w:val="24"/>
              </w:rPr>
              <w:t>生态保护措施</w:t>
            </w:r>
          </w:p>
        </w:tc>
        <w:tc>
          <w:tcPr>
            <w:tcW w:w="12279" w:type="dxa"/>
            <w:gridSpan w:val="4"/>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color w:val="auto"/>
                <w:sz w:val="24"/>
              </w:rPr>
            </w:pPr>
            <w:r>
              <w:rPr>
                <w:rFonts w:hint="eastAsia"/>
                <w:color w:val="auto"/>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80"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color w:val="auto"/>
                <w:spacing w:val="-8"/>
                <w:sz w:val="24"/>
              </w:rPr>
            </w:pPr>
            <w:r>
              <w:rPr>
                <w:color w:val="auto"/>
                <w:spacing w:val="-8"/>
                <w:sz w:val="24"/>
              </w:rPr>
              <w:t>环境风险</w:t>
            </w:r>
          </w:p>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color w:val="auto"/>
                <w:sz w:val="24"/>
              </w:rPr>
            </w:pPr>
            <w:r>
              <w:rPr>
                <w:color w:val="auto"/>
                <w:spacing w:val="-8"/>
                <w:sz w:val="24"/>
              </w:rPr>
              <w:t>防范措施</w:t>
            </w:r>
          </w:p>
        </w:tc>
        <w:tc>
          <w:tcPr>
            <w:tcW w:w="12279" w:type="dxa"/>
            <w:gridSpan w:val="4"/>
            <w:vAlign w:val="center"/>
          </w:tcPr>
          <w:p>
            <w:pPr>
              <w:keepNext w:val="0"/>
              <w:keepLines w:val="0"/>
              <w:pageBreakBefore w:val="0"/>
              <w:widowControl w:val="0"/>
              <w:kinsoku/>
              <w:wordWrap/>
              <w:overflowPunct/>
              <w:topLinePunct w:val="0"/>
              <w:autoSpaceDE/>
              <w:autoSpaceDN/>
              <w:bidi w:val="0"/>
              <w:spacing w:line="460" w:lineRule="exact"/>
              <w:ind w:firstLine="480" w:firstLineChars="200"/>
              <w:textAlignment w:val="auto"/>
              <w:rPr>
                <w:color w:val="auto"/>
                <w:sz w:val="24"/>
              </w:rPr>
            </w:pPr>
            <w:r>
              <w:rPr>
                <w:color w:val="auto"/>
                <w:sz w:val="24"/>
              </w:rPr>
              <w:t>风险管理目标是采用最低合理可行原则管控环境风险。采取的环境风险防范措施应与社会经济技术发展水平相适应，运用科学的技术手段和管理方法对环境风险进行有效地预防、监控、响应。</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color w:val="auto"/>
                <w:sz w:val="24"/>
              </w:rPr>
            </w:pPr>
            <w:r>
              <w:rPr>
                <w:color w:val="auto"/>
                <w:sz w:val="24"/>
              </w:rPr>
              <w:t>①大气环境风险防范措施</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color w:val="auto"/>
                <w:sz w:val="24"/>
              </w:rPr>
            </w:pPr>
            <w:r>
              <w:rPr>
                <w:color w:val="auto"/>
                <w:sz w:val="24"/>
              </w:rPr>
              <w:t>项目油类物质泄漏排放遇到明火发生火灾，可能会对周边大气环境产生影响，但油类物质着火点相对较高，且</w:t>
            </w:r>
            <w:r>
              <w:rPr>
                <w:rFonts w:hint="eastAsia"/>
                <w:color w:val="auto"/>
                <w:sz w:val="24"/>
              </w:rPr>
              <w:t>生产车间内润滑油储存区及</w:t>
            </w:r>
            <w:r>
              <w:rPr>
                <w:color w:val="auto"/>
                <w:sz w:val="24"/>
              </w:rPr>
              <w:t>危险废物暂存间由专人进行看管并配备了灭火器、消防沙等灭火设备，若发生泄漏或火灾，可在第一时间发现并进行处理，因此油类物质泄漏发生次生危害的概率极小，不会对大气环境产生明显影响。</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color w:val="auto"/>
                <w:sz w:val="24"/>
              </w:rPr>
            </w:pPr>
            <w:r>
              <w:rPr>
                <w:color w:val="auto"/>
                <w:sz w:val="24"/>
              </w:rPr>
              <w:t>②地表水环境风险防范措施</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color w:val="auto"/>
                <w:sz w:val="24"/>
              </w:rPr>
            </w:pPr>
            <w:r>
              <w:rPr>
                <w:rFonts w:hint="eastAsia"/>
                <w:color w:val="auto"/>
                <w:sz w:val="24"/>
              </w:rPr>
              <w:t>生产车间内润滑油储存区及</w:t>
            </w:r>
            <w:r>
              <w:rPr>
                <w:color w:val="auto"/>
                <w:sz w:val="24"/>
              </w:rPr>
              <w:t>危险废物暂存间</w:t>
            </w:r>
            <w:r>
              <w:rPr>
                <w:rFonts w:hint="eastAsia"/>
                <w:color w:val="auto"/>
                <w:sz w:val="24"/>
              </w:rPr>
              <w:t>均</w:t>
            </w:r>
            <w:r>
              <w:rPr>
                <w:rFonts w:hint="eastAsia" w:ascii="宋体" w:hAnsi="宋体" w:cs="宋体"/>
                <w:color w:val="auto"/>
                <w:sz w:val="24"/>
              </w:rPr>
              <w:t>采取有效防腐防渗措施，危险废物暂存间设置有隔断、导流槽、围堰、收集井等风险防范措施，泄漏油类物质经截流沟围截进入收集井，泵送入备用存储桶后及时送有资质的危险废物处置单位处置，可确保事故状态下油类物质不会泄漏至外环境，不会对区域地表水产生污染影响</w:t>
            </w:r>
            <w:r>
              <w:rPr>
                <w:color w:val="auto"/>
                <w:sz w:val="24"/>
              </w:rPr>
              <w:t>。</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color w:val="auto"/>
                <w:sz w:val="24"/>
              </w:rPr>
            </w:pPr>
            <w:r>
              <w:rPr>
                <w:color w:val="auto"/>
                <w:sz w:val="24"/>
              </w:rPr>
              <w:t>③地下水环境风险防范措施</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color w:val="auto"/>
                <w:sz w:val="24"/>
              </w:rPr>
            </w:pPr>
            <w:r>
              <w:rPr>
                <w:color w:val="auto"/>
                <w:sz w:val="24"/>
              </w:rPr>
              <w:t>a.源头控制措施</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color w:val="auto"/>
                <w:sz w:val="24"/>
              </w:rPr>
            </w:pPr>
            <w:r>
              <w:rPr>
                <w:color w:val="auto"/>
                <w:sz w:val="24"/>
              </w:rPr>
              <w:t>本项目对</w:t>
            </w:r>
            <w:r>
              <w:rPr>
                <w:rFonts w:hint="eastAsia"/>
                <w:color w:val="auto"/>
                <w:sz w:val="24"/>
              </w:rPr>
              <w:t>风险区域进行</w:t>
            </w:r>
            <w:r>
              <w:rPr>
                <w:color w:val="auto"/>
                <w:sz w:val="24"/>
              </w:rPr>
              <w:t>严格</w:t>
            </w:r>
            <w:r>
              <w:rPr>
                <w:rFonts w:hint="eastAsia"/>
                <w:color w:val="auto"/>
                <w:sz w:val="24"/>
              </w:rPr>
              <w:t>排查</w:t>
            </w:r>
            <w:r>
              <w:rPr>
                <w:color w:val="auto"/>
                <w:sz w:val="24"/>
              </w:rPr>
              <w:t>，有质量问题的及时更换，</w:t>
            </w:r>
            <w:r>
              <w:rPr>
                <w:rFonts w:hint="eastAsia"/>
                <w:color w:val="auto"/>
                <w:sz w:val="24"/>
              </w:rPr>
              <w:t>盛装容器</w:t>
            </w:r>
            <w:r>
              <w:rPr>
                <w:color w:val="auto"/>
                <w:sz w:val="24"/>
              </w:rPr>
              <w:t>采用优质耐腐蚀材料制成的产品。对项目</w:t>
            </w:r>
            <w:r>
              <w:rPr>
                <w:rFonts w:hint="eastAsia"/>
                <w:color w:val="auto"/>
                <w:sz w:val="24"/>
              </w:rPr>
              <w:t>生产车间内润滑油储存区及</w:t>
            </w:r>
            <w:r>
              <w:rPr>
                <w:color w:val="auto"/>
                <w:sz w:val="24"/>
              </w:rPr>
              <w:t>危险废物暂存间等采取相应的物料控制措施，便于发现污染物的跑、冒、滴、漏，将污染物泄漏的环境风险事故降至最低限度。</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color w:val="auto"/>
                <w:sz w:val="24"/>
              </w:rPr>
            </w:pPr>
            <w:r>
              <w:rPr>
                <w:color w:val="auto"/>
                <w:sz w:val="24"/>
              </w:rPr>
              <w:t>b.分区防控措施</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bCs/>
                <w:color w:val="auto"/>
                <w:sz w:val="24"/>
              </w:rPr>
            </w:pPr>
            <w:r>
              <w:rPr>
                <w:color w:val="auto"/>
                <w:sz w:val="24"/>
              </w:rPr>
              <w:t>为避免</w:t>
            </w:r>
            <w:r>
              <w:rPr>
                <w:rFonts w:hint="eastAsia"/>
                <w:color w:val="auto"/>
                <w:sz w:val="24"/>
              </w:rPr>
              <w:t>油类物质</w:t>
            </w:r>
            <w:r>
              <w:rPr>
                <w:color w:val="auto"/>
                <w:sz w:val="24"/>
              </w:rPr>
              <w:t>对地下水造成污染影响，采取了分区防渗措施</w:t>
            </w:r>
            <w:r>
              <w:rPr>
                <w:bCs/>
                <w:color w:val="auto"/>
                <w:sz w:val="24"/>
              </w:rPr>
              <w:t>如下：</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color w:val="auto"/>
                <w:sz w:val="24"/>
              </w:rPr>
            </w:pPr>
            <w:r>
              <w:rPr>
                <w:rFonts w:hint="eastAsia"/>
                <w:color w:val="auto"/>
                <w:sz w:val="24"/>
              </w:rPr>
              <w:t>厂区内防渗情况应该分为重点防治区、一般防治区和简单防渗区。</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color w:val="auto"/>
                <w:sz w:val="24"/>
              </w:rPr>
            </w:pPr>
            <w:r>
              <w:rPr>
                <w:rFonts w:hint="eastAsia"/>
                <w:color w:val="auto"/>
                <w:sz w:val="24"/>
              </w:rPr>
              <w:t>重点防渗区（生产车间内润滑油储存区及</w:t>
            </w:r>
            <w:r>
              <w:rPr>
                <w:color w:val="auto"/>
                <w:sz w:val="24"/>
              </w:rPr>
              <w:t>危险废物暂存间</w:t>
            </w:r>
            <w:r>
              <w:rPr>
                <w:rFonts w:hint="eastAsia"/>
                <w:color w:val="auto"/>
                <w:sz w:val="24"/>
              </w:rPr>
              <w:t>）防渗技术要求：等效黏土防渗层Mb≥6.0m；K≤1×10</w:t>
            </w:r>
            <w:r>
              <w:rPr>
                <w:rFonts w:hint="eastAsia"/>
                <w:color w:val="auto"/>
                <w:sz w:val="24"/>
                <w:vertAlign w:val="superscript"/>
              </w:rPr>
              <w:t>-10</w:t>
            </w:r>
            <w:r>
              <w:rPr>
                <w:rFonts w:hint="eastAsia"/>
                <w:color w:val="auto"/>
                <w:sz w:val="24"/>
              </w:rPr>
              <w:t>cm/s。</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color w:val="auto"/>
                <w:sz w:val="24"/>
              </w:rPr>
            </w:pPr>
            <w:r>
              <w:rPr>
                <w:rFonts w:hint="eastAsia"/>
                <w:color w:val="auto"/>
                <w:sz w:val="24"/>
              </w:rPr>
              <w:t>一般防渗区（生产车间）防渗技术要求：等效黏土防渗层Mb≥1.5m；K≤1×10</w:t>
            </w:r>
            <w:r>
              <w:rPr>
                <w:rFonts w:hint="eastAsia"/>
                <w:color w:val="auto"/>
                <w:sz w:val="24"/>
                <w:vertAlign w:val="superscript"/>
              </w:rPr>
              <w:t>-7</w:t>
            </w:r>
            <w:r>
              <w:rPr>
                <w:rFonts w:hint="eastAsia"/>
                <w:color w:val="auto"/>
                <w:sz w:val="24"/>
              </w:rPr>
              <w:t>cm/s，</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color w:val="auto"/>
                <w:sz w:val="24"/>
              </w:rPr>
            </w:pPr>
            <w:r>
              <w:rPr>
                <w:rFonts w:hint="eastAsia"/>
                <w:color w:val="auto"/>
                <w:sz w:val="24"/>
              </w:rPr>
              <w:t>简单防渗区：其它区域均为简单防渗区，一般地面硬化即可。</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color w:val="auto"/>
                <w:sz w:val="24"/>
              </w:rPr>
            </w:pPr>
            <w:r>
              <w:rPr>
                <w:color w:val="auto"/>
                <w:sz w:val="24"/>
              </w:rPr>
              <w:t>④人员疏散通道及安置厂址</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color w:val="auto"/>
                <w:sz w:val="24"/>
              </w:rPr>
            </w:pPr>
            <w:r>
              <w:rPr>
                <w:color w:val="auto"/>
                <w:sz w:val="24"/>
              </w:rPr>
              <w:t>结合气象条件及区域道路制定人员疏散通道，一旦发生重大风险事故，应立即停产，立即通知下风向各敏感点，有效组织人员疏散并进行安置，并迅速启动应急预案，通知环境监测部门进驻事故现场，在现场周围布点监测，掌握事故情况下空气环境恶化状况。</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color w:val="auto"/>
                <w:sz w:val="24"/>
              </w:rPr>
            </w:pPr>
            <w:r>
              <w:rPr>
                <w:color w:val="auto"/>
                <w:sz w:val="24"/>
              </w:rPr>
              <w:t>⑤环境风险应急预案</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color w:val="auto"/>
                <w:sz w:val="24"/>
              </w:rPr>
            </w:pPr>
            <w:r>
              <w:rPr>
                <w:color w:val="auto"/>
                <w:sz w:val="24"/>
              </w:rPr>
              <w:t>本评价建议结合本项目所涉及到的风险源，编制突发环境事件应急预案</w:t>
            </w:r>
            <w:r>
              <w:rPr>
                <w:rFonts w:hint="eastAsia"/>
                <w:color w:val="auto"/>
                <w:sz w:val="24"/>
              </w:rPr>
              <w:t>。</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color w:val="auto"/>
                <w:sz w:val="24"/>
              </w:rPr>
            </w:pP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color w:val="auto"/>
                <w:sz w:val="24"/>
              </w:rPr>
            </w:pPr>
          </w:p>
        </w:tc>
      </w:tr>
    </w:tbl>
    <w:p>
      <w:pPr>
        <w:pStyle w:val="29"/>
        <w:spacing w:before="0" w:beforeAutospacing="0" w:after="0" w:afterAutospacing="0" w:line="480" w:lineRule="exact"/>
        <w:jc w:val="both"/>
        <w:rPr>
          <w:rFonts w:ascii="Times New Roman" w:hAnsi="Times New Roman"/>
          <w:snapToGrid w:val="0"/>
          <w:color w:val="auto"/>
          <w:szCs w:val="24"/>
        </w:rPr>
        <w:sectPr>
          <w:pgSz w:w="16838" w:h="11906" w:orient="landscape"/>
          <w:pgMar w:top="1531" w:right="1701" w:bottom="1531" w:left="1701" w:header="851" w:footer="851" w:gutter="0"/>
          <w:cols w:space="720" w:num="1"/>
          <w:docGrid w:linePitch="312" w:charSpace="0"/>
        </w:sectPr>
      </w:pP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7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2" w:type="dxa"/>
            <w:vAlign w:val="center"/>
          </w:tcPr>
          <w:p>
            <w:pPr>
              <w:adjustRightInd w:val="0"/>
              <w:snapToGrid w:val="0"/>
              <w:spacing w:line="480" w:lineRule="exact"/>
              <w:jc w:val="center"/>
              <w:rPr>
                <w:color w:val="auto"/>
                <w:sz w:val="24"/>
              </w:rPr>
            </w:pPr>
            <w:r>
              <w:rPr>
                <w:color w:val="auto"/>
                <w:sz w:val="24"/>
              </w:rPr>
              <w:t>其</w:t>
            </w:r>
          </w:p>
          <w:p>
            <w:pPr>
              <w:adjustRightInd w:val="0"/>
              <w:snapToGrid w:val="0"/>
              <w:spacing w:line="480" w:lineRule="exact"/>
              <w:jc w:val="center"/>
              <w:rPr>
                <w:color w:val="auto"/>
                <w:sz w:val="24"/>
              </w:rPr>
            </w:pPr>
            <w:r>
              <w:rPr>
                <w:color w:val="auto"/>
                <w:sz w:val="24"/>
              </w:rPr>
              <w:t>他</w:t>
            </w:r>
          </w:p>
          <w:p>
            <w:pPr>
              <w:adjustRightInd w:val="0"/>
              <w:snapToGrid w:val="0"/>
              <w:spacing w:line="480" w:lineRule="exact"/>
              <w:jc w:val="center"/>
              <w:rPr>
                <w:color w:val="auto"/>
                <w:sz w:val="24"/>
              </w:rPr>
            </w:pPr>
            <w:r>
              <w:rPr>
                <w:color w:val="auto"/>
                <w:sz w:val="24"/>
              </w:rPr>
              <w:t>环</w:t>
            </w:r>
          </w:p>
          <w:p>
            <w:pPr>
              <w:adjustRightInd w:val="0"/>
              <w:snapToGrid w:val="0"/>
              <w:spacing w:line="480" w:lineRule="exact"/>
              <w:jc w:val="center"/>
              <w:rPr>
                <w:color w:val="auto"/>
                <w:sz w:val="24"/>
              </w:rPr>
            </w:pPr>
            <w:r>
              <w:rPr>
                <w:color w:val="auto"/>
                <w:sz w:val="24"/>
              </w:rPr>
              <w:t>境</w:t>
            </w:r>
          </w:p>
          <w:p>
            <w:pPr>
              <w:adjustRightInd w:val="0"/>
              <w:snapToGrid w:val="0"/>
              <w:spacing w:line="480" w:lineRule="exact"/>
              <w:jc w:val="center"/>
              <w:rPr>
                <w:color w:val="auto"/>
                <w:sz w:val="24"/>
              </w:rPr>
            </w:pPr>
            <w:r>
              <w:rPr>
                <w:color w:val="auto"/>
                <w:sz w:val="24"/>
              </w:rPr>
              <w:t>管</w:t>
            </w:r>
          </w:p>
          <w:p>
            <w:pPr>
              <w:adjustRightInd w:val="0"/>
              <w:snapToGrid w:val="0"/>
              <w:spacing w:line="480" w:lineRule="exact"/>
              <w:jc w:val="center"/>
              <w:rPr>
                <w:color w:val="auto"/>
                <w:sz w:val="24"/>
              </w:rPr>
            </w:pPr>
            <w:r>
              <w:rPr>
                <w:color w:val="auto"/>
                <w:sz w:val="24"/>
              </w:rPr>
              <w:t>理</w:t>
            </w:r>
          </w:p>
          <w:p>
            <w:pPr>
              <w:adjustRightInd w:val="0"/>
              <w:snapToGrid w:val="0"/>
              <w:spacing w:line="480" w:lineRule="exact"/>
              <w:jc w:val="center"/>
              <w:rPr>
                <w:color w:val="auto"/>
                <w:sz w:val="24"/>
              </w:rPr>
            </w:pPr>
            <w:r>
              <w:rPr>
                <w:color w:val="auto"/>
                <w:sz w:val="24"/>
              </w:rPr>
              <w:t>要</w:t>
            </w:r>
          </w:p>
          <w:p>
            <w:pPr>
              <w:adjustRightInd w:val="0"/>
              <w:snapToGrid w:val="0"/>
              <w:spacing w:line="480" w:lineRule="exact"/>
              <w:jc w:val="center"/>
              <w:rPr>
                <w:snapToGrid w:val="0"/>
                <w:color w:val="auto"/>
                <w:sz w:val="24"/>
              </w:rPr>
            </w:pPr>
            <w:r>
              <w:rPr>
                <w:color w:val="auto"/>
                <w:sz w:val="24"/>
              </w:rPr>
              <w:t>求</w:t>
            </w:r>
          </w:p>
        </w:tc>
        <w:tc>
          <w:tcPr>
            <w:tcW w:w="7798" w:type="dxa"/>
          </w:tcPr>
          <w:p>
            <w:pPr>
              <w:spacing w:line="480" w:lineRule="exact"/>
              <w:ind w:firstLine="480" w:firstLineChars="200"/>
              <w:rPr>
                <w:color w:val="auto"/>
                <w:sz w:val="24"/>
              </w:rPr>
            </w:pPr>
            <w:r>
              <w:rPr>
                <w:rFonts w:hint="eastAsia"/>
                <w:color w:val="auto"/>
                <w:sz w:val="24"/>
              </w:rPr>
              <w:t>1、企业环境信息公开</w:t>
            </w:r>
          </w:p>
          <w:p>
            <w:pPr>
              <w:spacing w:line="480" w:lineRule="exact"/>
              <w:ind w:firstLine="480" w:firstLineChars="200"/>
              <w:rPr>
                <w:color w:val="auto"/>
                <w:sz w:val="24"/>
              </w:rPr>
            </w:pPr>
            <w:r>
              <w:rPr>
                <w:color w:val="auto"/>
                <w:sz w:val="24"/>
              </w:rPr>
              <w:t>企业事业单位应当建立健全本单位环境信息公开制度，指定机构负责本单位环境信息公开日常工作。</w:t>
            </w:r>
            <w:r>
              <w:rPr>
                <w:rFonts w:hint="eastAsia"/>
                <w:color w:val="auto"/>
                <w:sz w:val="24"/>
              </w:rPr>
              <w:t>根据企业特点，应在本单位的资料索取点、信息公开栏、信息亭、电子屏幕或其他便于公众及时、准确获得信息的场所和方式公开基础信息以及排污信息。</w:t>
            </w:r>
          </w:p>
          <w:p>
            <w:pPr>
              <w:spacing w:line="480" w:lineRule="exact"/>
              <w:ind w:firstLine="480" w:firstLineChars="200"/>
              <w:rPr>
                <w:color w:val="auto"/>
                <w:sz w:val="24"/>
              </w:rPr>
            </w:pPr>
            <w:r>
              <w:rPr>
                <w:rFonts w:hint="eastAsia"/>
                <w:color w:val="auto"/>
                <w:sz w:val="24"/>
              </w:rPr>
              <w:t>如若公司的环境信息发生变更或有新生成时，应在环境信息生成或者变更之日起三十日内予以公开。环境保护主管部门应当宣传和引导公众监督企业事业单位环境信息公开工作。</w:t>
            </w:r>
          </w:p>
          <w:p>
            <w:pPr>
              <w:spacing w:line="480" w:lineRule="exact"/>
              <w:ind w:firstLine="480" w:firstLineChars="200"/>
              <w:rPr>
                <w:color w:val="auto"/>
                <w:sz w:val="24"/>
              </w:rPr>
            </w:pPr>
            <w:r>
              <w:rPr>
                <w:rFonts w:hint="eastAsia"/>
                <w:color w:val="auto"/>
                <w:sz w:val="24"/>
              </w:rPr>
              <w:t>2、</w:t>
            </w:r>
            <w:r>
              <w:rPr>
                <w:color w:val="auto"/>
                <w:sz w:val="24"/>
              </w:rPr>
              <w:t>排污口规范化</w:t>
            </w:r>
          </w:p>
          <w:p>
            <w:pPr>
              <w:spacing w:line="480" w:lineRule="exact"/>
              <w:ind w:firstLine="480" w:firstLineChars="200"/>
              <w:rPr>
                <w:color w:val="auto"/>
                <w:sz w:val="24"/>
              </w:rPr>
            </w:pPr>
            <w:r>
              <w:rPr>
                <w:color w:val="auto"/>
                <w:sz w:val="24"/>
              </w:rPr>
              <w:t>按照</w:t>
            </w:r>
            <w:r>
              <w:rPr>
                <w:rFonts w:hint="eastAsia"/>
                <w:color w:val="auto"/>
                <w:sz w:val="24"/>
              </w:rPr>
              <w:t>《排污口规范化整治技术要求（试行）》（环监[1996]470号）要求</w:t>
            </w:r>
            <w:r>
              <w:rPr>
                <w:color w:val="auto"/>
                <w:sz w:val="24"/>
              </w:rPr>
              <w:t>，并参考其它相关规定，提出以下废气排放口规范化建设要求：</w:t>
            </w:r>
          </w:p>
          <w:p>
            <w:pPr>
              <w:spacing w:line="480" w:lineRule="exact"/>
              <w:ind w:firstLine="480" w:firstLineChars="200"/>
              <w:rPr>
                <w:color w:val="auto"/>
                <w:sz w:val="24"/>
              </w:rPr>
            </w:pPr>
            <w:r>
              <w:rPr>
                <w:rFonts w:hint="eastAsia"/>
                <w:color w:val="auto"/>
                <w:sz w:val="24"/>
              </w:rPr>
              <w:t>（1）</w:t>
            </w:r>
            <w:r>
              <w:rPr>
                <w:color w:val="auto"/>
                <w:sz w:val="24"/>
              </w:rPr>
              <w:t xml:space="preserve">排气筒应设置便于采样、监测的采样口和采样监测平台。当采样平台设置在离地面高度≥5m的位置时，应有通往平台的Z字梯/旋梯/升降梯。 </w:t>
            </w:r>
          </w:p>
          <w:p>
            <w:pPr>
              <w:spacing w:line="480" w:lineRule="exact"/>
              <w:ind w:firstLine="480" w:firstLineChars="200"/>
              <w:rPr>
                <w:color w:val="auto"/>
                <w:sz w:val="24"/>
              </w:rPr>
            </w:pPr>
            <w:r>
              <w:rPr>
                <w:rFonts w:hint="eastAsia"/>
                <w:color w:val="auto"/>
                <w:sz w:val="24"/>
              </w:rPr>
              <w:t>（2）</w:t>
            </w:r>
            <w:r>
              <w:rPr>
                <w:color w:val="auto"/>
                <w:sz w:val="24"/>
              </w:rPr>
              <w:t>采样孔、点数目和位置应按《固定污染源排气中颗粒物测定与气态污染物采样方法》（GB/T16157-1996）的规定设置。</w:t>
            </w:r>
          </w:p>
          <w:p>
            <w:pPr>
              <w:spacing w:line="480" w:lineRule="exact"/>
              <w:ind w:firstLine="480" w:firstLineChars="200"/>
              <w:rPr>
                <w:color w:val="auto"/>
                <w:sz w:val="24"/>
              </w:rPr>
            </w:pPr>
            <w:r>
              <w:rPr>
                <w:rFonts w:hint="eastAsia"/>
                <w:color w:val="auto"/>
                <w:sz w:val="24"/>
              </w:rPr>
              <w:t>（3）</w:t>
            </w:r>
            <w:r>
              <w:rPr>
                <w:color w:val="auto"/>
                <w:sz w:val="24"/>
              </w:rPr>
              <w:t>废气排放口的环境保护图形标志牌应设在排气筒附近地面醒目处。</w:t>
            </w:r>
          </w:p>
          <w:p>
            <w:pPr>
              <w:spacing w:line="480" w:lineRule="exact"/>
              <w:ind w:firstLine="480" w:firstLineChars="200"/>
              <w:rPr>
                <w:color w:val="auto"/>
                <w:sz w:val="24"/>
              </w:rPr>
            </w:pPr>
            <w:r>
              <w:rPr>
                <w:color w:val="auto"/>
                <w:sz w:val="24"/>
              </w:rPr>
              <w:t>（4）拟建项目生产过程中排放的污染物为废气、噪声、固废。</w:t>
            </w:r>
          </w:p>
          <w:p>
            <w:pPr>
              <w:spacing w:line="480" w:lineRule="exact"/>
              <w:ind w:firstLine="480" w:firstLineChars="200"/>
              <w:rPr>
                <w:color w:val="auto"/>
                <w:sz w:val="24"/>
              </w:rPr>
            </w:pPr>
            <w:r>
              <w:rPr>
                <w:color w:val="auto"/>
                <w:sz w:val="24"/>
              </w:rPr>
              <w:t>废气：保证排气筒高度达到标准要求，并在环保技术人员指导下设定废气的监测口位置，按标准设置采样口及采样平台，并在排气筒上设环境保护图形牌。</w:t>
            </w:r>
          </w:p>
          <w:p>
            <w:pPr>
              <w:spacing w:line="480" w:lineRule="exact"/>
              <w:ind w:firstLine="480" w:firstLineChars="200"/>
              <w:rPr>
                <w:color w:val="auto"/>
                <w:sz w:val="24"/>
              </w:rPr>
            </w:pPr>
            <w:r>
              <w:rPr>
                <w:color w:val="auto"/>
                <w:sz w:val="24"/>
              </w:rPr>
              <w:t>固废：固废及危险废物贮存场所分别设置并按照相关要求采取防晒、防淋、防渗等措施，按环保管理要求设立标志牌等。</w:t>
            </w:r>
          </w:p>
          <w:p>
            <w:pPr>
              <w:spacing w:line="480" w:lineRule="exact"/>
              <w:ind w:firstLine="480" w:firstLineChars="200"/>
              <w:rPr>
                <w:color w:val="auto"/>
                <w:sz w:val="24"/>
              </w:rPr>
            </w:pPr>
            <w:r>
              <w:rPr>
                <w:color w:val="auto"/>
                <w:sz w:val="24"/>
              </w:rPr>
              <w:t>排污口监测孔设置要求：监测孔位置应便于开展监测工作，在规则的圆形或矩形烟道垂直管段上，距弯头、阀门、变径管下游方向不小于6倍当量直径和距上述部件上游方向不小于3倍当量直径处。</w:t>
            </w:r>
          </w:p>
          <w:p>
            <w:pPr>
              <w:spacing w:line="480" w:lineRule="exact"/>
              <w:ind w:firstLine="480" w:firstLineChars="200"/>
              <w:rPr>
                <w:color w:val="auto"/>
                <w:sz w:val="24"/>
              </w:rPr>
            </w:pPr>
            <w:r>
              <w:rPr>
                <w:color w:val="auto"/>
                <w:sz w:val="24"/>
              </w:rPr>
              <w:t>监测平台设置要求：监测平台设置在监测孔的正下方1.2m~1.3m处，可操作面积不小于2m</w:t>
            </w:r>
            <w:r>
              <w:rPr>
                <w:color w:val="auto"/>
                <w:sz w:val="24"/>
                <w:vertAlign w:val="superscript"/>
              </w:rPr>
              <w:t>2</w:t>
            </w:r>
            <w:r>
              <w:rPr>
                <w:color w:val="auto"/>
                <w:sz w:val="24"/>
              </w:rPr>
              <w:t>，平台长度和宽度不小于1.2m，永久、安全、便于采样及测试。</w:t>
            </w:r>
          </w:p>
          <w:p>
            <w:pPr>
              <w:spacing w:line="480" w:lineRule="exact"/>
              <w:ind w:firstLine="480" w:firstLineChars="200"/>
              <w:rPr>
                <w:color w:val="auto"/>
                <w:sz w:val="24"/>
              </w:rPr>
            </w:pPr>
            <w:r>
              <w:rPr>
                <w:color w:val="auto"/>
                <w:sz w:val="24"/>
              </w:rPr>
              <w:t>各排放口设置标志牌如表</w:t>
            </w:r>
            <w:r>
              <w:rPr>
                <w:rFonts w:hint="eastAsia"/>
                <w:color w:val="auto"/>
                <w:sz w:val="24"/>
              </w:rPr>
              <w:t>48</w:t>
            </w:r>
            <w:r>
              <w:rPr>
                <w:color w:val="auto"/>
                <w:sz w:val="24"/>
              </w:rPr>
              <w:t>：</w:t>
            </w:r>
          </w:p>
          <w:p>
            <w:pPr>
              <w:spacing w:line="480" w:lineRule="exact"/>
              <w:ind w:firstLine="482" w:firstLineChars="200"/>
              <w:jc w:val="center"/>
              <w:rPr>
                <w:b/>
                <w:bCs/>
                <w:color w:val="auto"/>
                <w:sz w:val="24"/>
              </w:rPr>
            </w:pPr>
            <w:r>
              <w:rPr>
                <w:b/>
                <w:bCs/>
                <w:color w:val="auto"/>
                <w:sz w:val="24"/>
              </w:rPr>
              <w:t>表</w:t>
            </w:r>
            <w:r>
              <w:rPr>
                <w:rFonts w:hint="eastAsia"/>
                <w:b/>
                <w:bCs/>
                <w:color w:val="auto"/>
                <w:sz w:val="24"/>
              </w:rPr>
              <w:t>48</w:t>
            </w:r>
            <w:r>
              <w:rPr>
                <w:b/>
                <w:bCs/>
                <w:color w:val="auto"/>
                <w:sz w:val="24"/>
              </w:rPr>
              <w:t xml:space="preserve">  排放口标志牌示例</w:t>
            </w:r>
          </w:p>
          <w:tbl>
            <w:tblPr>
              <w:tblStyle w:val="33"/>
              <w:tblW w:w="743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89"/>
              <w:gridCol w:w="3687"/>
              <w:gridCol w:w="226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89" w:type="dxa"/>
                  <w:tcBorders>
                    <w:tl2br w:val="nil"/>
                    <w:tr2bl w:val="nil"/>
                  </w:tcBorders>
                  <w:vAlign w:val="center"/>
                </w:tcPr>
                <w:p>
                  <w:pPr>
                    <w:adjustRightInd w:val="0"/>
                    <w:snapToGrid w:val="0"/>
                    <w:jc w:val="center"/>
                    <w:rPr>
                      <w:b/>
                      <w:snapToGrid w:val="0"/>
                      <w:color w:val="auto"/>
                      <w:szCs w:val="21"/>
                    </w:rPr>
                  </w:pPr>
                  <w:r>
                    <w:rPr>
                      <w:b/>
                      <w:snapToGrid w:val="0"/>
                      <w:color w:val="auto"/>
                      <w:szCs w:val="21"/>
                    </w:rPr>
                    <w:t>排放口名称</w:t>
                  </w:r>
                </w:p>
              </w:tc>
              <w:tc>
                <w:tcPr>
                  <w:tcW w:w="3687" w:type="dxa"/>
                  <w:tcBorders>
                    <w:tl2br w:val="nil"/>
                    <w:tr2bl w:val="nil"/>
                  </w:tcBorders>
                  <w:vAlign w:val="center"/>
                </w:tcPr>
                <w:p>
                  <w:pPr>
                    <w:adjustRightInd w:val="0"/>
                    <w:snapToGrid w:val="0"/>
                    <w:jc w:val="center"/>
                    <w:rPr>
                      <w:b/>
                      <w:snapToGrid w:val="0"/>
                      <w:color w:val="auto"/>
                      <w:szCs w:val="21"/>
                    </w:rPr>
                  </w:pPr>
                  <w:r>
                    <w:rPr>
                      <w:b/>
                      <w:snapToGrid w:val="0"/>
                      <w:color w:val="auto"/>
                      <w:szCs w:val="21"/>
                    </w:rPr>
                    <w:t>图形标志</w:t>
                  </w:r>
                </w:p>
              </w:tc>
              <w:tc>
                <w:tcPr>
                  <w:tcW w:w="2262" w:type="dxa"/>
                  <w:tcBorders>
                    <w:tl2br w:val="nil"/>
                    <w:tr2bl w:val="nil"/>
                  </w:tcBorders>
                  <w:vAlign w:val="center"/>
                </w:tcPr>
                <w:p>
                  <w:pPr>
                    <w:adjustRightInd w:val="0"/>
                    <w:snapToGrid w:val="0"/>
                    <w:jc w:val="center"/>
                    <w:rPr>
                      <w:b/>
                      <w:snapToGrid w:val="0"/>
                      <w:color w:val="auto"/>
                      <w:szCs w:val="21"/>
                    </w:rPr>
                  </w:pPr>
                  <w:r>
                    <w:rPr>
                      <w:b/>
                      <w:snapToGrid w:val="0"/>
                      <w:color w:val="auto"/>
                      <w:szCs w:val="21"/>
                    </w:rPr>
                    <w:t>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89" w:type="dxa"/>
                  <w:tcBorders>
                    <w:tl2br w:val="nil"/>
                    <w:tr2bl w:val="nil"/>
                  </w:tcBorders>
                  <w:vAlign w:val="center"/>
                </w:tcPr>
                <w:p>
                  <w:pPr>
                    <w:adjustRightInd w:val="0"/>
                    <w:snapToGrid w:val="0"/>
                    <w:jc w:val="center"/>
                    <w:rPr>
                      <w:snapToGrid w:val="0"/>
                      <w:color w:val="auto"/>
                      <w:szCs w:val="21"/>
                    </w:rPr>
                  </w:pPr>
                  <w:r>
                    <w:rPr>
                      <w:snapToGrid w:val="0"/>
                      <w:color w:val="auto"/>
                      <w:szCs w:val="21"/>
                    </w:rPr>
                    <w:t>排气筒</w:t>
                  </w:r>
                </w:p>
              </w:tc>
              <w:tc>
                <w:tcPr>
                  <w:tcW w:w="3687" w:type="dxa"/>
                  <w:tcBorders>
                    <w:tl2br w:val="nil"/>
                    <w:tr2bl w:val="nil"/>
                  </w:tcBorders>
                  <w:vAlign w:val="center"/>
                </w:tcPr>
                <w:p>
                  <w:pPr>
                    <w:adjustRightInd w:val="0"/>
                    <w:snapToGrid w:val="0"/>
                    <w:ind w:firstLine="86"/>
                    <w:jc w:val="center"/>
                    <w:rPr>
                      <w:snapToGrid w:val="0"/>
                      <w:color w:val="auto"/>
                      <w:szCs w:val="21"/>
                    </w:rPr>
                  </w:pPr>
                  <w:r>
                    <w:rPr>
                      <w:color w:val="auto"/>
                      <w:szCs w:val="21"/>
                    </w:rPr>
                    <w:drawing>
                      <wp:inline distT="0" distB="0" distL="114300" distR="114300">
                        <wp:extent cx="1332865" cy="1332865"/>
                        <wp:effectExtent l="0" t="0" r="635" b="635"/>
                        <wp:docPr id="24" name="图片 18">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8"/>
                                <pic:cNvPicPr>
                                  <a:picLocks noChangeAspect="1"/>
                                </pic:cNvPicPr>
                              </pic:nvPicPr>
                              <pic:blipFill>
                                <a:blip r:embed="rId15"/>
                                <a:stretch>
                                  <a:fillRect/>
                                </a:stretch>
                              </pic:blipFill>
                              <pic:spPr>
                                <a:xfrm>
                                  <a:off x="0" y="0"/>
                                  <a:ext cx="1332865" cy="1332865"/>
                                </a:xfrm>
                                <a:prstGeom prst="rect">
                                  <a:avLst/>
                                </a:prstGeom>
                                <a:noFill/>
                                <a:ln>
                                  <a:noFill/>
                                </a:ln>
                              </pic:spPr>
                            </pic:pic>
                          </a:graphicData>
                        </a:graphic>
                      </wp:inline>
                    </w:drawing>
                  </w:r>
                </w:p>
              </w:tc>
              <w:tc>
                <w:tcPr>
                  <w:tcW w:w="2262" w:type="dxa"/>
                  <w:vMerge w:val="restart"/>
                  <w:tcBorders>
                    <w:tl2br w:val="nil"/>
                    <w:tr2bl w:val="nil"/>
                  </w:tcBorders>
                  <w:vAlign w:val="center"/>
                </w:tcPr>
                <w:p>
                  <w:pPr>
                    <w:adjustRightInd w:val="0"/>
                    <w:snapToGrid w:val="0"/>
                    <w:rPr>
                      <w:color w:val="auto"/>
                      <w:szCs w:val="21"/>
                    </w:rPr>
                  </w:pPr>
                  <w:r>
                    <w:rPr>
                      <w:b/>
                      <w:color w:val="auto"/>
                      <w:szCs w:val="21"/>
                    </w:rPr>
                    <w:t>辅助标志内容</w:t>
                  </w:r>
                  <w:r>
                    <w:rPr>
                      <w:color w:val="auto"/>
                      <w:szCs w:val="21"/>
                    </w:rPr>
                    <w:t>（1）排放口标志名称；（2）单位名称；（3）编号；（4）污染物种类</w:t>
                  </w:r>
                  <w:r>
                    <w:rPr>
                      <w:rFonts w:hint="eastAsia"/>
                      <w:color w:val="auto"/>
                      <w:szCs w:val="21"/>
                    </w:rPr>
                    <w:t>；</w:t>
                  </w:r>
                </w:p>
                <w:p>
                  <w:pPr>
                    <w:adjustRightInd w:val="0"/>
                    <w:snapToGrid w:val="0"/>
                    <w:rPr>
                      <w:color w:val="auto"/>
                      <w:szCs w:val="21"/>
                    </w:rPr>
                  </w:pPr>
                  <w:r>
                    <w:rPr>
                      <w:b/>
                      <w:color w:val="auto"/>
                      <w:szCs w:val="21"/>
                    </w:rPr>
                    <w:t>辅助标志字型</w:t>
                  </w:r>
                  <w:r>
                    <w:rPr>
                      <w:color w:val="auto"/>
                      <w:szCs w:val="21"/>
                    </w:rPr>
                    <w:t>：黑体字</w:t>
                  </w:r>
                  <w:r>
                    <w:rPr>
                      <w:rFonts w:hint="eastAsia"/>
                      <w:color w:val="auto"/>
                      <w:szCs w:val="21"/>
                    </w:rPr>
                    <w:t>；</w:t>
                  </w:r>
                </w:p>
                <w:p>
                  <w:pPr>
                    <w:adjustRightInd w:val="0"/>
                    <w:snapToGrid w:val="0"/>
                    <w:rPr>
                      <w:color w:val="auto"/>
                      <w:szCs w:val="21"/>
                    </w:rPr>
                  </w:pPr>
                  <w:r>
                    <w:rPr>
                      <w:b/>
                      <w:color w:val="auto"/>
                      <w:szCs w:val="21"/>
                    </w:rPr>
                    <w:t>标志牌尺寸：</w:t>
                  </w:r>
                  <w:r>
                    <w:rPr>
                      <w:color w:val="auto"/>
                      <w:szCs w:val="21"/>
                    </w:rPr>
                    <w:t>（1）提示标志：480×300mm；（2）警告标志：边长420mm</w:t>
                  </w:r>
                  <w:r>
                    <w:rPr>
                      <w:rFonts w:hint="eastAsia"/>
                      <w:color w:val="auto"/>
                      <w:szCs w:val="21"/>
                    </w:rPr>
                    <w:t>；</w:t>
                  </w:r>
                </w:p>
                <w:p>
                  <w:pPr>
                    <w:adjustRightInd w:val="0"/>
                    <w:snapToGrid w:val="0"/>
                    <w:rPr>
                      <w:color w:val="auto"/>
                      <w:szCs w:val="21"/>
                    </w:rPr>
                  </w:pPr>
                  <w:r>
                    <w:rPr>
                      <w:b/>
                      <w:color w:val="auto"/>
                      <w:szCs w:val="21"/>
                    </w:rPr>
                    <w:t>标志牌材料：</w:t>
                  </w:r>
                  <w:r>
                    <w:rPr>
                      <w:color w:val="auto"/>
                      <w:szCs w:val="21"/>
                    </w:rPr>
                    <w:t>1.5~2mm冷轧钢板，表面采用搪瓷或反光贴膜</w:t>
                  </w:r>
                  <w:r>
                    <w:rPr>
                      <w:rFonts w:hint="eastAsia"/>
                      <w:color w:val="auto"/>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89" w:type="dxa"/>
                  <w:tcBorders>
                    <w:tl2br w:val="nil"/>
                    <w:tr2bl w:val="nil"/>
                  </w:tcBorders>
                  <w:vAlign w:val="center"/>
                </w:tcPr>
                <w:p>
                  <w:pPr>
                    <w:adjustRightInd w:val="0"/>
                    <w:snapToGrid w:val="0"/>
                    <w:jc w:val="center"/>
                    <w:rPr>
                      <w:snapToGrid w:val="0"/>
                      <w:color w:val="auto"/>
                      <w:szCs w:val="21"/>
                    </w:rPr>
                  </w:pPr>
                  <w:r>
                    <w:rPr>
                      <w:snapToGrid w:val="0"/>
                      <w:color w:val="auto"/>
                      <w:szCs w:val="21"/>
                    </w:rPr>
                    <w:t>噪声源</w:t>
                  </w:r>
                </w:p>
              </w:tc>
              <w:tc>
                <w:tcPr>
                  <w:tcW w:w="3687" w:type="dxa"/>
                  <w:tcBorders>
                    <w:tl2br w:val="nil"/>
                    <w:tr2bl w:val="nil"/>
                  </w:tcBorders>
                  <w:vAlign w:val="center"/>
                </w:tcPr>
                <w:p>
                  <w:pPr>
                    <w:adjustRightInd w:val="0"/>
                    <w:snapToGrid w:val="0"/>
                    <w:ind w:firstLine="86"/>
                    <w:jc w:val="center"/>
                    <w:rPr>
                      <w:snapToGrid w:val="0"/>
                      <w:color w:val="auto"/>
                      <w:szCs w:val="21"/>
                    </w:rPr>
                  </w:pPr>
                  <w:r>
                    <w:rPr>
                      <w:color w:val="auto"/>
                      <w:szCs w:val="21"/>
                    </w:rPr>
                    <w:drawing>
                      <wp:inline distT="0" distB="0" distL="114300" distR="114300">
                        <wp:extent cx="1292860" cy="1292860"/>
                        <wp:effectExtent l="0" t="0" r="2540" b="2540"/>
                        <wp:docPr id="25" name="图片 19">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9"/>
                                <pic:cNvPicPr>
                                  <a:picLocks noChangeAspect="1"/>
                                </pic:cNvPicPr>
                              </pic:nvPicPr>
                              <pic:blipFill>
                                <a:blip r:embed="rId17"/>
                                <a:stretch>
                                  <a:fillRect/>
                                </a:stretch>
                              </pic:blipFill>
                              <pic:spPr>
                                <a:xfrm>
                                  <a:off x="0" y="0"/>
                                  <a:ext cx="1292860" cy="1292860"/>
                                </a:xfrm>
                                <a:prstGeom prst="rect">
                                  <a:avLst/>
                                </a:prstGeom>
                                <a:noFill/>
                                <a:ln>
                                  <a:noFill/>
                                </a:ln>
                              </pic:spPr>
                            </pic:pic>
                          </a:graphicData>
                        </a:graphic>
                      </wp:inline>
                    </w:drawing>
                  </w:r>
                </w:p>
              </w:tc>
              <w:tc>
                <w:tcPr>
                  <w:tcW w:w="2262" w:type="dxa"/>
                  <w:vMerge w:val="continue"/>
                  <w:tcBorders>
                    <w:tl2br w:val="nil"/>
                    <w:tr2bl w:val="nil"/>
                  </w:tcBorders>
                  <w:vAlign w:val="center"/>
                </w:tcPr>
                <w:p>
                  <w:pPr>
                    <w:adjustRightInd w:val="0"/>
                    <w:snapToGrid w:val="0"/>
                    <w:ind w:firstLine="86"/>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89" w:type="dxa"/>
                  <w:tcBorders>
                    <w:tl2br w:val="nil"/>
                    <w:tr2bl w:val="nil"/>
                  </w:tcBorders>
                  <w:vAlign w:val="center"/>
                </w:tcPr>
                <w:p>
                  <w:pPr>
                    <w:adjustRightInd w:val="0"/>
                    <w:snapToGrid w:val="0"/>
                    <w:jc w:val="center"/>
                    <w:rPr>
                      <w:snapToGrid w:val="0"/>
                      <w:color w:val="auto"/>
                      <w:szCs w:val="21"/>
                    </w:rPr>
                  </w:pPr>
                  <w:r>
                    <w:rPr>
                      <w:snapToGrid w:val="0"/>
                      <w:color w:val="auto"/>
                      <w:szCs w:val="21"/>
                    </w:rPr>
                    <w:t>固废堆放场所</w:t>
                  </w:r>
                </w:p>
              </w:tc>
              <w:tc>
                <w:tcPr>
                  <w:tcW w:w="3687" w:type="dxa"/>
                  <w:tcBorders>
                    <w:tl2br w:val="nil"/>
                    <w:tr2bl w:val="nil"/>
                  </w:tcBorders>
                  <w:vAlign w:val="center"/>
                </w:tcPr>
                <w:p>
                  <w:pPr>
                    <w:adjustRightInd w:val="0"/>
                    <w:snapToGrid w:val="0"/>
                    <w:ind w:firstLine="102"/>
                    <w:jc w:val="center"/>
                    <w:rPr>
                      <w:snapToGrid w:val="0"/>
                      <w:color w:val="auto"/>
                      <w:szCs w:val="21"/>
                    </w:rPr>
                  </w:pPr>
                  <w:r>
                    <w:rPr>
                      <w:color w:val="auto"/>
                      <w:szCs w:val="21"/>
                    </w:rPr>
                    <w:drawing>
                      <wp:inline distT="0" distB="0" distL="114300" distR="114300">
                        <wp:extent cx="1309370" cy="1290955"/>
                        <wp:effectExtent l="0" t="0" r="5080" b="4445"/>
                        <wp:docPr id="26" name="图片 2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0"/>
                                <pic:cNvPicPr>
                                  <a:picLocks noChangeAspect="1"/>
                                </pic:cNvPicPr>
                              </pic:nvPicPr>
                              <pic:blipFill>
                                <a:blip r:embed="rId19"/>
                                <a:stretch>
                                  <a:fillRect/>
                                </a:stretch>
                              </pic:blipFill>
                              <pic:spPr>
                                <a:xfrm>
                                  <a:off x="0" y="0"/>
                                  <a:ext cx="1309370" cy="1290955"/>
                                </a:xfrm>
                                <a:prstGeom prst="rect">
                                  <a:avLst/>
                                </a:prstGeom>
                                <a:noFill/>
                                <a:ln>
                                  <a:noFill/>
                                </a:ln>
                              </pic:spPr>
                            </pic:pic>
                          </a:graphicData>
                        </a:graphic>
                      </wp:inline>
                    </w:drawing>
                  </w:r>
                </w:p>
              </w:tc>
              <w:tc>
                <w:tcPr>
                  <w:tcW w:w="2262" w:type="dxa"/>
                  <w:vMerge w:val="continue"/>
                  <w:tcBorders>
                    <w:tl2br w:val="nil"/>
                    <w:tr2bl w:val="nil"/>
                  </w:tcBorders>
                  <w:vAlign w:val="center"/>
                </w:tcPr>
                <w:p>
                  <w:pPr>
                    <w:adjustRightInd w:val="0"/>
                    <w:snapToGrid w:val="0"/>
                    <w:ind w:firstLine="102"/>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89" w:type="dxa"/>
                  <w:tcBorders>
                    <w:tl2br w:val="nil"/>
                    <w:tr2bl w:val="nil"/>
                  </w:tcBorders>
                  <w:vAlign w:val="center"/>
                </w:tcPr>
                <w:p>
                  <w:pPr>
                    <w:adjustRightInd w:val="0"/>
                    <w:snapToGrid w:val="0"/>
                    <w:jc w:val="center"/>
                    <w:rPr>
                      <w:snapToGrid w:val="0"/>
                      <w:color w:val="auto"/>
                      <w:szCs w:val="21"/>
                    </w:rPr>
                  </w:pPr>
                  <w:r>
                    <w:rPr>
                      <w:rFonts w:hint="eastAsia"/>
                      <w:snapToGrid w:val="0"/>
                      <w:color w:val="auto"/>
                      <w:szCs w:val="21"/>
                    </w:rPr>
                    <w:t>危险废物堆放场所</w:t>
                  </w:r>
                </w:p>
              </w:tc>
              <w:tc>
                <w:tcPr>
                  <w:tcW w:w="3687" w:type="dxa"/>
                  <w:tcBorders>
                    <w:tl2br w:val="nil"/>
                    <w:tr2bl w:val="nil"/>
                  </w:tcBorders>
                  <w:vAlign w:val="center"/>
                </w:tcPr>
                <w:p>
                  <w:pPr>
                    <w:adjustRightInd w:val="0"/>
                    <w:snapToGrid w:val="0"/>
                    <w:ind w:firstLine="102"/>
                    <w:jc w:val="center"/>
                    <w:rPr>
                      <w:color w:val="auto"/>
                      <w:szCs w:val="21"/>
                    </w:rPr>
                  </w:pPr>
                  <w:r>
                    <w:rPr>
                      <w:color w:val="auto"/>
                    </w:rPr>
                    <w:drawing>
                      <wp:inline distT="0" distB="0" distL="114300" distR="114300">
                        <wp:extent cx="2052955" cy="1295400"/>
                        <wp:effectExtent l="0" t="0" r="4445" b="0"/>
                        <wp:docPr id="27"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1"/>
                                <pic:cNvPicPr>
                                  <a:picLocks noChangeAspect="1"/>
                                </pic:cNvPicPr>
                              </pic:nvPicPr>
                              <pic:blipFill>
                                <a:blip r:embed="rId13"/>
                                <a:stretch>
                                  <a:fillRect/>
                                </a:stretch>
                              </pic:blipFill>
                              <pic:spPr>
                                <a:xfrm>
                                  <a:off x="0" y="0"/>
                                  <a:ext cx="2052955" cy="1295400"/>
                                </a:xfrm>
                                <a:prstGeom prst="rect">
                                  <a:avLst/>
                                </a:prstGeom>
                                <a:noFill/>
                                <a:ln>
                                  <a:noFill/>
                                </a:ln>
                              </pic:spPr>
                            </pic:pic>
                          </a:graphicData>
                        </a:graphic>
                      </wp:inline>
                    </w:drawing>
                  </w:r>
                </w:p>
              </w:tc>
              <w:tc>
                <w:tcPr>
                  <w:tcW w:w="2262" w:type="dxa"/>
                  <w:vMerge w:val="continue"/>
                  <w:tcBorders>
                    <w:tl2br w:val="nil"/>
                    <w:tr2bl w:val="nil"/>
                  </w:tcBorders>
                  <w:vAlign w:val="center"/>
                </w:tcPr>
                <w:p>
                  <w:pPr>
                    <w:adjustRightInd w:val="0"/>
                    <w:snapToGrid w:val="0"/>
                    <w:ind w:firstLine="102"/>
                    <w:jc w:val="center"/>
                    <w:rPr>
                      <w:color w:val="auto"/>
                      <w:szCs w:val="21"/>
                    </w:rPr>
                  </w:pPr>
                </w:p>
              </w:tc>
            </w:tr>
          </w:tbl>
          <w:p>
            <w:pPr>
              <w:spacing w:line="480" w:lineRule="exact"/>
              <w:ind w:firstLine="480" w:firstLineChars="200"/>
              <w:rPr>
                <w:color w:val="auto"/>
                <w:sz w:val="24"/>
              </w:rPr>
            </w:pPr>
            <w:r>
              <w:rPr>
                <w:rFonts w:hint="eastAsia"/>
                <w:color w:val="auto"/>
                <w:sz w:val="24"/>
              </w:rPr>
              <w:t>3、无组织排放管控</w:t>
            </w:r>
          </w:p>
          <w:p>
            <w:pPr>
              <w:pStyle w:val="32"/>
              <w:spacing w:after="0" w:line="480" w:lineRule="exact"/>
              <w:ind w:left="0" w:leftChars="0" w:firstLine="480"/>
              <w:rPr>
                <w:color w:val="auto"/>
                <w:sz w:val="24"/>
                <w:szCs w:val="24"/>
              </w:rPr>
            </w:pPr>
            <w:r>
              <w:rPr>
                <w:color w:val="auto"/>
                <w:sz w:val="24"/>
                <w:szCs w:val="24"/>
              </w:rPr>
              <w:t>生产车间设有顶吸二次除尘装置，车间内部无组织废气经顶吸二次除尘处理后通过相应排气筒外排。本次评价针对无组织排放提出管控要求：</w:t>
            </w:r>
          </w:p>
          <w:p>
            <w:pPr>
              <w:pStyle w:val="32"/>
              <w:spacing w:after="0" w:line="480" w:lineRule="exact"/>
              <w:ind w:left="0" w:leftChars="0" w:firstLine="480"/>
              <w:rPr>
                <w:color w:val="auto"/>
                <w:sz w:val="24"/>
                <w:szCs w:val="24"/>
              </w:rPr>
            </w:pPr>
            <w:r>
              <w:rPr>
                <w:rFonts w:hint="eastAsia"/>
                <w:color w:val="auto"/>
                <w:sz w:val="24"/>
                <w:szCs w:val="24"/>
              </w:rPr>
              <w:t>由于本项目生产车间即为厂区，故项目于厂区边界主导上、下风向各安装1套 TSP、PM</w:t>
            </w:r>
            <w:r>
              <w:rPr>
                <w:rFonts w:hint="eastAsia"/>
                <w:color w:val="auto"/>
                <w:sz w:val="24"/>
                <w:szCs w:val="24"/>
                <w:vertAlign w:val="subscript"/>
              </w:rPr>
              <w:t>10</w:t>
            </w:r>
            <w:r>
              <w:rPr>
                <w:rFonts w:hint="eastAsia"/>
                <w:color w:val="auto"/>
                <w:sz w:val="24"/>
                <w:szCs w:val="24"/>
              </w:rPr>
              <w:t>、PM</w:t>
            </w:r>
            <w:r>
              <w:rPr>
                <w:rFonts w:hint="eastAsia"/>
                <w:color w:val="auto"/>
                <w:sz w:val="24"/>
                <w:szCs w:val="24"/>
                <w:vertAlign w:val="subscript"/>
              </w:rPr>
              <w:t>2.5</w:t>
            </w:r>
            <w:r>
              <w:rPr>
                <w:rFonts w:hint="eastAsia"/>
                <w:color w:val="auto"/>
                <w:sz w:val="24"/>
                <w:szCs w:val="24"/>
              </w:rPr>
              <w:t>在线监测设备，配备1台联网的计算机，安装无组织排放监测系统软件（在线设施须有环境保护产品认证证书），与市、县环保指挥中心联网。厂区边界颗粒物浓度不高于0.5mg/Nm</w:t>
            </w:r>
            <w:r>
              <w:rPr>
                <w:rFonts w:hint="eastAsia"/>
                <w:color w:val="auto"/>
                <w:sz w:val="24"/>
                <w:szCs w:val="24"/>
                <w:vertAlign w:val="superscript"/>
              </w:rPr>
              <w:t>3</w:t>
            </w:r>
            <w:r>
              <w:rPr>
                <w:color w:val="auto"/>
                <w:sz w:val="24"/>
                <w:szCs w:val="24"/>
              </w:rPr>
              <w:t>。</w:t>
            </w:r>
          </w:p>
          <w:p>
            <w:pPr>
              <w:pStyle w:val="32"/>
              <w:spacing w:after="0" w:line="480" w:lineRule="exact"/>
              <w:ind w:left="0" w:leftChars="0" w:firstLine="480"/>
              <w:rPr>
                <w:color w:val="auto"/>
                <w:sz w:val="24"/>
                <w:szCs w:val="24"/>
              </w:rPr>
            </w:pPr>
            <w:r>
              <w:rPr>
                <w:color w:val="auto"/>
                <w:sz w:val="24"/>
                <w:szCs w:val="24"/>
              </w:rPr>
              <w:t>厂房四面封闭，通道口安装卷帘门、推拉门等封闭性良好且便于开关的硬质门，在无车辆出入时将门关闭，保证空气合理流动不产生湍流。</w:t>
            </w:r>
          </w:p>
          <w:p>
            <w:pPr>
              <w:pStyle w:val="32"/>
              <w:spacing w:after="0" w:line="480" w:lineRule="exact"/>
              <w:ind w:left="0" w:leftChars="0" w:firstLine="480"/>
              <w:rPr>
                <w:color w:val="auto"/>
                <w:sz w:val="24"/>
                <w:szCs w:val="24"/>
              </w:rPr>
            </w:pPr>
            <w:r>
              <w:rPr>
                <w:rFonts w:hint="eastAsia" w:ascii="宋体" w:hAnsi="宋体" w:cs="宋体"/>
                <w:color w:val="auto"/>
                <w:sz w:val="24"/>
                <w:szCs w:val="24"/>
              </w:rPr>
              <w:t>除尘器卸灰不直</w:t>
            </w:r>
            <w:r>
              <w:rPr>
                <w:color w:val="auto"/>
                <w:sz w:val="24"/>
                <w:szCs w:val="24"/>
              </w:rPr>
              <w:t>接卸落到地面，卸灰区封闭，除尘灰采用吨包、气力输送、罐车等密闭方式运输。</w:t>
            </w:r>
          </w:p>
          <w:p>
            <w:pPr>
              <w:pStyle w:val="32"/>
              <w:spacing w:after="0" w:line="480" w:lineRule="exact"/>
              <w:ind w:left="0" w:leftChars="0" w:firstLine="480"/>
              <w:rPr>
                <w:color w:val="auto"/>
                <w:sz w:val="24"/>
                <w:szCs w:val="24"/>
              </w:rPr>
            </w:pPr>
            <w:r>
              <w:rPr>
                <w:color w:val="auto"/>
                <w:sz w:val="24"/>
                <w:szCs w:val="24"/>
              </w:rPr>
              <w:t>厂区出入口，安装运输车辆侧向全覆盖式强制喷淋清洗设施，清洗设施应保证车辆冲洗效果，长度不少于6米、高度不低于2.5米，地面至少设置一排花式喷射喷头。</w:t>
            </w:r>
          </w:p>
          <w:p>
            <w:pPr>
              <w:pStyle w:val="32"/>
              <w:spacing w:after="0" w:line="480" w:lineRule="exact"/>
              <w:ind w:left="0" w:leftChars="0" w:firstLine="480"/>
              <w:rPr>
                <w:color w:val="auto"/>
                <w:sz w:val="24"/>
                <w:szCs w:val="24"/>
              </w:rPr>
            </w:pPr>
            <w:r>
              <w:rPr>
                <w:color w:val="auto"/>
                <w:sz w:val="24"/>
                <w:szCs w:val="24"/>
              </w:rPr>
              <w:t>厂区地面非绿即硬，企业厂区门口至主要交通干道之间车辆行驶路面要全部高标准硬化，并做好湿扫保洁。</w:t>
            </w:r>
          </w:p>
          <w:p>
            <w:pPr>
              <w:pStyle w:val="32"/>
              <w:spacing w:after="0" w:line="480" w:lineRule="exact"/>
              <w:ind w:left="0" w:leftChars="0" w:firstLine="480"/>
              <w:rPr>
                <w:rFonts w:ascii="宋体" w:hAnsi="宋体" w:cs="宋体"/>
                <w:color w:val="auto"/>
                <w:sz w:val="24"/>
                <w:szCs w:val="24"/>
              </w:rPr>
            </w:pPr>
            <w:r>
              <w:rPr>
                <w:color w:val="auto"/>
                <w:sz w:val="24"/>
                <w:szCs w:val="24"/>
              </w:rPr>
              <w:t>在厂区门口或明显位置设置电子</w:t>
            </w:r>
            <w:r>
              <w:rPr>
                <w:rFonts w:hint="eastAsia" w:ascii="宋体" w:hAnsi="宋体" w:cs="宋体"/>
                <w:color w:val="auto"/>
                <w:sz w:val="24"/>
                <w:szCs w:val="24"/>
              </w:rPr>
              <w:t>显示屏，实时发布主要污染物排放信息。</w:t>
            </w:r>
          </w:p>
          <w:p>
            <w:pPr>
              <w:pStyle w:val="32"/>
              <w:spacing w:after="0" w:line="480" w:lineRule="exact"/>
              <w:ind w:left="0" w:leftChars="0" w:firstLine="480"/>
              <w:rPr>
                <w:rFonts w:ascii="宋体" w:hAnsi="宋体" w:cs="宋体"/>
                <w:color w:val="auto"/>
                <w:sz w:val="24"/>
                <w:szCs w:val="24"/>
              </w:rPr>
            </w:pPr>
            <w:r>
              <w:rPr>
                <w:rFonts w:hint="eastAsia" w:ascii="宋体" w:hAnsi="宋体" w:cs="宋体"/>
                <w:color w:val="auto"/>
                <w:sz w:val="24"/>
                <w:szCs w:val="24"/>
              </w:rPr>
              <w:t>其他管控要求严格按照《唐山市铸造行业整治提升工作方案》的相关要求落实。</w:t>
            </w:r>
          </w:p>
          <w:p>
            <w:pPr>
              <w:spacing w:line="480" w:lineRule="exact"/>
              <w:ind w:firstLine="480" w:firstLineChars="200"/>
              <w:rPr>
                <w:color w:val="auto"/>
                <w:sz w:val="24"/>
              </w:rPr>
            </w:pPr>
            <w:r>
              <w:rPr>
                <w:rFonts w:hint="eastAsia"/>
                <w:color w:val="auto"/>
                <w:sz w:val="24"/>
              </w:rPr>
              <w:t>4、</w:t>
            </w:r>
            <w:r>
              <w:rPr>
                <w:color w:val="auto"/>
                <w:sz w:val="24"/>
              </w:rPr>
              <w:t>与排污许可衔接</w:t>
            </w:r>
          </w:p>
          <w:p>
            <w:pPr>
              <w:spacing w:line="480" w:lineRule="exact"/>
              <w:ind w:firstLine="480" w:firstLineChars="200"/>
              <w:outlineLvl w:val="1"/>
              <w:rPr>
                <w:color w:val="auto"/>
                <w:sz w:val="24"/>
                <w:lang w:bidi="ar"/>
              </w:rPr>
            </w:pPr>
            <w:r>
              <w:rPr>
                <w:color w:val="auto"/>
                <w:sz w:val="24"/>
              </w:rPr>
              <w:t>建设项目发生实际排污行为之前，应当按照国家环境保护相关法律法规以及排污许可证申请与核发技术规范要求</w:t>
            </w:r>
            <w:r>
              <w:rPr>
                <w:rFonts w:hint="eastAsia"/>
                <w:color w:val="auto"/>
                <w:sz w:val="24"/>
              </w:rPr>
              <w:t>申领</w:t>
            </w:r>
            <w:r>
              <w:rPr>
                <w:color w:val="auto"/>
                <w:sz w:val="24"/>
              </w:rPr>
              <w:t>排污许可证，不得无证排污或不按证排污</w:t>
            </w:r>
            <w:r>
              <w:rPr>
                <w:rFonts w:hint="eastAsia"/>
                <w:color w:val="auto"/>
                <w:sz w:val="24"/>
                <w:lang w:bidi="ar"/>
              </w:rPr>
              <w:t>。</w:t>
            </w:r>
          </w:p>
          <w:p>
            <w:pPr>
              <w:spacing w:line="480" w:lineRule="exact"/>
              <w:ind w:firstLine="480" w:firstLineChars="200"/>
              <w:outlineLvl w:val="1"/>
              <w:rPr>
                <w:color w:val="auto"/>
                <w:sz w:val="24"/>
                <w:lang w:bidi="ar"/>
              </w:rPr>
            </w:pPr>
          </w:p>
          <w:p>
            <w:pPr>
              <w:spacing w:line="480" w:lineRule="exact"/>
              <w:ind w:firstLine="480" w:firstLineChars="200"/>
              <w:outlineLvl w:val="1"/>
              <w:rPr>
                <w:color w:val="auto"/>
                <w:sz w:val="24"/>
                <w:lang w:bidi="ar"/>
              </w:rPr>
            </w:pPr>
          </w:p>
          <w:p>
            <w:pPr>
              <w:spacing w:line="480" w:lineRule="exact"/>
              <w:ind w:firstLine="480" w:firstLineChars="200"/>
              <w:outlineLvl w:val="1"/>
              <w:rPr>
                <w:color w:val="auto"/>
                <w:sz w:val="24"/>
                <w:lang w:bidi="ar"/>
              </w:rPr>
            </w:pPr>
          </w:p>
          <w:p>
            <w:pPr>
              <w:spacing w:line="480" w:lineRule="exact"/>
              <w:ind w:firstLine="480" w:firstLineChars="200"/>
              <w:outlineLvl w:val="1"/>
              <w:rPr>
                <w:color w:val="auto"/>
                <w:sz w:val="24"/>
                <w:lang w:bidi="ar"/>
              </w:rPr>
            </w:pPr>
          </w:p>
          <w:p>
            <w:pPr>
              <w:spacing w:line="480" w:lineRule="exact"/>
              <w:ind w:firstLine="480" w:firstLineChars="200"/>
              <w:outlineLvl w:val="1"/>
              <w:rPr>
                <w:color w:val="auto"/>
                <w:sz w:val="24"/>
                <w:lang w:bidi="ar"/>
              </w:rPr>
            </w:pPr>
          </w:p>
          <w:p>
            <w:pPr>
              <w:spacing w:line="480" w:lineRule="exact"/>
              <w:ind w:firstLine="480" w:firstLineChars="200"/>
              <w:outlineLvl w:val="1"/>
              <w:rPr>
                <w:color w:val="auto"/>
                <w:sz w:val="24"/>
                <w:lang w:bidi="ar"/>
              </w:rPr>
            </w:pPr>
          </w:p>
          <w:p>
            <w:pPr>
              <w:spacing w:line="500" w:lineRule="exact"/>
              <w:outlineLvl w:val="1"/>
              <w:rPr>
                <w:snapToGrid w:val="0"/>
                <w:color w:val="auto"/>
                <w:sz w:val="24"/>
              </w:rPr>
            </w:pPr>
          </w:p>
        </w:tc>
      </w:tr>
    </w:tbl>
    <w:p>
      <w:pPr>
        <w:pStyle w:val="29"/>
        <w:jc w:val="both"/>
        <w:rPr>
          <w:rFonts w:ascii="Times New Roman" w:hAnsi="Times New Roman"/>
          <w:snapToGrid w:val="0"/>
          <w:color w:val="auto"/>
        </w:rPr>
        <w:sectPr>
          <w:pgSz w:w="11906" w:h="16838"/>
          <w:pgMar w:top="1701" w:right="1531" w:bottom="1701" w:left="1531" w:header="851" w:footer="851" w:gutter="0"/>
          <w:cols w:space="720" w:num="1"/>
          <w:docGrid w:linePitch="312" w:charSpace="0"/>
        </w:sectPr>
      </w:pPr>
    </w:p>
    <w:p>
      <w:pPr>
        <w:pStyle w:val="29"/>
        <w:jc w:val="center"/>
        <w:outlineLvl w:val="0"/>
        <w:rPr>
          <w:rFonts w:ascii="Times New Roman" w:hAnsi="Times New Roman" w:eastAsia="黑体"/>
          <w:snapToGrid w:val="0"/>
          <w:color w:val="auto"/>
          <w:sz w:val="30"/>
          <w:szCs w:val="30"/>
        </w:rPr>
      </w:pPr>
      <w:bookmarkStart w:id="24" w:name="_Toc3506"/>
      <w:bookmarkStart w:id="25" w:name="_Toc26089"/>
      <w:r>
        <w:rPr>
          <w:rFonts w:ascii="Times New Roman" w:hAnsi="Times New Roman" w:eastAsia="黑体"/>
          <w:snapToGrid w:val="0"/>
          <w:color w:val="auto"/>
          <w:sz w:val="30"/>
          <w:szCs w:val="30"/>
        </w:rPr>
        <w:t>六、结论</w:t>
      </w:r>
      <w:bookmarkEnd w:id="24"/>
      <w:bookmarkEnd w:id="25"/>
    </w:p>
    <w:tbl>
      <w:tblPr>
        <w:tblStyle w:val="3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Pr>
          <w:p>
            <w:pPr>
              <w:spacing w:line="500" w:lineRule="exact"/>
              <w:ind w:firstLine="480" w:firstLineChars="200"/>
              <w:rPr>
                <w:color w:val="auto"/>
                <w:sz w:val="24"/>
              </w:rPr>
            </w:pPr>
            <w:r>
              <w:rPr>
                <w:rFonts w:hint="eastAsia" w:ascii="宋体" w:cs="宋体"/>
                <w:color w:val="auto"/>
                <w:sz w:val="24"/>
              </w:rPr>
              <w:t>综合以上分析，</w:t>
            </w:r>
            <w:r>
              <w:rPr>
                <w:rFonts w:hint="eastAsia"/>
                <w:color w:val="auto"/>
                <w:sz w:val="24"/>
              </w:rPr>
              <w:t>遵化市益诚机械配件有限公司年产高端精密铸件5500吨数控机床配件项目</w:t>
            </w:r>
            <w:r>
              <w:rPr>
                <w:rFonts w:hint="eastAsia" w:ascii="宋体" w:cs="宋体"/>
                <w:color w:val="auto"/>
                <w:sz w:val="24"/>
              </w:rPr>
              <w:t>符合国家和地方相关产业政策要求；选址可行；采取了完善的环保治理措施，可确保各类污染源的稳定达标排放，项目实施后不会对周围环境产生明显影响。因此，本评价从环保角度分析认为项目的建设是可行的</w:t>
            </w:r>
            <w:r>
              <w:rPr>
                <w:rFonts w:hint="eastAsia"/>
                <w:color w:val="auto"/>
                <w:sz w:val="24"/>
              </w:rPr>
              <w:t>。</w:t>
            </w:r>
          </w:p>
          <w:p>
            <w:pPr>
              <w:spacing w:line="360" w:lineRule="auto"/>
              <w:rPr>
                <w:color w:val="auto"/>
                <w:szCs w:val="21"/>
              </w:rPr>
            </w:pPr>
          </w:p>
        </w:tc>
      </w:tr>
    </w:tbl>
    <w:p>
      <w:pPr>
        <w:rPr>
          <w:color w:val="auto"/>
        </w:rPr>
        <w:sectPr>
          <w:pgSz w:w="11906" w:h="16838"/>
          <w:pgMar w:top="1701" w:right="1531" w:bottom="1701" w:left="1531" w:header="851" w:footer="851" w:gutter="0"/>
          <w:cols w:space="720" w:num="1"/>
          <w:docGrid w:linePitch="312" w:charSpace="0"/>
        </w:sectPr>
      </w:pPr>
    </w:p>
    <w:p>
      <w:pPr>
        <w:pStyle w:val="29"/>
        <w:adjustRightInd w:val="0"/>
        <w:snapToGrid w:val="0"/>
        <w:spacing w:before="0" w:beforeAutospacing="0" w:after="0" w:afterAutospacing="0"/>
        <w:outlineLvl w:val="0"/>
        <w:rPr>
          <w:rFonts w:ascii="Times New Roman" w:hAnsi="Times New Roman" w:eastAsia="黑体"/>
          <w:snapToGrid w:val="0"/>
          <w:color w:val="auto"/>
          <w:sz w:val="32"/>
          <w:szCs w:val="32"/>
        </w:rPr>
      </w:pPr>
      <w:bookmarkStart w:id="26" w:name="_Toc14760"/>
      <w:bookmarkStart w:id="27" w:name="_Toc16775"/>
      <w:r>
        <w:rPr>
          <w:rFonts w:ascii="Times New Roman" w:hAnsi="Times New Roman" w:eastAsia="黑体"/>
          <w:snapToGrid w:val="0"/>
          <w:color w:val="auto"/>
          <w:sz w:val="32"/>
          <w:szCs w:val="32"/>
        </w:rPr>
        <w:t>附表</w:t>
      </w:r>
      <w:bookmarkEnd w:id="26"/>
      <w:bookmarkEnd w:id="27"/>
    </w:p>
    <w:p>
      <w:pPr>
        <w:pStyle w:val="29"/>
        <w:adjustRightInd w:val="0"/>
        <w:snapToGrid w:val="0"/>
        <w:spacing w:before="0" w:beforeAutospacing="0" w:after="0" w:afterAutospacing="0"/>
        <w:jc w:val="center"/>
        <w:outlineLvl w:val="0"/>
        <w:rPr>
          <w:rFonts w:ascii="Times New Roman" w:hAnsi="Times New Roman" w:eastAsia="黑体"/>
          <w:b/>
          <w:bCs/>
          <w:snapToGrid w:val="0"/>
          <w:color w:val="auto"/>
          <w:sz w:val="38"/>
          <w:szCs w:val="38"/>
        </w:rPr>
      </w:pPr>
      <w:bookmarkStart w:id="28" w:name="_Toc20906"/>
      <w:bookmarkStart w:id="29" w:name="_Toc20054"/>
      <w:r>
        <w:rPr>
          <w:rFonts w:ascii="Times New Roman" w:hAnsi="Times New Roman"/>
          <w:b/>
          <w:bCs/>
          <w:snapToGrid w:val="0"/>
          <w:color w:val="auto"/>
          <w:sz w:val="38"/>
          <w:szCs w:val="38"/>
        </w:rPr>
        <w:t>建设项目污染物排放量汇总表</w:t>
      </w:r>
      <w:bookmarkEnd w:id="28"/>
      <w:bookmarkEnd w:id="29"/>
    </w:p>
    <w:tbl>
      <w:tblPr>
        <w:tblStyle w:val="33"/>
        <w:tblW w:w="141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2175"/>
        <w:gridCol w:w="1575"/>
        <w:gridCol w:w="1135"/>
        <w:gridCol w:w="1563"/>
        <w:gridCol w:w="1621"/>
        <w:gridCol w:w="1514"/>
        <w:gridCol w:w="1602"/>
        <w:gridCol w:w="17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1" w:type="dxa"/>
            <w:tcBorders>
              <w:tl2br w:val="single" w:color="auto" w:sz="4" w:space="0"/>
            </w:tcBorders>
            <w:tcMar>
              <w:left w:w="28" w:type="dxa"/>
              <w:right w:w="28" w:type="dxa"/>
            </w:tcMar>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spacing w:val="-6"/>
                <w:kern w:val="21"/>
                <w:sz w:val="24"/>
                <w:szCs w:val="24"/>
              </w:rPr>
            </w:pPr>
            <w:r>
              <w:rPr>
                <w:rFonts w:hint="eastAsia" w:ascii="Times New Roman" w:hAnsi="Times New Roman"/>
                <w:snapToGrid w:val="0"/>
                <w:color w:val="auto"/>
                <w:spacing w:val="-6"/>
                <w:kern w:val="21"/>
                <w:sz w:val="24"/>
                <w:szCs w:val="24"/>
              </w:rPr>
              <w:t xml:space="preserve">   </w:t>
            </w:r>
            <w:r>
              <w:rPr>
                <w:rFonts w:ascii="Times New Roman" w:hAnsi="Times New Roman"/>
                <w:snapToGrid w:val="0"/>
                <w:color w:val="auto"/>
                <w:spacing w:val="-6"/>
                <w:kern w:val="21"/>
                <w:sz w:val="24"/>
                <w:szCs w:val="24"/>
              </w:rPr>
              <w:t>项目</w:t>
            </w:r>
          </w:p>
          <w:p>
            <w:pPr>
              <w:pStyle w:val="58"/>
              <w:keepNext w:val="0"/>
              <w:keepLines w:val="0"/>
              <w:pageBreakBefore w:val="0"/>
              <w:kinsoku/>
              <w:wordWrap/>
              <w:overflowPunct/>
              <w:autoSpaceDE/>
              <w:autoSpaceDN/>
              <w:bidi w:val="0"/>
              <w:spacing w:beforeLines="0" w:afterLines="0" w:line="340" w:lineRule="exact"/>
              <w:ind w:firstLine="0"/>
              <w:jc w:val="left"/>
              <w:rPr>
                <w:rFonts w:ascii="Times New Roman" w:hAnsi="Times New Roman"/>
                <w:snapToGrid w:val="0"/>
                <w:color w:val="auto"/>
                <w:spacing w:val="-6"/>
                <w:kern w:val="21"/>
                <w:sz w:val="24"/>
                <w:szCs w:val="24"/>
              </w:rPr>
            </w:pPr>
            <w:r>
              <w:rPr>
                <w:rFonts w:ascii="Times New Roman" w:hAnsi="Times New Roman"/>
                <w:snapToGrid w:val="0"/>
                <w:color w:val="auto"/>
                <w:spacing w:val="-6"/>
                <w:kern w:val="21"/>
                <w:sz w:val="24"/>
                <w:szCs w:val="24"/>
              </w:rPr>
              <w:t>分类</w:t>
            </w:r>
          </w:p>
        </w:tc>
        <w:tc>
          <w:tcPr>
            <w:tcW w:w="2175" w:type="dxa"/>
            <w:tcMar>
              <w:left w:w="28" w:type="dxa"/>
              <w:right w:w="28" w:type="dxa"/>
            </w:tcMar>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spacing w:val="-6"/>
                <w:kern w:val="21"/>
                <w:sz w:val="24"/>
                <w:szCs w:val="24"/>
              </w:rPr>
            </w:pPr>
            <w:r>
              <w:rPr>
                <w:rFonts w:ascii="Times New Roman" w:hAnsi="Times New Roman"/>
                <w:snapToGrid w:val="0"/>
                <w:color w:val="auto"/>
                <w:spacing w:val="-6"/>
                <w:kern w:val="21"/>
                <w:sz w:val="24"/>
                <w:szCs w:val="24"/>
              </w:rPr>
              <w:t>污染物名称</w:t>
            </w:r>
          </w:p>
        </w:tc>
        <w:tc>
          <w:tcPr>
            <w:tcW w:w="1575" w:type="dxa"/>
            <w:tcMar>
              <w:left w:w="28" w:type="dxa"/>
              <w:right w:w="28" w:type="dxa"/>
            </w:tcMar>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spacing w:val="-6"/>
                <w:kern w:val="21"/>
                <w:sz w:val="24"/>
                <w:szCs w:val="24"/>
              </w:rPr>
            </w:pPr>
            <w:r>
              <w:rPr>
                <w:rFonts w:ascii="Times New Roman" w:hAnsi="Times New Roman"/>
                <w:snapToGrid w:val="0"/>
                <w:color w:val="auto"/>
                <w:spacing w:val="-6"/>
                <w:kern w:val="21"/>
                <w:sz w:val="24"/>
                <w:szCs w:val="24"/>
              </w:rPr>
              <w:t>现有工程</w:t>
            </w:r>
          </w:p>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spacing w:val="-6"/>
                <w:kern w:val="21"/>
                <w:sz w:val="24"/>
                <w:szCs w:val="24"/>
              </w:rPr>
            </w:pPr>
            <w:r>
              <w:rPr>
                <w:rFonts w:ascii="Times New Roman" w:hAnsi="Times New Roman"/>
                <w:snapToGrid w:val="0"/>
                <w:color w:val="auto"/>
                <w:spacing w:val="-6"/>
                <w:kern w:val="21"/>
                <w:sz w:val="24"/>
                <w:szCs w:val="24"/>
              </w:rPr>
              <w:t>排放量（固体废物产生量）</w:t>
            </w:r>
            <w:r>
              <w:rPr>
                <w:rFonts w:ascii="Times New Roman" w:hAnsi="Times New Roman"/>
                <w:snapToGrid w:val="0"/>
                <w:color w:val="auto"/>
                <w:spacing w:val="-6"/>
                <w:kern w:val="21"/>
                <w:sz w:val="24"/>
                <w:szCs w:val="24"/>
              </w:rPr>
              <w:fldChar w:fldCharType="begin"/>
            </w:r>
            <w:r>
              <w:rPr>
                <w:rFonts w:ascii="Times New Roman" w:hAnsi="Times New Roman"/>
                <w:snapToGrid w:val="0"/>
                <w:color w:val="auto"/>
                <w:spacing w:val="-6"/>
                <w:kern w:val="21"/>
                <w:sz w:val="24"/>
                <w:szCs w:val="24"/>
              </w:rPr>
              <w:instrText xml:space="preserve"> = 1 \* GB3 \* MERGEFORMAT </w:instrText>
            </w:r>
            <w:r>
              <w:rPr>
                <w:rFonts w:ascii="Times New Roman" w:hAnsi="Times New Roman"/>
                <w:snapToGrid w:val="0"/>
                <w:color w:val="auto"/>
                <w:spacing w:val="-6"/>
                <w:kern w:val="21"/>
                <w:sz w:val="24"/>
                <w:szCs w:val="24"/>
              </w:rPr>
              <w:fldChar w:fldCharType="separate"/>
            </w:r>
            <w:r>
              <w:rPr>
                <w:rFonts w:ascii="Times New Roman" w:hAnsi="Times New Roman"/>
                <w:color w:val="auto"/>
                <w:kern w:val="2"/>
                <w:sz w:val="24"/>
                <w:szCs w:val="24"/>
              </w:rPr>
              <w:t>①</w:t>
            </w:r>
            <w:r>
              <w:rPr>
                <w:rFonts w:ascii="Times New Roman" w:hAnsi="Times New Roman"/>
                <w:snapToGrid w:val="0"/>
                <w:color w:val="auto"/>
                <w:spacing w:val="-6"/>
                <w:kern w:val="21"/>
                <w:sz w:val="24"/>
                <w:szCs w:val="24"/>
              </w:rPr>
              <w:fldChar w:fldCharType="end"/>
            </w:r>
          </w:p>
        </w:tc>
        <w:tc>
          <w:tcPr>
            <w:tcW w:w="1135" w:type="dxa"/>
            <w:tcMar>
              <w:left w:w="28" w:type="dxa"/>
              <w:right w:w="28" w:type="dxa"/>
            </w:tcMar>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spacing w:val="-6"/>
                <w:kern w:val="21"/>
                <w:sz w:val="24"/>
                <w:szCs w:val="24"/>
              </w:rPr>
            </w:pPr>
            <w:r>
              <w:rPr>
                <w:rFonts w:ascii="Times New Roman" w:hAnsi="Times New Roman"/>
                <w:snapToGrid w:val="0"/>
                <w:color w:val="auto"/>
                <w:spacing w:val="-6"/>
                <w:kern w:val="21"/>
                <w:sz w:val="24"/>
                <w:szCs w:val="24"/>
              </w:rPr>
              <w:t>现有工程</w:t>
            </w:r>
          </w:p>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spacing w:val="-6"/>
                <w:kern w:val="21"/>
                <w:sz w:val="24"/>
                <w:szCs w:val="24"/>
              </w:rPr>
            </w:pPr>
            <w:r>
              <w:rPr>
                <w:rFonts w:ascii="Times New Roman" w:hAnsi="Times New Roman"/>
                <w:snapToGrid w:val="0"/>
                <w:color w:val="auto"/>
                <w:spacing w:val="-6"/>
                <w:kern w:val="21"/>
                <w:sz w:val="24"/>
                <w:szCs w:val="24"/>
              </w:rPr>
              <w:t>许可排放量</w:t>
            </w:r>
            <w:r>
              <w:rPr>
                <w:rFonts w:ascii="Times New Roman" w:hAnsi="Times New Roman"/>
                <w:snapToGrid w:val="0"/>
                <w:color w:val="auto"/>
                <w:spacing w:val="-6"/>
                <w:kern w:val="21"/>
                <w:sz w:val="24"/>
                <w:szCs w:val="24"/>
              </w:rPr>
              <w:fldChar w:fldCharType="begin"/>
            </w:r>
            <w:r>
              <w:rPr>
                <w:rFonts w:ascii="Times New Roman" w:hAnsi="Times New Roman"/>
                <w:snapToGrid w:val="0"/>
                <w:color w:val="auto"/>
                <w:spacing w:val="-6"/>
                <w:kern w:val="21"/>
                <w:sz w:val="24"/>
                <w:szCs w:val="24"/>
              </w:rPr>
              <w:instrText xml:space="preserve"> = 2 \* GB3 \* MERGEFORMAT </w:instrText>
            </w:r>
            <w:r>
              <w:rPr>
                <w:rFonts w:ascii="Times New Roman" w:hAnsi="Times New Roman"/>
                <w:snapToGrid w:val="0"/>
                <w:color w:val="auto"/>
                <w:spacing w:val="-6"/>
                <w:kern w:val="21"/>
                <w:sz w:val="24"/>
                <w:szCs w:val="24"/>
              </w:rPr>
              <w:fldChar w:fldCharType="separate"/>
            </w:r>
            <w:r>
              <w:rPr>
                <w:rFonts w:ascii="Times New Roman" w:hAnsi="Times New Roman"/>
                <w:snapToGrid w:val="0"/>
                <w:color w:val="auto"/>
                <w:spacing w:val="-6"/>
                <w:kern w:val="21"/>
                <w:sz w:val="24"/>
                <w:szCs w:val="24"/>
              </w:rPr>
              <w:t>②</w:t>
            </w:r>
            <w:r>
              <w:rPr>
                <w:rFonts w:ascii="Times New Roman" w:hAnsi="Times New Roman"/>
                <w:snapToGrid w:val="0"/>
                <w:color w:val="auto"/>
                <w:spacing w:val="-6"/>
                <w:kern w:val="21"/>
                <w:sz w:val="24"/>
                <w:szCs w:val="24"/>
              </w:rPr>
              <w:fldChar w:fldCharType="end"/>
            </w:r>
          </w:p>
        </w:tc>
        <w:tc>
          <w:tcPr>
            <w:tcW w:w="1563" w:type="dxa"/>
            <w:tcMar>
              <w:left w:w="28" w:type="dxa"/>
              <w:right w:w="28" w:type="dxa"/>
            </w:tcMar>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spacing w:val="-6"/>
                <w:kern w:val="21"/>
                <w:sz w:val="24"/>
                <w:szCs w:val="24"/>
              </w:rPr>
            </w:pPr>
            <w:r>
              <w:rPr>
                <w:rFonts w:ascii="Times New Roman" w:hAnsi="Times New Roman"/>
                <w:snapToGrid w:val="0"/>
                <w:color w:val="auto"/>
                <w:spacing w:val="-6"/>
                <w:kern w:val="21"/>
                <w:sz w:val="24"/>
                <w:szCs w:val="24"/>
              </w:rPr>
              <w:t>在建工程排放量（固体废物产生量）</w:t>
            </w:r>
            <w:r>
              <w:rPr>
                <w:rFonts w:ascii="Times New Roman" w:hAnsi="Times New Roman"/>
                <w:snapToGrid w:val="0"/>
                <w:color w:val="auto"/>
                <w:spacing w:val="-6"/>
                <w:kern w:val="21"/>
                <w:sz w:val="24"/>
                <w:szCs w:val="24"/>
              </w:rPr>
              <w:fldChar w:fldCharType="begin"/>
            </w:r>
            <w:r>
              <w:rPr>
                <w:rFonts w:ascii="Times New Roman" w:hAnsi="Times New Roman"/>
                <w:snapToGrid w:val="0"/>
                <w:color w:val="auto"/>
                <w:spacing w:val="-6"/>
                <w:kern w:val="21"/>
                <w:sz w:val="24"/>
                <w:szCs w:val="24"/>
              </w:rPr>
              <w:instrText xml:space="preserve"> = 3 \* GB3 \* MERGEFORMAT </w:instrText>
            </w:r>
            <w:r>
              <w:rPr>
                <w:rFonts w:ascii="Times New Roman" w:hAnsi="Times New Roman"/>
                <w:snapToGrid w:val="0"/>
                <w:color w:val="auto"/>
                <w:spacing w:val="-6"/>
                <w:kern w:val="21"/>
                <w:sz w:val="24"/>
                <w:szCs w:val="24"/>
              </w:rPr>
              <w:fldChar w:fldCharType="separate"/>
            </w:r>
            <w:r>
              <w:rPr>
                <w:rFonts w:ascii="Times New Roman" w:hAnsi="Times New Roman"/>
                <w:color w:val="auto"/>
                <w:kern w:val="2"/>
                <w:sz w:val="24"/>
                <w:szCs w:val="24"/>
              </w:rPr>
              <w:t>③</w:t>
            </w:r>
            <w:r>
              <w:rPr>
                <w:rFonts w:ascii="Times New Roman" w:hAnsi="Times New Roman"/>
                <w:snapToGrid w:val="0"/>
                <w:color w:val="auto"/>
                <w:spacing w:val="-6"/>
                <w:kern w:val="21"/>
                <w:sz w:val="24"/>
                <w:szCs w:val="24"/>
              </w:rPr>
              <w:fldChar w:fldCharType="end"/>
            </w:r>
          </w:p>
        </w:tc>
        <w:tc>
          <w:tcPr>
            <w:tcW w:w="1621" w:type="dxa"/>
            <w:tcMar>
              <w:left w:w="28" w:type="dxa"/>
              <w:right w:w="28" w:type="dxa"/>
            </w:tcMar>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spacing w:val="-6"/>
                <w:kern w:val="21"/>
                <w:sz w:val="24"/>
                <w:szCs w:val="24"/>
              </w:rPr>
            </w:pPr>
            <w:r>
              <w:rPr>
                <w:rFonts w:ascii="Times New Roman" w:hAnsi="Times New Roman"/>
                <w:snapToGrid w:val="0"/>
                <w:color w:val="auto"/>
                <w:spacing w:val="-6"/>
                <w:kern w:val="21"/>
                <w:sz w:val="24"/>
                <w:szCs w:val="24"/>
              </w:rPr>
              <w:t>本项目排放量（固体废物产生量）</w:t>
            </w:r>
            <w:r>
              <w:rPr>
                <w:rFonts w:ascii="Times New Roman" w:hAnsi="Times New Roman"/>
                <w:snapToGrid w:val="0"/>
                <w:color w:val="auto"/>
                <w:spacing w:val="-6"/>
                <w:kern w:val="21"/>
                <w:sz w:val="24"/>
                <w:szCs w:val="24"/>
              </w:rPr>
              <w:fldChar w:fldCharType="begin"/>
            </w:r>
            <w:r>
              <w:rPr>
                <w:rFonts w:ascii="Times New Roman" w:hAnsi="Times New Roman"/>
                <w:snapToGrid w:val="0"/>
                <w:color w:val="auto"/>
                <w:spacing w:val="-6"/>
                <w:kern w:val="21"/>
                <w:sz w:val="24"/>
                <w:szCs w:val="24"/>
              </w:rPr>
              <w:instrText xml:space="preserve"> = 4 \* GB3 \* MERGEFORMAT </w:instrText>
            </w:r>
            <w:r>
              <w:rPr>
                <w:rFonts w:ascii="Times New Roman" w:hAnsi="Times New Roman"/>
                <w:snapToGrid w:val="0"/>
                <w:color w:val="auto"/>
                <w:spacing w:val="-6"/>
                <w:kern w:val="21"/>
                <w:sz w:val="24"/>
                <w:szCs w:val="24"/>
              </w:rPr>
              <w:fldChar w:fldCharType="separate"/>
            </w:r>
            <w:r>
              <w:rPr>
                <w:rFonts w:ascii="Times New Roman" w:hAnsi="Times New Roman"/>
                <w:color w:val="auto"/>
                <w:kern w:val="2"/>
                <w:sz w:val="24"/>
                <w:szCs w:val="24"/>
              </w:rPr>
              <w:t>④</w:t>
            </w:r>
            <w:r>
              <w:rPr>
                <w:rFonts w:ascii="Times New Roman" w:hAnsi="Times New Roman"/>
                <w:snapToGrid w:val="0"/>
                <w:color w:val="auto"/>
                <w:spacing w:val="-6"/>
                <w:kern w:val="21"/>
                <w:sz w:val="24"/>
                <w:szCs w:val="24"/>
              </w:rPr>
              <w:fldChar w:fldCharType="end"/>
            </w:r>
          </w:p>
        </w:tc>
        <w:tc>
          <w:tcPr>
            <w:tcW w:w="1514" w:type="dxa"/>
            <w:tcMar>
              <w:left w:w="28" w:type="dxa"/>
              <w:right w:w="28" w:type="dxa"/>
            </w:tcMar>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spacing w:val="-16"/>
                <w:kern w:val="21"/>
                <w:sz w:val="24"/>
                <w:szCs w:val="24"/>
              </w:rPr>
            </w:pPr>
            <w:r>
              <w:rPr>
                <w:rFonts w:ascii="Times New Roman" w:hAnsi="Times New Roman"/>
                <w:snapToGrid w:val="0"/>
                <w:color w:val="auto"/>
                <w:spacing w:val="-16"/>
                <w:kern w:val="21"/>
                <w:sz w:val="24"/>
                <w:szCs w:val="24"/>
              </w:rPr>
              <w:t>以新带老削减量（新建项目不填）</w:t>
            </w:r>
            <w:r>
              <w:rPr>
                <w:rFonts w:ascii="Times New Roman" w:hAnsi="Times New Roman"/>
                <w:snapToGrid w:val="0"/>
                <w:color w:val="auto"/>
                <w:spacing w:val="-16"/>
                <w:kern w:val="21"/>
                <w:sz w:val="24"/>
                <w:szCs w:val="24"/>
              </w:rPr>
              <w:fldChar w:fldCharType="begin"/>
            </w:r>
            <w:r>
              <w:rPr>
                <w:rFonts w:ascii="Times New Roman" w:hAnsi="Times New Roman"/>
                <w:snapToGrid w:val="0"/>
                <w:color w:val="auto"/>
                <w:spacing w:val="-16"/>
                <w:kern w:val="21"/>
                <w:sz w:val="24"/>
                <w:szCs w:val="24"/>
              </w:rPr>
              <w:instrText xml:space="preserve"> = 5 \* GB3 \* MERGEFORMAT </w:instrText>
            </w:r>
            <w:r>
              <w:rPr>
                <w:rFonts w:ascii="Times New Roman" w:hAnsi="Times New Roman"/>
                <w:snapToGrid w:val="0"/>
                <w:color w:val="auto"/>
                <w:spacing w:val="-16"/>
                <w:kern w:val="21"/>
                <w:sz w:val="24"/>
                <w:szCs w:val="24"/>
              </w:rPr>
              <w:fldChar w:fldCharType="separate"/>
            </w:r>
            <w:r>
              <w:rPr>
                <w:rFonts w:ascii="Times New Roman" w:hAnsi="Times New Roman"/>
                <w:color w:val="auto"/>
                <w:kern w:val="2"/>
                <w:sz w:val="24"/>
                <w:szCs w:val="24"/>
              </w:rPr>
              <w:t>⑤</w:t>
            </w:r>
            <w:r>
              <w:rPr>
                <w:rFonts w:ascii="Times New Roman" w:hAnsi="Times New Roman"/>
                <w:snapToGrid w:val="0"/>
                <w:color w:val="auto"/>
                <w:spacing w:val="-16"/>
                <w:kern w:val="21"/>
                <w:sz w:val="24"/>
                <w:szCs w:val="24"/>
              </w:rPr>
              <w:fldChar w:fldCharType="end"/>
            </w:r>
          </w:p>
        </w:tc>
        <w:tc>
          <w:tcPr>
            <w:tcW w:w="1602" w:type="dxa"/>
            <w:tcMar>
              <w:left w:w="28" w:type="dxa"/>
              <w:right w:w="28" w:type="dxa"/>
            </w:tcMar>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spacing w:val="-16"/>
                <w:kern w:val="21"/>
                <w:sz w:val="24"/>
                <w:szCs w:val="24"/>
              </w:rPr>
            </w:pPr>
            <w:r>
              <w:rPr>
                <w:rFonts w:ascii="Times New Roman" w:hAnsi="Times New Roman"/>
                <w:snapToGrid w:val="0"/>
                <w:color w:val="auto"/>
                <w:spacing w:val="-16"/>
                <w:kern w:val="21"/>
                <w:sz w:val="24"/>
                <w:szCs w:val="24"/>
              </w:rPr>
              <w:t>本项目建成后全厂排放量（固体废物产生量）</w:t>
            </w:r>
            <w:r>
              <w:rPr>
                <w:rFonts w:ascii="Times New Roman" w:hAnsi="Times New Roman"/>
                <w:snapToGrid w:val="0"/>
                <w:color w:val="auto"/>
                <w:spacing w:val="-16"/>
                <w:kern w:val="21"/>
                <w:sz w:val="24"/>
                <w:szCs w:val="24"/>
              </w:rPr>
              <w:fldChar w:fldCharType="begin"/>
            </w:r>
            <w:r>
              <w:rPr>
                <w:rFonts w:ascii="Times New Roman" w:hAnsi="Times New Roman"/>
                <w:snapToGrid w:val="0"/>
                <w:color w:val="auto"/>
                <w:spacing w:val="-16"/>
                <w:kern w:val="21"/>
                <w:sz w:val="24"/>
                <w:szCs w:val="24"/>
              </w:rPr>
              <w:instrText xml:space="preserve"> = 6 \* GB3 \* MERGEFORMAT </w:instrText>
            </w:r>
            <w:r>
              <w:rPr>
                <w:rFonts w:ascii="Times New Roman" w:hAnsi="Times New Roman"/>
                <w:snapToGrid w:val="0"/>
                <w:color w:val="auto"/>
                <w:spacing w:val="-16"/>
                <w:kern w:val="21"/>
                <w:sz w:val="24"/>
                <w:szCs w:val="24"/>
              </w:rPr>
              <w:fldChar w:fldCharType="separate"/>
            </w:r>
            <w:r>
              <w:rPr>
                <w:rFonts w:ascii="Times New Roman" w:hAnsi="Times New Roman"/>
                <w:color w:val="auto"/>
                <w:kern w:val="2"/>
                <w:sz w:val="24"/>
                <w:szCs w:val="24"/>
              </w:rPr>
              <w:t>⑥</w:t>
            </w:r>
            <w:r>
              <w:rPr>
                <w:rFonts w:ascii="Times New Roman" w:hAnsi="Times New Roman"/>
                <w:snapToGrid w:val="0"/>
                <w:color w:val="auto"/>
                <w:spacing w:val="-16"/>
                <w:kern w:val="21"/>
                <w:sz w:val="24"/>
                <w:szCs w:val="24"/>
              </w:rPr>
              <w:fldChar w:fldCharType="end"/>
            </w:r>
          </w:p>
        </w:tc>
        <w:tc>
          <w:tcPr>
            <w:tcW w:w="1743" w:type="dxa"/>
            <w:tcMar>
              <w:left w:w="28" w:type="dxa"/>
              <w:right w:w="28" w:type="dxa"/>
            </w:tcMar>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spacing w:val="-6"/>
                <w:kern w:val="21"/>
                <w:sz w:val="24"/>
                <w:szCs w:val="24"/>
              </w:rPr>
            </w:pPr>
            <w:r>
              <w:rPr>
                <w:rFonts w:ascii="Times New Roman" w:hAnsi="Times New Roman"/>
                <w:snapToGrid w:val="0"/>
                <w:color w:val="auto"/>
                <w:spacing w:val="-6"/>
                <w:kern w:val="21"/>
                <w:sz w:val="24"/>
                <w:szCs w:val="24"/>
              </w:rPr>
              <w:t>变化量</w:t>
            </w:r>
          </w:p>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spacing w:val="-6"/>
                <w:kern w:val="21"/>
                <w:sz w:val="24"/>
                <w:szCs w:val="24"/>
              </w:rPr>
            </w:pPr>
            <w:r>
              <w:rPr>
                <w:rFonts w:ascii="Times New Roman" w:hAnsi="Times New Roman"/>
                <w:snapToGrid w:val="0"/>
                <w:color w:val="auto"/>
                <w:spacing w:val="-6"/>
                <w:kern w:val="21"/>
                <w:sz w:val="24"/>
                <w:szCs w:val="24"/>
              </w:rPr>
              <w:fldChar w:fldCharType="begin"/>
            </w:r>
            <w:r>
              <w:rPr>
                <w:rFonts w:ascii="Times New Roman" w:hAnsi="Times New Roman"/>
                <w:snapToGrid w:val="0"/>
                <w:color w:val="auto"/>
                <w:spacing w:val="-6"/>
                <w:kern w:val="21"/>
                <w:sz w:val="24"/>
                <w:szCs w:val="24"/>
              </w:rPr>
              <w:instrText xml:space="preserve"> = 7 \* GB3 \* MERGEFORMAT </w:instrText>
            </w:r>
            <w:r>
              <w:rPr>
                <w:rFonts w:ascii="Times New Roman" w:hAnsi="Times New Roman"/>
                <w:snapToGrid w:val="0"/>
                <w:color w:val="auto"/>
                <w:spacing w:val="-6"/>
                <w:kern w:val="21"/>
                <w:sz w:val="24"/>
                <w:szCs w:val="24"/>
              </w:rPr>
              <w:fldChar w:fldCharType="separate"/>
            </w:r>
            <w:r>
              <w:rPr>
                <w:rFonts w:ascii="Times New Roman" w:hAnsi="Times New Roman"/>
                <w:color w:val="auto"/>
                <w:kern w:val="2"/>
                <w:sz w:val="24"/>
                <w:szCs w:val="24"/>
              </w:rPr>
              <w:t>⑦</w:t>
            </w:r>
            <w:r>
              <w:rPr>
                <w:rFonts w:ascii="Times New Roman" w:hAnsi="Times New Roman"/>
                <w:snapToGrid w:val="0"/>
                <w:color w:val="auto"/>
                <w:spacing w:val="-6"/>
                <w:kern w:val="21"/>
                <w:sz w:val="24"/>
                <w:szCs w:val="24"/>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251" w:type="dxa"/>
            <w:vMerge w:val="restart"/>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kern w:val="21"/>
                <w:sz w:val="24"/>
                <w:szCs w:val="24"/>
              </w:rPr>
            </w:pPr>
            <w:r>
              <w:rPr>
                <w:rFonts w:ascii="Times New Roman" w:hAnsi="Times New Roman"/>
                <w:snapToGrid w:val="0"/>
                <w:color w:val="auto"/>
                <w:kern w:val="21"/>
                <w:sz w:val="24"/>
                <w:szCs w:val="24"/>
              </w:rPr>
              <w:t>废气</w:t>
            </w:r>
          </w:p>
        </w:tc>
        <w:tc>
          <w:tcPr>
            <w:tcW w:w="2175" w:type="dxa"/>
            <w:vAlign w:val="center"/>
          </w:tcPr>
          <w:p>
            <w:pPr>
              <w:keepNext w:val="0"/>
              <w:keepLines w:val="0"/>
              <w:pageBreakBefore w:val="0"/>
              <w:kinsoku/>
              <w:wordWrap/>
              <w:overflowPunct/>
              <w:autoSpaceDE/>
              <w:autoSpaceDN/>
              <w:bidi w:val="0"/>
              <w:spacing w:line="340" w:lineRule="exact"/>
              <w:jc w:val="center"/>
              <w:rPr>
                <w:color w:val="auto"/>
                <w:sz w:val="24"/>
              </w:rPr>
            </w:pPr>
            <w:r>
              <w:rPr>
                <w:color w:val="auto"/>
                <w:sz w:val="24"/>
              </w:rPr>
              <w:t>颗粒物</w:t>
            </w:r>
          </w:p>
        </w:tc>
        <w:tc>
          <w:tcPr>
            <w:tcW w:w="1575" w:type="dxa"/>
            <w:vAlign w:val="center"/>
          </w:tcPr>
          <w:p>
            <w:pPr>
              <w:keepNext w:val="0"/>
              <w:keepLines w:val="0"/>
              <w:pageBreakBefore w:val="0"/>
              <w:kinsoku/>
              <w:wordWrap/>
              <w:overflowPunct/>
              <w:autoSpaceDE/>
              <w:autoSpaceDN/>
              <w:bidi w:val="0"/>
              <w:spacing w:line="340" w:lineRule="exact"/>
              <w:jc w:val="center"/>
              <w:rPr>
                <w:snapToGrid w:val="0"/>
                <w:color w:val="auto"/>
                <w:kern w:val="21"/>
                <w:sz w:val="24"/>
              </w:rPr>
            </w:pPr>
            <w:r>
              <w:rPr>
                <w:rFonts w:hint="eastAsia"/>
                <w:snapToGrid w:val="0"/>
                <w:color w:val="auto"/>
                <w:kern w:val="21"/>
                <w:sz w:val="24"/>
              </w:rPr>
              <w:t>-</w:t>
            </w:r>
          </w:p>
        </w:tc>
        <w:tc>
          <w:tcPr>
            <w:tcW w:w="1135" w:type="dxa"/>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kern w:val="21"/>
                <w:sz w:val="24"/>
                <w:szCs w:val="24"/>
              </w:rPr>
            </w:pPr>
            <w:r>
              <w:rPr>
                <w:rFonts w:hint="eastAsia" w:ascii="Times New Roman" w:hAnsi="Times New Roman"/>
                <w:snapToGrid w:val="0"/>
                <w:color w:val="auto"/>
                <w:kern w:val="21"/>
                <w:sz w:val="24"/>
                <w:szCs w:val="24"/>
              </w:rPr>
              <w:t>-</w:t>
            </w:r>
          </w:p>
        </w:tc>
        <w:tc>
          <w:tcPr>
            <w:tcW w:w="1563" w:type="dxa"/>
            <w:vAlign w:val="center"/>
          </w:tcPr>
          <w:p>
            <w:pPr>
              <w:keepNext w:val="0"/>
              <w:keepLines w:val="0"/>
              <w:pageBreakBefore w:val="0"/>
              <w:widowControl/>
              <w:kinsoku/>
              <w:wordWrap/>
              <w:overflowPunct/>
              <w:autoSpaceDE/>
              <w:autoSpaceDN/>
              <w:bidi w:val="0"/>
              <w:spacing w:line="340" w:lineRule="exact"/>
              <w:jc w:val="center"/>
              <w:textAlignment w:val="center"/>
              <w:rPr>
                <w:snapToGrid w:val="0"/>
                <w:color w:val="auto"/>
                <w:kern w:val="21"/>
                <w:sz w:val="24"/>
              </w:rPr>
            </w:pPr>
            <w:r>
              <w:rPr>
                <w:rFonts w:hint="eastAsia"/>
                <w:snapToGrid w:val="0"/>
                <w:color w:val="auto"/>
                <w:kern w:val="21"/>
                <w:sz w:val="24"/>
              </w:rPr>
              <w:t>-</w:t>
            </w:r>
          </w:p>
        </w:tc>
        <w:tc>
          <w:tcPr>
            <w:tcW w:w="1621" w:type="dxa"/>
            <w:vAlign w:val="center"/>
          </w:tcPr>
          <w:p>
            <w:pPr>
              <w:keepNext w:val="0"/>
              <w:keepLines w:val="0"/>
              <w:pageBreakBefore w:val="0"/>
              <w:kinsoku/>
              <w:wordWrap/>
              <w:overflowPunct/>
              <w:autoSpaceDE/>
              <w:autoSpaceDN/>
              <w:bidi w:val="0"/>
              <w:spacing w:line="340" w:lineRule="exact"/>
              <w:jc w:val="center"/>
              <w:rPr>
                <w:rFonts w:hint="eastAsia"/>
                <w:color w:val="auto"/>
                <w:sz w:val="24"/>
                <w:lang w:val="en-US" w:eastAsia="zh-CN"/>
              </w:rPr>
            </w:pPr>
            <w:r>
              <w:rPr>
                <w:rFonts w:hint="eastAsia"/>
                <w:color w:val="auto"/>
                <w:sz w:val="24"/>
                <w:lang w:val="en-US" w:eastAsia="zh-CN"/>
              </w:rPr>
              <w:t>有组织0.398t/a</w:t>
            </w:r>
          </w:p>
          <w:p>
            <w:pPr>
              <w:keepNext w:val="0"/>
              <w:keepLines w:val="0"/>
              <w:pageBreakBefore w:val="0"/>
              <w:kinsoku/>
              <w:wordWrap/>
              <w:overflowPunct/>
              <w:autoSpaceDE/>
              <w:autoSpaceDN/>
              <w:bidi w:val="0"/>
              <w:spacing w:line="340" w:lineRule="exact"/>
              <w:jc w:val="center"/>
              <w:rPr>
                <w:rFonts w:hint="default"/>
                <w:color w:val="auto"/>
                <w:sz w:val="24"/>
                <w:lang w:val="en-US"/>
              </w:rPr>
            </w:pPr>
            <w:r>
              <w:rPr>
                <w:rFonts w:hint="eastAsia"/>
                <w:color w:val="auto"/>
                <w:sz w:val="24"/>
                <w:lang w:val="en-US" w:eastAsia="zh-CN"/>
              </w:rPr>
              <w:t>无组织0.001t/a</w:t>
            </w:r>
          </w:p>
        </w:tc>
        <w:tc>
          <w:tcPr>
            <w:tcW w:w="1514" w:type="dxa"/>
            <w:vAlign w:val="center"/>
          </w:tcPr>
          <w:p>
            <w:pPr>
              <w:keepNext w:val="0"/>
              <w:keepLines w:val="0"/>
              <w:pageBreakBefore w:val="0"/>
              <w:kinsoku/>
              <w:wordWrap/>
              <w:overflowPunct/>
              <w:autoSpaceDE/>
              <w:autoSpaceDN/>
              <w:bidi w:val="0"/>
              <w:spacing w:line="340" w:lineRule="exact"/>
              <w:jc w:val="center"/>
              <w:rPr>
                <w:rFonts w:hint="eastAsia"/>
                <w:color w:val="auto"/>
                <w:sz w:val="24"/>
              </w:rPr>
            </w:pPr>
            <w:r>
              <w:rPr>
                <w:rFonts w:hint="eastAsia"/>
                <w:color w:val="auto"/>
                <w:sz w:val="24"/>
              </w:rPr>
              <w:t>0t/a</w:t>
            </w:r>
          </w:p>
        </w:tc>
        <w:tc>
          <w:tcPr>
            <w:tcW w:w="1602" w:type="dxa"/>
            <w:vAlign w:val="center"/>
          </w:tcPr>
          <w:p>
            <w:pPr>
              <w:keepNext w:val="0"/>
              <w:keepLines w:val="0"/>
              <w:pageBreakBefore w:val="0"/>
              <w:kinsoku/>
              <w:wordWrap/>
              <w:overflowPunct/>
              <w:autoSpaceDE/>
              <w:autoSpaceDN/>
              <w:bidi w:val="0"/>
              <w:spacing w:line="340" w:lineRule="exact"/>
              <w:jc w:val="center"/>
              <w:rPr>
                <w:rFonts w:hint="eastAsia"/>
                <w:color w:val="auto"/>
                <w:sz w:val="24"/>
                <w:lang w:val="en-US" w:eastAsia="zh-CN"/>
              </w:rPr>
            </w:pPr>
            <w:r>
              <w:rPr>
                <w:rFonts w:hint="eastAsia"/>
                <w:color w:val="auto"/>
                <w:sz w:val="24"/>
                <w:lang w:val="en-US" w:eastAsia="zh-CN"/>
              </w:rPr>
              <w:t>有组织0.398t/a</w:t>
            </w:r>
          </w:p>
          <w:p>
            <w:pPr>
              <w:keepNext w:val="0"/>
              <w:keepLines w:val="0"/>
              <w:pageBreakBefore w:val="0"/>
              <w:kinsoku/>
              <w:wordWrap/>
              <w:overflowPunct/>
              <w:autoSpaceDE/>
              <w:autoSpaceDN/>
              <w:bidi w:val="0"/>
              <w:spacing w:line="340" w:lineRule="exact"/>
              <w:jc w:val="center"/>
              <w:rPr>
                <w:snapToGrid w:val="0"/>
                <w:color w:val="auto"/>
                <w:kern w:val="21"/>
                <w:sz w:val="24"/>
              </w:rPr>
            </w:pPr>
            <w:r>
              <w:rPr>
                <w:rFonts w:hint="eastAsia"/>
                <w:color w:val="auto"/>
                <w:sz w:val="24"/>
                <w:lang w:val="en-US" w:eastAsia="zh-CN"/>
              </w:rPr>
              <w:t>无组织0.001t/a</w:t>
            </w:r>
          </w:p>
        </w:tc>
        <w:tc>
          <w:tcPr>
            <w:tcW w:w="1743" w:type="dxa"/>
            <w:vAlign w:val="center"/>
          </w:tcPr>
          <w:p>
            <w:pPr>
              <w:keepNext w:val="0"/>
              <w:keepLines w:val="0"/>
              <w:pageBreakBefore w:val="0"/>
              <w:kinsoku/>
              <w:wordWrap/>
              <w:overflowPunct/>
              <w:autoSpaceDE/>
              <w:autoSpaceDN/>
              <w:bidi w:val="0"/>
              <w:spacing w:line="340" w:lineRule="exact"/>
              <w:jc w:val="center"/>
              <w:rPr>
                <w:rFonts w:hint="eastAsia"/>
                <w:color w:val="auto"/>
                <w:sz w:val="24"/>
                <w:lang w:val="en-US" w:eastAsia="zh-CN"/>
              </w:rPr>
            </w:pPr>
            <w:r>
              <w:rPr>
                <w:rFonts w:hint="eastAsia"/>
                <w:color w:val="auto"/>
                <w:sz w:val="24"/>
                <w:lang w:val="en-US" w:eastAsia="zh-CN"/>
              </w:rPr>
              <w:t>有组织+0.398t/a</w:t>
            </w:r>
          </w:p>
          <w:p>
            <w:pPr>
              <w:keepNext w:val="0"/>
              <w:keepLines w:val="0"/>
              <w:pageBreakBefore w:val="0"/>
              <w:kinsoku/>
              <w:wordWrap/>
              <w:overflowPunct/>
              <w:autoSpaceDE/>
              <w:autoSpaceDN/>
              <w:bidi w:val="0"/>
              <w:spacing w:line="340" w:lineRule="exact"/>
              <w:jc w:val="center"/>
              <w:rPr>
                <w:snapToGrid w:val="0"/>
                <w:color w:val="auto"/>
                <w:kern w:val="0"/>
                <w:sz w:val="24"/>
              </w:rPr>
            </w:pPr>
            <w:r>
              <w:rPr>
                <w:rFonts w:hint="eastAsia"/>
                <w:color w:val="auto"/>
                <w:sz w:val="24"/>
                <w:lang w:val="en-US" w:eastAsia="zh-CN"/>
              </w:rPr>
              <w:t>无组织+0.001t/a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251" w:type="dxa"/>
            <w:vMerge w:val="continue"/>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kern w:val="21"/>
                <w:sz w:val="24"/>
                <w:szCs w:val="24"/>
              </w:rPr>
            </w:pPr>
          </w:p>
        </w:tc>
        <w:tc>
          <w:tcPr>
            <w:tcW w:w="2175" w:type="dxa"/>
            <w:vAlign w:val="center"/>
          </w:tcPr>
          <w:p>
            <w:pPr>
              <w:keepNext w:val="0"/>
              <w:keepLines w:val="0"/>
              <w:pageBreakBefore w:val="0"/>
              <w:kinsoku/>
              <w:wordWrap/>
              <w:overflowPunct/>
              <w:autoSpaceDE/>
              <w:autoSpaceDN/>
              <w:bidi w:val="0"/>
              <w:spacing w:line="340" w:lineRule="exact"/>
              <w:jc w:val="center"/>
              <w:rPr>
                <w:color w:val="auto"/>
                <w:sz w:val="24"/>
              </w:rPr>
            </w:pPr>
            <w:r>
              <w:rPr>
                <w:color w:val="auto"/>
                <w:sz w:val="24"/>
              </w:rPr>
              <w:t>SO</w:t>
            </w:r>
            <w:r>
              <w:rPr>
                <w:color w:val="auto"/>
                <w:sz w:val="24"/>
                <w:vertAlign w:val="subscript"/>
              </w:rPr>
              <w:t>2</w:t>
            </w:r>
          </w:p>
        </w:tc>
        <w:tc>
          <w:tcPr>
            <w:tcW w:w="1575" w:type="dxa"/>
            <w:vAlign w:val="center"/>
          </w:tcPr>
          <w:p>
            <w:pPr>
              <w:keepNext w:val="0"/>
              <w:keepLines w:val="0"/>
              <w:pageBreakBefore w:val="0"/>
              <w:kinsoku/>
              <w:wordWrap/>
              <w:overflowPunct/>
              <w:autoSpaceDE/>
              <w:autoSpaceDN/>
              <w:bidi w:val="0"/>
              <w:spacing w:line="340" w:lineRule="exact"/>
              <w:jc w:val="center"/>
              <w:rPr>
                <w:snapToGrid w:val="0"/>
                <w:color w:val="auto"/>
                <w:kern w:val="21"/>
                <w:sz w:val="24"/>
              </w:rPr>
            </w:pPr>
            <w:r>
              <w:rPr>
                <w:rFonts w:hint="eastAsia"/>
                <w:snapToGrid w:val="0"/>
                <w:color w:val="auto"/>
                <w:kern w:val="21"/>
                <w:sz w:val="24"/>
              </w:rPr>
              <w:t>-</w:t>
            </w:r>
          </w:p>
        </w:tc>
        <w:tc>
          <w:tcPr>
            <w:tcW w:w="1135" w:type="dxa"/>
            <w:vAlign w:val="center"/>
          </w:tcPr>
          <w:p>
            <w:pPr>
              <w:keepNext w:val="0"/>
              <w:keepLines w:val="0"/>
              <w:pageBreakBefore w:val="0"/>
              <w:kinsoku/>
              <w:wordWrap/>
              <w:overflowPunct/>
              <w:autoSpaceDE/>
              <w:autoSpaceDN/>
              <w:bidi w:val="0"/>
              <w:spacing w:line="340" w:lineRule="exact"/>
              <w:jc w:val="center"/>
              <w:rPr>
                <w:snapToGrid w:val="0"/>
                <w:color w:val="auto"/>
                <w:kern w:val="21"/>
                <w:sz w:val="24"/>
              </w:rPr>
            </w:pPr>
            <w:r>
              <w:rPr>
                <w:rFonts w:hint="eastAsia"/>
                <w:snapToGrid w:val="0"/>
                <w:color w:val="auto"/>
                <w:kern w:val="21"/>
                <w:sz w:val="24"/>
              </w:rPr>
              <w:t>-</w:t>
            </w:r>
          </w:p>
        </w:tc>
        <w:tc>
          <w:tcPr>
            <w:tcW w:w="1563" w:type="dxa"/>
            <w:vAlign w:val="center"/>
          </w:tcPr>
          <w:p>
            <w:pPr>
              <w:keepNext w:val="0"/>
              <w:keepLines w:val="0"/>
              <w:pageBreakBefore w:val="0"/>
              <w:widowControl/>
              <w:kinsoku/>
              <w:wordWrap/>
              <w:overflowPunct/>
              <w:autoSpaceDE/>
              <w:autoSpaceDN/>
              <w:bidi w:val="0"/>
              <w:spacing w:line="340" w:lineRule="exact"/>
              <w:jc w:val="center"/>
              <w:textAlignment w:val="center"/>
              <w:rPr>
                <w:snapToGrid w:val="0"/>
                <w:color w:val="auto"/>
                <w:kern w:val="21"/>
                <w:sz w:val="24"/>
              </w:rPr>
            </w:pPr>
            <w:r>
              <w:rPr>
                <w:rFonts w:hint="eastAsia"/>
                <w:snapToGrid w:val="0"/>
                <w:color w:val="auto"/>
                <w:kern w:val="21"/>
                <w:sz w:val="24"/>
              </w:rPr>
              <w:t>-</w:t>
            </w:r>
          </w:p>
        </w:tc>
        <w:tc>
          <w:tcPr>
            <w:tcW w:w="1621" w:type="dxa"/>
            <w:vAlign w:val="center"/>
          </w:tcPr>
          <w:p>
            <w:pPr>
              <w:keepNext w:val="0"/>
              <w:keepLines w:val="0"/>
              <w:pageBreakBefore w:val="0"/>
              <w:widowControl/>
              <w:kinsoku/>
              <w:wordWrap/>
              <w:overflowPunct/>
              <w:autoSpaceDE/>
              <w:autoSpaceDN/>
              <w:bidi w:val="0"/>
              <w:adjustRightInd w:val="0"/>
              <w:snapToGrid w:val="0"/>
              <w:spacing w:line="340" w:lineRule="exact"/>
              <w:jc w:val="center"/>
              <w:rPr>
                <w:snapToGrid w:val="0"/>
                <w:color w:val="auto"/>
                <w:kern w:val="0"/>
                <w:sz w:val="24"/>
              </w:rPr>
            </w:pPr>
            <w:r>
              <w:rPr>
                <w:rFonts w:hint="eastAsia"/>
                <w:snapToGrid w:val="0"/>
                <w:color w:val="auto"/>
                <w:kern w:val="21"/>
                <w:sz w:val="24"/>
              </w:rPr>
              <w:t>-</w:t>
            </w:r>
          </w:p>
        </w:tc>
        <w:tc>
          <w:tcPr>
            <w:tcW w:w="1514" w:type="dxa"/>
            <w:vAlign w:val="center"/>
          </w:tcPr>
          <w:p>
            <w:pPr>
              <w:keepNext w:val="0"/>
              <w:keepLines w:val="0"/>
              <w:pageBreakBefore w:val="0"/>
              <w:kinsoku/>
              <w:wordWrap/>
              <w:overflowPunct/>
              <w:autoSpaceDE/>
              <w:autoSpaceDN/>
              <w:bidi w:val="0"/>
              <w:spacing w:line="340" w:lineRule="exact"/>
              <w:jc w:val="center"/>
              <w:rPr>
                <w:snapToGrid w:val="0"/>
                <w:color w:val="auto"/>
                <w:kern w:val="21"/>
                <w:sz w:val="24"/>
              </w:rPr>
            </w:pPr>
            <w:r>
              <w:rPr>
                <w:rFonts w:hint="eastAsia"/>
                <w:snapToGrid w:val="0"/>
                <w:color w:val="auto"/>
                <w:kern w:val="21"/>
                <w:sz w:val="24"/>
              </w:rPr>
              <w:t>-</w:t>
            </w:r>
          </w:p>
        </w:tc>
        <w:tc>
          <w:tcPr>
            <w:tcW w:w="1602" w:type="dxa"/>
            <w:vAlign w:val="center"/>
          </w:tcPr>
          <w:p>
            <w:pPr>
              <w:keepNext w:val="0"/>
              <w:keepLines w:val="0"/>
              <w:pageBreakBefore w:val="0"/>
              <w:widowControl/>
              <w:kinsoku/>
              <w:wordWrap/>
              <w:overflowPunct/>
              <w:autoSpaceDE/>
              <w:autoSpaceDN/>
              <w:bidi w:val="0"/>
              <w:spacing w:line="340" w:lineRule="exact"/>
              <w:jc w:val="center"/>
              <w:textAlignment w:val="center"/>
              <w:rPr>
                <w:snapToGrid w:val="0"/>
                <w:color w:val="auto"/>
                <w:kern w:val="21"/>
                <w:sz w:val="24"/>
              </w:rPr>
            </w:pPr>
            <w:r>
              <w:rPr>
                <w:rFonts w:hint="eastAsia"/>
                <w:snapToGrid w:val="0"/>
                <w:color w:val="auto"/>
                <w:kern w:val="21"/>
                <w:sz w:val="24"/>
              </w:rPr>
              <w:t>-</w:t>
            </w:r>
          </w:p>
        </w:tc>
        <w:tc>
          <w:tcPr>
            <w:tcW w:w="1743" w:type="dxa"/>
            <w:vAlign w:val="center"/>
          </w:tcPr>
          <w:p>
            <w:pPr>
              <w:keepNext w:val="0"/>
              <w:keepLines w:val="0"/>
              <w:pageBreakBefore w:val="0"/>
              <w:kinsoku/>
              <w:wordWrap/>
              <w:overflowPunct/>
              <w:autoSpaceDE/>
              <w:autoSpaceDN/>
              <w:bidi w:val="0"/>
              <w:spacing w:line="340" w:lineRule="exact"/>
              <w:jc w:val="center"/>
              <w:rPr>
                <w:snapToGrid w:val="0"/>
                <w:color w:val="auto"/>
                <w:kern w:val="0"/>
                <w:sz w:val="24"/>
              </w:rPr>
            </w:pPr>
            <w:r>
              <w:rPr>
                <w:rFonts w:hint="eastAsia"/>
                <w:snapToGrid w:val="0"/>
                <w:color w:val="auto"/>
                <w:kern w:val="21"/>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251" w:type="dxa"/>
            <w:vMerge w:val="continue"/>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kern w:val="21"/>
                <w:sz w:val="24"/>
                <w:szCs w:val="24"/>
              </w:rPr>
            </w:pPr>
          </w:p>
        </w:tc>
        <w:tc>
          <w:tcPr>
            <w:tcW w:w="2175" w:type="dxa"/>
            <w:vAlign w:val="center"/>
          </w:tcPr>
          <w:p>
            <w:pPr>
              <w:keepNext w:val="0"/>
              <w:keepLines w:val="0"/>
              <w:pageBreakBefore w:val="0"/>
              <w:kinsoku/>
              <w:wordWrap/>
              <w:overflowPunct/>
              <w:autoSpaceDE/>
              <w:autoSpaceDN/>
              <w:bidi w:val="0"/>
              <w:spacing w:line="340" w:lineRule="exact"/>
              <w:jc w:val="center"/>
              <w:rPr>
                <w:color w:val="auto"/>
                <w:sz w:val="24"/>
              </w:rPr>
            </w:pPr>
            <w:r>
              <w:rPr>
                <w:color w:val="auto"/>
                <w:sz w:val="24"/>
              </w:rPr>
              <w:t>NOx</w:t>
            </w:r>
          </w:p>
        </w:tc>
        <w:tc>
          <w:tcPr>
            <w:tcW w:w="1575" w:type="dxa"/>
            <w:vAlign w:val="center"/>
          </w:tcPr>
          <w:p>
            <w:pPr>
              <w:keepNext w:val="0"/>
              <w:keepLines w:val="0"/>
              <w:pageBreakBefore w:val="0"/>
              <w:kinsoku/>
              <w:wordWrap/>
              <w:overflowPunct/>
              <w:autoSpaceDE/>
              <w:autoSpaceDN/>
              <w:bidi w:val="0"/>
              <w:spacing w:line="340" w:lineRule="exact"/>
              <w:jc w:val="center"/>
              <w:rPr>
                <w:snapToGrid w:val="0"/>
                <w:color w:val="auto"/>
                <w:kern w:val="21"/>
                <w:sz w:val="24"/>
              </w:rPr>
            </w:pPr>
            <w:r>
              <w:rPr>
                <w:rFonts w:hint="eastAsia"/>
                <w:snapToGrid w:val="0"/>
                <w:color w:val="auto"/>
                <w:kern w:val="21"/>
                <w:sz w:val="24"/>
              </w:rPr>
              <w:t>-</w:t>
            </w:r>
          </w:p>
        </w:tc>
        <w:tc>
          <w:tcPr>
            <w:tcW w:w="1135" w:type="dxa"/>
            <w:vAlign w:val="center"/>
          </w:tcPr>
          <w:p>
            <w:pPr>
              <w:keepNext w:val="0"/>
              <w:keepLines w:val="0"/>
              <w:pageBreakBefore w:val="0"/>
              <w:kinsoku/>
              <w:wordWrap/>
              <w:overflowPunct/>
              <w:autoSpaceDE/>
              <w:autoSpaceDN/>
              <w:bidi w:val="0"/>
              <w:spacing w:line="340" w:lineRule="exact"/>
              <w:jc w:val="center"/>
              <w:rPr>
                <w:snapToGrid w:val="0"/>
                <w:color w:val="auto"/>
                <w:kern w:val="21"/>
                <w:sz w:val="24"/>
              </w:rPr>
            </w:pPr>
            <w:r>
              <w:rPr>
                <w:rFonts w:hint="eastAsia"/>
                <w:snapToGrid w:val="0"/>
                <w:color w:val="auto"/>
                <w:kern w:val="21"/>
                <w:sz w:val="24"/>
              </w:rPr>
              <w:t>-</w:t>
            </w:r>
          </w:p>
        </w:tc>
        <w:tc>
          <w:tcPr>
            <w:tcW w:w="1563" w:type="dxa"/>
            <w:vAlign w:val="center"/>
          </w:tcPr>
          <w:p>
            <w:pPr>
              <w:keepNext w:val="0"/>
              <w:keepLines w:val="0"/>
              <w:pageBreakBefore w:val="0"/>
              <w:widowControl/>
              <w:kinsoku/>
              <w:wordWrap/>
              <w:overflowPunct/>
              <w:autoSpaceDE/>
              <w:autoSpaceDN/>
              <w:bidi w:val="0"/>
              <w:spacing w:line="340" w:lineRule="exact"/>
              <w:jc w:val="center"/>
              <w:textAlignment w:val="center"/>
              <w:rPr>
                <w:snapToGrid w:val="0"/>
                <w:color w:val="auto"/>
                <w:kern w:val="21"/>
                <w:sz w:val="24"/>
              </w:rPr>
            </w:pPr>
            <w:r>
              <w:rPr>
                <w:rFonts w:hint="eastAsia"/>
                <w:snapToGrid w:val="0"/>
                <w:color w:val="auto"/>
                <w:kern w:val="21"/>
                <w:sz w:val="24"/>
              </w:rPr>
              <w:t>-</w:t>
            </w:r>
          </w:p>
        </w:tc>
        <w:tc>
          <w:tcPr>
            <w:tcW w:w="1621" w:type="dxa"/>
            <w:vAlign w:val="center"/>
          </w:tcPr>
          <w:p>
            <w:pPr>
              <w:keepNext w:val="0"/>
              <w:keepLines w:val="0"/>
              <w:pageBreakBefore w:val="0"/>
              <w:widowControl/>
              <w:kinsoku/>
              <w:wordWrap/>
              <w:overflowPunct/>
              <w:autoSpaceDE/>
              <w:autoSpaceDN/>
              <w:bidi w:val="0"/>
              <w:adjustRightInd w:val="0"/>
              <w:snapToGrid w:val="0"/>
              <w:spacing w:line="340" w:lineRule="exact"/>
              <w:jc w:val="center"/>
              <w:rPr>
                <w:snapToGrid w:val="0"/>
                <w:color w:val="auto"/>
                <w:kern w:val="0"/>
                <w:sz w:val="24"/>
              </w:rPr>
            </w:pPr>
            <w:r>
              <w:rPr>
                <w:rFonts w:hint="eastAsia"/>
                <w:snapToGrid w:val="0"/>
                <w:color w:val="auto"/>
                <w:kern w:val="21"/>
                <w:sz w:val="24"/>
              </w:rPr>
              <w:t>-</w:t>
            </w:r>
          </w:p>
        </w:tc>
        <w:tc>
          <w:tcPr>
            <w:tcW w:w="1514" w:type="dxa"/>
            <w:vAlign w:val="center"/>
          </w:tcPr>
          <w:p>
            <w:pPr>
              <w:keepNext w:val="0"/>
              <w:keepLines w:val="0"/>
              <w:pageBreakBefore w:val="0"/>
              <w:kinsoku/>
              <w:wordWrap/>
              <w:overflowPunct/>
              <w:autoSpaceDE/>
              <w:autoSpaceDN/>
              <w:bidi w:val="0"/>
              <w:spacing w:line="340" w:lineRule="exact"/>
              <w:jc w:val="center"/>
              <w:rPr>
                <w:snapToGrid w:val="0"/>
                <w:color w:val="auto"/>
                <w:kern w:val="21"/>
                <w:sz w:val="24"/>
              </w:rPr>
            </w:pPr>
            <w:r>
              <w:rPr>
                <w:rFonts w:hint="eastAsia"/>
                <w:snapToGrid w:val="0"/>
                <w:color w:val="auto"/>
                <w:kern w:val="21"/>
                <w:sz w:val="24"/>
              </w:rPr>
              <w:t>-</w:t>
            </w:r>
          </w:p>
        </w:tc>
        <w:tc>
          <w:tcPr>
            <w:tcW w:w="1602" w:type="dxa"/>
            <w:vAlign w:val="center"/>
          </w:tcPr>
          <w:p>
            <w:pPr>
              <w:keepNext w:val="0"/>
              <w:keepLines w:val="0"/>
              <w:pageBreakBefore w:val="0"/>
              <w:widowControl/>
              <w:kinsoku/>
              <w:wordWrap/>
              <w:overflowPunct/>
              <w:autoSpaceDE/>
              <w:autoSpaceDN/>
              <w:bidi w:val="0"/>
              <w:spacing w:line="340" w:lineRule="exact"/>
              <w:jc w:val="center"/>
              <w:textAlignment w:val="center"/>
              <w:rPr>
                <w:snapToGrid w:val="0"/>
                <w:color w:val="auto"/>
                <w:kern w:val="21"/>
                <w:sz w:val="24"/>
              </w:rPr>
            </w:pPr>
            <w:r>
              <w:rPr>
                <w:rFonts w:hint="eastAsia"/>
                <w:snapToGrid w:val="0"/>
                <w:color w:val="auto"/>
                <w:kern w:val="21"/>
                <w:sz w:val="24"/>
              </w:rPr>
              <w:t>-</w:t>
            </w:r>
          </w:p>
        </w:tc>
        <w:tc>
          <w:tcPr>
            <w:tcW w:w="1743" w:type="dxa"/>
            <w:vAlign w:val="center"/>
          </w:tcPr>
          <w:p>
            <w:pPr>
              <w:keepNext w:val="0"/>
              <w:keepLines w:val="0"/>
              <w:pageBreakBefore w:val="0"/>
              <w:kinsoku/>
              <w:wordWrap/>
              <w:overflowPunct/>
              <w:autoSpaceDE/>
              <w:autoSpaceDN/>
              <w:bidi w:val="0"/>
              <w:spacing w:line="340" w:lineRule="exact"/>
              <w:jc w:val="center"/>
              <w:rPr>
                <w:snapToGrid w:val="0"/>
                <w:color w:val="auto"/>
                <w:kern w:val="0"/>
                <w:sz w:val="24"/>
              </w:rPr>
            </w:pPr>
            <w:r>
              <w:rPr>
                <w:rFonts w:hint="eastAsia"/>
                <w:snapToGrid w:val="0"/>
                <w:color w:val="auto"/>
                <w:kern w:val="21"/>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1" w:type="dxa"/>
            <w:vMerge w:val="restart"/>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kern w:val="21"/>
                <w:sz w:val="24"/>
                <w:szCs w:val="24"/>
              </w:rPr>
            </w:pPr>
            <w:r>
              <w:rPr>
                <w:rFonts w:ascii="Times New Roman" w:hAnsi="Times New Roman"/>
                <w:snapToGrid w:val="0"/>
                <w:color w:val="auto"/>
                <w:kern w:val="21"/>
                <w:sz w:val="24"/>
                <w:szCs w:val="24"/>
              </w:rPr>
              <w:t>废水</w:t>
            </w:r>
          </w:p>
        </w:tc>
        <w:tc>
          <w:tcPr>
            <w:tcW w:w="2175" w:type="dxa"/>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kern w:val="21"/>
                <w:sz w:val="24"/>
                <w:szCs w:val="24"/>
              </w:rPr>
            </w:pPr>
            <w:r>
              <w:rPr>
                <w:rFonts w:hint="eastAsia" w:ascii="Times New Roman" w:hAnsi="Times New Roman"/>
                <w:snapToGrid w:val="0"/>
                <w:color w:val="auto"/>
                <w:kern w:val="21"/>
                <w:sz w:val="24"/>
                <w:szCs w:val="24"/>
              </w:rPr>
              <w:t>COD</w:t>
            </w:r>
          </w:p>
        </w:tc>
        <w:tc>
          <w:tcPr>
            <w:tcW w:w="1575" w:type="dxa"/>
            <w:vAlign w:val="center"/>
          </w:tcPr>
          <w:p>
            <w:pPr>
              <w:keepNext w:val="0"/>
              <w:keepLines w:val="0"/>
              <w:pageBreakBefore w:val="0"/>
              <w:kinsoku/>
              <w:wordWrap/>
              <w:overflowPunct/>
              <w:autoSpaceDE/>
              <w:autoSpaceDN/>
              <w:bidi w:val="0"/>
              <w:spacing w:line="340" w:lineRule="exact"/>
              <w:jc w:val="center"/>
              <w:rPr>
                <w:snapToGrid w:val="0"/>
                <w:color w:val="auto"/>
                <w:kern w:val="21"/>
                <w:sz w:val="24"/>
              </w:rPr>
            </w:pPr>
            <w:r>
              <w:rPr>
                <w:rFonts w:hint="eastAsia"/>
                <w:snapToGrid w:val="0"/>
                <w:color w:val="auto"/>
                <w:kern w:val="21"/>
                <w:sz w:val="24"/>
              </w:rPr>
              <w:t>-</w:t>
            </w:r>
          </w:p>
        </w:tc>
        <w:tc>
          <w:tcPr>
            <w:tcW w:w="1135" w:type="dxa"/>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kern w:val="21"/>
                <w:sz w:val="24"/>
                <w:szCs w:val="24"/>
              </w:rPr>
            </w:pPr>
            <w:r>
              <w:rPr>
                <w:rFonts w:hint="eastAsia" w:ascii="Times New Roman" w:hAnsi="Times New Roman"/>
                <w:snapToGrid w:val="0"/>
                <w:color w:val="auto"/>
                <w:kern w:val="21"/>
                <w:sz w:val="24"/>
                <w:szCs w:val="24"/>
              </w:rPr>
              <w:t>-</w:t>
            </w:r>
          </w:p>
        </w:tc>
        <w:tc>
          <w:tcPr>
            <w:tcW w:w="1563" w:type="dxa"/>
            <w:vAlign w:val="center"/>
          </w:tcPr>
          <w:p>
            <w:pPr>
              <w:keepNext w:val="0"/>
              <w:keepLines w:val="0"/>
              <w:pageBreakBefore w:val="0"/>
              <w:kinsoku/>
              <w:wordWrap/>
              <w:overflowPunct/>
              <w:autoSpaceDE/>
              <w:autoSpaceDN/>
              <w:bidi w:val="0"/>
              <w:spacing w:line="340" w:lineRule="exact"/>
              <w:jc w:val="center"/>
              <w:rPr>
                <w:snapToGrid w:val="0"/>
                <w:color w:val="auto"/>
                <w:kern w:val="21"/>
                <w:sz w:val="24"/>
              </w:rPr>
            </w:pPr>
            <w:r>
              <w:rPr>
                <w:rFonts w:hint="eastAsia"/>
                <w:snapToGrid w:val="0"/>
                <w:color w:val="auto"/>
                <w:kern w:val="21"/>
                <w:sz w:val="24"/>
              </w:rPr>
              <w:t>-</w:t>
            </w:r>
          </w:p>
        </w:tc>
        <w:tc>
          <w:tcPr>
            <w:tcW w:w="1621" w:type="dxa"/>
            <w:vAlign w:val="center"/>
          </w:tcPr>
          <w:p>
            <w:pPr>
              <w:keepNext w:val="0"/>
              <w:keepLines w:val="0"/>
              <w:pageBreakBefore w:val="0"/>
              <w:kinsoku/>
              <w:wordWrap/>
              <w:overflowPunct/>
              <w:autoSpaceDE/>
              <w:autoSpaceDN/>
              <w:bidi w:val="0"/>
              <w:spacing w:line="340" w:lineRule="exact"/>
              <w:jc w:val="center"/>
              <w:rPr>
                <w:snapToGrid w:val="0"/>
                <w:color w:val="auto"/>
                <w:kern w:val="21"/>
                <w:sz w:val="24"/>
              </w:rPr>
            </w:pPr>
            <w:r>
              <w:rPr>
                <w:rFonts w:hint="eastAsia"/>
                <w:snapToGrid w:val="0"/>
                <w:color w:val="auto"/>
                <w:kern w:val="21"/>
                <w:sz w:val="24"/>
              </w:rPr>
              <w:t>-</w:t>
            </w:r>
          </w:p>
        </w:tc>
        <w:tc>
          <w:tcPr>
            <w:tcW w:w="1514" w:type="dxa"/>
            <w:vAlign w:val="center"/>
          </w:tcPr>
          <w:p>
            <w:pPr>
              <w:keepNext w:val="0"/>
              <w:keepLines w:val="0"/>
              <w:pageBreakBefore w:val="0"/>
              <w:kinsoku/>
              <w:wordWrap/>
              <w:overflowPunct/>
              <w:autoSpaceDE/>
              <w:autoSpaceDN/>
              <w:bidi w:val="0"/>
              <w:spacing w:line="340" w:lineRule="exact"/>
              <w:jc w:val="center"/>
              <w:rPr>
                <w:snapToGrid w:val="0"/>
                <w:color w:val="auto"/>
                <w:kern w:val="21"/>
                <w:sz w:val="24"/>
              </w:rPr>
            </w:pPr>
            <w:r>
              <w:rPr>
                <w:rFonts w:hint="eastAsia"/>
                <w:snapToGrid w:val="0"/>
                <w:color w:val="auto"/>
                <w:kern w:val="21"/>
                <w:sz w:val="24"/>
              </w:rPr>
              <w:t>-</w:t>
            </w:r>
          </w:p>
        </w:tc>
        <w:tc>
          <w:tcPr>
            <w:tcW w:w="1602" w:type="dxa"/>
            <w:vAlign w:val="center"/>
          </w:tcPr>
          <w:p>
            <w:pPr>
              <w:keepNext w:val="0"/>
              <w:keepLines w:val="0"/>
              <w:pageBreakBefore w:val="0"/>
              <w:kinsoku/>
              <w:wordWrap/>
              <w:overflowPunct/>
              <w:autoSpaceDE/>
              <w:autoSpaceDN/>
              <w:bidi w:val="0"/>
              <w:spacing w:line="340" w:lineRule="exact"/>
              <w:jc w:val="center"/>
              <w:rPr>
                <w:snapToGrid w:val="0"/>
                <w:color w:val="auto"/>
                <w:kern w:val="21"/>
                <w:sz w:val="24"/>
              </w:rPr>
            </w:pPr>
            <w:r>
              <w:rPr>
                <w:rFonts w:hint="eastAsia"/>
                <w:snapToGrid w:val="0"/>
                <w:color w:val="auto"/>
                <w:kern w:val="21"/>
                <w:sz w:val="24"/>
              </w:rPr>
              <w:t>-</w:t>
            </w:r>
          </w:p>
        </w:tc>
        <w:tc>
          <w:tcPr>
            <w:tcW w:w="1743" w:type="dxa"/>
            <w:vAlign w:val="center"/>
          </w:tcPr>
          <w:p>
            <w:pPr>
              <w:keepNext w:val="0"/>
              <w:keepLines w:val="0"/>
              <w:pageBreakBefore w:val="0"/>
              <w:kinsoku/>
              <w:wordWrap/>
              <w:overflowPunct/>
              <w:autoSpaceDE/>
              <w:autoSpaceDN/>
              <w:bidi w:val="0"/>
              <w:spacing w:line="340" w:lineRule="exact"/>
              <w:jc w:val="center"/>
              <w:rPr>
                <w:snapToGrid w:val="0"/>
                <w:color w:val="auto"/>
                <w:kern w:val="21"/>
                <w:sz w:val="24"/>
              </w:rPr>
            </w:pPr>
            <w:r>
              <w:rPr>
                <w:rFonts w:hint="eastAsia"/>
                <w:snapToGrid w:val="0"/>
                <w:color w:val="auto"/>
                <w:kern w:val="21"/>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1" w:type="dxa"/>
            <w:vMerge w:val="continue"/>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kern w:val="21"/>
                <w:sz w:val="24"/>
                <w:szCs w:val="24"/>
              </w:rPr>
            </w:pPr>
          </w:p>
        </w:tc>
        <w:tc>
          <w:tcPr>
            <w:tcW w:w="2175" w:type="dxa"/>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kern w:val="21"/>
                <w:sz w:val="24"/>
                <w:szCs w:val="24"/>
              </w:rPr>
            </w:pPr>
            <w:r>
              <w:rPr>
                <w:rFonts w:hint="eastAsia" w:ascii="Times New Roman"/>
                <w:snapToGrid w:val="0"/>
                <w:color w:val="auto"/>
                <w:kern w:val="21"/>
                <w:sz w:val="24"/>
                <w:szCs w:val="24"/>
              </w:rPr>
              <w:t>SS</w:t>
            </w:r>
          </w:p>
        </w:tc>
        <w:tc>
          <w:tcPr>
            <w:tcW w:w="1575" w:type="dxa"/>
            <w:vAlign w:val="center"/>
          </w:tcPr>
          <w:p>
            <w:pPr>
              <w:keepNext w:val="0"/>
              <w:keepLines w:val="0"/>
              <w:pageBreakBefore w:val="0"/>
              <w:kinsoku/>
              <w:wordWrap/>
              <w:overflowPunct/>
              <w:autoSpaceDE/>
              <w:autoSpaceDN/>
              <w:bidi w:val="0"/>
              <w:spacing w:line="340" w:lineRule="exact"/>
              <w:jc w:val="center"/>
              <w:rPr>
                <w:snapToGrid w:val="0"/>
                <w:color w:val="auto"/>
                <w:kern w:val="21"/>
                <w:sz w:val="24"/>
              </w:rPr>
            </w:pPr>
            <w:r>
              <w:rPr>
                <w:rFonts w:hint="eastAsia"/>
                <w:snapToGrid w:val="0"/>
                <w:color w:val="auto"/>
                <w:kern w:val="21"/>
                <w:sz w:val="24"/>
              </w:rPr>
              <w:t>-</w:t>
            </w:r>
          </w:p>
        </w:tc>
        <w:tc>
          <w:tcPr>
            <w:tcW w:w="1135" w:type="dxa"/>
            <w:vAlign w:val="center"/>
          </w:tcPr>
          <w:p>
            <w:pPr>
              <w:keepNext w:val="0"/>
              <w:keepLines w:val="0"/>
              <w:pageBreakBefore w:val="0"/>
              <w:kinsoku/>
              <w:wordWrap/>
              <w:overflowPunct/>
              <w:autoSpaceDE/>
              <w:autoSpaceDN/>
              <w:bidi w:val="0"/>
              <w:spacing w:line="340" w:lineRule="exact"/>
              <w:jc w:val="center"/>
              <w:rPr>
                <w:snapToGrid w:val="0"/>
                <w:color w:val="auto"/>
                <w:kern w:val="21"/>
                <w:sz w:val="24"/>
              </w:rPr>
            </w:pPr>
            <w:r>
              <w:rPr>
                <w:rFonts w:hint="eastAsia"/>
                <w:snapToGrid w:val="0"/>
                <w:color w:val="auto"/>
                <w:kern w:val="21"/>
                <w:sz w:val="24"/>
              </w:rPr>
              <w:t>-</w:t>
            </w:r>
          </w:p>
        </w:tc>
        <w:tc>
          <w:tcPr>
            <w:tcW w:w="1563" w:type="dxa"/>
            <w:vAlign w:val="center"/>
          </w:tcPr>
          <w:p>
            <w:pPr>
              <w:keepNext w:val="0"/>
              <w:keepLines w:val="0"/>
              <w:pageBreakBefore w:val="0"/>
              <w:kinsoku/>
              <w:wordWrap/>
              <w:overflowPunct/>
              <w:autoSpaceDE/>
              <w:autoSpaceDN/>
              <w:bidi w:val="0"/>
              <w:spacing w:line="340" w:lineRule="exact"/>
              <w:jc w:val="center"/>
              <w:rPr>
                <w:snapToGrid w:val="0"/>
                <w:color w:val="auto"/>
                <w:kern w:val="21"/>
                <w:sz w:val="24"/>
              </w:rPr>
            </w:pPr>
            <w:r>
              <w:rPr>
                <w:rFonts w:hint="eastAsia"/>
                <w:snapToGrid w:val="0"/>
                <w:color w:val="auto"/>
                <w:kern w:val="21"/>
                <w:sz w:val="24"/>
              </w:rPr>
              <w:t>-</w:t>
            </w:r>
          </w:p>
        </w:tc>
        <w:tc>
          <w:tcPr>
            <w:tcW w:w="1621" w:type="dxa"/>
            <w:vAlign w:val="center"/>
          </w:tcPr>
          <w:p>
            <w:pPr>
              <w:keepNext w:val="0"/>
              <w:keepLines w:val="0"/>
              <w:pageBreakBefore w:val="0"/>
              <w:kinsoku/>
              <w:wordWrap/>
              <w:overflowPunct/>
              <w:autoSpaceDE/>
              <w:autoSpaceDN/>
              <w:bidi w:val="0"/>
              <w:spacing w:line="340" w:lineRule="exact"/>
              <w:jc w:val="center"/>
              <w:rPr>
                <w:snapToGrid w:val="0"/>
                <w:color w:val="auto"/>
                <w:kern w:val="21"/>
                <w:sz w:val="24"/>
              </w:rPr>
            </w:pPr>
            <w:r>
              <w:rPr>
                <w:rFonts w:hint="eastAsia"/>
                <w:snapToGrid w:val="0"/>
                <w:color w:val="auto"/>
                <w:kern w:val="21"/>
                <w:sz w:val="24"/>
              </w:rPr>
              <w:t>-</w:t>
            </w:r>
          </w:p>
        </w:tc>
        <w:tc>
          <w:tcPr>
            <w:tcW w:w="1514" w:type="dxa"/>
            <w:vAlign w:val="center"/>
          </w:tcPr>
          <w:p>
            <w:pPr>
              <w:keepNext w:val="0"/>
              <w:keepLines w:val="0"/>
              <w:pageBreakBefore w:val="0"/>
              <w:kinsoku/>
              <w:wordWrap/>
              <w:overflowPunct/>
              <w:autoSpaceDE/>
              <w:autoSpaceDN/>
              <w:bidi w:val="0"/>
              <w:spacing w:line="340" w:lineRule="exact"/>
              <w:jc w:val="center"/>
              <w:rPr>
                <w:color w:val="auto"/>
                <w:sz w:val="24"/>
              </w:rPr>
            </w:pPr>
            <w:r>
              <w:rPr>
                <w:rFonts w:hint="eastAsia"/>
                <w:snapToGrid w:val="0"/>
                <w:color w:val="auto"/>
                <w:kern w:val="21"/>
                <w:sz w:val="24"/>
              </w:rPr>
              <w:t>-</w:t>
            </w:r>
          </w:p>
        </w:tc>
        <w:tc>
          <w:tcPr>
            <w:tcW w:w="1602" w:type="dxa"/>
            <w:vAlign w:val="center"/>
          </w:tcPr>
          <w:p>
            <w:pPr>
              <w:keepNext w:val="0"/>
              <w:keepLines w:val="0"/>
              <w:pageBreakBefore w:val="0"/>
              <w:kinsoku/>
              <w:wordWrap/>
              <w:overflowPunct/>
              <w:autoSpaceDE/>
              <w:autoSpaceDN/>
              <w:bidi w:val="0"/>
              <w:spacing w:line="340" w:lineRule="exact"/>
              <w:jc w:val="center"/>
              <w:rPr>
                <w:snapToGrid w:val="0"/>
                <w:color w:val="auto"/>
                <w:kern w:val="21"/>
                <w:sz w:val="24"/>
              </w:rPr>
            </w:pPr>
            <w:r>
              <w:rPr>
                <w:rFonts w:hint="eastAsia"/>
                <w:snapToGrid w:val="0"/>
                <w:color w:val="auto"/>
                <w:kern w:val="21"/>
                <w:sz w:val="24"/>
              </w:rPr>
              <w:t>-</w:t>
            </w:r>
          </w:p>
        </w:tc>
        <w:tc>
          <w:tcPr>
            <w:tcW w:w="1743" w:type="dxa"/>
            <w:vAlign w:val="center"/>
          </w:tcPr>
          <w:p>
            <w:pPr>
              <w:keepNext w:val="0"/>
              <w:keepLines w:val="0"/>
              <w:pageBreakBefore w:val="0"/>
              <w:kinsoku/>
              <w:wordWrap/>
              <w:overflowPunct/>
              <w:autoSpaceDE/>
              <w:autoSpaceDN/>
              <w:bidi w:val="0"/>
              <w:spacing w:line="340" w:lineRule="exact"/>
              <w:jc w:val="center"/>
              <w:rPr>
                <w:snapToGrid w:val="0"/>
                <w:color w:val="auto"/>
                <w:kern w:val="21"/>
                <w:sz w:val="24"/>
              </w:rPr>
            </w:pPr>
            <w:r>
              <w:rPr>
                <w:rFonts w:hint="eastAsia"/>
                <w:snapToGrid w:val="0"/>
                <w:color w:val="auto"/>
                <w:kern w:val="21"/>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51" w:type="dxa"/>
            <w:vMerge w:val="continue"/>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kern w:val="21"/>
                <w:sz w:val="24"/>
                <w:szCs w:val="24"/>
              </w:rPr>
            </w:pPr>
          </w:p>
        </w:tc>
        <w:tc>
          <w:tcPr>
            <w:tcW w:w="2175" w:type="dxa"/>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kern w:val="21"/>
                <w:sz w:val="24"/>
                <w:szCs w:val="24"/>
              </w:rPr>
            </w:pPr>
            <w:r>
              <w:rPr>
                <w:rFonts w:hint="eastAsia" w:ascii="Times New Roman" w:hAnsi="Times New Roman"/>
                <w:snapToGrid w:val="0"/>
                <w:color w:val="auto"/>
                <w:kern w:val="21"/>
                <w:sz w:val="24"/>
                <w:szCs w:val="24"/>
              </w:rPr>
              <w:t>氨氮</w:t>
            </w:r>
          </w:p>
        </w:tc>
        <w:tc>
          <w:tcPr>
            <w:tcW w:w="1575" w:type="dxa"/>
            <w:vAlign w:val="center"/>
          </w:tcPr>
          <w:p>
            <w:pPr>
              <w:keepNext w:val="0"/>
              <w:keepLines w:val="0"/>
              <w:pageBreakBefore w:val="0"/>
              <w:kinsoku/>
              <w:wordWrap/>
              <w:overflowPunct/>
              <w:autoSpaceDE/>
              <w:autoSpaceDN/>
              <w:bidi w:val="0"/>
              <w:spacing w:line="340" w:lineRule="exact"/>
              <w:jc w:val="center"/>
              <w:rPr>
                <w:snapToGrid w:val="0"/>
                <w:color w:val="auto"/>
                <w:kern w:val="21"/>
                <w:sz w:val="24"/>
              </w:rPr>
            </w:pPr>
            <w:r>
              <w:rPr>
                <w:rFonts w:hint="eastAsia"/>
                <w:snapToGrid w:val="0"/>
                <w:color w:val="auto"/>
                <w:kern w:val="21"/>
                <w:sz w:val="24"/>
              </w:rPr>
              <w:t>-</w:t>
            </w:r>
          </w:p>
        </w:tc>
        <w:tc>
          <w:tcPr>
            <w:tcW w:w="1135" w:type="dxa"/>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kern w:val="21"/>
                <w:sz w:val="24"/>
                <w:szCs w:val="24"/>
              </w:rPr>
            </w:pPr>
            <w:r>
              <w:rPr>
                <w:rFonts w:hint="eastAsia" w:ascii="Times New Roman" w:hAnsi="Times New Roman"/>
                <w:snapToGrid w:val="0"/>
                <w:color w:val="auto"/>
                <w:kern w:val="21"/>
                <w:sz w:val="24"/>
                <w:szCs w:val="24"/>
              </w:rPr>
              <w:t>-</w:t>
            </w:r>
          </w:p>
        </w:tc>
        <w:tc>
          <w:tcPr>
            <w:tcW w:w="1563" w:type="dxa"/>
            <w:vAlign w:val="center"/>
          </w:tcPr>
          <w:p>
            <w:pPr>
              <w:keepNext w:val="0"/>
              <w:keepLines w:val="0"/>
              <w:pageBreakBefore w:val="0"/>
              <w:kinsoku/>
              <w:wordWrap/>
              <w:overflowPunct/>
              <w:autoSpaceDE/>
              <w:autoSpaceDN/>
              <w:bidi w:val="0"/>
              <w:spacing w:line="340" w:lineRule="exact"/>
              <w:jc w:val="center"/>
              <w:rPr>
                <w:snapToGrid w:val="0"/>
                <w:color w:val="auto"/>
                <w:kern w:val="21"/>
                <w:sz w:val="24"/>
              </w:rPr>
            </w:pPr>
            <w:r>
              <w:rPr>
                <w:rFonts w:hint="eastAsia"/>
                <w:snapToGrid w:val="0"/>
                <w:color w:val="auto"/>
                <w:kern w:val="21"/>
                <w:sz w:val="24"/>
              </w:rPr>
              <w:t>-</w:t>
            </w:r>
          </w:p>
        </w:tc>
        <w:tc>
          <w:tcPr>
            <w:tcW w:w="1621" w:type="dxa"/>
            <w:vAlign w:val="center"/>
          </w:tcPr>
          <w:p>
            <w:pPr>
              <w:keepNext w:val="0"/>
              <w:keepLines w:val="0"/>
              <w:pageBreakBefore w:val="0"/>
              <w:kinsoku/>
              <w:wordWrap/>
              <w:overflowPunct/>
              <w:autoSpaceDE/>
              <w:autoSpaceDN/>
              <w:bidi w:val="0"/>
              <w:spacing w:line="340" w:lineRule="exact"/>
              <w:jc w:val="center"/>
              <w:rPr>
                <w:snapToGrid w:val="0"/>
                <w:color w:val="auto"/>
                <w:kern w:val="21"/>
                <w:sz w:val="24"/>
              </w:rPr>
            </w:pPr>
            <w:r>
              <w:rPr>
                <w:rFonts w:hint="eastAsia"/>
                <w:snapToGrid w:val="0"/>
                <w:color w:val="auto"/>
                <w:kern w:val="21"/>
                <w:sz w:val="24"/>
              </w:rPr>
              <w:t>-</w:t>
            </w:r>
          </w:p>
        </w:tc>
        <w:tc>
          <w:tcPr>
            <w:tcW w:w="1514" w:type="dxa"/>
            <w:vAlign w:val="center"/>
          </w:tcPr>
          <w:p>
            <w:pPr>
              <w:keepNext w:val="0"/>
              <w:keepLines w:val="0"/>
              <w:pageBreakBefore w:val="0"/>
              <w:kinsoku/>
              <w:wordWrap/>
              <w:overflowPunct/>
              <w:autoSpaceDE/>
              <w:autoSpaceDN/>
              <w:bidi w:val="0"/>
              <w:spacing w:line="340" w:lineRule="exact"/>
              <w:jc w:val="center"/>
              <w:rPr>
                <w:snapToGrid w:val="0"/>
                <w:color w:val="auto"/>
                <w:kern w:val="21"/>
                <w:sz w:val="24"/>
              </w:rPr>
            </w:pPr>
            <w:r>
              <w:rPr>
                <w:rFonts w:hint="eastAsia"/>
                <w:snapToGrid w:val="0"/>
                <w:color w:val="auto"/>
                <w:kern w:val="21"/>
                <w:sz w:val="24"/>
              </w:rPr>
              <w:t>-</w:t>
            </w:r>
          </w:p>
        </w:tc>
        <w:tc>
          <w:tcPr>
            <w:tcW w:w="1602" w:type="dxa"/>
            <w:vAlign w:val="center"/>
          </w:tcPr>
          <w:p>
            <w:pPr>
              <w:keepNext w:val="0"/>
              <w:keepLines w:val="0"/>
              <w:pageBreakBefore w:val="0"/>
              <w:kinsoku/>
              <w:wordWrap/>
              <w:overflowPunct/>
              <w:autoSpaceDE/>
              <w:autoSpaceDN/>
              <w:bidi w:val="0"/>
              <w:spacing w:line="340" w:lineRule="exact"/>
              <w:jc w:val="center"/>
              <w:rPr>
                <w:snapToGrid w:val="0"/>
                <w:color w:val="auto"/>
                <w:kern w:val="21"/>
                <w:sz w:val="24"/>
              </w:rPr>
            </w:pPr>
            <w:r>
              <w:rPr>
                <w:rFonts w:hint="eastAsia"/>
                <w:snapToGrid w:val="0"/>
                <w:color w:val="auto"/>
                <w:kern w:val="21"/>
                <w:sz w:val="24"/>
              </w:rPr>
              <w:t>-</w:t>
            </w:r>
          </w:p>
        </w:tc>
        <w:tc>
          <w:tcPr>
            <w:tcW w:w="1743" w:type="dxa"/>
            <w:vAlign w:val="center"/>
          </w:tcPr>
          <w:p>
            <w:pPr>
              <w:keepNext w:val="0"/>
              <w:keepLines w:val="0"/>
              <w:pageBreakBefore w:val="0"/>
              <w:kinsoku/>
              <w:wordWrap/>
              <w:overflowPunct/>
              <w:autoSpaceDE/>
              <w:autoSpaceDN/>
              <w:bidi w:val="0"/>
              <w:spacing w:line="340" w:lineRule="exact"/>
              <w:jc w:val="center"/>
              <w:rPr>
                <w:snapToGrid w:val="0"/>
                <w:color w:val="auto"/>
                <w:kern w:val="21"/>
                <w:sz w:val="24"/>
              </w:rPr>
            </w:pPr>
            <w:r>
              <w:rPr>
                <w:rFonts w:hint="eastAsia"/>
                <w:snapToGrid w:val="0"/>
                <w:color w:val="auto"/>
                <w:kern w:val="21"/>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1" w:type="dxa"/>
            <w:vMerge w:val="restart"/>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kern w:val="21"/>
                <w:sz w:val="24"/>
                <w:szCs w:val="24"/>
              </w:rPr>
            </w:pPr>
            <w:r>
              <w:rPr>
                <w:rFonts w:hint="eastAsia" w:ascii="Times New Roman"/>
                <w:snapToGrid w:val="0"/>
                <w:color w:val="auto"/>
                <w:kern w:val="21"/>
                <w:sz w:val="24"/>
                <w:szCs w:val="24"/>
              </w:rPr>
              <w:t>固体</w:t>
            </w:r>
            <w:r>
              <w:rPr>
                <w:rFonts w:ascii="Times New Roman" w:hAnsi="Times New Roman"/>
                <w:snapToGrid w:val="0"/>
                <w:color w:val="auto"/>
                <w:kern w:val="21"/>
                <w:sz w:val="24"/>
                <w:szCs w:val="24"/>
              </w:rPr>
              <w:t>废物</w:t>
            </w:r>
          </w:p>
        </w:tc>
        <w:tc>
          <w:tcPr>
            <w:tcW w:w="2175" w:type="dxa"/>
            <w:vAlign w:val="center"/>
          </w:tcPr>
          <w:p>
            <w:pPr>
              <w:keepNext w:val="0"/>
              <w:keepLines w:val="0"/>
              <w:pageBreakBefore w:val="0"/>
              <w:kinsoku/>
              <w:wordWrap/>
              <w:overflowPunct/>
              <w:topLinePunct/>
              <w:autoSpaceDE/>
              <w:autoSpaceDN/>
              <w:bidi w:val="0"/>
              <w:adjustRightInd w:val="0"/>
              <w:snapToGrid w:val="0"/>
              <w:spacing w:line="340" w:lineRule="exact"/>
              <w:jc w:val="center"/>
              <w:rPr>
                <w:color w:val="auto"/>
                <w:kern w:val="0"/>
                <w:sz w:val="24"/>
              </w:rPr>
            </w:pPr>
            <w:r>
              <w:rPr>
                <w:rFonts w:hint="eastAsia"/>
                <w:color w:val="auto"/>
                <w:kern w:val="0"/>
                <w:sz w:val="24"/>
              </w:rPr>
              <w:t>除尘灰</w:t>
            </w:r>
          </w:p>
        </w:tc>
        <w:tc>
          <w:tcPr>
            <w:tcW w:w="1575" w:type="dxa"/>
            <w:vAlign w:val="center"/>
          </w:tcPr>
          <w:p>
            <w:pPr>
              <w:keepNext w:val="0"/>
              <w:keepLines w:val="0"/>
              <w:pageBreakBefore w:val="0"/>
              <w:kinsoku/>
              <w:wordWrap/>
              <w:overflowPunct/>
              <w:autoSpaceDE/>
              <w:autoSpaceDN/>
              <w:bidi w:val="0"/>
              <w:spacing w:line="340" w:lineRule="exact"/>
              <w:jc w:val="center"/>
              <w:rPr>
                <w:color w:val="auto"/>
                <w:sz w:val="24"/>
              </w:rPr>
            </w:pPr>
            <w:r>
              <w:rPr>
                <w:rFonts w:hint="eastAsia"/>
                <w:snapToGrid w:val="0"/>
                <w:color w:val="auto"/>
                <w:kern w:val="21"/>
                <w:sz w:val="24"/>
              </w:rPr>
              <w:t>-</w:t>
            </w:r>
          </w:p>
        </w:tc>
        <w:tc>
          <w:tcPr>
            <w:tcW w:w="1135" w:type="dxa"/>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kern w:val="21"/>
                <w:sz w:val="24"/>
                <w:szCs w:val="24"/>
              </w:rPr>
            </w:pPr>
            <w:r>
              <w:rPr>
                <w:rFonts w:hint="eastAsia" w:ascii="Times New Roman" w:hAnsi="Times New Roman"/>
                <w:snapToGrid w:val="0"/>
                <w:color w:val="auto"/>
                <w:kern w:val="21"/>
                <w:sz w:val="24"/>
                <w:szCs w:val="24"/>
              </w:rPr>
              <w:t>-</w:t>
            </w:r>
          </w:p>
        </w:tc>
        <w:tc>
          <w:tcPr>
            <w:tcW w:w="1563" w:type="dxa"/>
            <w:vAlign w:val="center"/>
          </w:tcPr>
          <w:p>
            <w:pPr>
              <w:keepNext w:val="0"/>
              <w:keepLines w:val="0"/>
              <w:pageBreakBefore w:val="0"/>
              <w:kinsoku/>
              <w:wordWrap/>
              <w:overflowPunct/>
              <w:topLinePunct/>
              <w:autoSpaceDE/>
              <w:autoSpaceDN/>
              <w:bidi w:val="0"/>
              <w:adjustRightInd w:val="0"/>
              <w:snapToGrid w:val="0"/>
              <w:spacing w:line="340" w:lineRule="exact"/>
              <w:jc w:val="center"/>
              <w:rPr>
                <w:color w:val="auto"/>
                <w:sz w:val="24"/>
              </w:rPr>
            </w:pPr>
            <w:r>
              <w:rPr>
                <w:rFonts w:hint="eastAsia"/>
                <w:snapToGrid w:val="0"/>
                <w:color w:val="auto"/>
                <w:kern w:val="21"/>
                <w:sz w:val="24"/>
              </w:rPr>
              <w:t>-</w:t>
            </w:r>
          </w:p>
        </w:tc>
        <w:tc>
          <w:tcPr>
            <w:tcW w:w="1621" w:type="dxa"/>
            <w:vAlign w:val="center"/>
          </w:tcPr>
          <w:p>
            <w:pPr>
              <w:keepNext w:val="0"/>
              <w:keepLines w:val="0"/>
              <w:pageBreakBefore w:val="0"/>
              <w:kinsoku/>
              <w:wordWrap/>
              <w:overflowPunct/>
              <w:autoSpaceDE/>
              <w:autoSpaceDN/>
              <w:bidi w:val="0"/>
              <w:spacing w:line="340" w:lineRule="exact"/>
              <w:jc w:val="center"/>
              <w:rPr>
                <w:snapToGrid w:val="0"/>
                <w:color w:val="auto"/>
                <w:kern w:val="21"/>
                <w:sz w:val="24"/>
              </w:rPr>
            </w:pPr>
            <w:r>
              <w:rPr>
                <w:rFonts w:hint="eastAsia"/>
                <w:color w:val="auto"/>
                <w:sz w:val="24"/>
              </w:rPr>
              <w:t>39.482</w:t>
            </w:r>
            <w:r>
              <w:rPr>
                <w:color w:val="auto"/>
                <w:sz w:val="24"/>
              </w:rPr>
              <w:t>t/a</w:t>
            </w:r>
          </w:p>
        </w:tc>
        <w:tc>
          <w:tcPr>
            <w:tcW w:w="1514" w:type="dxa"/>
            <w:vAlign w:val="center"/>
          </w:tcPr>
          <w:p>
            <w:pPr>
              <w:keepNext w:val="0"/>
              <w:keepLines w:val="0"/>
              <w:pageBreakBefore w:val="0"/>
              <w:kinsoku/>
              <w:wordWrap/>
              <w:overflowPunct/>
              <w:autoSpaceDE/>
              <w:autoSpaceDN/>
              <w:bidi w:val="0"/>
              <w:spacing w:line="340" w:lineRule="exact"/>
              <w:jc w:val="center"/>
              <w:rPr>
                <w:color w:val="auto"/>
                <w:sz w:val="24"/>
              </w:rPr>
            </w:pPr>
            <w:r>
              <w:rPr>
                <w:rFonts w:hint="eastAsia"/>
                <w:snapToGrid w:val="0"/>
                <w:color w:val="auto"/>
                <w:kern w:val="21"/>
                <w:sz w:val="24"/>
              </w:rPr>
              <w:t>-</w:t>
            </w:r>
          </w:p>
        </w:tc>
        <w:tc>
          <w:tcPr>
            <w:tcW w:w="1602" w:type="dxa"/>
            <w:vAlign w:val="center"/>
          </w:tcPr>
          <w:p>
            <w:pPr>
              <w:keepNext w:val="0"/>
              <w:keepLines w:val="0"/>
              <w:pageBreakBefore w:val="0"/>
              <w:kinsoku/>
              <w:wordWrap/>
              <w:overflowPunct/>
              <w:topLinePunct/>
              <w:autoSpaceDE/>
              <w:autoSpaceDN/>
              <w:bidi w:val="0"/>
              <w:adjustRightInd w:val="0"/>
              <w:snapToGrid w:val="0"/>
              <w:spacing w:line="340" w:lineRule="exact"/>
              <w:jc w:val="center"/>
              <w:rPr>
                <w:color w:val="auto"/>
                <w:sz w:val="24"/>
              </w:rPr>
            </w:pPr>
            <w:r>
              <w:rPr>
                <w:rFonts w:hint="eastAsia"/>
                <w:color w:val="auto"/>
                <w:sz w:val="24"/>
              </w:rPr>
              <w:t>39.482</w:t>
            </w:r>
            <w:r>
              <w:rPr>
                <w:color w:val="auto"/>
                <w:sz w:val="24"/>
              </w:rPr>
              <w:t>t/a</w:t>
            </w:r>
          </w:p>
        </w:tc>
        <w:tc>
          <w:tcPr>
            <w:tcW w:w="1743" w:type="dxa"/>
            <w:vAlign w:val="center"/>
          </w:tcPr>
          <w:p>
            <w:pPr>
              <w:keepNext w:val="0"/>
              <w:keepLines w:val="0"/>
              <w:pageBreakBefore w:val="0"/>
              <w:kinsoku/>
              <w:wordWrap/>
              <w:overflowPunct/>
              <w:topLinePunct/>
              <w:autoSpaceDE/>
              <w:autoSpaceDN/>
              <w:bidi w:val="0"/>
              <w:adjustRightInd w:val="0"/>
              <w:snapToGrid w:val="0"/>
              <w:spacing w:line="340" w:lineRule="exact"/>
              <w:jc w:val="center"/>
              <w:rPr>
                <w:snapToGrid w:val="0"/>
                <w:color w:val="auto"/>
                <w:kern w:val="21"/>
                <w:sz w:val="24"/>
              </w:rPr>
            </w:pPr>
            <w:r>
              <w:rPr>
                <w:rFonts w:hint="eastAsia"/>
                <w:color w:val="auto"/>
                <w:sz w:val="24"/>
              </w:rPr>
              <w:t>39.482</w:t>
            </w:r>
            <w:r>
              <w:rPr>
                <w:color w:val="auto"/>
                <w:sz w:val="24"/>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1" w:type="dxa"/>
            <w:vMerge w:val="continue"/>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snapToGrid w:val="0"/>
                <w:color w:val="auto"/>
                <w:kern w:val="21"/>
                <w:sz w:val="24"/>
                <w:szCs w:val="24"/>
              </w:rPr>
            </w:pPr>
          </w:p>
        </w:tc>
        <w:tc>
          <w:tcPr>
            <w:tcW w:w="2175" w:type="dxa"/>
            <w:vAlign w:val="center"/>
          </w:tcPr>
          <w:p>
            <w:pPr>
              <w:keepNext w:val="0"/>
              <w:keepLines w:val="0"/>
              <w:pageBreakBefore w:val="0"/>
              <w:kinsoku/>
              <w:wordWrap/>
              <w:overflowPunct/>
              <w:topLinePunct/>
              <w:autoSpaceDE/>
              <w:autoSpaceDN/>
              <w:bidi w:val="0"/>
              <w:adjustRightInd w:val="0"/>
              <w:snapToGrid w:val="0"/>
              <w:spacing w:line="340" w:lineRule="exact"/>
              <w:jc w:val="center"/>
              <w:rPr>
                <w:color w:val="auto"/>
                <w:kern w:val="0"/>
                <w:sz w:val="24"/>
              </w:rPr>
            </w:pPr>
            <w:r>
              <w:rPr>
                <w:rFonts w:hint="eastAsia"/>
                <w:color w:val="auto"/>
                <w:kern w:val="0"/>
                <w:sz w:val="24"/>
              </w:rPr>
              <w:t>熔炼渣</w:t>
            </w:r>
          </w:p>
        </w:tc>
        <w:tc>
          <w:tcPr>
            <w:tcW w:w="1575" w:type="dxa"/>
            <w:vAlign w:val="center"/>
          </w:tcPr>
          <w:p>
            <w:pPr>
              <w:keepNext w:val="0"/>
              <w:keepLines w:val="0"/>
              <w:pageBreakBefore w:val="0"/>
              <w:kinsoku/>
              <w:wordWrap/>
              <w:overflowPunct/>
              <w:autoSpaceDE/>
              <w:autoSpaceDN/>
              <w:bidi w:val="0"/>
              <w:spacing w:line="340" w:lineRule="exact"/>
              <w:jc w:val="center"/>
              <w:rPr>
                <w:snapToGrid w:val="0"/>
                <w:color w:val="auto"/>
                <w:kern w:val="21"/>
                <w:sz w:val="24"/>
              </w:rPr>
            </w:pPr>
            <w:r>
              <w:rPr>
                <w:rFonts w:hint="eastAsia"/>
                <w:snapToGrid w:val="0"/>
                <w:color w:val="auto"/>
                <w:kern w:val="21"/>
                <w:sz w:val="24"/>
              </w:rPr>
              <w:t>-</w:t>
            </w:r>
          </w:p>
        </w:tc>
        <w:tc>
          <w:tcPr>
            <w:tcW w:w="1135" w:type="dxa"/>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kern w:val="21"/>
                <w:sz w:val="24"/>
                <w:szCs w:val="24"/>
              </w:rPr>
            </w:pPr>
            <w:r>
              <w:rPr>
                <w:rFonts w:hint="eastAsia" w:ascii="Times New Roman" w:hAnsi="Times New Roman"/>
                <w:snapToGrid w:val="0"/>
                <w:color w:val="auto"/>
                <w:kern w:val="21"/>
                <w:sz w:val="24"/>
                <w:szCs w:val="24"/>
              </w:rPr>
              <w:t>-</w:t>
            </w:r>
          </w:p>
        </w:tc>
        <w:tc>
          <w:tcPr>
            <w:tcW w:w="1563" w:type="dxa"/>
            <w:vAlign w:val="center"/>
          </w:tcPr>
          <w:p>
            <w:pPr>
              <w:keepNext w:val="0"/>
              <w:keepLines w:val="0"/>
              <w:pageBreakBefore w:val="0"/>
              <w:kinsoku/>
              <w:wordWrap/>
              <w:overflowPunct/>
              <w:topLinePunct/>
              <w:autoSpaceDE/>
              <w:autoSpaceDN/>
              <w:bidi w:val="0"/>
              <w:adjustRightInd w:val="0"/>
              <w:snapToGrid w:val="0"/>
              <w:spacing w:line="340" w:lineRule="exact"/>
              <w:jc w:val="center"/>
              <w:rPr>
                <w:snapToGrid w:val="0"/>
                <w:color w:val="auto"/>
                <w:kern w:val="21"/>
                <w:sz w:val="24"/>
              </w:rPr>
            </w:pPr>
            <w:r>
              <w:rPr>
                <w:rFonts w:hint="eastAsia"/>
                <w:snapToGrid w:val="0"/>
                <w:color w:val="auto"/>
                <w:kern w:val="21"/>
                <w:sz w:val="24"/>
              </w:rPr>
              <w:t>-</w:t>
            </w:r>
          </w:p>
        </w:tc>
        <w:tc>
          <w:tcPr>
            <w:tcW w:w="1621" w:type="dxa"/>
            <w:vAlign w:val="center"/>
          </w:tcPr>
          <w:p>
            <w:pPr>
              <w:keepNext w:val="0"/>
              <w:keepLines w:val="0"/>
              <w:pageBreakBefore w:val="0"/>
              <w:kinsoku/>
              <w:wordWrap/>
              <w:overflowPunct/>
              <w:autoSpaceDE/>
              <w:autoSpaceDN/>
              <w:bidi w:val="0"/>
              <w:spacing w:line="340" w:lineRule="exact"/>
              <w:jc w:val="center"/>
              <w:rPr>
                <w:color w:val="auto"/>
                <w:sz w:val="24"/>
              </w:rPr>
            </w:pPr>
            <w:r>
              <w:rPr>
                <w:rFonts w:hint="eastAsia"/>
                <w:color w:val="auto"/>
                <w:sz w:val="24"/>
              </w:rPr>
              <w:t>65</w:t>
            </w:r>
            <w:r>
              <w:rPr>
                <w:color w:val="auto"/>
                <w:sz w:val="24"/>
              </w:rPr>
              <w:t>t/a</w:t>
            </w:r>
          </w:p>
        </w:tc>
        <w:tc>
          <w:tcPr>
            <w:tcW w:w="1514" w:type="dxa"/>
            <w:vAlign w:val="center"/>
          </w:tcPr>
          <w:p>
            <w:pPr>
              <w:keepNext w:val="0"/>
              <w:keepLines w:val="0"/>
              <w:pageBreakBefore w:val="0"/>
              <w:kinsoku/>
              <w:wordWrap/>
              <w:overflowPunct/>
              <w:autoSpaceDE/>
              <w:autoSpaceDN/>
              <w:bidi w:val="0"/>
              <w:spacing w:line="340" w:lineRule="exact"/>
              <w:jc w:val="center"/>
              <w:rPr>
                <w:color w:val="auto"/>
                <w:sz w:val="24"/>
              </w:rPr>
            </w:pPr>
            <w:r>
              <w:rPr>
                <w:rFonts w:hint="eastAsia"/>
                <w:snapToGrid w:val="0"/>
                <w:color w:val="auto"/>
                <w:kern w:val="21"/>
                <w:sz w:val="24"/>
              </w:rPr>
              <w:t>-</w:t>
            </w:r>
          </w:p>
        </w:tc>
        <w:tc>
          <w:tcPr>
            <w:tcW w:w="1602" w:type="dxa"/>
            <w:vAlign w:val="center"/>
          </w:tcPr>
          <w:p>
            <w:pPr>
              <w:keepNext w:val="0"/>
              <w:keepLines w:val="0"/>
              <w:pageBreakBefore w:val="0"/>
              <w:kinsoku/>
              <w:wordWrap/>
              <w:overflowPunct/>
              <w:topLinePunct/>
              <w:autoSpaceDE/>
              <w:autoSpaceDN/>
              <w:bidi w:val="0"/>
              <w:adjustRightInd w:val="0"/>
              <w:snapToGrid w:val="0"/>
              <w:spacing w:line="340" w:lineRule="exact"/>
              <w:jc w:val="center"/>
              <w:rPr>
                <w:color w:val="auto"/>
                <w:sz w:val="24"/>
              </w:rPr>
            </w:pPr>
            <w:r>
              <w:rPr>
                <w:rFonts w:hint="eastAsia"/>
                <w:color w:val="auto"/>
                <w:sz w:val="24"/>
              </w:rPr>
              <w:t>65</w:t>
            </w:r>
            <w:r>
              <w:rPr>
                <w:color w:val="auto"/>
                <w:sz w:val="24"/>
              </w:rPr>
              <w:t>t/a</w:t>
            </w:r>
          </w:p>
        </w:tc>
        <w:tc>
          <w:tcPr>
            <w:tcW w:w="1743" w:type="dxa"/>
            <w:vAlign w:val="center"/>
          </w:tcPr>
          <w:p>
            <w:pPr>
              <w:keepNext w:val="0"/>
              <w:keepLines w:val="0"/>
              <w:pageBreakBefore w:val="0"/>
              <w:kinsoku/>
              <w:wordWrap/>
              <w:overflowPunct/>
              <w:topLinePunct/>
              <w:autoSpaceDE/>
              <w:autoSpaceDN/>
              <w:bidi w:val="0"/>
              <w:adjustRightInd w:val="0"/>
              <w:snapToGrid w:val="0"/>
              <w:spacing w:line="340" w:lineRule="exact"/>
              <w:jc w:val="center"/>
              <w:rPr>
                <w:color w:val="auto"/>
                <w:sz w:val="24"/>
              </w:rPr>
            </w:pPr>
            <w:r>
              <w:rPr>
                <w:rFonts w:hint="eastAsia"/>
                <w:color w:val="auto"/>
                <w:sz w:val="24"/>
              </w:rPr>
              <w:t>65</w:t>
            </w:r>
            <w:r>
              <w:rPr>
                <w:color w:val="auto"/>
                <w:sz w:val="24"/>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51" w:type="dxa"/>
            <w:vMerge w:val="continue"/>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kern w:val="21"/>
                <w:sz w:val="24"/>
                <w:szCs w:val="24"/>
              </w:rPr>
            </w:pPr>
          </w:p>
        </w:tc>
        <w:tc>
          <w:tcPr>
            <w:tcW w:w="2175" w:type="dxa"/>
            <w:vAlign w:val="center"/>
          </w:tcPr>
          <w:p>
            <w:pPr>
              <w:keepNext w:val="0"/>
              <w:keepLines w:val="0"/>
              <w:pageBreakBefore w:val="0"/>
              <w:kinsoku/>
              <w:wordWrap/>
              <w:overflowPunct/>
              <w:topLinePunct/>
              <w:autoSpaceDE/>
              <w:autoSpaceDN/>
              <w:bidi w:val="0"/>
              <w:adjustRightInd w:val="0"/>
              <w:snapToGrid w:val="0"/>
              <w:spacing w:line="340" w:lineRule="exact"/>
              <w:jc w:val="center"/>
              <w:rPr>
                <w:color w:val="auto"/>
                <w:kern w:val="0"/>
                <w:sz w:val="24"/>
              </w:rPr>
            </w:pPr>
            <w:r>
              <w:rPr>
                <w:rFonts w:hint="eastAsia"/>
                <w:color w:val="auto"/>
                <w:kern w:val="0"/>
                <w:sz w:val="24"/>
              </w:rPr>
              <w:t>切冒口</w:t>
            </w:r>
            <w:r>
              <w:rPr>
                <w:rFonts w:hint="eastAsia"/>
                <w:color w:val="auto"/>
                <w:kern w:val="0"/>
                <w:sz w:val="24"/>
                <w:lang w:val="en-US" w:eastAsia="zh-CN"/>
              </w:rPr>
              <w:t>产生的</w:t>
            </w:r>
            <w:r>
              <w:rPr>
                <w:rFonts w:hint="eastAsia"/>
                <w:color w:val="auto"/>
                <w:kern w:val="0"/>
                <w:sz w:val="24"/>
              </w:rPr>
              <w:t>废铁</w:t>
            </w:r>
          </w:p>
        </w:tc>
        <w:tc>
          <w:tcPr>
            <w:tcW w:w="1575" w:type="dxa"/>
            <w:vAlign w:val="center"/>
          </w:tcPr>
          <w:p>
            <w:pPr>
              <w:keepNext w:val="0"/>
              <w:keepLines w:val="0"/>
              <w:pageBreakBefore w:val="0"/>
              <w:kinsoku/>
              <w:wordWrap/>
              <w:overflowPunct/>
              <w:autoSpaceDE/>
              <w:autoSpaceDN/>
              <w:bidi w:val="0"/>
              <w:spacing w:line="340" w:lineRule="exact"/>
              <w:jc w:val="center"/>
              <w:rPr>
                <w:color w:val="auto"/>
                <w:sz w:val="24"/>
              </w:rPr>
            </w:pPr>
            <w:r>
              <w:rPr>
                <w:rFonts w:hint="eastAsia"/>
                <w:snapToGrid w:val="0"/>
                <w:color w:val="auto"/>
                <w:kern w:val="21"/>
                <w:sz w:val="24"/>
              </w:rPr>
              <w:t>-</w:t>
            </w:r>
          </w:p>
        </w:tc>
        <w:tc>
          <w:tcPr>
            <w:tcW w:w="1135" w:type="dxa"/>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kern w:val="21"/>
                <w:sz w:val="24"/>
                <w:szCs w:val="24"/>
              </w:rPr>
            </w:pPr>
            <w:r>
              <w:rPr>
                <w:rFonts w:hint="eastAsia" w:ascii="Times New Roman" w:hAnsi="Times New Roman"/>
                <w:snapToGrid w:val="0"/>
                <w:color w:val="auto"/>
                <w:kern w:val="21"/>
                <w:sz w:val="24"/>
                <w:szCs w:val="24"/>
              </w:rPr>
              <w:t>-</w:t>
            </w:r>
          </w:p>
        </w:tc>
        <w:tc>
          <w:tcPr>
            <w:tcW w:w="1563" w:type="dxa"/>
            <w:vAlign w:val="center"/>
          </w:tcPr>
          <w:p>
            <w:pPr>
              <w:keepNext w:val="0"/>
              <w:keepLines w:val="0"/>
              <w:pageBreakBefore w:val="0"/>
              <w:kinsoku/>
              <w:wordWrap/>
              <w:overflowPunct/>
              <w:topLinePunct/>
              <w:autoSpaceDE/>
              <w:autoSpaceDN/>
              <w:bidi w:val="0"/>
              <w:adjustRightInd w:val="0"/>
              <w:snapToGrid w:val="0"/>
              <w:spacing w:line="340" w:lineRule="exact"/>
              <w:jc w:val="center"/>
              <w:rPr>
                <w:color w:val="auto"/>
                <w:sz w:val="24"/>
              </w:rPr>
            </w:pPr>
            <w:r>
              <w:rPr>
                <w:rFonts w:hint="eastAsia"/>
                <w:snapToGrid w:val="0"/>
                <w:color w:val="auto"/>
                <w:kern w:val="21"/>
                <w:sz w:val="24"/>
              </w:rPr>
              <w:t>-</w:t>
            </w:r>
          </w:p>
        </w:tc>
        <w:tc>
          <w:tcPr>
            <w:tcW w:w="1621" w:type="dxa"/>
            <w:vAlign w:val="center"/>
          </w:tcPr>
          <w:p>
            <w:pPr>
              <w:keepNext w:val="0"/>
              <w:keepLines w:val="0"/>
              <w:pageBreakBefore w:val="0"/>
              <w:kinsoku/>
              <w:wordWrap/>
              <w:overflowPunct/>
              <w:autoSpaceDE/>
              <w:autoSpaceDN/>
              <w:bidi w:val="0"/>
              <w:spacing w:line="340" w:lineRule="exact"/>
              <w:jc w:val="center"/>
              <w:rPr>
                <w:snapToGrid w:val="0"/>
                <w:color w:val="auto"/>
                <w:kern w:val="21"/>
                <w:sz w:val="24"/>
              </w:rPr>
            </w:pPr>
            <w:r>
              <w:rPr>
                <w:rFonts w:hint="eastAsia"/>
                <w:color w:val="auto"/>
                <w:sz w:val="24"/>
              </w:rPr>
              <w:t>40</w:t>
            </w:r>
            <w:r>
              <w:rPr>
                <w:color w:val="auto"/>
                <w:sz w:val="24"/>
              </w:rPr>
              <w:t>t/a</w:t>
            </w:r>
          </w:p>
        </w:tc>
        <w:tc>
          <w:tcPr>
            <w:tcW w:w="1514" w:type="dxa"/>
            <w:vAlign w:val="center"/>
          </w:tcPr>
          <w:p>
            <w:pPr>
              <w:keepNext w:val="0"/>
              <w:keepLines w:val="0"/>
              <w:pageBreakBefore w:val="0"/>
              <w:kinsoku/>
              <w:wordWrap/>
              <w:overflowPunct/>
              <w:autoSpaceDE/>
              <w:autoSpaceDN/>
              <w:bidi w:val="0"/>
              <w:spacing w:line="340" w:lineRule="exact"/>
              <w:jc w:val="center"/>
              <w:rPr>
                <w:color w:val="auto"/>
                <w:sz w:val="24"/>
              </w:rPr>
            </w:pPr>
            <w:r>
              <w:rPr>
                <w:rFonts w:hint="eastAsia"/>
                <w:snapToGrid w:val="0"/>
                <w:color w:val="auto"/>
                <w:kern w:val="21"/>
                <w:sz w:val="24"/>
              </w:rPr>
              <w:t>-</w:t>
            </w:r>
          </w:p>
        </w:tc>
        <w:tc>
          <w:tcPr>
            <w:tcW w:w="1602" w:type="dxa"/>
            <w:vAlign w:val="center"/>
          </w:tcPr>
          <w:p>
            <w:pPr>
              <w:keepNext w:val="0"/>
              <w:keepLines w:val="0"/>
              <w:pageBreakBefore w:val="0"/>
              <w:kinsoku/>
              <w:wordWrap/>
              <w:overflowPunct/>
              <w:topLinePunct/>
              <w:autoSpaceDE/>
              <w:autoSpaceDN/>
              <w:bidi w:val="0"/>
              <w:adjustRightInd w:val="0"/>
              <w:snapToGrid w:val="0"/>
              <w:spacing w:line="340" w:lineRule="exact"/>
              <w:jc w:val="center"/>
              <w:rPr>
                <w:color w:val="auto"/>
                <w:sz w:val="24"/>
              </w:rPr>
            </w:pPr>
            <w:r>
              <w:rPr>
                <w:rFonts w:hint="eastAsia"/>
                <w:color w:val="auto"/>
                <w:sz w:val="24"/>
              </w:rPr>
              <w:t>40</w:t>
            </w:r>
            <w:r>
              <w:rPr>
                <w:color w:val="auto"/>
                <w:sz w:val="24"/>
              </w:rPr>
              <w:t>t/a</w:t>
            </w:r>
          </w:p>
        </w:tc>
        <w:tc>
          <w:tcPr>
            <w:tcW w:w="1743" w:type="dxa"/>
            <w:vAlign w:val="center"/>
          </w:tcPr>
          <w:p>
            <w:pPr>
              <w:keepNext w:val="0"/>
              <w:keepLines w:val="0"/>
              <w:pageBreakBefore w:val="0"/>
              <w:kinsoku/>
              <w:wordWrap/>
              <w:overflowPunct/>
              <w:topLinePunct/>
              <w:autoSpaceDE/>
              <w:autoSpaceDN/>
              <w:bidi w:val="0"/>
              <w:adjustRightInd w:val="0"/>
              <w:snapToGrid w:val="0"/>
              <w:spacing w:line="340" w:lineRule="exact"/>
              <w:jc w:val="center"/>
              <w:rPr>
                <w:snapToGrid w:val="0"/>
                <w:color w:val="auto"/>
                <w:kern w:val="21"/>
                <w:sz w:val="24"/>
              </w:rPr>
            </w:pPr>
            <w:r>
              <w:rPr>
                <w:rFonts w:hint="eastAsia"/>
                <w:color w:val="auto"/>
                <w:sz w:val="24"/>
              </w:rPr>
              <w:t>40</w:t>
            </w:r>
            <w:r>
              <w:rPr>
                <w:color w:val="auto"/>
                <w:sz w:val="24"/>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51" w:type="dxa"/>
            <w:vMerge w:val="continue"/>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kern w:val="21"/>
                <w:sz w:val="24"/>
                <w:szCs w:val="24"/>
              </w:rPr>
            </w:pPr>
          </w:p>
        </w:tc>
        <w:tc>
          <w:tcPr>
            <w:tcW w:w="2175" w:type="dxa"/>
            <w:vAlign w:val="center"/>
          </w:tcPr>
          <w:p>
            <w:pPr>
              <w:keepNext w:val="0"/>
              <w:keepLines w:val="0"/>
              <w:pageBreakBefore w:val="0"/>
              <w:kinsoku/>
              <w:wordWrap/>
              <w:overflowPunct/>
              <w:topLinePunct/>
              <w:autoSpaceDE/>
              <w:autoSpaceDN/>
              <w:bidi w:val="0"/>
              <w:adjustRightInd w:val="0"/>
              <w:snapToGrid w:val="0"/>
              <w:spacing w:line="340" w:lineRule="exact"/>
              <w:jc w:val="center"/>
              <w:rPr>
                <w:color w:val="auto"/>
                <w:kern w:val="0"/>
                <w:sz w:val="24"/>
              </w:rPr>
            </w:pPr>
            <w:r>
              <w:rPr>
                <w:rFonts w:hint="eastAsia"/>
                <w:color w:val="auto"/>
                <w:kern w:val="0"/>
                <w:sz w:val="24"/>
              </w:rPr>
              <w:t>废砂</w:t>
            </w:r>
          </w:p>
        </w:tc>
        <w:tc>
          <w:tcPr>
            <w:tcW w:w="1575" w:type="dxa"/>
            <w:vAlign w:val="center"/>
          </w:tcPr>
          <w:p>
            <w:pPr>
              <w:keepNext w:val="0"/>
              <w:keepLines w:val="0"/>
              <w:pageBreakBefore w:val="0"/>
              <w:kinsoku/>
              <w:wordWrap/>
              <w:overflowPunct/>
              <w:autoSpaceDE/>
              <w:autoSpaceDN/>
              <w:bidi w:val="0"/>
              <w:spacing w:line="340" w:lineRule="exact"/>
              <w:jc w:val="center"/>
              <w:rPr>
                <w:snapToGrid w:val="0"/>
                <w:color w:val="auto"/>
                <w:kern w:val="21"/>
                <w:sz w:val="24"/>
              </w:rPr>
            </w:pPr>
            <w:r>
              <w:rPr>
                <w:rFonts w:hint="eastAsia"/>
                <w:snapToGrid w:val="0"/>
                <w:color w:val="auto"/>
                <w:kern w:val="21"/>
                <w:sz w:val="24"/>
              </w:rPr>
              <w:t>-</w:t>
            </w:r>
          </w:p>
        </w:tc>
        <w:tc>
          <w:tcPr>
            <w:tcW w:w="1135" w:type="dxa"/>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kern w:val="21"/>
                <w:sz w:val="24"/>
                <w:szCs w:val="24"/>
              </w:rPr>
            </w:pPr>
            <w:r>
              <w:rPr>
                <w:rFonts w:hint="eastAsia" w:ascii="Times New Roman" w:hAnsi="Times New Roman"/>
                <w:snapToGrid w:val="0"/>
                <w:color w:val="auto"/>
                <w:kern w:val="21"/>
                <w:sz w:val="24"/>
                <w:szCs w:val="24"/>
              </w:rPr>
              <w:t>-</w:t>
            </w:r>
          </w:p>
        </w:tc>
        <w:tc>
          <w:tcPr>
            <w:tcW w:w="1563" w:type="dxa"/>
            <w:vAlign w:val="center"/>
          </w:tcPr>
          <w:p>
            <w:pPr>
              <w:keepNext w:val="0"/>
              <w:keepLines w:val="0"/>
              <w:pageBreakBefore w:val="0"/>
              <w:kinsoku/>
              <w:wordWrap/>
              <w:overflowPunct/>
              <w:topLinePunct/>
              <w:autoSpaceDE/>
              <w:autoSpaceDN/>
              <w:bidi w:val="0"/>
              <w:adjustRightInd w:val="0"/>
              <w:snapToGrid w:val="0"/>
              <w:spacing w:line="340" w:lineRule="exact"/>
              <w:jc w:val="center"/>
              <w:rPr>
                <w:color w:val="auto"/>
                <w:sz w:val="24"/>
              </w:rPr>
            </w:pPr>
            <w:r>
              <w:rPr>
                <w:rFonts w:hint="eastAsia"/>
                <w:snapToGrid w:val="0"/>
                <w:color w:val="auto"/>
                <w:kern w:val="21"/>
                <w:sz w:val="24"/>
              </w:rPr>
              <w:t>-</w:t>
            </w:r>
          </w:p>
        </w:tc>
        <w:tc>
          <w:tcPr>
            <w:tcW w:w="1621" w:type="dxa"/>
            <w:vAlign w:val="center"/>
          </w:tcPr>
          <w:p>
            <w:pPr>
              <w:keepNext w:val="0"/>
              <w:keepLines w:val="0"/>
              <w:pageBreakBefore w:val="0"/>
              <w:kinsoku/>
              <w:wordWrap/>
              <w:overflowPunct/>
              <w:autoSpaceDE/>
              <w:autoSpaceDN/>
              <w:bidi w:val="0"/>
              <w:spacing w:line="340" w:lineRule="exact"/>
              <w:jc w:val="center"/>
              <w:rPr>
                <w:color w:val="auto"/>
                <w:sz w:val="24"/>
              </w:rPr>
            </w:pPr>
            <w:r>
              <w:rPr>
                <w:rFonts w:hint="eastAsia"/>
                <w:color w:val="auto"/>
                <w:sz w:val="24"/>
              </w:rPr>
              <w:t>187.1688</w:t>
            </w:r>
            <w:r>
              <w:rPr>
                <w:color w:val="auto"/>
                <w:sz w:val="24"/>
              </w:rPr>
              <w:t>t/a</w:t>
            </w:r>
          </w:p>
        </w:tc>
        <w:tc>
          <w:tcPr>
            <w:tcW w:w="1514" w:type="dxa"/>
            <w:vAlign w:val="center"/>
          </w:tcPr>
          <w:p>
            <w:pPr>
              <w:keepNext w:val="0"/>
              <w:keepLines w:val="0"/>
              <w:pageBreakBefore w:val="0"/>
              <w:kinsoku/>
              <w:wordWrap/>
              <w:overflowPunct/>
              <w:autoSpaceDE/>
              <w:autoSpaceDN/>
              <w:bidi w:val="0"/>
              <w:spacing w:line="340" w:lineRule="exact"/>
              <w:jc w:val="center"/>
              <w:rPr>
                <w:color w:val="auto"/>
                <w:sz w:val="24"/>
              </w:rPr>
            </w:pPr>
            <w:r>
              <w:rPr>
                <w:rFonts w:hint="eastAsia"/>
                <w:snapToGrid w:val="0"/>
                <w:color w:val="auto"/>
                <w:kern w:val="21"/>
                <w:sz w:val="24"/>
              </w:rPr>
              <w:t>-</w:t>
            </w:r>
          </w:p>
        </w:tc>
        <w:tc>
          <w:tcPr>
            <w:tcW w:w="1602" w:type="dxa"/>
            <w:vAlign w:val="center"/>
          </w:tcPr>
          <w:p>
            <w:pPr>
              <w:keepNext w:val="0"/>
              <w:keepLines w:val="0"/>
              <w:pageBreakBefore w:val="0"/>
              <w:kinsoku/>
              <w:wordWrap/>
              <w:overflowPunct/>
              <w:topLinePunct/>
              <w:autoSpaceDE/>
              <w:autoSpaceDN/>
              <w:bidi w:val="0"/>
              <w:adjustRightInd w:val="0"/>
              <w:snapToGrid w:val="0"/>
              <w:spacing w:line="340" w:lineRule="exact"/>
              <w:jc w:val="center"/>
              <w:rPr>
                <w:color w:val="auto"/>
                <w:sz w:val="24"/>
              </w:rPr>
            </w:pPr>
            <w:r>
              <w:rPr>
                <w:rFonts w:hint="eastAsia"/>
                <w:color w:val="auto"/>
                <w:sz w:val="24"/>
              </w:rPr>
              <w:t>187.1688</w:t>
            </w:r>
            <w:r>
              <w:rPr>
                <w:color w:val="auto"/>
                <w:sz w:val="24"/>
              </w:rPr>
              <w:t>t/a</w:t>
            </w:r>
          </w:p>
        </w:tc>
        <w:tc>
          <w:tcPr>
            <w:tcW w:w="1743" w:type="dxa"/>
            <w:vAlign w:val="center"/>
          </w:tcPr>
          <w:p>
            <w:pPr>
              <w:keepNext w:val="0"/>
              <w:keepLines w:val="0"/>
              <w:pageBreakBefore w:val="0"/>
              <w:kinsoku/>
              <w:wordWrap/>
              <w:overflowPunct/>
              <w:topLinePunct/>
              <w:autoSpaceDE/>
              <w:autoSpaceDN/>
              <w:bidi w:val="0"/>
              <w:adjustRightInd w:val="0"/>
              <w:snapToGrid w:val="0"/>
              <w:spacing w:line="340" w:lineRule="exact"/>
              <w:jc w:val="center"/>
              <w:rPr>
                <w:color w:val="auto"/>
                <w:kern w:val="0"/>
                <w:sz w:val="24"/>
              </w:rPr>
            </w:pPr>
            <w:r>
              <w:rPr>
                <w:rFonts w:hint="eastAsia"/>
                <w:color w:val="auto"/>
                <w:sz w:val="24"/>
              </w:rPr>
              <w:t>187.1688</w:t>
            </w:r>
            <w:r>
              <w:rPr>
                <w:color w:val="auto"/>
                <w:sz w:val="24"/>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51" w:type="dxa"/>
            <w:vMerge w:val="continue"/>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kern w:val="21"/>
                <w:sz w:val="24"/>
                <w:szCs w:val="24"/>
              </w:rPr>
            </w:pPr>
          </w:p>
        </w:tc>
        <w:tc>
          <w:tcPr>
            <w:tcW w:w="2175" w:type="dxa"/>
            <w:vAlign w:val="center"/>
          </w:tcPr>
          <w:p>
            <w:pPr>
              <w:keepNext w:val="0"/>
              <w:keepLines w:val="0"/>
              <w:pageBreakBefore w:val="0"/>
              <w:kinsoku/>
              <w:wordWrap/>
              <w:overflowPunct/>
              <w:topLinePunct/>
              <w:autoSpaceDE/>
              <w:autoSpaceDN/>
              <w:bidi w:val="0"/>
              <w:adjustRightInd w:val="0"/>
              <w:snapToGrid w:val="0"/>
              <w:spacing w:line="340" w:lineRule="exact"/>
              <w:jc w:val="center"/>
              <w:rPr>
                <w:color w:val="auto"/>
                <w:kern w:val="0"/>
                <w:sz w:val="24"/>
              </w:rPr>
            </w:pPr>
            <w:r>
              <w:rPr>
                <w:rFonts w:hint="eastAsia"/>
                <w:color w:val="auto"/>
                <w:kern w:val="0"/>
                <w:sz w:val="24"/>
              </w:rPr>
              <w:t>废布袋</w:t>
            </w:r>
          </w:p>
        </w:tc>
        <w:tc>
          <w:tcPr>
            <w:tcW w:w="1575" w:type="dxa"/>
            <w:vAlign w:val="center"/>
          </w:tcPr>
          <w:p>
            <w:pPr>
              <w:keepNext w:val="0"/>
              <w:keepLines w:val="0"/>
              <w:pageBreakBefore w:val="0"/>
              <w:kinsoku/>
              <w:wordWrap/>
              <w:overflowPunct/>
              <w:autoSpaceDE/>
              <w:autoSpaceDN/>
              <w:bidi w:val="0"/>
              <w:spacing w:line="340" w:lineRule="exact"/>
              <w:jc w:val="center"/>
              <w:rPr>
                <w:snapToGrid w:val="0"/>
                <w:color w:val="auto"/>
                <w:kern w:val="21"/>
                <w:sz w:val="24"/>
              </w:rPr>
            </w:pPr>
            <w:r>
              <w:rPr>
                <w:rFonts w:hint="eastAsia"/>
                <w:snapToGrid w:val="0"/>
                <w:color w:val="auto"/>
                <w:kern w:val="21"/>
                <w:sz w:val="24"/>
              </w:rPr>
              <w:t>-</w:t>
            </w:r>
          </w:p>
        </w:tc>
        <w:tc>
          <w:tcPr>
            <w:tcW w:w="1135" w:type="dxa"/>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kern w:val="21"/>
                <w:sz w:val="24"/>
                <w:szCs w:val="24"/>
              </w:rPr>
            </w:pPr>
            <w:r>
              <w:rPr>
                <w:rFonts w:hint="eastAsia" w:ascii="Times New Roman" w:hAnsi="Times New Roman"/>
                <w:snapToGrid w:val="0"/>
                <w:color w:val="auto"/>
                <w:kern w:val="21"/>
                <w:sz w:val="24"/>
                <w:szCs w:val="24"/>
              </w:rPr>
              <w:t>-</w:t>
            </w:r>
          </w:p>
        </w:tc>
        <w:tc>
          <w:tcPr>
            <w:tcW w:w="1563" w:type="dxa"/>
            <w:vAlign w:val="center"/>
          </w:tcPr>
          <w:p>
            <w:pPr>
              <w:keepNext w:val="0"/>
              <w:keepLines w:val="0"/>
              <w:pageBreakBefore w:val="0"/>
              <w:kinsoku/>
              <w:wordWrap/>
              <w:overflowPunct/>
              <w:topLinePunct/>
              <w:autoSpaceDE/>
              <w:autoSpaceDN/>
              <w:bidi w:val="0"/>
              <w:adjustRightInd w:val="0"/>
              <w:snapToGrid w:val="0"/>
              <w:spacing w:line="340" w:lineRule="exact"/>
              <w:jc w:val="center"/>
              <w:rPr>
                <w:color w:val="auto"/>
                <w:sz w:val="24"/>
              </w:rPr>
            </w:pPr>
            <w:r>
              <w:rPr>
                <w:rFonts w:hint="eastAsia"/>
                <w:snapToGrid w:val="0"/>
                <w:color w:val="auto"/>
                <w:kern w:val="21"/>
                <w:sz w:val="24"/>
              </w:rPr>
              <w:t>-</w:t>
            </w:r>
          </w:p>
        </w:tc>
        <w:tc>
          <w:tcPr>
            <w:tcW w:w="1621" w:type="dxa"/>
            <w:vAlign w:val="center"/>
          </w:tcPr>
          <w:p>
            <w:pPr>
              <w:keepNext w:val="0"/>
              <w:keepLines w:val="0"/>
              <w:pageBreakBefore w:val="0"/>
              <w:kinsoku/>
              <w:wordWrap/>
              <w:overflowPunct/>
              <w:autoSpaceDE/>
              <w:autoSpaceDN/>
              <w:bidi w:val="0"/>
              <w:spacing w:line="340" w:lineRule="exact"/>
              <w:jc w:val="center"/>
              <w:rPr>
                <w:color w:val="auto"/>
                <w:sz w:val="24"/>
              </w:rPr>
            </w:pPr>
            <w:r>
              <w:rPr>
                <w:rFonts w:hint="eastAsia"/>
                <w:color w:val="auto"/>
                <w:sz w:val="24"/>
              </w:rPr>
              <w:t>0.05</w:t>
            </w:r>
            <w:r>
              <w:rPr>
                <w:color w:val="auto"/>
                <w:sz w:val="24"/>
              </w:rPr>
              <w:t>t/a</w:t>
            </w:r>
          </w:p>
        </w:tc>
        <w:tc>
          <w:tcPr>
            <w:tcW w:w="1514" w:type="dxa"/>
            <w:vAlign w:val="center"/>
          </w:tcPr>
          <w:p>
            <w:pPr>
              <w:keepNext w:val="0"/>
              <w:keepLines w:val="0"/>
              <w:pageBreakBefore w:val="0"/>
              <w:kinsoku/>
              <w:wordWrap/>
              <w:overflowPunct/>
              <w:autoSpaceDE/>
              <w:autoSpaceDN/>
              <w:bidi w:val="0"/>
              <w:spacing w:line="340" w:lineRule="exact"/>
              <w:jc w:val="center"/>
              <w:rPr>
                <w:color w:val="auto"/>
                <w:sz w:val="24"/>
              </w:rPr>
            </w:pPr>
            <w:r>
              <w:rPr>
                <w:rFonts w:hint="eastAsia"/>
                <w:snapToGrid w:val="0"/>
                <w:color w:val="auto"/>
                <w:kern w:val="21"/>
                <w:sz w:val="24"/>
              </w:rPr>
              <w:t>-</w:t>
            </w:r>
          </w:p>
        </w:tc>
        <w:tc>
          <w:tcPr>
            <w:tcW w:w="1602" w:type="dxa"/>
            <w:vAlign w:val="center"/>
          </w:tcPr>
          <w:p>
            <w:pPr>
              <w:keepNext w:val="0"/>
              <w:keepLines w:val="0"/>
              <w:pageBreakBefore w:val="0"/>
              <w:kinsoku/>
              <w:wordWrap/>
              <w:overflowPunct/>
              <w:topLinePunct/>
              <w:autoSpaceDE/>
              <w:autoSpaceDN/>
              <w:bidi w:val="0"/>
              <w:adjustRightInd w:val="0"/>
              <w:snapToGrid w:val="0"/>
              <w:spacing w:line="340" w:lineRule="exact"/>
              <w:jc w:val="center"/>
              <w:rPr>
                <w:color w:val="auto"/>
                <w:sz w:val="24"/>
              </w:rPr>
            </w:pPr>
            <w:r>
              <w:rPr>
                <w:rFonts w:hint="eastAsia"/>
                <w:color w:val="auto"/>
                <w:sz w:val="24"/>
              </w:rPr>
              <w:t>0.05</w:t>
            </w:r>
            <w:r>
              <w:rPr>
                <w:color w:val="auto"/>
                <w:sz w:val="24"/>
              </w:rPr>
              <w:t>t/a</w:t>
            </w:r>
          </w:p>
        </w:tc>
        <w:tc>
          <w:tcPr>
            <w:tcW w:w="1743" w:type="dxa"/>
            <w:vAlign w:val="center"/>
          </w:tcPr>
          <w:p>
            <w:pPr>
              <w:keepNext w:val="0"/>
              <w:keepLines w:val="0"/>
              <w:pageBreakBefore w:val="0"/>
              <w:kinsoku/>
              <w:wordWrap/>
              <w:overflowPunct/>
              <w:topLinePunct/>
              <w:autoSpaceDE/>
              <w:autoSpaceDN/>
              <w:bidi w:val="0"/>
              <w:adjustRightInd w:val="0"/>
              <w:snapToGrid w:val="0"/>
              <w:spacing w:line="340" w:lineRule="exact"/>
              <w:jc w:val="center"/>
              <w:rPr>
                <w:color w:val="auto"/>
                <w:sz w:val="24"/>
              </w:rPr>
            </w:pPr>
            <w:r>
              <w:rPr>
                <w:rFonts w:hint="eastAsia"/>
                <w:color w:val="auto"/>
                <w:sz w:val="24"/>
              </w:rPr>
              <w:t>0.05</w:t>
            </w:r>
            <w:r>
              <w:rPr>
                <w:color w:val="auto"/>
                <w:sz w:val="24"/>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1" w:type="dxa"/>
            <w:vMerge w:val="continue"/>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kern w:val="21"/>
                <w:sz w:val="24"/>
                <w:szCs w:val="24"/>
              </w:rPr>
            </w:pPr>
          </w:p>
        </w:tc>
        <w:tc>
          <w:tcPr>
            <w:tcW w:w="2175" w:type="dxa"/>
            <w:vAlign w:val="center"/>
          </w:tcPr>
          <w:p>
            <w:pPr>
              <w:keepNext w:val="0"/>
              <w:keepLines w:val="0"/>
              <w:pageBreakBefore w:val="0"/>
              <w:kinsoku/>
              <w:wordWrap/>
              <w:overflowPunct/>
              <w:topLinePunct/>
              <w:autoSpaceDE/>
              <w:autoSpaceDN/>
              <w:bidi w:val="0"/>
              <w:adjustRightInd w:val="0"/>
              <w:snapToGrid w:val="0"/>
              <w:spacing w:line="340" w:lineRule="exact"/>
              <w:jc w:val="center"/>
              <w:rPr>
                <w:color w:val="auto"/>
                <w:kern w:val="0"/>
                <w:sz w:val="24"/>
              </w:rPr>
            </w:pPr>
            <w:r>
              <w:rPr>
                <w:rFonts w:hint="eastAsia"/>
                <w:color w:val="auto"/>
                <w:kern w:val="0"/>
                <w:sz w:val="24"/>
              </w:rPr>
              <w:t>废矿物油</w:t>
            </w:r>
          </w:p>
        </w:tc>
        <w:tc>
          <w:tcPr>
            <w:tcW w:w="1575" w:type="dxa"/>
            <w:vAlign w:val="center"/>
          </w:tcPr>
          <w:p>
            <w:pPr>
              <w:keepNext w:val="0"/>
              <w:keepLines w:val="0"/>
              <w:pageBreakBefore w:val="0"/>
              <w:kinsoku/>
              <w:wordWrap/>
              <w:overflowPunct/>
              <w:autoSpaceDE/>
              <w:autoSpaceDN/>
              <w:bidi w:val="0"/>
              <w:spacing w:line="340" w:lineRule="exact"/>
              <w:jc w:val="center"/>
              <w:rPr>
                <w:snapToGrid w:val="0"/>
                <w:color w:val="auto"/>
                <w:kern w:val="21"/>
                <w:sz w:val="24"/>
              </w:rPr>
            </w:pPr>
            <w:r>
              <w:rPr>
                <w:rFonts w:hint="eastAsia"/>
                <w:snapToGrid w:val="0"/>
                <w:color w:val="auto"/>
                <w:kern w:val="21"/>
                <w:sz w:val="24"/>
              </w:rPr>
              <w:t>-</w:t>
            </w:r>
          </w:p>
        </w:tc>
        <w:tc>
          <w:tcPr>
            <w:tcW w:w="1135" w:type="dxa"/>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kern w:val="21"/>
                <w:sz w:val="24"/>
                <w:szCs w:val="24"/>
              </w:rPr>
            </w:pPr>
            <w:r>
              <w:rPr>
                <w:rFonts w:hint="eastAsia" w:ascii="Times New Roman" w:hAnsi="Times New Roman"/>
                <w:snapToGrid w:val="0"/>
                <w:color w:val="auto"/>
                <w:kern w:val="21"/>
                <w:sz w:val="24"/>
                <w:szCs w:val="24"/>
              </w:rPr>
              <w:t>-</w:t>
            </w:r>
          </w:p>
        </w:tc>
        <w:tc>
          <w:tcPr>
            <w:tcW w:w="1563" w:type="dxa"/>
            <w:vAlign w:val="center"/>
          </w:tcPr>
          <w:p>
            <w:pPr>
              <w:keepNext w:val="0"/>
              <w:keepLines w:val="0"/>
              <w:pageBreakBefore w:val="0"/>
              <w:kinsoku/>
              <w:wordWrap/>
              <w:overflowPunct/>
              <w:topLinePunct/>
              <w:autoSpaceDE/>
              <w:autoSpaceDN/>
              <w:bidi w:val="0"/>
              <w:adjustRightInd w:val="0"/>
              <w:snapToGrid w:val="0"/>
              <w:spacing w:line="340" w:lineRule="exact"/>
              <w:jc w:val="center"/>
              <w:rPr>
                <w:snapToGrid w:val="0"/>
                <w:color w:val="auto"/>
                <w:kern w:val="21"/>
                <w:sz w:val="24"/>
              </w:rPr>
            </w:pPr>
            <w:r>
              <w:rPr>
                <w:rFonts w:hint="eastAsia"/>
                <w:snapToGrid w:val="0"/>
                <w:color w:val="auto"/>
                <w:kern w:val="21"/>
                <w:sz w:val="24"/>
              </w:rPr>
              <w:t>-</w:t>
            </w:r>
          </w:p>
        </w:tc>
        <w:tc>
          <w:tcPr>
            <w:tcW w:w="1621" w:type="dxa"/>
            <w:vAlign w:val="center"/>
          </w:tcPr>
          <w:p>
            <w:pPr>
              <w:keepNext w:val="0"/>
              <w:keepLines w:val="0"/>
              <w:pageBreakBefore w:val="0"/>
              <w:kinsoku/>
              <w:wordWrap/>
              <w:overflowPunct/>
              <w:autoSpaceDE/>
              <w:autoSpaceDN/>
              <w:bidi w:val="0"/>
              <w:spacing w:line="340" w:lineRule="exact"/>
              <w:jc w:val="center"/>
              <w:rPr>
                <w:color w:val="auto"/>
                <w:sz w:val="24"/>
              </w:rPr>
            </w:pPr>
            <w:r>
              <w:rPr>
                <w:rFonts w:hint="eastAsia"/>
                <w:color w:val="auto"/>
                <w:sz w:val="24"/>
              </w:rPr>
              <w:t>0.1</w:t>
            </w:r>
            <w:r>
              <w:rPr>
                <w:color w:val="auto"/>
                <w:sz w:val="24"/>
              </w:rPr>
              <w:t>t/a</w:t>
            </w:r>
          </w:p>
        </w:tc>
        <w:tc>
          <w:tcPr>
            <w:tcW w:w="1514" w:type="dxa"/>
            <w:vAlign w:val="center"/>
          </w:tcPr>
          <w:p>
            <w:pPr>
              <w:keepNext w:val="0"/>
              <w:keepLines w:val="0"/>
              <w:pageBreakBefore w:val="0"/>
              <w:kinsoku/>
              <w:wordWrap/>
              <w:overflowPunct/>
              <w:autoSpaceDE/>
              <w:autoSpaceDN/>
              <w:bidi w:val="0"/>
              <w:spacing w:line="340" w:lineRule="exact"/>
              <w:jc w:val="center"/>
              <w:rPr>
                <w:color w:val="auto"/>
                <w:sz w:val="24"/>
              </w:rPr>
            </w:pPr>
            <w:r>
              <w:rPr>
                <w:rFonts w:hint="eastAsia"/>
                <w:snapToGrid w:val="0"/>
                <w:color w:val="auto"/>
                <w:kern w:val="21"/>
                <w:sz w:val="24"/>
              </w:rPr>
              <w:t>-</w:t>
            </w:r>
          </w:p>
        </w:tc>
        <w:tc>
          <w:tcPr>
            <w:tcW w:w="1602" w:type="dxa"/>
            <w:vAlign w:val="center"/>
          </w:tcPr>
          <w:p>
            <w:pPr>
              <w:keepNext w:val="0"/>
              <w:keepLines w:val="0"/>
              <w:pageBreakBefore w:val="0"/>
              <w:kinsoku/>
              <w:wordWrap/>
              <w:overflowPunct/>
              <w:autoSpaceDE/>
              <w:autoSpaceDN/>
              <w:bidi w:val="0"/>
              <w:spacing w:line="340" w:lineRule="exact"/>
              <w:jc w:val="center"/>
              <w:rPr>
                <w:color w:val="auto"/>
                <w:sz w:val="24"/>
              </w:rPr>
            </w:pPr>
            <w:r>
              <w:rPr>
                <w:rFonts w:hint="eastAsia"/>
                <w:color w:val="auto"/>
                <w:sz w:val="24"/>
              </w:rPr>
              <w:t>0.1</w:t>
            </w:r>
            <w:r>
              <w:rPr>
                <w:color w:val="auto"/>
                <w:sz w:val="24"/>
              </w:rPr>
              <w:t>t/a</w:t>
            </w:r>
          </w:p>
        </w:tc>
        <w:tc>
          <w:tcPr>
            <w:tcW w:w="1743" w:type="dxa"/>
            <w:vAlign w:val="center"/>
          </w:tcPr>
          <w:p>
            <w:pPr>
              <w:keepNext w:val="0"/>
              <w:keepLines w:val="0"/>
              <w:pageBreakBefore w:val="0"/>
              <w:kinsoku/>
              <w:wordWrap/>
              <w:overflowPunct/>
              <w:autoSpaceDE/>
              <w:autoSpaceDN/>
              <w:bidi w:val="0"/>
              <w:spacing w:line="340" w:lineRule="exact"/>
              <w:jc w:val="center"/>
              <w:rPr>
                <w:color w:val="auto"/>
                <w:sz w:val="24"/>
              </w:rPr>
            </w:pPr>
            <w:r>
              <w:rPr>
                <w:rFonts w:hint="eastAsia"/>
                <w:color w:val="auto"/>
                <w:sz w:val="24"/>
              </w:rPr>
              <w:t>0.1</w:t>
            </w:r>
            <w:r>
              <w:rPr>
                <w:color w:val="auto"/>
                <w:sz w:val="24"/>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51" w:type="dxa"/>
            <w:vMerge w:val="continue"/>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kern w:val="21"/>
                <w:sz w:val="24"/>
                <w:szCs w:val="24"/>
              </w:rPr>
            </w:pPr>
          </w:p>
        </w:tc>
        <w:tc>
          <w:tcPr>
            <w:tcW w:w="2175" w:type="dxa"/>
            <w:vAlign w:val="center"/>
          </w:tcPr>
          <w:p>
            <w:pPr>
              <w:keepNext w:val="0"/>
              <w:keepLines w:val="0"/>
              <w:pageBreakBefore w:val="0"/>
              <w:kinsoku/>
              <w:wordWrap/>
              <w:overflowPunct/>
              <w:topLinePunct/>
              <w:autoSpaceDE/>
              <w:autoSpaceDN/>
              <w:bidi w:val="0"/>
              <w:adjustRightInd w:val="0"/>
              <w:snapToGrid w:val="0"/>
              <w:spacing w:line="340" w:lineRule="exact"/>
              <w:jc w:val="center"/>
              <w:rPr>
                <w:color w:val="auto"/>
                <w:kern w:val="0"/>
                <w:sz w:val="24"/>
              </w:rPr>
            </w:pPr>
            <w:r>
              <w:rPr>
                <w:rFonts w:hint="eastAsia"/>
                <w:color w:val="auto"/>
                <w:kern w:val="0"/>
                <w:sz w:val="24"/>
              </w:rPr>
              <w:t>废油桶</w:t>
            </w:r>
          </w:p>
        </w:tc>
        <w:tc>
          <w:tcPr>
            <w:tcW w:w="1575" w:type="dxa"/>
            <w:vAlign w:val="center"/>
          </w:tcPr>
          <w:p>
            <w:pPr>
              <w:keepNext w:val="0"/>
              <w:keepLines w:val="0"/>
              <w:pageBreakBefore w:val="0"/>
              <w:kinsoku/>
              <w:wordWrap/>
              <w:overflowPunct/>
              <w:autoSpaceDE/>
              <w:autoSpaceDN/>
              <w:bidi w:val="0"/>
              <w:spacing w:line="340" w:lineRule="exact"/>
              <w:jc w:val="center"/>
              <w:rPr>
                <w:snapToGrid w:val="0"/>
                <w:color w:val="auto"/>
                <w:kern w:val="21"/>
                <w:sz w:val="24"/>
              </w:rPr>
            </w:pPr>
            <w:r>
              <w:rPr>
                <w:rFonts w:hint="eastAsia"/>
                <w:snapToGrid w:val="0"/>
                <w:color w:val="auto"/>
                <w:kern w:val="21"/>
                <w:sz w:val="24"/>
              </w:rPr>
              <w:t>-</w:t>
            </w:r>
          </w:p>
        </w:tc>
        <w:tc>
          <w:tcPr>
            <w:tcW w:w="1135" w:type="dxa"/>
            <w:vAlign w:val="center"/>
          </w:tcPr>
          <w:p>
            <w:pPr>
              <w:pStyle w:val="58"/>
              <w:keepNext w:val="0"/>
              <w:keepLines w:val="0"/>
              <w:pageBreakBefore w:val="0"/>
              <w:kinsoku/>
              <w:wordWrap/>
              <w:overflowPunct/>
              <w:autoSpaceDE/>
              <w:autoSpaceDN/>
              <w:bidi w:val="0"/>
              <w:spacing w:beforeLines="0" w:afterLines="0" w:line="340" w:lineRule="exact"/>
              <w:ind w:firstLine="0"/>
              <w:rPr>
                <w:rFonts w:ascii="Times New Roman" w:hAnsi="Times New Roman"/>
                <w:snapToGrid w:val="0"/>
                <w:color w:val="auto"/>
                <w:kern w:val="21"/>
                <w:sz w:val="24"/>
                <w:szCs w:val="24"/>
              </w:rPr>
            </w:pPr>
            <w:r>
              <w:rPr>
                <w:rFonts w:hint="eastAsia" w:ascii="Times New Roman" w:hAnsi="Times New Roman"/>
                <w:snapToGrid w:val="0"/>
                <w:color w:val="auto"/>
                <w:kern w:val="21"/>
                <w:sz w:val="24"/>
                <w:szCs w:val="24"/>
              </w:rPr>
              <w:t>-</w:t>
            </w:r>
          </w:p>
        </w:tc>
        <w:tc>
          <w:tcPr>
            <w:tcW w:w="1563" w:type="dxa"/>
            <w:vAlign w:val="center"/>
          </w:tcPr>
          <w:p>
            <w:pPr>
              <w:keepNext w:val="0"/>
              <w:keepLines w:val="0"/>
              <w:pageBreakBefore w:val="0"/>
              <w:kinsoku/>
              <w:wordWrap/>
              <w:overflowPunct/>
              <w:topLinePunct/>
              <w:autoSpaceDE/>
              <w:autoSpaceDN/>
              <w:bidi w:val="0"/>
              <w:adjustRightInd w:val="0"/>
              <w:snapToGrid w:val="0"/>
              <w:spacing w:line="340" w:lineRule="exact"/>
              <w:jc w:val="center"/>
              <w:rPr>
                <w:color w:val="auto"/>
                <w:kern w:val="0"/>
                <w:sz w:val="24"/>
              </w:rPr>
            </w:pPr>
            <w:r>
              <w:rPr>
                <w:rFonts w:hint="eastAsia"/>
                <w:snapToGrid w:val="0"/>
                <w:color w:val="auto"/>
                <w:kern w:val="21"/>
                <w:sz w:val="24"/>
              </w:rPr>
              <w:t>-</w:t>
            </w:r>
          </w:p>
        </w:tc>
        <w:tc>
          <w:tcPr>
            <w:tcW w:w="1621" w:type="dxa"/>
            <w:vAlign w:val="center"/>
          </w:tcPr>
          <w:p>
            <w:pPr>
              <w:keepNext w:val="0"/>
              <w:keepLines w:val="0"/>
              <w:pageBreakBefore w:val="0"/>
              <w:kinsoku/>
              <w:wordWrap/>
              <w:overflowPunct/>
              <w:autoSpaceDE/>
              <w:autoSpaceDN/>
              <w:bidi w:val="0"/>
              <w:spacing w:line="340" w:lineRule="exact"/>
              <w:jc w:val="center"/>
              <w:rPr>
                <w:color w:val="auto"/>
                <w:sz w:val="24"/>
              </w:rPr>
            </w:pPr>
            <w:r>
              <w:rPr>
                <w:rFonts w:hint="eastAsia"/>
                <w:color w:val="auto"/>
                <w:sz w:val="24"/>
              </w:rPr>
              <w:t>0.06</w:t>
            </w:r>
            <w:r>
              <w:rPr>
                <w:color w:val="auto"/>
                <w:sz w:val="24"/>
              </w:rPr>
              <w:t>t/a</w:t>
            </w:r>
          </w:p>
        </w:tc>
        <w:tc>
          <w:tcPr>
            <w:tcW w:w="1514" w:type="dxa"/>
            <w:vAlign w:val="center"/>
          </w:tcPr>
          <w:p>
            <w:pPr>
              <w:keepNext w:val="0"/>
              <w:keepLines w:val="0"/>
              <w:pageBreakBefore w:val="0"/>
              <w:kinsoku/>
              <w:wordWrap/>
              <w:overflowPunct/>
              <w:autoSpaceDE/>
              <w:autoSpaceDN/>
              <w:bidi w:val="0"/>
              <w:spacing w:line="340" w:lineRule="exact"/>
              <w:jc w:val="center"/>
              <w:rPr>
                <w:color w:val="auto"/>
                <w:sz w:val="24"/>
              </w:rPr>
            </w:pPr>
            <w:r>
              <w:rPr>
                <w:rFonts w:hint="eastAsia"/>
                <w:snapToGrid w:val="0"/>
                <w:color w:val="auto"/>
                <w:kern w:val="21"/>
                <w:sz w:val="24"/>
              </w:rPr>
              <w:t>-</w:t>
            </w:r>
          </w:p>
        </w:tc>
        <w:tc>
          <w:tcPr>
            <w:tcW w:w="1602" w:type="dxa"/>
            <w:vAlign w:val="center"/>
          </w:tcPr>
          <w:p>
            <w:pPr>
              <w:keepNext w:val="0"/>
              <w:keepLines w:val="0"/>
              <w:pageBreakBefore w:val="0"/>
              <w:kinsoku/>
              <w:wordWrap/>
              <w:overflowPunct/>
              <w:autoSpaceDE/>
              <w:autoSpaceDN/>
              <w:bidi w:val="0"/>
              <w:spacing w:line="340" w:lineRule="exact"/>
              <w:jc w:val="center"/>
              <w:rPr>
                <w:color w:val="auto"/>
                <w:sz w:val="24"/>
              </w:rPr>
            </w:pPr>
            <w:r>
              <w:rPr>
                <w:rFonts w:hint="eastAsia"/>
                <w:color w:val="auto"/>
                <w:sz w:val="24"/>
              </w:rPr>
              <w:t>0.06</w:t>
            </w:r>
            <w:r>
              <w:rPr>
                <w:color w:val="auto"/>
                <w:sz w:val="24"/>
              </w:rPr>
              <w:t>t/a</w:t>
            </w:r>
          </w:p>
        </w:tc>
        <w:tc>
          <w:tcPr>
            <w:tcW w:w="1743" w:type="dxa"/>
            <w:vAlign w:val="center"/>
          </w:tcPr>
          <w:p>
            <w:pPr>
              <w:keepNext w:val="0"/>
              <w:keepLines w:val="0"/>
              <w:pageBreakBefore w:val="0"/>
              <w:kinsoku/>
              <w:wordWrap/>
              <w:overflowPunct/>
              <w:autoSpaceDE/>
              <w:autoSpaceDN/>
              <w:bidi w:val="0"/>
              <w:spacing w:line="340" w:lineRule="exact"/>
              <w:jc w:val="center"/>
              <w:rPr>
                <w:color w:val="auto"/>
                <w:sz w:val="24"/>
              </w:rPr>
            </w:pPr>
            <w:r>
              <w:rPr>
                <w:rFonts w:hint="eastAsia"/>
                <w:color w:val="auto"/>
                <w:sz w:val="24"/>
              </w:rPr>
              <w:t>0.06</w:t>
            </w:r>
            <w:r>
              <w:rPr>
                <w:color w:val="auto"/>
                <w:sz w:val="24"/>
              </w:rPr>
              <w:t>t/a</w:t>
            </w:r>
          </w:p>
        </w:tc>
      </w:tr>
    </w:tbl>
    <w:p>
      <w:pPr>
        <w:pStyle w:val="58"/>
        <w:spacing w:before="192" w:beforeLines="80" w:after="24"/>
        <w:jc w:val="left"/>
        <w:outlineLvl w:val="0"/>
        <w:rPr>
          <w:rFonts w:ascii="Times New Roman" w:hAnsi="Times New Roman"/>
        </w:rPr>
        <w:sectPr>
          <w:footerReference r:id="rId5" w:type="default"/>
          <w:pgSz w:w="16838" w:h="11906" w:orient="landscape"/>
          <w:pgMar w:top="1701" w:right="1531" w:bottom="1701" w:left="1531" w:header="851" w:footer="851" w:gutter="0"/>
          <w:cols w:space="720" w:num="1"/>
          <w:docGrid w:linePitch="312" w:charSpace="0"/>
        </w:sectPr>
      </w:pPr>
      <w:bookmarkStart w:id="30" w:name="_Toc18994"/>
      <w:bookmarkStart w:id="31" w:name="_Toc13077"/>
      <w:r>
        <w:rPr>
          <w:rFonts w:ascii="Times New Roman" w:hAnsi="Times New Roman"/>
          <w:snapToGrid w:val="0"/>
          <w:color w:val="auto"/>
          <w:kern w:val="21"/>
          <w:sz w:val="21"/>
          <w:szCs w:val="21"/>
        </w:rPr>
        <w:t>注：</w:t>
      </w:r>
      <w:r>
        <w:rPr>
          <w:rFonts w:ascii="Times New Roman" w:hAnsi="Times New Roman"/>
          <w:snapToGrid w:val="0"/>
          <w:color w:val="auto"/>
          <w:spacing w:val="-16"/>
          <w:kern w:val="21"/>
          <w:sz w:val="21"/>
          <w:szCs w:val="21"/>
        </w:rPr>
        <w:fldChar w:fldCharType="begin"/>
      </w:r>
      <w:r>
        <w:rPr>
          <w:rFonts w:ascii="Times New Roman" w:hAnsi="Times New Roman"/>
          <w:snapToGrid w:val="0"/>
          <w:color w:val="auto"/>
          <w:spacing w:val="-16"/>
          <w:kern w:val="21"/>
          <w:sz w:val="21"/>
          <w:szCs w:val="21"/>
        </w:rPr>
        <w:instrText xml:space="preserve"> = 6 \* GB3 \* MERGEFORMAT </w:instrText>
      </w:r>
      <w:r>
        <w:rPr>
          <w:rFonts w:ascii="Times New Roman" w:hAnsi="Times New Roman"/>
          <w:snapToGrid w:val="0"/>
          <w:color w:val="auto"/>
          <w:spacing w:val="-16"/>
          <w:kern w:val="21"/>
          <w:sz w:val="21"/>
          <w:szCs w:val="21"/>
        </w:rPr>
        <w:fldChar w:fldCharType="separate"/>
      </w:r>
      <w:r>
        <w:rPr>
          <w:rFonts w:ascii="Times New Roman" w:hAnsi="Times New Roman"/>
          <w:color w:val="auto"/>
          <w:sz w:val="21"/>
          <w:szCs w:val="21"/>
        </w:rPr>
        <w:t>⑥</w:t>
      </w:r>
      <w:r>
        <w:rPr>
          <w:rFonts w:ascii="Times New Roman" w:hAnsi="Times New Roman"/>
          <w:snapToGrid w:val="0"/>
          <w:color w:val="auto"/>
          <w:spacing w:val="-16"/>
          <w:kern w:val="21"/>
          <w:sz w:val="21"/>
          <w:szCs w:val="21"/>
        </w:rPr>
        <w:fldChar w:fldCharType="end"/>
      </w:r>
      <w:r>
        <w:rPr>
          <w:rFonts w:ascii="Times New Roman" w:hAnsi="Times New Roman"/>
          <w:snapToGrid w:val="0"/>
          <w:color w:val="auto"/>
          <w:spacing w:val="-16"/>
          <w:kern w:val="21"/>
          <w:sz w:val="21"/>
          <w:szCs w:val="21"/>
        </w:rPr>
        <w:t>=</w:t>
      </w:r>
      <w:r>
        <w:rPr>
          <w:rFonts w:ascii="Times New Roman" w:hAnsi="Times New Roman"/>
          <w:snapToGrid w:val="0"/>
          <w:color w:val="auto"/>
          <w:spacing w:val="-6"/>
          <w:kern w:val="21"/>
          <w:sz w:val="21"/>
          <w:szCs w:val="21"/>
        </w:rPr>
        <w:fldChar w:fldCharType="begin"/>
      </w:r>
      <w:r>
        <w:rPr>
          <w:rFonts w:ascii="Times New Roman" w:hAnsi="Times New Roman"/>
          <w:snapToGrid w:val="0"/>
          <w:color w:val="auto"/>
          <w:spacing w:val="-6"/>
          <w:kern w:val="21"/>
          <w:sz w:val="21"/>
          <w:szCs w:val="21"/>
        </w:rPr>
        <w:instrText xml:space="preserve"> = 1 \* GB3 \* MERGEFORMAT </w:instrText>
      </w:r>
      <w:r>
        <w:rPr>
          <w:rFonts w:ascii="Times New Roman" w:hAnsi="Times New Roman"/>
          <w:snapToGrid w:val="0"/>
          <w:color w:val="auto"/>
          <w:spacing w:val="-6"/>
          <w:kern w:val="21"/>
          <w:sz w:val="21"/>
          <w:szCs w:val="21"/>
        </w:rPr>
        <w:fldChar w:fldCharType="separate"/>
      </w:r>
      <w:r>
        <w:rPr>
          <w:rFonts w:ascii="Times New Roman" w:hAnsi="Times New Roman"/>
          <w:color w:val="auto"/>
          <w:sz w:val="21"/>
          <w:szCs w:val="21"/>
        </w:rPr>
        <w:t>①</w:t>
      </w:r>
      <w:r>
        <w:rPr>
          <w:rFonts w:ascii="Times New Roman" w:hAnsi="Times New Roman"/>
          <w:snapToGrid w:val="0"/>
          <w:color w:val="auto"/>
          <w:spacing w:val="-6"/>
          <w:kern w:val="21"/>
          <w:sz w:val="21"/>
          <w:szCs w:val="21"/>
        </w:rPr>
        <w:fldChar w:fldCharType="end"/>
      </w:r>
      <w:r>
        <w:rPr>
          <w:rFonts w:ascii="Times New Roman" w:hAnsi="Times New Roman"/>
          <w:snapToGrid w:val="0"/>
          <w:color w:val="auto"/>
          <w:spacing w:val="-6"/>
          <w:kern w:val="21"/>
          <w:sz w:val="21"/>
          <w:szCs w:val="21"/>
        </w:rPr>
        <w:t>+</w:t>
      </w:r>
      <w:r>
        <w:rPr>
          <w:rFonts w:ascii="Times New Roman" w:hAnsi="Times New Roman"/>
          <w:snapToGrid w:val="0"/>
          <w:color w:val="auto"/>
          <w:spacing w:val="-6"/>
          <w:kern w:val="21"/>
          <w:sz w:val="21"/>
          <w:szCs w:val="21"/>
        </w:rPr>
        <w:fldChar w:fldCharType="begin"/>
      </w:r>
      <w:r>
        <w:rPr>
          <w:rFonts w:ascii="Times New Roman" w:hAnsi="Times New Roman"/>
          <w:snapToGrid w:val="0"/>
          <w:color w:val="auto"/>
          <w:spacing w:val="-6"/>
          <w:kern w:val="21"/>
          <w:sz w:val="21"/>
          <w:szCs w:val="21"/>
        </w:rPr>
        <w:instrText xml:space="preserve"> = 3 \* GB3 \* MERGEFORMAT </w:instrText>
      </w:r>
      <w:r>
        <w:rPr>
          <w:rFonts w:ascii="Times New Roman" w:hAnsi="Times New Roman"/>
          <w:snapToGrid w:val="0"/>
          <w:color w:val="auto"/>
          <w:spacing w:val="-6"/>
          <w:kern w:val="21"/>
          <w:sz w:val="21"/>
          <w:szCs w:val="21"/>
        </w:rPr>
        <w:fldChar w:fldCharType="separate"/>
      </w:r>
      <w:r>
        <w:rPr>
          <w:rFonts w:ascii="Times New Roman" w:hAnsi="Times New Roman"/>
          <w:color w:val="auto"/>
          <w:sz w:val="21"/>
          <w:szCs w:val="21"/>
        </w:rPr>
        <w:t>③</w:t>
      </w:r>
      <w:r>
        <w:rPr>
          <w:rFonts w:ascii="Times New Roman" w:hAnsi="Times New Roman"/>
          <w:snapToGrid w:val="0"/>
          <w:color w:val="auto"/>
          <w:spacing w:val="-6"/>
          <w:kern w:val="21"/>
          <w:sz w:val="21"/>
          <w:szCs w:val="21"/>
        </w:rPr>
        <w:fldChar w:fldCharType="end"/>
      </w:r>
      <w:r>
        <w:rPr>
          <w:rFonts w:ascii="Times New Roman" w:hAnsi="Times New Roman"/>
          <w:snapToGrid w:val="0"/>
          <w:color w:val="auto"/>
          <w:spacing w:val="-6"/>
          <w:kern w:val="21"/>
          <w:sz w:val="21"/>
          <w:szCs w:val="21"/>
        </w:rPr>
        <w:t>+</w:t>
      </w:r>
      <w:r>
        <w:rPr>
          <w:rFonts w:ascii="Times New Roman" w:hAnsi="Times New Roman"/>
          <w:snapToGrid w:val="0"/>
          <w:color w:val="auto"/>
          <w:spacing w:val="-6"/>
          <w:kern w:val="21"/>
          <w:sz w:val="21"/>
          <w:szCs w:val="21"/>
        </w:rPr>
        <w:fldChar w:fldCharType="begin"/>
      </w:r>
      <w:r>
        <w:rPr>
          <w:rFonts w:ascii="Times New Roman" w:hAnsi="Times New Roman"/>
          <w:snapToGrid w:val="0"/>
          <w:color w:val="auto"/>
          <w:spacing w:val="-6"/>
          <w:kern w:val="21"/>
          <w:sz w:val="21"/>
          <w:szCs w:val="21"/>
        </w:rPr>
        <w:instrText xml:space="preserve"> = 4 \* GB3 \* MERGEFORMAT </w:instrText>
      </w:r>
      <w:r>
        <w:rPr>
          <w:rFonts w:ascii="Times New Roman" w:hAnsi="Times New Roman"/>
          <w:snapToGrid w:val="0"/>
          <w:color w:val="auto"/>
          <w:spacing w:val="-6"/>
          <w:kern w:val="21"/>
          <w:sz w:val="21"/>
          <w:szCs w:val="21"/>
        </w:rPr>
        <w:fldChar w:fldCharType="separate"/>
      </w:r>
      <w:r>
        <w:rPr>
          <w:rFonts w:ascii="Times New Roman" w:hAnsi="Times New Roman"/>
          <w:color w:val="auto"/>
          <w:sz w:val="21"/>
          <w:szCs w:val="21"/>
        </w:rPr>
        <w:t>④</w:t>
      </w:r>
      <w:r>
        <w:rPr>
          <w:rFonts w:ascii="Times New Roman" w:hAnsi="Times New Roman"/>
          <w:snapToGrid w:val="0"/>
          <w:color w:val="auto"/>
          <w:spacing w:val="-6"/>
          <w:kern w:val="21"/>
          <w:sz w:val="21"/>
          <w:szCs w:val="21"/>
        </w:rPr>
        <w:fldChar w:fldCharType="end"/>
      </w:r>
      <w:r>
        <w:rPr>
          <w:rFonts w:ascii="Times New Roman" w:hAnsi="Times New Roman"/>
          <w:snapToGrid w:val="0"/>
          <w:color w:val="auto"/>
          <w:spacing w:val="-6"/>
          <w:kern w:val="21"/>
          <w:sz w:val="21"/>
          <w:szCs w:val="21"/>
        </w:rPr>
        <w:t>-</w:t>
      </w:r>
      <w:r>
        <w:rPr>
          <w:rFonts w:ascii="Times New Roman" w:hAnsi="Times New Roman"/>
          <w:snapToGrid w:val="0"/>
          <w:color w:val="auto"/>
          <w:spacing w:val="-16"/>
          <w:kern w:val="21"/>
          <w:sz w:val="21"/>
          <w:szCs w:val="21"/>
        </w:rPr>
        <w:fldChar w:fldCharType="begin"/>
      </w:r>
      <w:r>
        <w:rPr>
          <w:rFonts w:ascii="Times New Roman" w:hAnsi="Times New Roman"/>
          <w:snapToGrid w:val="0"/>
          <w:color w:val="auto"/>
          <w:spacing w:val="-16"/>
          <w:kern w:val="21"/>
          <w:sz w:val="21"/>
          <w:szCs w:val="21"/>
        </w:rPr>
        <w:instrText xml:space="preserve"> = 5 \* GB3 \* MERGEFORMAT </w:instrText>
      </w:r>
      <w:r>
        <w:rPr>
          <w:rFonts w:ascii="Times New Roman" w:hAnsi="Times New Roman"/>
          <w:snapToGrid w:val="0"/>
          <w:color w:val="auto"/>
          <w:spacing w:val="-16"/>
          <w:kern w:val="21"/>
          <w:sz w:val="21"/>
          <w:szCs w:val="21"/>
        </w:rPr>
        <w:fldChar w:fldCharType="separate"/>
      </w:r>
      <w:r>
        <w:rPr>
          <w:rFonts w:ascii="Times New Roman" w:hAnsi="Times New Roman"/>
          <w:color w:val="auto"/>
          <w:sz w:val="21"/>
          <w:szCs w:val="21"/>
        </w:rPr>
        <w:t>⑤</w:t>
      </w:r>
      <w:r>
        <w:rPr>
          <w:rFonts w:ascii="Times New Roman" w:hAnsi="Times New Roman"/>
          <w:snapToGrid w:val="0"/>
          <w:color w:val="auto"/>
          <w:spacing w:val="-16"/>
          <w:kern w:val="21"/>
          <w:sz w:val="21"/>
          <w:szCs w:val="21"/>
        </w:rPr>
        <w:fldChar w:fldCharType="end"/>
      </w:r>
      <w:r>
        <w:rPr>
          <w:rFonts w:ascii="Times New Roman" w:hAnsi="Times New Roman"/>
          <w:snapToGrid w:val="0"/>
          <w:color w:val="auto"/>
          <w:spacing w:val="-16"/>
          <w:kern w:val="21"/>
          <w:sz w:val="21"/>
          <w:szCs w:val="21"/>
        </w:rPr>
        <w:t>；</w:t>
      </w:r>
      <w:r>
        <w:rPr>
          <w:rFonts w:ascii="Times New Roman" w:hAnsi="Times New Roman"/>
          <w:snapToGrid w:val="0"/>
          <w:color w:val="auto"/>
          <w:spacing w:val="-6"/>
          <w:kern w:val="21"/>
          <w:sz w:val="21"/>
          <w:szCs w:val="21"/>
        </w:rPr>
        <w:fldChar w:fldCharType="begin"/>
      </w:r>
      <w:r>
        <w:rPr>
          <w:rFonts w:ascii="Times New Roman" w:hAnsi="Times New Roman"/>
          <w:snapToGrid w:val="0"/>
          <w:color w:val="auto"/>
          <w:spacing w:val="-6"/>
          <w:kern w:val="21"/>
          <w:sz w:val="21"/>
          <w:szCs w:val="21"/>
        </w:rPr>
        <w:instrText xml:space="preserve"> = 7 \* GB3 \* MERGEFORMAT </w:instrText>
      </w:r>
      <w:r>
        <w:rPr>
          <w:rFonts w:ascii="Times New Roman" w:hAnsi="Times New Roman"/>
          <w:snapToGrid w:val="0"/>
          <w:color w:val="auto"/>
          <w:spacing w:val="-6"/>
          <w:kern w:val="21"/>
          <w:sz w:val="21"/>
          <w:szCs w:val="21"/>
        </w:rPr>
        <w:fldChar w:fldCharType="separate"/>
      </w:r>
      <w:r>
        <w:rPr>
          <w:rFonts w:ascii="Times New Roman" w:hAnsi="Times New Roman"/>
          <w:color w:val="auto"/>
          <w:sz w:val="21"/>
          <w:szCs w:val="21"/>
        </w:rPr>
        <w:t>⑦</w:t>
      </w:r>
      <w:r>
        <w:rPr>
          <w:rFonts w:ascii="Times New Roman" w:hAnsi="Times New Roman"/>
          <w:snapToGrid w:val="0"/>
          <w:color w:val="auto"/>
          <w:spacing w:val="-6"/>
          <w:kern w:val="21"/>
          <w:sz w:val="21"/>
          <w:szCs w:val="21"/>
        </w:rPr>
        <w:fldChar w:fldCharType="end"/>
      </w:r>
      <w:r>
        <w:rPr>
          <w:rFonts w:ascii="Times New Roman" w:hAnsi="Times New Roman"/>
          <w:snapToGrid w:val="0"/>
          <w:color w:val="auto"/>
          <w:spacing w:val="-6"/>
          <w:kern w:val="21"/>
          <w:sz w:val="21"/>
          <w:szCs w:val="21"/>
        </w:rPr>
        <w:t>=</w:t>
      </w:r>
      <w:r>
        <w:rPr>
          <w:rFonts w:ascii="Times New Roman" w:hAnsi="Times New Roman"/>
          <w:snapToGrid w:val="0"/>
          <w:color w:val="auto"/>
          <w:spacing w:val="-16"/>
          <w:kern w:val="21"/>
          <w:sz w:val="21"/>
          <w:szCs w:val="21"/>
        </w:rPr>
        <w:fldChar w:fldCharType="begin"/>
      </w:r>
      <w:r>
        <w:rPr>
          <w:rFonts w:ascii="Times New Roman" w:hAnsi="Times New Roman"/>
          <w:snapToGrid w:val="0"/>
          <w:color w:val="auto"/>
          <w:spacing w:val="-16"/>
          <w:kern w:val="21"/>
          <w:sz w:val="21"/>
          <w:szCs w:val="21"/>
        </w:rPr>
        <w:instrText xml:space="preserve"> = 6 \* GB3 \* MERGEFORMAT </w:instrText>
      </w:r>
      <w:r>
        <w:rPr>
          <w:rFonts w:ascii="Times New Roman" w:hAnsi="Times New Roman"/>
          <w:snapToGrid w:val="0"/>
          <w:color w:val="auto"/>
          <w:spacing w:val="-16"/>
          <w:kern w:val="21"/>
          <w:sz w:val="21"/>
          <w:szCs w:val="21"/>
        </w:rPr>
        <w:fldChar w:fldCharType="separate"/>
      </w:r>
      <w:r>
        <w:rPr>
          <w:rFonts w:ascii="Times New Roman" w:hAnsi="Times New Roman"/>
          <w:color w:val="auto"/>
          <w:sz w:val="21"/>
          <w:szCs w:val="21"/>
        </w:rPr>
        <w:t>⑥</w:t>
      </w:r>
      <w:r>
        <w:rPr>
          <w:rFonts w:ascii="Times New Roman" w:hAnsi="Times New Roman"/>
          <w:snapToGrid w:val="0"/>
          <w:color w:val="auto"/>
          <w:spacing w:val="-16"/>
          <w:kern w:val="21"/>
          <w:sz w:val="21"/>
          <w:szCs w:val="21"/>
        </w:rPr>
        <w:fldChar w:fldCharType="end"/>
      </w:r>
      <w:r>
        <w:rPr>
          <w:rFonts w:ascii="Times New Roman" w:hAnsi="Times New Roman"/>
          <w:snapToGrid w:val="0"/>
          <w:color w:val="auto"/>
          <w:spacing w:val="-16"/>
          <w:kern w:val="21"/>
          <w:sz w:val="21"/>
          <w:szCs w:val="21"/>
        </w:rPr>
        <w:t>-</w:t>
      </w:r>
      <w:r>
        <w:rPr>
          <w:rFonts w:ascii="Times New Roman" w:hAnsi="Times New Roman"/>
          <w:snapToGrid w:val="0"/>
          <w:color w:val="auto"/>
          <w:spacing w:val="-6"/>
          <w:kern w:val="21"/>
          <w:sz w:val="21"/>
          <w:szCs w:val="21"/>
        </w:rPr>
        <w:fldChar w:fldCharType="begin"/>
      </w:r>
      <w:r>
        <w:rPr>
          <w:rFonts w:ascii="Times New Roman" w:hAnsi="Times New Roman"/>
          <w:snapToGrid w:val="0"/>
          <w:color w:val="auto"/>
          <w:spacing w:val="-6"/>
          <w:kern w:val="21"/>
          <w:sz w:val="21"/>
          <w:szCs w:val="21"/>
        </w:rPr>
        <w:instrText xml:space="preserve"> = 1 \* GB3 \* MERGEFORMAT </w:instrText>
      </w:r>
      <w:r>
        <w:rPr>
          <w:rFonts w:ascii="Times New Roman" w:hAnsi="Times New Roman"/>
          <w:snapToGrid w:val="0"/>
          <w:color w:val="auto"/>
          <w:spacing w:val="-6"/>
          <w:kern w:val="21"/>
          <w:sz w:val="21"/>
          <w:szCs w:val="21"/>
        </w:rPr>
        <w:fldChar w:fldCharType="separate"/>
      </w:r>
      <w:r>
        <w:rPr>
          <w:rFonts w:ascii="Times New Roman" w:hAnsi="Times New Roman"/>
          <w:color w:val="auto"/>
          <w:sz w:val="21"/>
          <w:szCs w:val="21"/>
        </w:rPr>
        <w:t>①</w:t>
      </w:r>
      <w:r>
        <w:rPr>
          <w:rFonts w:ascii="Times New Roman" w:hAnsi="Times New Roman"/>
          <w:snapToGrid w:val="0"/>
          <w:color w:val="auto"/>
          <w:spacing w:val="-6"/>
          <w:kern w:val="21"/>
          <w:sz w:val="21"/>
          <w:szCs w:val="21"/>
        </w:rPr>
        <w:fldChar w:fldCharType="end"/>
      </w:r>
      <w:bookmarkEnd w:id="30"/>
      <w:bookmarkEnd w:id="31"/>
    </w:p>
    <w:p>
      <w:pPr>
        <w:pStyle w:val="58"/>
        <w:spacing w:before="192" w:beforeLines="80" w:after="24"/>
        <w:ind w:left="0" w:leftChars="0" w:firstLine="0" w:firstLineChars="0"/>
        <w:jc w:val="left"/>
        <w:rPr>
          <w:rFonts w:ascii="Times New Roman" w:hAnsi="Times New Roman" w:eastAsia="黑体"/>
        </w:rPr>
      </w:pPr>
    </w:p>
    <w:sectPr>
      <w:footerReference r:id="rId6" w:type="default"/>
      <w:pgSz w:w="16838" w:h="11905" w:orient="landscape"/>
      <w:pgMar w:top="1531" w:right="1701" w:bottom="1531" w:left="1701" w:header="851" w:footer="107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font404">
    <w:altName w:val="Arial"/>
    <w:panose1 w:val="00000000000000000000"/>
    <w:charset w:val="00"/>
    <w:family w:val="swiss"/>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Arial Unicode MS">
    <w:altName w:val="宋体"/>
    <w:panose1 w:val="020B0604020202020204"/>
    <w:charset w:val="86"/>
    <w:family w:val="roman"/>
    <w:pitch w:val="default"/>
    <w:sig w:usb0="00000000" w:usb1="00000000" w:usb2="0000003F" w:usb3="00000000" w:csb0="603F01FF" w:csb1="FFFF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outside" w:y="1"/>
      <w:rPr>
        <w:rStyle w:val="37"/>
        <w:rFonts w:ascii="宋体" w:hAnsi="宋体"/>
        <w:sz w:val="28"/>
        <w:szCs w:val="28"/>
      </w:rPr>
    </w:pPr>
    <w:r>
      <w:rPr>
        <w:rStyle w:val="37"/>
        <w:rFonts w:hint="eastAsia" w:ascii="宋体" w:hAnsi="宋体"/>
        <w:sz w:val="28"/>
        <w:szCs w:val="28"/>
      </w:rPr>
      <w:t>—</w:t>
    </w:r>
    <w:r>
      <w:rPr>
        <w:rStyle w:val="37"/>
        <w:rFonts w:hint="eastAsia" w:ascii="宋体" w:hAnsi="宋体"/>
        <w:sz w:val="20"/>
      </w:rPr>
      <w:t xml:space="preserve">  </w:t>
    </w:r>
    <w:r>
      <w:rPr>
        <w:rFonts w:ascii="宋体" w:hAnsi="宋体"/>
        <w:sz w:val="26"/>
        <w:szCs w:val="26"/>
      </w:rPr>
      <w:fldChar w:fldCharType="begin"/>
    </w:r>
    <w:r>
      <w:rPr>
        <w:rStyle w:val="37"/>
        <w:rFonts w:ascii="宋体" w:hAnsi="宋体"/>
        <w:sz w:val="26"/>
        <w:szCs w:val="26"/>
      </w:rPr>
      <w:instrText xml:space="preserve">PAGE  </w:instrText>
    </w:r>
    <w:r>
      <w:rPr>
        <w:rFonts w:ascii="宋体" w:hAnsi="宋体"/>
        <w:sz w:val="26"/>
        <w:szCs w:val="26"/>
      </w:rPr>
      <w:fldChar w:fldCharType="separate"/>
    </w:r>
    <w:r>
      <w:rPr>
        <w:rStyle w:val="37"/>
        <w:rFonts w:ascii="宋体" w:hAnsi="宋体"/>
        <w:sz w:val="26"/>
        <w:szCs w:val="26"/>
      </w:rPr>
      <w:t>33</w:t>
    </w:r>
    <w:r>
      <w:rPr>
        <w:rFonts w:ascii="宋体" w:hAnsi="宋体"/>
        <w:sz w:val="26"/>
        <w:szCs w:val="26"/>
      </w:rPr>
      <w:fldChar w:fldCharType="end"/>
    </w:r>
    <w:r>
      <w:rPr>
        <w:rStyle w:val="37"/>
        <w:rFonts w:hint="eastAsia" w:ascii="宋体" w:hAnsi="宋体"/>
        <w:sz w:val="20"/>
      </w:rPr>
      <w:t xml:space="preserve">  </w:t>
    </w:r>
    <w:r>
      <w:rPr>
        <w:rStyle w:val="37"/>
        <w:rFonts w:hint="eastAsia" w:ascii="宋体" w:hAnsi="宋体"/>
        <w:sz w:val="28"/>
        <w:szCs w:val="28"/>
      </w:rPr>
      <w:t>—</w:t>
    </w:r>
  </w:p>
  <w:p>
    <w:pPr>
      <w:pStyle w:val="23"/>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37"/>
        <w:rFonts w:ascii="宋体" w:hAnsi="宋体"/>
        <w:sz w:val="28"/>
        <w:szCs w:val="28"/>
      </w:rPr>
    </w:pPr>
    <w:r>
      <w:rPr>
        <w:rStyle w:val="37"/>
        <w:rFonts w:hint="eastAsia" w:ascii="宋体" w:hAnsi="宋体"/>
        <w:sz w:val="28"/>
        <w:szCs w:val="28"/>
      </w:rPr>
      <w:t>—</w:t>
    </w:r>
    <w:r>
      <w:rPr>
        <w:rStyle w:val="37"/>
        <w:rFonts w:hint="eastAsia" w:ascii="宋体" w:hAnsi="宋体"/>
        <w:sz w:val="20"/>
      </w:rPr>
      <w:t xml:space="preserve">  </w:t>
    </w:r>
    <w:r>
      <w:rPr>
        <w:rFonts w:ascii="宋体" w:hAnsi="宋体"/>
        <w:sz w:val="26"/>
        <w:szCs w:val="26"/>
      </w:rPr>
      <w:fldChar w:fldCharType="begin"/>
    </w:r>
    <w:r>
      <w:rPr>
        <w:rStyle w:val="37"/>
        <w:rFonts w:ascii="宋体" w:hAnsi="宋体"/>
        <w:sz w:val="26"/>
        <w:szCs w:val="26"/>
      </w:rPr>
      <w:instrText xml:space="preserve">PAGE  </w:instrText>
    </w:r>
    <w:r>
      <w:rPr>
        <w:rFonts w:ascii="宋体" w:hAnsi="宋体"/>
        <w:sz w:val="26"/>
        <w:szCs w:val="26"/>
      </w:rPr>
      <w:fldChar w:fldCharType="separate"/>
    </w:r>
    <w:r>
      <w:rPr>
        <w:rStyle w:val="37"/>
        <w:rFonts w:ascii="宋体" w:hAnsi="宋体"/>
        <w:sz w:val="26"/>
        <w:szCs w:val="26"/>
      </w:rPr>
      <w:t>52</w:t>
    </w:r>
    <w:r>
      <w:rPr>
        <w:rFonts w:ascii="宋体" w:hAnsi="宋体"/>
        <w:sz w:val="26"/>
        <w:szCs w:val="26"/>
      </w:rPr>
      <w:fldChar w:fldCharType="end"/>
    </w:r>
    <w:r>
      <w:rPr>
        <w:rStyle w:val="37"/>
        <w:rFonts w:hint="eastAsia" w:ascii="宋体" w:hAnsi="宋体"/>
        <w:sz w:val="20"/>
      </w:rPr>
      <w:t xml:space="preserve">  </w:t>
    </w:r>
    <w:r>
      <w:rPr>
        <w:rStyle w:val="37"/>
        <w:rFonts w:hint="eastAsia" w:ascii="宋体" w:hAnsi="宋体"/>
        <w:sz w:val="28"/>
        <w:szCs w:val="28"/>
      </w:rPr>
      <w:t>—</w:t>
    </w:r>
  </w:p>
  <w:p>
    <w:pPr>
      <w:pStyle w:val="23"/>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14B8FA"/>
    <w:multiLevelType w:val="singleLevel"/>
    <w:tmpl w:val="AC14B8FA"/>
    <w:lvl w:ilvl="0" w:tentative="0">
      <w:start w:val="1"/>
      <w:numFmt w:val="decimal"/>
      <w:lvlText w:val="(%1)"/>
      <w:lvlJc w:val="left"/>
      <w:pPr>
        <w:tabs>
          <w:tab w:val="left" w:pos="312"/>
        </w:tabs>
      </w:pPr>
    </w:lvl>
  </w:abstractNum>
  <w:abstractNum w:abstractNumId="1">
    <w:nsid w:val="B1F3E89D"/>
    <w:multiLevelType w:val="singleLevel"/>
    <w:tmpl w:val="B1F3E89D"/>
    <w:lvl w:ilvl="0" w:tentative="0">
      <w:start w:val="2"/>
      <w:numFmt w:val="chineseCounting"/>
      <w:suff w:val="nothing"/>
      <w:lvlText w:val="%1、"/>
      <w:lvlJc w:val="left"/>
      <w:rPr>
        <w:rFonts w:hint="eastAsia"/>
      </w:rPr>
    </w:lvl>
  </w:abstractNum>
  <w:abstractNum w:abstractNumId="2">
    <w:nsid w:val="EE830309"/>
    <w:multiLevelType w:val="singleLevel"/>
    <w:tmpl w:val="EE830309"/>
    <w:lvl w:ilvl="0" w:tentative="0">
      <w:start w:val="6"/>
      <w:numFmt w:val="decimal"/>
      <w:suff w:val="nothing"/>
      <w:lvlText w:val="%1、"/>
      <w:lvlJc w:val="left"/>
    </w:lvl>
  </w:abstractNum>
  <w:abstractNum w:abstractNumId="3">
    <w:nsid w:val="62F27C37"/>
    <w:multiLevelType w:val="singleLevel"/>
    <w:tmpl w:val="62F27C37"/>
    <w:lvl w:ilvl="0" w:tentative="0">
      <w:start w:val="4"/>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doNotHyphenateCaps/>
  <w:drawingGridVerticalSpacing w:val="156"/>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kNTFhMmRhZjAyZjBkY2Q1MzI5NjViNTU3ZGNjM2MifQ=="/>
    <w:docVar w:name="KSO_WPS_MARK_KEY" w:val="2e117c6c-bf45-429c-986d-c85b8e869154"/>
  </w:docVars>
  <w:rsids>
    <w:rsidRoot w:val="00A14947"/>
    <w:rsid w:val="000060B3"/>
    <w:rsid w:val="00032C0F"/>
    <w:rsid w:val="0004364B"/>
    <w:rsid w:val="0005057E"/>
    <w:rsid w:val="00060ACB"/>
    <w:rsid w:val="00061B1F"/>
    <w:rsid w:val="00066E9D"/>
    <w:rsid w:val="000733C4"/>
    <w:rsid w:val="00074783"/>
    <w:rsid w:val="0008070B"/>
    <w:rsid w:val="000810AC"/>
    <w:rsid w:val="00081A02"/>
    <w:rsid w:val="00082231"/>
    <w:rsid w:val="00092D38"/>
    <w:rsid w:val="0009377B"/>
    <w:rsid w:val="000A20C9"/>
    <w:rsid w:val="000B058F"/>
    <w:rsid w:val="000B4467"/>
    <w:rsid w:val="000B4DB9"/>
    <w:rsid w:val="000C09AC"/>
    <w:rsid w:val="000C767F"/>
    <w:rsid w:val="000D5A44"/>
    <w:rsid w:val="000E3ED2"/>
    <w:rsid w:val="001119FA"/>
    <w:rsid w:val="00131F42"/>
    <w:rsid w:val="001357F1"/>
    <w:rsid w:val="00140FA8"/>
    <w:rsid w:val="00142FEB"/>
    <w:rsid w:val="00143A2D"/>
    <w:rsid w:val="00145A41"/>
    <w:rsid w:val="00151675"/>
    <w:rsid w:val="00157435"/>
    <w:rsid w:val="0017504D"/>
    <w:rsid w:val="0017671A"/>
    <w:rsid w:val="00177422"/>
    <w:rsid w:val="00184590"/>
    <w:rsid w:val="001870D1"/>
    <w:rsid w:val="0018781E"/>
    <w:rsid w:val="0019262D"/>
    <w:rsid w:val="001A1B35"/>
    <w:rsid w:val="001A48A2"/>
    <w:rsid w:val="001A6F61"/>
    <w:rsid w:val="001B72B8"/>
    <w:rsid w:val="001C69B3"/>
    <w:rsid w:val="001D5595"/>
    <w:rsid w:val="001D7874"/>
    <w:rsid w:val="001D7F22"/>
    <w:rsid w:val="001F0F17"/>
    <w:rsid w:val="001F3347"/>
    <w:rsid w:val="001F69E4"/>
    <w:rsid w:val="002125B4"/>
    <w:rsid w:val="00214300"/>
    <w:rsid w:val="002155B8"/>
    <w:rsid w:val="00224839"/>
    <w:rsid w:val="002249B2"/>
    <w:rsid w:val="00226574"/>
    <w:rsid w:val="002278EC"/>
    <w:rsid w:val="0023280E"/>
    <w:rsid w:val="002377D1"/>
    <w:rsid w:val="002506BC"/>
    <w:rsid w:val="0025319E"/>
    <w:rsid w:val="00254345"/>
    <w:rsid w:val="00256B38"/>
    <w:rsid w:val="00264557"/>
    <w:rsid w:val="00264BF8"/>
    <w:rsid w:val="002805AB"/>
    <w:rsid w:val="00284204"/>
    <w:rsid w:val="00291773"/>
    <w:rsid w:val="002A168C"/>
    <w:rsid w:val="002A3DC7"/>
    <w:rsid w:val="002B30FD"/>
    <w:rsid w:val="002B49E2"/>
    <w:rsid w:val="002B7B00"/>
    <w:rsid w:val="002B7C44"/>
    <w:rsid w:val="002C2B17"/>
    <w:rsid w:val="002D3DD0"/>
    <w:rsid w:val="002E1F3A"/>
    <w:rsid w:val="002E298A"/>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81A72"/>
    <w:rsid w:val="00384676"/>
    <w:rsid w:val="00390857"/>
    <w:rsid w:val="003A4BF3"/>
    <w:rsid w:val="003B420D"/>
    <w:rsid w:val="003C6C16"/>
    <w:rsid w:val="003D794D"/>
    <w:rsid w:val="003E3058"/>
    <w:rsid w:val="003E76A9"/>
    <w:rsid w:val="003F0809"/>
    <w:rsid w:val="003F6A8C"/>
    <w:rsid w:val="003F755C"/>
    <w:rsid w:val="00406F01"/>
    <w:rsid w:val="00416D50"/>
    <w:rsid w:val="00416FD5"/>
    <w:rsid w:val="00417772"/>
    <w:rsid w:val="00420E6A"/>
    <w:rsid w:val="00425A9E"/>
    <w:rsid w:val="00426D6B"/>
    <w:rsid w:val="004270DC"/>
    <w:rsid w:val="00431E6C"/>
    <w:rsid w:val="00433CE7"/>
    <w:rsid w:val="00436539"/>
    <w:rsid w:val="00444518"/>
    <w:rsid w:val="00452738"/>
    <w:rsid w:val="00456091"/>
    <w:rsid w:val="00466321"/>
    <w:rsid w:val="00484B9B"/>
    <w:rsid w:val="004855F6"/>
    <w:rsid w:val="0048661E"/>
    <w:rsid w:val="00494670"/>
    <w:rsid w:val="004A3823"/>
    <w:rsid w:val="004D0C70"/>
    <w:rsid w:val="004E6946"/>
    <w:rsid w:val="004F1AD8"/>
    <w:rsid w:val="005039CB"/>
    <w:rsid w:val="0050558F"/>
    <w:rsid w:val="00506286"/>
    <w:rsid w:val="00510813"/>
    <w:rsid w:val="00511990"/>
    <w:rsid w:val="00511DE0"/>
    <w:rsid w:val="00514870"/>
    <w:rsid w:val="00514B9B"/>
    <w:rsid w:val="00515C5E"/>
    <w:rsid w:val="00517F02"/>
    <w:rsid w:val="00524303"/>
    <w:rsid w:val="005258A2"/>
    <w:rsid w:val="005401AE"/>
    <w:rsid w:val="00542E07"/>
    <w:rsid w:val="00545424"/>
    <w:rsid w:val="00554A7B"/>
    <w:rsid w:val="0055572C"/>
    <w:rsid w:val="0056106A"/>
    <w:rsid w:val="005720AE"/>
    <w:rsid w:val="00594D77"/>
    <w:rsid w:val="005969E4"/>
    <w:rsid w:val="005A06B7"/>
    <w:rsid w:val="005A1759"/>
    <w:rsid w:val="005A68A7"/>
    <w:rsid w:val="005D36AB"/>
    <w:rsid w:val="00617CC3"/>
    <w:rsid w:val="00634BEF"/>
    <w:rsid w:val="006377A6"/>
    <w:rsid w:val="00637A3D"/>
    <w:rsid w:val="006411EF"/>
    <w:rsid w:val="006748B8"/>
    <w:rsid w:val="006775C3"/>
    <w:rsid w:val="0068434F"/>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6C5D"/>
    <w:rsid w:val="00732922"/>
    <w:rsid w:val="00740125"/>
    <w:rsid w:val="0075162E"/>
    <w:rsid w:val="00754034"/>
    <w:rsid w:val="00756556"/>
    <w:rsid w:val="007618C4"/>
    <w:rsid w:val="00767980"/>
    <w:rsid w:val="00770B19"/>
    <w:rsid w:val="0077217D"/>
    <w:rsid w:val="0077463F"/>
    <w:rsid w:val="007836EA"/>
    <w:rsid w:val="00784CDA"/>
    <w:rsid w:val="007906C4"/>
    <w:rsid w:val="007940EA"/>
    <w:rsid w:val="007967E8"/>
    <w:rsid w:val="007A2170"/>
    <w:rsid w:val="007A22BF"/>
    <w:rsid w:val="007A3323"/>
    <w:rsid w:val="007B72B8"/>
    <w:rsid w:val="007B7A58"/>
    <w:rsid w:val="007C21B5"/>
    <w:rsid w:val="007D1710"/>
    <w:rsid w:val="007E4BD2"/>
    <w:rsid w:val="00801393"/>
    <w:rsid w:val="00802F88"/>
    <w:rsid w:val="0081293E"/>
    <w:rsid w:val="00815465"/>
    <w:rsid w:val="00817E9A"/>
    <w:rsid w:val="008306BD"/>
    <w:rsid w:val="00831A80"/>
    <w:rsid w:val="00833743"/>
    <w:rsid w:val="008340A4"/>
    <w:rsid w:val="00840A0A"/>
    <w:rsid w:val="00856D74"/>
    <w:rsid w:val="0087135F"/>
    <w:rsid w:val="00872D94"/>
    <w:rsid w:val="0087777B"/>
    <w:rsid w:val="00880364"/>
    <w:rsid w:val="00891592"/>
    <w:rsid w:val="00891E9E"/>
    <w:rsid w:val="008A2F68"/>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1736D"/>
    <w:rsid w:val="0093037A"/>
    <w:rsid w:val="0094154D"/>
    <w:rsid w:val="0095155F"/>
    <w:rsid w:val="00954429"/>
    <w:rsid w:val="009563CE"/>
    <w:rsid w:val="00961DCD"/>
    <w:rsid w:val="009641DD"/>
    <w:rsid w:val="00976328"/>
    <w:rsid w:val="0097680D"/>
    <w:rsid w:val="00977B14"/>
    <w:rsid w:val="00982438"/>
    <w:rsid w:val="0098404C"/>
    <w:rsid w:val="00985283"/>
    <w:rsid w:val="009910C4"/>
    <w:rsid w:val="00995122"/>
    <w:rsid w:val="00995992"/>
    <w:rsid w:val="009A03E5"/>
    <w:rsid w:val="009A0F3B"/>
    <w:rsid w:val="009A1BB4"/>
    <w:rsid w:val="009A2628"/>
    <w:rsid w:val="009A3200"/>
    <w:rsid w:val="009B0897"/>
    <w:rsid w:val="009B7BD9"/>
    <w:rsid w:val="009C7DD5"/>
    <w:rsid w:val="009E227D"/>
    <w:rsid w:val="009E5019"/>
    <w:rsid w:val="00A04F1B"/>
    <w:rsid w:val="00A0501B"/>
    <w:rsid w:val="00A14947"/>
    <w:rsid w:val="00A32A83"/>
    <w:rsid w:val="00A368DB"/>
    <w:rsid w:val="00A423AA"/>
    <w:rsid w:val="00A53EC6"/>
    <w:rsid w:val="00A55C0F"/>
    <w:rsid w:val="00A82499"/>
    <w:rsid w:val="00A8713F"/>
    <w:rsid w:val="00A90BA1"/>
    <w:rsid w:val="00A97A9A"/>
    <w:rsid w:val="00AA0671"/>
    <w:rsid w:val="00AA2531"/>
    <w:rsid w:val="00AB1E09"/>
    <w:rsid w:val="00AB5330"/>
    <w:rsid w:val="00AB7747"/>
    <w:rsid w:val="00AC14CE"/>
    <w:rsid w:val="00AC2A56"/>
    <w:rsid w:val="00AD055E"/>
    <w:rsid w:val="00AD2303"/>
    <w:rsid w:val="00AD47A7"/>
    <w:rsid w:val="00AE6BAA"/>
    <w:rsid w:val="00AF0CBF"/>
    <w:rsid w:val="00AF257F"/>
    <w:rsid w:val="00AF33CF"/>
    <w:rsid w:val="00AF4D50"/>
    <w:rsid w:val="00AF6179"/>
    <w:rsid w:val="00B1295A"/>
    <w:rsid w:val="00B20A45"/>
    <w:rsid w:val="00B22C5C"/>
    <w:rsid w:val="00B24F30"/>
    <w:rsid w:val="00B31ABF"/>
    <w:rsid w:val="00B33BE3"/>
    <w:rsid w:val="00B53B5D"/>
    <w:rsid w:val="00B60085"/>
    <w:rsid w:val="00B6055E"/>
    <w:rsid w:val="00B6317D"/>
    <w:rsid w:val="00B7723F"/>
    <w:rsid w:val="00B80534"/>
    <w:rsid w:val="00B8433C"/>
    <w:rsid w:val="00B87491"/>
    <w:rsid w:val="00BA29E9"/>
    <w:rsid w:val="00BA7142"/>
    <w:rsid w:val="00BB237C"/>
    <w:rsid w:val="00BB41A3"/>
    <w:rsid w:val="00BC32DC"/>
    <w:rsid w:val="00BC35B6"/>
    <w:rsid w:val="00BD1B51"/>
    <w:rsid w:val="00BD4596"/>
    <w:rsid w:val="00BE1405"/>
    <w:rsid w:val="00BE312D"/>
    <w:rsid w:val="00BF1C20"/>
    <w:rsid w:val="00C10578"/>
    <w:rsid w:val="00C135BC"/>
    <w:rsid w:val="00C15C95"/>
    <w:rsid w:val="00C2596A"/>
    <w:rsid w:val="00C27537"/>
    <w:rsid w:val="00C328FE"/>
    <w:rsid w:val="00C33507"/>
    <w:rsid w:val="00C4409D"/>
    <w:rsid w:val="00C44E72"/>
    <w:rsid w:val="00C45A06"/>
    <w:rsid w:val="00C47E5B"/>
    <w:rsid w:val="00C61E4B"/>
    <w:rsid w:val="00C64BFF"/>
    <w:rsid w:val="00C704E9"/>
    <w:rsid w:val="00C763C9"/>
    <w:rsid w:val="00C80057"/>
    <w:rsid w:val="00C82232"/>
    <w:rsid w:val="00C82913"/>
    <w:rsid w:val="00C972B1"/>
    <w:rsid w:val="00CA2CCE"/>
    <w:rsid w:val="00CA43FD"/>
    <w:rsid w:val="00CA7EF8"/>
    <w:rsid w:val="00CC489B"/>
    <w:rsid w:val="00CD2BCD"/>
    <w:rsid w:val="00CD3A4C"/>
    <w:rsid w:val="00CD4DB1"/>
    <w:rsid w:val="00CE10E9"/>
    <w:rsid w:val="00CE2910"/>
    <w:rsid w:val="00CE5393"/>
    <w:rsid w:val="00CF36BE"/>
    <w:rsid w:val="00CF6000"/>
    <w:rsid w:val="00D003F3"/>
    <w:rsid w:val="00D0364F"/>
    <w:rsid w:val="00D06834"/>
    <w:rsid w:val="00D308ED"/>
    <w:rsid w:val="00D36D86"/>
    <w:rsid w:val="00D428AA"/>
    <w:rsid w:val="00D50A34"/>
    <w:rsid w:val="00D53EFA"/>
    <w:rsid w:val="00D61B59"/>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2656A"/>
    <w:rsid w:val="00E412D0"/>
    <w:rsid w:val="00E44A5C"/>
    <w:rsid w:val="00E44BE7"/>
    <w:rsid w:val="00E56322"/>
    <w:rsid w:val="00E60982"/>
    <w:rsid w:val="00E62C62"/>
    <w:rsid w:val="00E654C1"/>
    <w:rsid w:val="00E65D97"/>
    <w:rsid w:val="00E72A5A"/>
    <w:rsid w:val="00E73354"/>
    <w:rsid w:val="00E9242D"/>
    <w:rsid w:val="00EA1E73"/>
    <w:rsid w:val="00EB3E36"/>
    <w:rsid w:val="00EB5255"/>
    <w:rsid w:val="00EB5C47"/>
    <w:rsid w:val="00ED0639"/>
    <w:rsid w:val="00EF4755"/>
    <w:rsid w:val="00EF7135"/>
    <w:rsid w:val="00F027DB"/>
    <w:rsid w:val="00F14A7A"/>
    <w:rsid w:val="00F22985"/>
    <w:rsid w:val="00F3383E"/>
    <w:rsid w:val="00F465A7"/>
    <w:rsid w:val="00F50B7C"/>
    <w:rsid w:val="00F550E6"/>
    <w:rsid w:val="00F74345"/>
    <w:rsid w:val="00F80A0A"/>
    <w:rsid w:val="00F82B19"/>
    <w:rsid w:val="00F9212D"/>
    <w:rsid w:val="00F965DA"/>
    <w:rsid w:val="00FA406A"/>
    <w:rsid w:val="00FB503A"/>
    <w:rsid w:val="00FB516C"/>
    <w:rsid w:val="00FC7B7C"/>
    <w:rsid w:val="00FD0236"/>
    <w:rsid w:val="00FD18F4"/>
    <w:rsid w:val="00FD54DB"/>
    <w:rsid w:val="00FD619F"/>
    <w:rsid w:val="010279D8"/>
    <w:rsid w:val="010B5E90"/>
    <w:rsid w:val="01112A2A"/>
    <w:rsid w:val="01256058"/>
    <w:rsid w:val="01290F7E"/>
    <w:rsid w:val="013A4E99"/>
    <w:rsid w:val="015D1E09"/>
    <w:rsid w:val="017A5B95"/>
    <w:rsid w:val="0181020C"/>
    <w:rsid w:val="01CF0573"/>
    <w:rsid w:val="021B1886"/>
    <w:rsid w:val="022D29A3"/>
    <w:rsid w:val="02502671"/>
    <w:rsid w:val="02697903"/>
    <w:rsid w:val="029F3B20"/>
    <w:rsid w:val="02A64FC9"/>
    <w:rsid w:val="02B40E52"/>
    <w:rsid w:val="02C45A20"/>
    <w:rsid w:val="02F96569"/>
    <w:rsid w:val="034936B4"/>
    <w:rsid w:val="03834CAF"/>
    <w:rsid w:val="03951753"/>
    <w:rsid w:val="039F3F79"/>
    <w:rsid w:val="03AC38D7"/>
    <w:rsid w:val="03D74A3D"/>
    <w:rsid w:val="03EA7B21"/>
    <w:rsid w:val="040328BA"/>
    <w:rsid w:val="04062E6D"/>
    <w:rsid w:val="04221DEB"/>
    <w:rsid w:val="042A0CCB"/>
    <w:rsid w:val="042B2A2D"/>
    <w:rsid w:val="045A5FA9"/>
    <w:rsid w:val="04893C18"/>
    <w:rsid w:val="04D538CC"/>
    <w:rsid w:val="04E61575"/>
    <w:rsid w:val="04EF1980"/>
    <w:rsid w:val="05141427"/>
    <w:rsid w:val="05583916"/>
    <w:rsid w:val="057A7FD6"/>
    <w:rsid w:val="05B86E56"/>
    <w:rsid w:val="05BB0305"/>
    <w:rsid w:val="05C611E7"/>
    <w:rsid w:val="05D10CB8"/>
    <w:rsid w:val="05F83EAE"/>
    <w:rsid w:val="06157337"/>
    <w:rsid w:val="061E4B6B"/>
    <w:rsid w:val="06264A4A"/>
    <w:rsid w:val="06306EFE"/>
    <w:rsid w:val="0639341C"/>
    <w:rsid w:val="063E7D85"/>
    <w:rsid w:val="064705A0"/>
    <w:rsid w:val="06D86978"/>
    <w:rsid w:val="06FC04E7"/>
    <w:rsid w:val="07293586"/>
    <w:rsid w:val="07295285"/>
    <w:rsid w:val="07636392"/>
    <w:rsid w:val="07770C56"/>
    <w:rsid w:val="07C97E61"/>
    <w:rsid w:val="07D72052"/>
    <w:rsid w:val="07DA78AC"/>
    <w:rsid w:val="07EB7170"/>
    <w:rsid w:val="08251EAA"/>
    <w:rsid w:val="08372738"/>
    <w:rsid w:val="08430D44"/>
    <w:rsid w:val="087C343D"/>
    <w:rsid w:val="088E59A8"/>
    <w:rsid w:val="08D716E5"/>
    <w:rsid w:val="08F25F4A"/>
    <w:rsid w:val="092217DD"/>
    <w:rsid w:val="093A7294"/>
    <w:rsid w:val="09433B65"/>
    <w:rsid w:val="09463679"/>
    <w:rsid w:val="09482E93"/>
    <w:rsid w:val="095169F8"/>
    <w:rsid w:val="09746DE3"/>
    <w:rsid w:val="09C2607F"/>
    <w:rsid w:val="09D34789"/>
    <w:rsid w:val="09D863EF"/>
    <w:rsid w:val="09DE7E5F"/>
    <w:rsid w:val="09F64235"/>
    <w:rsid w:val="0A1207D8"/>
    <w:rsid w:val="0A263993"/>
    <w:rsid w:val="0A276A6D"/>
    <w:rsid w:val="0A2D3AC2"/>
    <w:rsid w:val="0A550832"/>
    <w:rsid w:val="0A852EEF"/>
    <w:rsid w:val="0A9B1596"/>
    <w:rsid w:val="0AA755DF"/>
    <w:rsid w:val="0ADA648F"/>
    <w:rsid w:val="0B0F01F5"/>
    <w:rsid w:val="0B120D44"/>
    <w:rsid w:val="0B6B4077"/>
    <w:rsid w:val="0B7C44D7"/>
    <w:rsid w:val="0B851639"/>
    <w:rsid w:val="0B8D153F"/>
    <w:rsid w:val="0B966523"/>
    <w:rsid w:val="0BD27BF6"/>
    <w:rsid w:val="0BDE7114"/>
    <w:rsid w:val="0BE7184A"/>
    <w:rsid w:val="0BEB6B13"/>
    <w:rsid w:val="0C3212FD"/>
    <w:rsid w:val="0C3B3C7D"/>
    <w:rsid w:val="0C6962B5"/>
    <w:rsid w:val="0C7C3B51"/>
    <w:rsid w:val="0CA81B17"/>
    <w:rsid w:val="0CA902CC"/>
    <w:rsid w:val="0CAB2EAE"/>
    <w:rsid w:val="0CC325F6"/>
    <w:rsid w:val="0CD35B77"/>
    <w:rsid w:val="0CDD4940"/>
    <w:rsid w:val="0CF03EA5"/>
    <w:rsid w:val="0D0B15F5"/>
    <w:rsid w:val="0D165B1C"/>
    <w:rsid w:val="0D3273D3"/>
    <w:rsid w:val="0D621C7D"/>
    <w:rsid w:val="0D701E19"/>
    <w:rsid w:val="0D8131CF"/>
    <w:rsid w:val="0D832C38"/>
    <w:rsid w:val="0DE9054C"/>
    <w:rsid w:val="0E1E41C0"/>
    <w:rsid w:val="0E252DBE"/>
    <w:rsid w:val="0E31452A"/>
    <w:rsid w:val="0E5D717C"/>
    <w:rsid w:val="0E5F2343"/>
    <w:rsid w:val="0E73034D"/>
    <w:rsid w:val="0E9D4E90"/>
    <w:rsid w:val="0EA53D44"/>
    <w:rsid w:val="0EC47F3F"/>
    <w:rsid w:val="0F13775A"/>
    <w:rsid w:val="0F20105F"/>
    <w:rsid w:val="0F2F3AFB"/>
    <w:rsid w:val="0F334228"/>
    <w:rsid w:val="0F3F1B7B"/>
    <w:rsid w:val="0F5F45FE"/>
    <w:rsid w:val="0F8B6C03"/>
    <w:rsid w:val="0F9A112B"/>
    <w:rsid w:val="0FC03992"/>
    <w:rsid w:val="0FD35676"/>
    <w:rsid w:val="0FE541A9"/>
    <w:rsid w:val="1045758D"/>
    <w:rsid w:val="106D2F64"/>
    <w:rsid w:val="107F453F"/>
    <w:rsid w:val="10B63710"/>
    <w:rsid w:val="10E53E9F"/>
    <w:rsid w:val="10F10820"/>
    <w:rsid w:val="11106317"/>
    <w:rsid w:val="111C2F7A"/>
    <w:rsid w:val="111E1AD1"/>
    <w:rsid w:val="112D4CF3"/>
    <w:rsid w:val="113B0990"/>
    <w:rsid w:val="11514F66"/>
    <w:rsid w:val="11625F1D"/>
    <w:rsid w:val="11665CA1"/>
    <w:rsid w:val="117F087D"/>
    <w:rsid w:val="118B7201"/>
    <w:rsid w:val="119E4448"/>
    <w:rsid w:val="12234D84"/>
    <w:rsid w:val="1243490A"/>
    <w:rsid w:val="12CA7AF7"/>
    <w:rsid w:val="136B02B0"/>
    <w:rsid w:val="136D2600"/>
    <w:rsid w:val="13857B72"/>
    <w:rsid w:val="13951726"/>
    <w:rsid w:val="13FD745B"/>
    <w:rsid w:val="14172912"/>
    <w:rsid w:val="14396509"/>
    <w:rsid w:val="14B37DED"/>
    <w:rsid w:val="14DD2C3C"/>
    <w:rsid w:val="15143F58"/>
    <w:rsid w:val="1542379B"/>
    <w:rsid w:val="15730DF4"/>
    <w:rsid w:val="15B579D2"/>
    <w:rsid w:val="15BF5AF8"/>
    <w:rsid w:val="15DE6BDE"/>
    <w:rsid w:val="15F2734F"/>
    <w:rsid w:val="16087E1D"/>
    <w:rsid w:val="16177F3D"/>
    <w:rsid w:val="164C6BA7"/>
    <w:rsid w:val="16656570"/>
    <w:rsid w:val="167B24D5"/>
    <w:rsid w:val="173507D2"/>
    <w:rsid w:val="17371DE5"/>
    <w:rsid w:val="17701D14"/>
    <w:rsid w:val="17735226"/>
    <w:rsid w:val="17B36136"/>
    <w:rsid w:val="17E128FF"/>
    <w:rsid w:val="181C6332"/>
    <w:rsid w:val="18590CEE"/>
    <w:rsid w:val="18722EE9"/>
    <w:rsid w:val="18802C7B"/>
    <w:rsid w:val="189F624C"/>
    <w:rsid w:val="193C7DFD"/>
    <w:rsid w:val="19523E86"/>
    <w:rsid w:val="195C5EBB"/>
    <w:rsid w:val="196E4003"/>
    <w:rsid w:val="198729C4"/>
    <w:rsid w:val="19BA011B"/>
    <w:rsid w:val="19CA3D90"/>
    <w:rsid w:val="19EC74A2"/>
    <w:rsid w:val="1A1C66C0"/>
    <w:rsid w:val="1A331F9B"/>
    <w:rsid w:val="1A42393B"/>
    <w:rsid w:val="1A8253DF"/>
    <w:rsid w:val="1A9A6E9E"/>
    <w:rsid w:val="1AAD45DE"/>
    <w:rsid w:val="1B046F80"/>
    <w:rsid w:val="1B3267B5"/>
    <w:rsid w:val="1B333B1F"/>
    <w:rsid w:val="1B40161D"/>
    <w:rsid w:val="1B441859"/>
    <w:rsid w:val="1B4C4154"/>
    <w:rsid w:val="1B6606B1"/>
    <w:rsid w:val="1B6D24CA"/>
    <w:rsid w:val="1B8E6CC1"/>
    <w:rsid w:val="1B9A39A4"/>
    <w:rsid w:val="1BA14A1C"/>
    <w:rsid w:val="1BB07775"/>
    <w:rsid w:val="1BB357F7"/>
    <w:rsid w:val="1BF3279E"/>
    <w:rsid w:val="1C1C0D7D"/>
    <w:rsid w:val="1C2277C9"/>
    <w:rsid w:val="1C5E7925"/>
    <w:rsid w:val="1C873CC6"/>
    <w:rsid w:val="1CE16038"/>
    <w:rsid w:val="1CFD070F"/>
    <w:rsid w:val="1D0934BC"/>
    <w:rsid w:val="1D3764AF"/>
    <w:rsid w:val="1D3D71B8"/>
    <w:rsid w:val="1D5F6196"/>
    <w:rsid w:val="1D6132A5"/>
    <w:rsid w:val="1D8E56D5"/>
    <w:rsid w:val="1DC37F93"/>
    <w:rsid w:val="1DC46624"/>
    <w:rsid w:val="1DE2141E"/>
    <w:rsid w:val="1DF5100B"/>
    <w:rsid w:val="1E3B3C0B"/>
    <w:rsid w:val="1E3F1DB5"/>
    <w:rsid w:val="1E731769"/>
    <w:rsid w:val="1E7A43DA"/>
    <w:rsid w:val="1EA4782A"/>
    <w:rsid w:val="1EC84387"/>
    <w:rsid w:val="1EDA0776"/>
    <w:rsid w:val="1EDF1ED6"/>
    <w:rsid w:val="1F292262"/>
    <w:rsid w:val="1F3C4DD5"/>
    <w:rsid w:val="1FA3619B"/>
    <w:rsid w:val="1FE7539E"/>
    <w:rsid w:val="1FE87F35"/>
    <w:rsid w:val="202534E3"/>
    <w:rsid w:val="20407429"/>
    <w:rsid w:val="205273DC"/>
    <w:rsid w:val="205E7540"/>
    <w:rsid w:val="20671BE0"/>
    <w:rsid w:val="208E0333"/>
    <w:rsid w:val="20963CB8"/>
    <w:rsid w:val="20A81A1B"/>
    <w:rsid w:val="20B07FB6"/>
    <w:rsid w:val="20B646FB"/>
    <w:rsid w:val="20BD6031"/>
    <w:rsid w:val="20FD17BE"/>
    <w:rsid w:val="213B74B1"/>
    <w:rsid w:val="215A2310"/>
    <w:rsid w:val="216B3344"/>
    <w:rsid w:val="21B53220"/>
    <w:rsid w:val="21B817CD"/>
    <w:rsid w:val="21DE318A"/>
    <w:rsid w:val="21EF5B80"/>
    <w:rsid w:val="22280ABD"/>
    <w:rsid w:val="222D3305"/>
    <w:rsid w:val="22375E82"/>
    <w:rsid w:val="22576990"/>
    <w:rsid w:val="226A211D"/>
    <w:rsid w:val="22BA182D"/>
    <w:rsid w:val="22CD6F6E"/>
    <w:rsid w:val="22F47480"/>
    <w:rsid w:val="22F97417"/>
    <w:rsid w:val="23203DF6"/>
    <w:rsid w:val="23276237"/>
    <w:rsid w:val="239A06E1"/>
    <w:rsid w:val="23D262D1"/>
    <w:rsid w:val="23DE1C48"/>
    <w:rsid w:val="23E56E2C"/>
    <w:rsid w:val="240210CD"/>
    <w:rsid w:val="246F11B9"/>
    <w:rsid w:val="24852229"/>
    <w:rsid w:val="24990099"/>
    <w:rsid w:val="249E20BE"/>
    <w:rsid w:val="24BF09F7"/>
    <w:rsid w:val="24E76A0D"/>
    <w:rsid w:val="25113DC2"/>
    <w:rsid w:val="25230915"/>
    <w:rsid w:val="252D53FE"/>
    <w:rsid w:val="2538235C"/>
    <w:rsid w:val="253F7EE2"/>
    <w:rsid w:val="257C436A"/>
    <w:rsid w:val="25A832E1"/>
    <w:rsid w:val="25BA7C7E"/>
    <w:rsid w:val="25DA70E9"/>
    <w:rsid w:val="25DB3B72"/>
    <w:rsid w:val="25EA315B"/>
    <w:rsid w:val="25EC2D81"/>
    <w:rsid w:val="25FA62CC"/>
    <w:rsid w:val="26413314"/>
    <w:rsid w:val="26520107"/>
    <w:rsid w:val="26775B6F"/>
    <w:rsid w:val="26B43D88"/>
    <w:rsid w:val="27022E90"/>
    <w:rsid w:val="274C3496"/>
    <w:rsid w:val="274C3DCB"/>
    <w:rsid w:val="274E7F95"/>
    <w:rsid w:val="277057A2"/>
    <w:rsid w:val="27893DAB"/>
    <w:rsid w:val="27966307"/>
    <w:rsid w:val="27AD3A37"/>
    <w:rsid w:val="27DB7391"/>
    <w:rsid w:val="280E2503"/>
    <w:rsid w:val="282B56F5"/>
    <w:rsid w:val="2866547F"/>
    <w:rsid w:val="286D547B"/>
    <w:rsid w:val="287B749D"/>
    <w:rsid w:val="28B37552"/>
    <w:rsid w:val="28BB52B5"/>
    <w:rsid w:val="28BE367B"/>
    <w:rsid w:val="28CF354E"/>
    <w:rsid w:val="28DE04B2"/>
    <w:rsid w:val="28F92EFB"/>
    <w:rsid w:val="29206EB8"/>
    <w:rsid w:val="29232E3C"/>
    <w:rsid w:val="29455AB0"/>
    <w:rsid w:val="29515B24"/>
    <w:rsid w:val="29531C5A"/>
    <w:rsid w:val="29595666"/>
    <w:rsid w:val="29787AC5"/>
    <w:rsid w:val="29874881"/>
    <w:rsid w:val="29885DB9"/>
    <w:rsid w:val="299D58EC"/>
    <w:rsid w:val="29C841B8"/>
    <w:rsid w:val="29CF46BF"/>
    <w:rsid w:val="29E325E0"/>
    <w:rsid w:val="2A193E45"/>
    <w:rsid w:val="2A1D6C72"/>
    <w:rsid w:val="2A3D1E23"/>
    <w:rsid w:val="2A4012A5"/>
    <w:rsid w:val="2A452503"/>
    <w:rsid w:val="2A4E455C"/>
    <w:rsid w:val="2A647DAD"/>
    <w:rsid w:val="2A65405B"/>
    <w:rsid w:val="2A6D2A56"/>
    <w:rsid w:val="2A73489F"/>
    <w:rsid w:val="2A8E16D9"/>
    <w:rsid w:val="2A8F2345"/>
    <w:rsid w:val="2A9E7425"/>
    <w:rsid w:val="2AF373D7"/>
    <w:rsid w:val="2AFE685E"/>
    <w:rsid w:val="2B4C13E3"/>
    <w:rsid w:val="2B6128FD"/>
    <w:rsid w:val="2B854DAD"/>
    <w:rsid w:val="2BA00EFE"/>
    <w:rsid w:val="2BA936A8"/>
    <w:rsid w:val="2BAC07B3"/>
    <w:rsid w:val="2BC23C10"/>
    <w:rsid w:val="2C050CC3"/>
    <w:rsid w:val="2C0954BB"/>
    <w:rsid w:val="2C310E46"/>
    <w:rsid w:val="2C315A5A"/>
    <w:rsid w:val="2C4B1C25"/>
    <w:rsid w:val="2C7A48C9"/>
    <w:rsid w:val="2C842D93"/>
    <w:rsid w:val="2CB45A10"/>
    <w:rsid w:val="2CCA4BC1"/>
    <w:rsid w:val="2CCB3F36"/>
    <w:rsid w:val="2CD8173C"/>
    <w:rsid w:val="2CEA7526"/>
    <w:rsid w:val="2CED69EB"/>
    <w:rsid w:val="2D4063B3"/>
    <w:rsid w:val="2D720533"/>
    <w:rsid w:val="2D9E56F5"/>
    <w:rsid w:val="2DB31B82"/>
    <w:rsid w:val="2DC95BCB"/>
    <w:rsid w:val="2E057DA3"/>
    <w:rsid w:val="2E2F6D96"/>
    <w:rsid w:val="2E5549E7"/>
    <w:rsid w:val="2E667F96"/>
    <w:rsid w:val="2E67015A"/>
    <w:rsid w:val="2E8226AB"/>
    <w:rsid w:val="2EB37968"/>
    <w:rsid w:val="2EB86BAF"/>
    <w:rsid w:val="2EC456C9"/>
    <w:rsid w:val="2ECD3F6D"/>
    <w:rsid w:val="2EF671D4"/>
    <w:rsid w:val="2EFF6701"/>
    <w:rsid w:val="2F2A7C22"/>
    <w:rsid w:val="2F3A451B"/>
    <w:rsid w:val="2F607BF8"/>
    <w:rsid w:val="2F834477"/>
    <w:rsid w:val="2FD065E6"/>
    <w:rsid w:val="2FD96870"/>
    <w:rsid w:val="30481184"/>
    <w:rsid w:val="30580BC9"/>
    <w:rsid w:val="305E63A5"/>
    <w:rsid w:val="30FA66A3"/>
    <w:rsid w:val="311C0AB9"/>
    <w:rsid w:val="311D279F"/>
    <w:rsid w:val="311E2ED7"/>
    <w:rsid w:val="31344EB6"/>
    <w:rsid w:val="315619EE"/>
    <w:rsid w:val="315C449C"/>
    <w:rsid w:val="318B4325"/>
    <w:rsid w:val="31941C18"/>
    <w:rsid w:val="31B82709"/>
    <w:rsid w:val="31D05482"/>
    <w:rsid w:val="31E33C39"/>
    <w:rsid w:val="31E55B91"/>
    <w:rsid w:val="31EF0511"/>
    <w:rsid w:val="322A53E8"/>
    <w:rsid w:val="3230551D"/>
    <w:rsid w:val="32400B34"/>
    <w:rsid w:val="327158FD"/>
    <w:rsid w:val="328748D0"/>
    <w:rsid w:val="329E6876"/>
    <w:rsid w:val="32CA008A"/>
    <w:rsid w:val="330F2DD1"/>
    <w:rsid w:val="333015F2"/>
    <w:rsid w:val="3337655D"/>
    <w:rsid w:val="334B6320"/>
    <w:rsid w:val="33525839"/>
    <w:rsid w:val="33576B0C"/>
    <w:rsid w:val="335C12FA"/>
    <w:rsid w:val="335D665F"/>
    <w:rsid w:val="337756A5"/>
    <w:rsid w:val="33A4725F"/>
    <w:rsid w:val="33C91D0E"/>
    <w:rsid w:val="33CB3718"/>
    <w:rsid w:val="33D934D4"/>
    <w:rsid w:val="33FE2F6A"/>
    <w:rsid w:val="340C5E35"/>
    <w:rsid w:val="340E07E5"/>
    <w:rsid w:val="34235BF7"/>
    <w:rsid w:val="342828EB"/>
    <w:rsid w:val="34491D2D"/>
    <w:rsid w:val="347C5102"/>
    <w:rsid w:val="34DB1A9F"/>
    <w:rsid w:val="34E13045"/>
    <w:rsid w:val="34E97AE9"/>
    <w:rsid w:val="34EE299B"/>
    <w:rsid w:val="34FE2E5A"/>
    <w:rsid w:val="350607E9"/>
    <w:rsid w:val="35196A0F"/>
    <w:rsid w:val="3546066F"/>
    <w:rsid w:val="355C2918"/>
    <w:rsid w:val="358C5FA8"/>
    <w:rsid w:val="35C15DF1"/>
    <w:rsid w:val="35D02BA5"/>
    <w:rsid w:val="35F830D9"/>
    <w:rsid w:val="36074A7F"/>
    <w:rsid w:val="36407C32"/>
    <w:rsid w:val="365437D6"/>
    <w:rsid w:val="368C4939"/>
    <w:rsid w:val="36923549"/>
    <w:rsid w:val="36933D19"/>
    <w:rsid w:val="369A1DA2"/>
    <w:rsid w:val="36AA74D8"/>
    <w:rsid w:val="36B75FBF"/>
    <w:rsid w:val="36BD0C45"/>
    <w:rsid w:val="36D4168A"/>
    <w:rsid w:val="36EB598A"/>
    <w:rsid w:val="36F74C9A"/>
    <w:rsid w:val="37014D62"/>
    <w:rsid w:val="37695A47"/>
    <w:rsid w:val="37873F5A"/>
    <w:rsid w:val="37A752AA"/>
    <w:rsid w:val="37D9163B"/>
    <w:rsid w:val="37E00298"/>
    <w:rsid w:val="37E979DA"/>
    <w:rsid w:val="386F0A67"/>
    <w:rsid w:val="38B302F9"/>
    <w:rsid w:val="38F12CD3"/>
    <w:rsid w:val="38F94775"/>
    <w:rsid w:val="38FD7316"/>
    <w:rsid w:val="392971ED"/>
    <w:rsid w:val="39325651"/>
    <w:rsid w:val="398A2B5E"/>
    <w:rsid w:val="39AF139E"/>
    <w:rsid w:val="39B12743"/>
    <w:rsid w:val="39DE7F87"/>
    <w:rsid w:val="39FE3B01"/>
    <w:rsid w:val="3A607713"/>
    <w:rsid w:val="3A872856"/>
    <w:rsid w:val="3A9B39F7"/>
    <w:rsid w:val="3AFB6916"/>
    <w:rsid w:val="3B2F31A1"/>
    <w:rsid w:val="3B3763D1"/>
    <w:rsid w:val="3B8570FC"/>
    <w:rsid w:val="3BA36025"/>
    <w:rsid w:val="3BAC26EF"/>
    <w:rsid w:val="3BB15227"/>
    <w:rsid w:val="3BC17370"/>
    <w:rsid w:val="3C0C028B"/>
    <w:rsid w:val="3C1438BC"/>
    <w:rsid w:val="3C1A101E"/>
    <w:rsid w:val="3C28362E"/>
    <w:rsid w:val="3C2F6E1E"/>
    <w:rsid w:val="3C3A02F1"/>
    <w:rsid w:val="3C4165AB"/>
    <w:rsid w:val="3C4F64BA"/>
    <w:rsid w:val="3CAE6724"/>
    <w:rsid w:val="3CDA245A"/>
    <w:rsid w:val="3D1E06B7"/>
    <w:rsid w:val="3D200A7B"/>
    <w:rsid w:val="3D50701F"/>
    <w:rsid w:val="3D7A2DD7"/>
    <w:rsid w:val="3DAC2895"/>
    <w:rsid w:val="3DBC05DF"/>
    <w:rsid w:val="3DE66E23"/>
    <w:rsid w:val="3E104A72"/>
    <w:rsid w:val="3E381E67"/>
    <w:rsid w:val="3EC64853"/>
    <w:rsid w:val="3ED656D0"/>
    <w:rsid w:val="3EDA0523"/>
    <w:rsid w:val="3EDB38F8"/>
    <w:rsid w:val="3F141F6D"/>
    <w:rsid w:val="3F1955BD"/>
    <w:rsid w:val="3F31789C"/>
    <w:rsid w:val="3F4C159B"/>
    <w:rsid w:val="3F4F25C6"/>
    <w:rsid w:val="3FB0494E"/>
    <w:rsid w:val="3FB05F21"/>
    <w:rsid w:val="3FBB6674"/>
    <w:rsid w:val="3FDF03C4"/>
    <w:rsid w:val="3FDF6807"/>
    <w:rsid w:val="3FEE6BFE"/>
    <w:rsid w:val="402A706D"/>
    <w:rsid w:val="403D6E40"/>
    <w:rsid w:val="407A6407"/>
    <w:rsid w:val="411054E7"/>
    <w:rsid w:val="412B738C"/>
    <w:rsid w:val="41652D3C"/>
    <w:rsid w:val="41D35EF7"/>
    <w:rsid w:val="41DD0B24"/>
    <w:rsid w:val="41F66D18"/>
    <w:rsid w:val="41F710D1"/>
    <w:rsid w:val="4200136B"/>
    <w:rsid w:val="4200449D"/>
    <w:rsid w:val="42075D8C"/>
    <w:rsid w:val="420B1699"/>
    <w:rsid w:val="423A3BCC"/>
    <w:rsid w:val="423F4D68"/>
    <w:rsid w:val="424E57D2"/>
    <w:rsid w:val="4295355B"/>
    <w:rsid w:val="42A751E8"/>
    <w:rsid w:val="42A96A2E"/>
    <w:rsid w:val="42B26C49"/>
    <w:rsid w:val="42B60BF5"/>
    <w:rsid w:val="42C83501"/>
    <w:rsid w:val="42E4267F"/>
    <w:rsid w:val="42F05497"/>
    <w:rsid w:val="43140DBC"/>
    <w:rsid w:val="433037BF"/>
    <w:rsid w:val="433A6FE6"/>
    <w:rsid w:val="43480868"/>
    <w:rsid w:val="434B6B6E"/>
    <w:rsid w:val="434D4B27"/>
    <w:rsid w:val="4350713C"/>
    <w:rsid w:val="43582BFA"/>
    <w:rsid w:val="436653E0"/>
    <w:rsid w:val="437845DF"/>
    <w:rsid w:val="438248BF"/>
    <w:rsid w:val="43840B71"/>
    <w:rsid w:val="43AD46F3"/>
    <w:rsid w:val="43AF64F0"/>
    <w:rsid w:val="43C4431A"/>
    <w:rsid w:val="43D109C0"/>
    <w:rsid w:val="43DB5B6F"/>
    <w:rsid w:val="43DC0C46"/>
    <w:rsid w:val="43E02B4D"/>
    <w:rsid w:val="440F27D5"/>
    <w:rsid w:val="4413082D"/>
    <w:rsid w:val="44213C99"/>
    <w:rsid w:val="444C3FF6"/>
    <w:rsid w:val="445512D8"/>
    <w:rsid w:val="44790648"/>
    <w:rsid w:val="44922BA8"/>
    <w:rsid w:val="44B951CC"/>
    <w:rsid w:val="44CD14E0"/>
    <w:rsid w:val="44F20B0B"/>
    <w:rsid w:val="45100579"/>
    <w:rsid w:val="45100897"/>
    <w:rsid w:val="4515724B"/>
    <w:rsid w:val="451C0861"/>
    <w:rsid w:val="452E5F4C"/>
    <w:rsid w:val="45351166"/>
    <w:rsid w:val="45466251"/>
    <w:rsid w:val="45612018"/>
    <w:rsid w:val="45774018"/>
    <w:rsid w:val="45823443"/>
    <w:rsid w:val="458946E9"/>
    <w:rsid w:val="458A4A64"/>
    <w:rsid w:val="45A47C0E"/>
    <w:rsid w:val="45B37DDC"/>
    <w:rsid w:val="45B43986"/>
    <w:rsid w:val="45BE4928"/>
    <w:rsid w:val="45E07029"/>
    <w:rsid w:val="45ED51BC"/>
    <w:rsid w:val="4603688D"/>
    <w:rsid w:val="461320F1"/>
    <w:rsid w:val="461A4DAD"/>
    <w:rsid w:val="46225260"/>
    <w:rsid w:val="462742C6"/>
    <w:rsid w:val="464E37FA"/>
    <w:rsid w:val="46577FD6"/>
    <w:rsid w:val="468069EF"/>
    <w:rsid w:val="469E2682"/>
    <w:rsid w:val="46AA3FCC"/>
    <w:rsid w:val="46B00A66"/>
    <w:rsid w:val="46BC33FE"/>
    <w:rsid w:val="46D70238"/>
    <w:rsid w:val="46D75EF8"/>
    <w:rsid w:val="46D955A7"/>
    <w:rsid w:val="47133957"/>
    <w:rsid w:val="47341C60"/>
    <w:rsid w:val="474415C9"/>
    <w:rsid w:val="47A07E0C"/>
    <w:rsid w:val="4821398F"/>
    <w:rsid w:val="484C3DBB"/>
    <w:rsid w:val="48545A7F"/>
    <w:rsid w:val="4870272E"/>
    <w:rsid w:val="48834CFC"/>
    <w:rsid w:val="48BC3047"/>
    <w:rsid w:val="48C94F47"/>
    <w:rsid w:val="48DA2662"/>
    <w:rsid w:val="49110E87"/>
    <w:rsid w:val="491F1A22"/>
    <w:rsid w:val="49452AA3"/>
    <w:rsid w:val="496164DE"/>
    <w:rsid w:val="498B3262"/>
    <w:rsid w:val="49DC7715"/>
    <w:rsid w:val="4A023139"/>
    <w:rsid w:val="4A240C67"/>
    <w:rsid w:val="4A424C0B"/>
    <w:rsid w:val="4A483136"/>
    <w:rsid w:val="4A7B576F"/>
    <w:rsid w:val="4A807268"/>
    <w:rsid w:val="4A91339A"/>
    <w:rsid w:val="4A9432DE"/>
    <w:rsid w:val="4A9E0DFD"/>
    <w:rsid w:val="4AF561A9"/>
    <w:rsid w:val="4AF61206"/>
    <w:rsid w:val="4B196E7D"/>
    <w:rsid w:val="4B435184"/>
    <w:rsid w:val="4B7218AF"/>
    <w:rsid w:val="4B7D0FBE"/>
    <w:rsid w:val="4B996BD0"/>
    <w:rsid w:val="4BB11C10"/>
    <w:rsid w:val="4C40563E"/>
    <w:rsid w:val="4C4A0649"/>
    <w:rsid w:val="4C6E05FF"/>
    <w:rsid w:val="4C7E397A"/>
    <w:rsid w:val="4C7E5ECA"/>
    <w:rsid w:val="4C876AA5"/>
    <w:rsid w:val="4C8E07F8"/>
    <w:rsid w:val="4CD3235A"/>
    <w:rsid w:val="4CE573A6"/>
    <w:rsid w:val="4D0E00FB"/>
    <w:rsid w:val="4D176606"/>
    <w:rsid w:val="4D406EBA"/>
    <w:rsid w:val="4D525162"/>
    <w:rsid w:val="4D6605C0"/>
    <w:rsid w:val="4D6E0AD1"/>
    <w:rsid w:val="4D7F04A4"/>
    <w:rsid w:val="4DEC4FB0"/>
    <w:rsid w:val="4E016001"/>
    <w:rsid w:val="4E075D8A"/>
    <w:rsid w:val="4E0B0ED2"/>
    <w:rsid w:val="4E516AAA"/>
    <w:rsid w:val="4E6C2D72"/>
    <w:rsid w:val="4E875200"/>
    <w:rsid w:val="4EA8337C"/>
    <w:rsid w:val="4EB303CD"/>
    <w:rsid w:val="4EC00FAD"/>
    <w:rsid w:val="4EFC6732"/>
    <w:rsid w:val="4F025DD2"/>
    <w:rsid w:val="4F0E76A1"/>
    <w:rsid w:val="4F3D627E"/>
    <w:rsid w:val="4F4766B1"/>
    <w:rsid w:val="4F4C1097"/>
    <w:rsid w:val="4F50655E"/>
    <w:rsid w:val="4F8847C5"/>
    <w:rsid w:val="4F953069"/>
    <w:rsid w:val="4F9843DC"/>
    <w:rsid w:val="4FC62A8C"/>
    <w:rsid w:val="4FC97A5A"/>
    <w:rsid w:val="4FE20F0D"/>
    <w:rsid w:val="4FE45087"/>
    <w:rsid w:val="4FE51552"/>
    <w:rsid w:val="4FE927B5"/>
    <w:rsid w:val="500F2B6B"/>
    <w:rsid w:val="50504C4B"/>
    <w:rsid w:val="50540995"/>
    <w:rsid w:val="505536A3"/>
    <w:rsid w:val="50942735"/>
    <w:rsid w:val="509C6E7C"/>
    <w:rsid w:val="50AD2FD7"/>
    <w:rsid w:val="50B1465B"/>
    <w:rsid w:val="50E772C9"/>
    <w:rsid w:val="51071719"/>
    <w:rsid w:val="512C7E53"/>
    <w:rsid w:val="5162104E"/>
    <w:rsid w:val="51823496"/>
    <w:rsid w:val="51923C49"/>
    <w:rsid w:val="521F0CE5"/>
    <w:rsid w:val="52201764"/>
    <w:rsid w:val="526B2E5E"/>
    <w:rsid w:val="52782240"/>
    <w:rsid w:val="528C6DF7"/>
    <w:rsid w:val="52C961C1"/>
    <w:rsid w:val="531A366F"/>
    <w:rsid w:val="532E61D7"/>
    <w:rsid w:val="53501D0A"/>
    <w:rsid w:val="53542016"/>
    <w:rsid w:val="53606002"/>
    <w:rsid w:val="537A5CC3"/>
    <w:rsid w:val="53A039CC"/>
    <w:rsid w:val="53A1505A"/>
    <w:rsid w:val="53A631A5"/>
    <w:rsid w:val="53C73872"/>
    <w:rsid w:val="53F76EFC"/>
    <w:rsid w:val="54063E08"/>
    <w:rsid w:val="543437E8"/>
    <w:rsid w:val="546F4E29"/>
    <w:rsid w:val="547E5BB8"/>
    <w:rsid w:val="5482443D"/>
    <w:rsid w:val="54C007DC"/>
    <w:rsid w:val="54F73313"/>
    <w:rsid w:val="54F80955"/>
    <w:rsid w:val="555170A7"/>
    <w:rsid w:val="557F4254"/>
    <w:rsid w:val="5587536D"/>
    <w:rsid w:val="55936FF7"/>
    <w:rsid w:val="559B174B"/>
    <w:rsid w:val="55A51501"/>
    <w:rsid w:val="55C776C9"/>
    <w:rsid w:val="55CE0CF4"/>
    <w:rsid w:val="55D2626A"/>
    <w:rsid w:val="55DA2824"/>
    <w:rsid w:val="55E23DC1"/>
    <w:rsid w:val="55F07662"/>
    <w:rsid w:val="55F7258B"/>
    <w:rsid w:val="560C1892"/>
    <w:rsid w:val="565A2E77"/>
    <w:rsid w:val="565C65FF"/>
    <w:rsid w:val="5672440D"/>
    <w:rsid w:val="56870FC7"/>
    <w:rsid w:val="56B22A9C"/>
    <w:rsid w:val="57306D5A"/>
    <w:rsid w:val="57315742"/>
    <w:rsid w:val="57533C5C"/>
    <w:rsid w:val="576158FB"/>
    <w:rsid w:val="576866C7"/>
    <w:rsid w:val="57941557"/>
    <w:rsid w:val="57B72A76"/>
    <w:rsid w:val="57BB7AC3"/>
    <w:rsid w:val="57C3426C"/>
    <w:rsid w:val="57C94D38"/>
    <w:rsid w:val="57CE1F93"/>
    <w:rsid w:val="57F74579"/>
    <w:rsid w:val="580B01D9"/>
    <w:rsid w:val="581D1DA7"/>
    <w:rsid w:val="582169F5"/>
    <w:rsid w:val="588743D1"/>
    <w:rsid w:val="5887701A"/>
    <w:rsid w:val="58BF38F3"/>
    <w:rsid w:val="5900754F"/>
    <w:rsid w:val="592330C1"/>
    <w:rsid w:val="592F1971"/>
    <w:rsid w:val="594D070F"/>
    <w:rsid w:val="596C4F6C"/>
    <w:rsid w:val="59B7386E"/>
    <w:rsid w:val="59C0439F"/>
    <w:rsid w:val="59CA2210"/>
    <w:rsid w:val="59DF575A"/>
    <w:rsid w:val="59E263BB"/>
    <w:rsid w:val="59E44380"/>
    <w:rsid w:val="59FC284F"/>
    <w:rsid w:val="5A001706"/>
    <w:rsid w:val="5A4B786B"/>
    <w:rsid w:val="5A5C0273"/>
    <w:rsid w:val="5A8866C7"/>
    <w:rsid w:val="5AB7014D"/>
    <w:rsid w:val="5ABE2233"/>
    <w:rsid w:val="5AEF44DA"/>
    <w:rsid w:val="5B5301C6"/>
    <w:rsid w:val="5BAF393B"/>
    <w:rsid w:val="5BD91F04"/>
    <w:rsid w:val="5BDF5D95"/>
    <w:rsid w:val="5BFE7528"/>
    <w:rsid w:val="5C043425"/>
    <w:rsid w:val="5C2869BF"/>
    <w:rsid w:val="5CAA190C"/>
    <w:rsid w:val="5DA27DEE"/>
    <w:rsid w:val="5DB26B6E"/>
    <w:rsid w:val="5DBE1D5D"/>
    <w:rsid w:val="5E1A60A4"/>
    <w:rsid w:val="5E1D267E"/>
    <w:rsid w:val="5E2467F1"/>
    <w:rsid w:val="5E2D3676"/>
    <w:rsid w:val="5E2E7D46"/>
    <w:rsid w:val="5E8272C5"/>
    <w:rsid w:val="5E857224"/>
    <w:rsid w:val="5EAC48B8"/>
    <w:rsid w:val="5EDF21A0"/>
    <w:rsid w:val="5F1A2B43"/>
    <w:rsid w:val="5F2850BD"/>
    <w:rsid w:val="5F342926"/>
    <w:rsid w:val="5F3C7BD2"/>
    <w:rsid w:val="5F414380"/>
    <w:rsid w:val="5F517030"/>
    <w:rsid w:val="5F5B1EDE"/>
    <w:rsid w:val="5F6E6E08"/>
    <w:rsid w:val="5F825D94"/>
    <w:rsid w:val="5F887A32"/>
    <w:rsid w:val="5FB837BB"/>
    <w:rsid w:val="5FBB3323"/>
    <w:rsid w:val="5FBC7F9B"/>
    <w:rsid w:val="5FDB6BE9"/>
    <w:rsid w:val="5FF049B6"/>
    <w:rsid w:val="60134FDB"/>
    <w:rsid w:val="602D02B7"/>
    <w:rsid w:val="604858AA"/>
    <w:rsid w:val="605E0C13"/>
    <w:rsid w:val="60647D69"/>
    <w:rsid w:val="607F4598"/>
    <w:rsid w:val="608C7032"/>
    <w:rsid w:val="60CC405A"/>
    <w:rsid w:val="60F1754A"/>
    <w:rsid w:val="61493688"/>
    <w:rsid w:val="61B310BB"/>
    <w:rsid w:val="61E215D8"/>
    <w:rsid w:val="61E84C4F"/>
    <w:rsid w:val="61F2362B"/>
    <w:rsid w:val="62011C0C"/>
    <w:rsid w:val="621B3775"/>
    <w:rsid w:val="62265778"/>
    <w:rsid w:val="62314332"/>
    <w:rsid w:val="62364782"/>
    <w:rsid w:val="624276F7"/>
    <w:rsid w:val="62636E14"/>
    <w:rsid w:val="626B0109"/>
    <w:rsid w:val="6299063F"/>
    <w:rsid w:val="62E321EF"/>
    <w:rsid w:val="63400123"/>
    <w:rsid w:val="63676B1D"/>
    <w:rsid w:val="6394356A"/>
    <w:rsid w:val="639F2247"/>
    <w:rsid w:val="63A333EE"/>
    <w:rsid w:val="63C61B2C"/>
    <w:rsid w:val="63D40BE9"/>
    <w:rsid w:val="63E516BC"/>
    <w:rsid w:val="64102431"/>
    <w:rsid w:val="642B09EE"/>
    <w:rsid w:val="644A36BE"/>
    <w:rsid w:val="644C637C"/>
    <w:rsid w:val="647B7D49"/>
    <w:rsid w:val="64834E9A"/>
    <w:rsid w:val="64A11290"/>
    <w:rsid w:val="64A37D6C"/>
    <w:rsid w:val="64A5243A"/>
    <w:rsid w:val="64AE1680"/>
    <w:rsid w:val="64B23636"/>
    <w:rsid w:val="64D53189"/>
    <w:rsid w:val="64D92F75"/>
    <w:rsid w:val="64F531DE"/>
    <w:rsid w:val="65373578"/>
    <w:rsid w:val="654202BE"/>
    <w:rsid w:val="656D2D98"/>
    <w:rsid w:val="65C877D0"/>
    <w:rsid w:val="65DE4CE7"/>
    <w:rsid w:val="65F07DFC"/>
    <w:rsid w:val="661C734D"/>
    <w:rsid w:val="6655134F"/>
    <w:rsid w:val="666D606B"/>
    <w:rsid w:val="668B7B3C"/>
    <w:rsid w:val="66967BBD"/>
    <w:rsid w:val="66F84719"/>
    <w:rsid w:val="671F124A"/>
    <w:rsid w:val="67404CC6"/>
    <w:rsid w:val="677A33C6"/>
    <w:rsid w:val="67841204"/>
    <w:rsid w:val="679227C5"/>
    <w:rsid w:val="67DE4B1C"/>
    <w:rsid w:val="67F04070"/>
    <w:rsid w:val="680C6731"/>
    <w:rsid w:val="681F6961"/>
    <w:rsid w:val="682906A8"/>
    <w:rsid w:val="684D29FB"/>
    <w:rsid w:val="685703BD"/>
    <w:rsid w:val="68610A2F"/>
    <w:rsid w:val="68635B97"/>
    <w:rsid w:val="687544F2"/>
    <w:rsid w:val="687B0778"/>
    <w:rsid w:val="687C299A"/>
    <w:rsid w:val="68805514"/>
    <w:rsid w:val="68931AED"/>
    <w:rsid w:val="689A68CC"/>
    <w:rsid w:val="68B6701B"/>
    <w:rsid w:val="68C7460C"/>
    <w:rsid w:val="68D90323"/>
    <w:rsid w:val="68EC014E"/>
    <w:rsid w:val="69114EF8"/>
    <w:rsid w:val="69137507"/>
    <w:rsid w:val="69202632"/>
    <w:rsid w:val="69316E2F"/>
    <w:rsid w:val="694E2071"/>
    <w:rsid w:val="695A29E1"/>
    <w:rsid w:val="69663964"/>
    <w:rsid w:val="696A6892"/>
    <w:rsid w:val="69766163"/>
    <w:rsid w:val="697A3B33"/>
    <w:rsid w:val="69C65D7D"/>
    <w:rsid w:val="69C73DC3"/>
    <w:rsid w:val="69D44760"/>
    <w:rsid w:val="6A040DE2"/>
    <w:rsid w:val="6A0C3652"/>
    <w:rsid w:val="6A2C3B47"/>
    <w:rsid w:val="6A3F4642"/>
    <w:rsid w:val="6A4D155B"/>
    <w:rsid w:val="6A520EC7"/>
    <w:rsid w:val="6A670BB6"/>
    <w:rsid w:val="6A9116A0"/>
    <w:rsid w:val="6A94006A"/>
    <w:rsid w:val="6AC17DC9"/>
    <w:rsid w:val="6ADF20B9"/>
    <w:rsid w:val="6AF87E20"/>
    <w:rsid w:val="6B322639"/>
    <w:rsid w:val="6B427B62"/>
    <w:rsid w:val="6B673089"/>
    <w:rsid w:val="6B925E92"/>
    <w:rsid w:val="6BE40930"/>
    <w:rsid w:val="6C0A711F"/>
    <w:rsid w:val="6C107C9B"/>
    <w:rsid w:val="6C1B40FE"/>
    <w:rsid w:val="6C437E2A"/>
    <w:rsid w:val="6C570703"/>
    <w:rsid w:val="6C5D623A"/>
    <w:rsid w:val="6C636C38"/>
    <w:rsid w:val="6C676AB8"/>
    <w:rsid w:val="6C796FA5"/>
    <w:rsid w:val="6C841A18"/>
    <w:rsid w:val="6CA954AB"/>
    <w:rsid w:val="6CB0280D"/>
    <w:rsid w:val="6CC31DC0"/>
    <w:rsid w:val="6D1A00BE"/>
    <w:rsid w:val="6D4D2752"/>
    <w:rsid w:val="6D6100A7"/>
    <w:rsid w:val="6D7970D7"/>
    <w:rsid w:val="6D7E5E2C"/>
    <w:rsid w:val="6D84144A"/>
    <w:rsid w:val="6DA847B8"/>
    <w:rsid w:val="6DB34098"/>
    <w:rsid w:val="6DB545B6"/>
    <w:rsid w:val="6DBC0E29"/>
    <w:rsid w:val="6DD46E2A"/>
    <w:rsid w:val="6DE02FB4"/>
    <w:rsid w:val="6DE6284C"/>
    <w:rsid w:val="6E231AD1"/>
    <w:rsid w:val="6E514CED"/>
    <w:rsid w:val="6E527A28"/>
    <w:rsid w:val="6E7000B5"/>
    <w:rsid w:val="6E80161B"/>
    <w:rsid w:val="6EAF520D"/>
    <w:rsid w:val="6EB563D5"/>
    <w:rsid w:val="6EC1654F"/>
    <w:rsid w:val="6ED92677"/>
    <w:rsid w:val="6EF2710D"/>
    <w:rsid w:val="6F121D3F"/>
    <w:rsid w:val="6F1F4AF2"/>
    <w:rsid w:val="6F225983"/>
    <w:rsid w:val="6F2475FF"/>
    <w:rsid w:val="6F821172"/>
    <w:rsid w:val="6FAE125E"/>
    <w:rsid w:val="6FC060EC"/>
    <w:rsid w:val="6FFC5590"/>
    <w:rsid w:val="700556DA"/>
    <w:rsid w:val="700C3964"/>
    <w:rsid w:val="701A56B0"/>
    <w:rsid w:val="702E53BC"/>
    <w:rsid w:val="70696811"/>
    <w:rsid w:val="706D1DD0"/>
    <w:rsid w:val="70737C7E"/>
    <w:rsid w:val="707409DF"/>
    <w:rsid w:val="707A1599"/>
    <w:rsid w:val="70856B87"/>
    <w:rsid w:val="709E77D6"/>
    <w:rsid w:val="70A72179"/>
    <w:rsid w:val="70CB5E68"/>
    <w:rsid w:val="70D527EE"/>
    <w:rsid w:val="70DB31B2"/>
    <w:rsid w:val="70EF5FB4"/>
    <w:rsid w:val="711C0AF7"/>
    <w:rsid w:val="711D243B"/>
    <w:rsid w:val="71465F14"/>
    <w:rsid w:val="715B5300"/>
    <w:rsid w:val="719446DD"/>
    <w:rsid w:val="71B44B4E"/>
    <w:rsid w:val="71D27F8A"/>
    <w:rsid w:val="71E74F23"/>
    <w:rsid w:val="720938E7"/>
    <w:rsid w:val="721327D4"/>
    <w:rsid w:val="7225396E"/>
    <w:rsid w:val="723A4EAD"/>
    <w:rsid w:val="72553024"/>
    <w:rsid w:val="72625F82"/>
    <w:rsid w:val="73122968"/>
    <w:rsid w:val="731D1B24"/>
    <w:rsid w:val="731F5D5E"/>
    <w:rsid w:val="732857F3"/>
    <w:rsid w:val="7345740F"/>
    <w:rsid w:val="73740A39"/>
    <w:rsid w:val="73C51AD5"/>
    <w:rsid w:val="73D75F3A"/>
    <w:rsid w:val="73DD303A"/>
    <w:rsid w:val="7416564C"/>
    <w:rsid w:val="741E793C"/>
    <w:rsid w:val="744525EB"/>
    <w:rsid w:val="745E3944"/>
    <w:rsid w:val="74767613"/>
    <w:rsid w:val="747F6960"/>
    <w:rsid w:val="74915AA2"/>
    <w:rsid w:val="74AA2238"/>
    <w:rsid w:val="757F3893"/>
    <w:rsid w:val="75E559A5"/>
    <w:rsid w:val="75ED4870"/>
    <w:rsid w:val="75F14C5D"/>
    <w:rsid w:val="75F7224C"/>
    <w:rsid w:val="7603516F"/>
    <w:rsid w:val="760F7A29"/>
    <w:rsid w:val="7635099D"/>
    <w:rsid w:val="76745766"/>
    <w:rsid w:val="76E07436"/>
    <w:rsid w:val="76F97D3E"/>
    <w:rsid w:val="772C33D8"/>
    <w:rsid w:val="77492CA5"/>
    <w:rsid w:val="77596DD3"/>
    <w:rsid w:val="77762421"/>
    <w:rsid w:val="77765BBE"/>
    <w:rsid w:val="778556F6"/>
    <w:rsid w:val="77B56B1F"/>
    <w:rsid w:val="77BB6706"/>
    <w:rsid w:val="77D73D25"/>
    <w:rsid w:val="780F09F4"/>
    <w:rsid w:val="783F0EE9"/>
    <w:rsid w:val="78460496"/>
    <w:rsid w:val="784E155F"/>
    <w:rsid w:val="787F46DD"/>
    <w:rsid w:val="78A90480"/>
    <w:rsid w:val="78CA13E6"/>
    <w:rsid w:val="790744BF"/>
    <w:rsid w:val="791C35DC"/>
    <w:rsid w:val="79206A40"/>
    <w:rsid w:val="79271D16"/>
    <w:rsid w:val="79B24069"/>
    <w:rsid w:val="7A002EFD"/>
    <w:rsid w:val="7A1E5EBA"/>
    <w:rsid w:val="7A364017"/>
    <w:rsid w:val="7A635F69"/>
    <w:rsid w:val="7A7A6852"/>
    <w:rsid w:val="7A810C91"/>
    <w:rsid w:val="7A8265E1"/>
    <w:rsid w:val="7AF425AD"/>
    <w:rsid w:val="7B41566E"/>
    <w:rsid w:val="7B4329F2"/>
    <w:rsid w:val="7B684125"/>
    <w:rsid w:val="7B686D42"/>
    <w:rsid w:val="7B707D9F"/>
    <w:rsid w:val="7B841746"/>
    <w:rsid w:val="7B8564CC"/>
    <w:rsid w:val="7BB96C78"/>
    <w:rsid w:val="7BE009F5"/>
    <w:rsid w:val="7BE17BB0"/>
    <w:rsid w:val="7BF621A6"/>
    <w:rsid w:val="7C083ECD"/>
    <w:rsid w:val="7C2313CF"/>
    <w:rsid w:val="7C442F72"/>
    <w:rsid w:val="7C486422"/>
    <w:rsid w:val="7C6C5AC7"/>
    <w:rsid w:val="7C7D29C7"/>
    <w:rsid w:val="7C8D15F5"/>
    <w:rsid w:val="7C9E2682"/>
    <w:rsid w:val="7CA14223"/>
    <w:rsid w:val="7CA76D39"/>
    <w:rsid w:val="7CA83C3E"/>
    <w:rsid w:val="7CC6544B"/>
    <w:rsid w:val="7CDF78A9"/>
    <w:rsid w:val="7CED022B"/>
    <w:rsid w:val="7CF404F4"/>
    <w:rsid w:val="7CF5394D"/>
    <w:rsid w:val="7D0239FF"/>
    <w:rsid w:val="7D5E40CD"/>
    <w:rsid w:val="7D9C0FB2"/>
    <w:rsid w:val="7DB15A05"/>
    <w:rsid w:val="7DCD56F2"/>
    <w:rsid w:val="7DFC3B04"/>
    <w:rsid w:val="7E0C5FEA"/>
    <w:rsid w:val="7E1B412A"/>
    <w:rsid w:val="7EFE0E39"/>
    <w:rsid w:val="7F001CE7"/>
    <w:rsid w:val="7F164ADF"/>
    <w:rsid w:val="7F3D71BF"/>
    <w:rsid w:val="7F912111"/>
    <w:rsid w:val="7FE47E50"/>
    <w:rsid w:val="7FEF0DB0"/>
    <w:rsid w:val="7FF67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0"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qFormat="1"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nhideWhenUsed="0" w:uiPriority="0" w:semiHidden="0" w:name="caption" w:locked="1"/>
    <w:lsdException w:qFormat="1"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qFormat="1"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qFormat="1" w:uiPriority="99"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qFormat="1" w:unhideWhenUsed="0" w:uiPriority="0" w:semiHidden="0" w:name="Block Text" w:locked="1"/>
    <w:lsdException w:qFormat="1"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0" w:semiHidden="0" w:name="Table Grid"/>
    <w:lsdException w:uiPriority="0"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5">
    <w:name w:val="heading 2"/>
    <w:basedOn w:val="1"/>
    <w:next w:val="1"/>
    <w:autoRedefine/>
    <w:unhideWhenUsed/>
    <w:qFormat/>
    <w:locked/>
    <w:uiPriority w:val="0"/>
    <w:pPr>
      <w:keepNext/>
      <w:keepLines/>
      <w:spacing w:before="260" w:after="260" w:line="413" w:lineRule="auto"/>
      <w:outlineLvl w:val="1"/>
    </w:pPr>
    <w:rPr>
      <w:rFonts w:ascii="Arial" w:hAnsi="Arial" w:eastAsia="黑体"/>
      <w:b/>
      <w:sz w:val="32"/>
    </w:rPr>
  </w:style>
  <w:style w:type="paragraph" w:styleId="6">
    <w:name w:val="heading 3"/>
    <w:basedOn w:val="1"/>
    <w:next w:val="1"/>
    <w:autoRedefine/>
    <w:qFormat/>
    <w:locked/>
    <w:uiPriority w:val="0"/>
    <w:pPr>
      <w:keepNext/>
      <w:keepLines/>
      <w:spacing w:before="260" w:after="260" w:line="415" w:lineRule="auto"/>
      <w:outlineLvl w:val="2"/>
    </w:pPr>
    <w:rPr>
      <w:b/>
      <w:bCs/>
      <w:sz w:val="32"/>
      <w:szCs w:val="32"/>
    </w:rPr>
  </w:style>
  <w:style w:type="paragraph" w:styleId="3">
    <w:name w:val="heading 4"/>
    <w:basedOn w:val="1"/>
    <w:next w:val="1"/>
    <w:autoRedefine/>
    <w:qFormat/>
    <w:locked/>
    <w:uiPriority w:val="0"/>
    <w:pPr>
      <w:keepNext/>
      <w:keepLines/>
      <w:tabs>
        <w:tab w:val="left" w:pos="2880"/>
      </w:tabs>
      <w:spacing w:before="280" w:after="290" w:line="372" w:lineRule="auto"/>
      <w:ind w:left="2880" w:hanging="360"/>
      <w:outlineLvl w:val="3"/>
    </w:pPr>
    <w:rPr>
      <w:rFonts w:ascii="Arial" w:hAnsi="Arial" w:eastAsia="黑体" w:cs="宋体"/>
      <w:b/>
      <w:bCs/>
      <w:kern w:val="0"/>
      <w:sz w:val="28"/>
      <w:szCs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3"/>
    <w:autoRedefine/>
    <w:qFormat/>
    <w:locked/>
    <w:uiPriority w:val="0"/>
    <w:pPr>
      <w:widowControl/>
      <w:overflowPunct w:val="0"/>
      <w:autoSpaceDE w:val="0"/>
      <w:autoSpaceDN w:val="0"/>
      <w:adjustRightInd w:val="0"/>
      <w:ind w:firstLine="420"/>
      <w:jc w:val="left"/>
    </w:pPr>
    <w:rPr>
      <w:rFonts w:ascii="Arial" w:hAnsi="Arial"/>
      <w:kern w:val="0"/>
      <w:sz w:val="20"/>
      <w:szCs w:val="20"/>
    </w:rPr>
  </w:style>
  <w:style w:type="paragraph" w:styleId="7">
    <w:name w:val="caption"/>
    <w:basedOn w:val="1"/>
    <w:next w:val="1"/>
    <w:autoRedefine/>
    <w:qFormat/>
    <w:locked/>
    <w:uiPriority w:val="0"/>
    <w:pPr>
      <w:spacing w:before="160" w:after="160" w:line="288" w:lineRule="auto"/>
      <w:ind w:firstLine="510"/>
      <w:jc w:val="center"/>
    </w:pPr>
    <w:rPr>
      <w:rFonts w:ascii="Arial" w:hAnsi="Arial" w:eastAsia="黑体"/>
      <w:sz w:val="24"/>
    </w:rPr>
  </w:style>
  <w:style w:type="paragraph" w:styleId="8">
    <w:name w:val="annotation text"/>
    <w:basedOn w:val="1"/>
    <w:link w:val="48"/>
    <w:autoRedefine/>
    <w:semiHidden/>
    <w:qFormat/>
    <w:uiPriority w:val="0"/>
    <w:pPr>
      <w:jc w:val="left"/>
    </w:pPr>
    <w:rPr>
      <w:kern w:val="0"/>
      <w:sz w:val="24"/>
      <w:szCs w:val="20"/>
    </w:rPr>
  </w:style>
  <w:style w:type="paragraph" w:styleId="9">
    <w:name w:val="Body Text"/>
    <w:basedOn w:val="1"/>
    <w:next w:val="10"/>
    <w:link w:val="49"/>
    <w:autoRedefine/>
    <w:qFormat/>
    <w:uiPriority w:val="0"/>
    <w:pPr>
      <w:widowControl/>
      <w:snapToGrid w:val="0"/>
      <w:spacing w:before="60" w:after="160" w:line="259" w:lineRule="auto"/>
      <w:ind w:right="113"/>
    </w:pPr>
    <w:rPr>
      <w:kern w:val="0"/>
      <w:sz w:val="18"/>
      <w:szCs w:val="20"/>
    </w:rPr>
  </w:style>
  <w:style w:type="paragraph" w:customStyle="1" w:styleId="10">
    <w:name w:val="默认段落"/>
    <w:basedOn w:val="1"/>
    <w:autoRedefine/>
    <w:qFormat/>
    <w:uiPriority w:val="0"/>
  </w:style>
  <w:style w:type="paragraph" w:styleId="11">
    <w:name w:val="Body Text Indent"/>
    <w:basedOn w:val="1"/>
    <w:next w:val="12"/>
    <w:link w:val="47"/>
    <w:autoRedefine/>
    <w:qFormat/>
    <w:uiPriority w:val="0"/>
    <w:pPr>
      <w:spacing w:after="120"/>
      <w:ind w:left="420" w:leftChars="200"/>
    </w:pPr>
    <w:rPr>
      <w:kern w:val="0"/>
      <w:sz w:val="24"/>
      <w:szCs w:val="20"/>
    </w:rPr>
  </w:style>
  <w:style w:type="paragraph" w:styleId="12">
    <w:name w:val="header"/>
    <w:basedOn w:val="1"/>
    <w:next w:val="13"/>
    <w:link w:val="53"/>
    <w:autoRedefine/>
    <w:qFormat/>
    <w:uiPriority w:val="0"/>
    <w:pPr>
      <w:pBdr>
        <w:bottom w:val="single" w:color="auto" w:sz="6" w:space="1"/>
      </w:pBdr>
      <w:tabs>
        <w:tab w:val="center" w:pos="4153"/>
        <w:tab w:val="right" w:pos="8306"/>
      </w:tabs>
      <w:snapToGrid w:val="0"/>
      <w:jc w:val="center"/>
    </w:pPr>
    <w:rPr>
      <w:kern w:val="0"/>
      <w:sz w:val="18"/>
      <w:szCs w:val="20"/>
    </w:rPr>
  </w:style>
  <w:style w:type="paragraph" w:customStyle="1" w:styleId="13">
    <w:name w:val="样式5"/>
    <w:basedOn w:val="14"/>
    <w:next w:val="15"/>
    <w:autoRedefine/>
    <w:qFormat/>
    <w:uiPriority w:val="0"/>
    <w:pPr>
      <w:adjustRightInd w:val="0"/>
      <w:snapToGrid w:val="0"/>
      <w:spacing w:line="460" w:lineRule="exact"/>
      <w:ind w:firstLine="200"/>
      <w:textAlignment w:val="baseline"/>
    </w:pPr>
    <w:rPr>
      <w:rFonts w:ascii="Arial" w:hAnsi="Arial"/>
    </w:rPr>
  </w:style>
  <w:style w:type="paragraph" w:customStyle="1" w:styleId="14">
    <w:name w:val="正文1"/>
    <w:basedOn w:val="1"/>
    <w:next w:val="1"/>
    <w:link w:val="54"/>
    <w:autoRedefine/>
    <w:qFormat/>
    <w:uiPriority w:val="0"/>
    <w:pPr>
      <w:spacing w:line="360" w:lineRule="auto"/>
      <w:ind w:firstLine="480" w:firstLineChars="200"/>
    </w:pPr>
    <w:rPr>
      <w:snapToGrid w:val="0"/>
      <w:kern w:val="0"/>
      <w:sz w:val="24"/>
      <w:szCs w:val="20"/>
    </w:rPr>
  </w:style>
  <w:style w:type="paragraph" w:styleId="15">
    <w:name w:val="endnote text"/>
    <w:basedOn w:val="1"/>
    <w:autoRedefine/>
    <w:unhideWhenUsed/>
    <w:qFormat/>
    <w:locked/>
    <w:uiPriority w:val="0"/>
    <w:pPr>
      <w:snapToGrid w:val="0"/>
      <w:jc w:val="left"/>
    </w:pPr>
    <w:rPr>
      <w:rFonts w:ascii="Calibri" w:hAnsi="Calibri"/>
      <w:sz w:val="24"/>
      <w:szCs w:val="22"/>
    </w:rPr>
  </w:style>
  <w:style w:type="paragraph" w:styleId="16">
    <w:name w:val="Block Text"/>
    <w:basedOn w:val="1"/>
    <w:next w:val="1"/>
    <w:autoRedefine/>
    <w:qFormat/>
    <w:locked/>
    <w:uiPriority w:val="0"/>
    <w:pPr>
      <w:ind w:left="137" w:right="116" w:firstLine="317"/>
    </w:pPr>
    <w:rPr>
      <w:sz w:val="28"/>
    </w:rPr>
  </w:style>
  <w:style w:type="paragraph" w:styleId="17">
    <w:name w:val="Plain Text"/>
    <w:basedOn w:val="1"/>
    <w:next w:val="18"/>
    <w:autoRedefine/>
    <w:unhideWhenUsed/>
    <w:qFormat/>
    <w:locked/>
    <w:uiPriority w:val="0"/>
    <w:rPr>
      <w:rFonts w:ascii="font404" w:hAnsi="font404" w:cs="宋体"/>
      <w:szCs w:val="21"/>
    </w:rPr>
  </w:style>
  <w:style w:type="paragraph" w:styleId="18">
    <w:name w:val="List Continue 5"/>
    <w:basedOn w:val="1"/>
    <w:autoRedefine/>
    <w:unhideWhenUsed/>
    <w:qFormat/>
    <w:locked/>
    <w:uiPriority w:val="99"/>
    <w:pPr>
      <w:spacing w:after="120"/>
      <w:ind w:left="2100" w:leftChars="1000"/>
    </w:pPr>
  </w:style>
  <w:style w:type="paragraph" w:styleId="19">
    <w:name w:val="toc 8"/>
    <w:basedOn w:val="1"/>
    <w:next w:val="1"/>
    <w:autoRedefine/>
    <w:qFormat/>
    <w:locked/>
    <w:uiPriority w:val="0"/>
    <w:pPr>
      <w:ind w:left="1470"/>
      <w:jc w:val="left"/>
    </w:pPr>
    <w:rPr>
      <w:sz w:val="18"/>
      <w:szCs w:val="18"/>
    </w:rPr>
  </w:style>
  <w:style w:type="paragraph" w:styleId="20">
    <w:name w:val="Date"/>
    <w:basedOn w:val="1"/>
    <w:next w:val="1"/>
    <w:link w:val="50"/>
    <w:autoRedefine/>
    <w:qFormat/>
    <w:uiPriority w:val="0"/>
    <w:pPr>
      <w:ind w:left="100" w:leftChars="2500"/>
    </w:pPr>
    <w:rPr>
      <w:kern w:val="0"/>
      <w:sz w:val="24"/>
      <w:szCs w:val="20"/>
    </w:rPr>
  </w:style>
  <w:style w:type="paragraph" w:styleId="21">
    <w:name w:val="Body Text Indent 2"/>
    <w:basedOn w:val="1"/>
    <w:autoRedefine/>
    <w:qFormat/>
    <w:locked/>
    <w:uiPriority w:val="0"/>
    <w:pPr>
      <w:spacing w:line="420" w:lineRule="exact"/>
      <w:ind w:right="-78" w:firstLine="450"/>
    </w:pPr>
    <w:rPr>
      <w:sz w:val="24"/>
    </w:rPr>
  </w:style>
  <w:style w:type="paragraph" w:styleId="22">
    <w:name w:val="Balloon Text"/>
    <w:basedOn w:val="1"/>
    <w:link w:val="51"/>
    <w:autoRedefine/>
    <w:semiHidden/>
    <w:qFormat/>
    <w:uiPriority w:val="0"/>
    <w:rPr>
      <w:kern w:val="0"/>
      <w:sz w:val="18"/>
      <w:szCs w:val="20"/>
    </w:rPr>
  </w:style>
  <w:style w:type="paragraph" w:styleId="23">
    <w:name w:val="footer"/>
    <w:basedOn w:val="1"/>
    <w:next w:val="1"/>
    <w:link w:val="52"/>
    <w:autoRedefine/>
    <w:qFormat/>
    <w:uiPriority w:val="99"/>
    <w:pPr>
      <w:tabs>
        <w:tab w:val="center" w:pos="4153"/>
        <w:tab w:val="right" w:pos="8306"/>
      </w:tabs>
      <w:snapToGrid w:val="0"/>
      <w:jc w:val="left"/>
    </w:pPr>
    <w:rPr>
      <w:kern w:val="0"/>
      <w:sz w:val="18"/>
      <w:szCs w:val="20"/>
    </w:rPr>
  </w:style>
  <w:style w:type="paragraph" w:styleId="24">
    <w:name w:val="toc 1"/>
    <w:basedOn w:val="1"/>
    <w:next w:val="1"/>
    <w:autoRedefine/>
    <w:qFormat/>
    <w:locked/>
    <w:uiPriority w:val="0"/>
  </w:style>
  <w:style w:type="paragraph" w:styleId="25">
    <w:name w:val="Subtitle"/>
    <w:basedOn w:val="1"/>
    <w:next w:val="1"/>
    <w:autoRedefine/>
    <w:qFormat/>
    <w:locked/>
    <w:uiPriority w:val="0"/>
    <w:pPr>
      <w:jc w:val="center"/>
    </w:pPr>
    <w:rPr>
      <w:bCs/>
      <w:color w:val="000000"/>
      <w:kern w:val="28"/>
      <w:szCs w:val="32"/>
    </w:rPr>
  </w:style>
  <w:style w:type="paragraph" w:styleId="26">
    <w:name w:val="Body Text Indent 3"/>
    <w:basedOn w:val="1"/>
    <w:autoRedefine/>
    <w:qFormat/>
    <w:locked/>
    <w:uiPriority w:val="0"/>
    <w:pPr>
      <w:spacing w:after="120"/>
      <w:ind w:left="420"/>
    </w:pPr>
    <w:rPr>
      <w:sz w:val="16"/>
    </w:rPr>
  </w:style>
  <w:style w:type="paragraph" w:styleId="27">
    <w:name w:val="table of figures"/>
    <w:basedOn w:val="1"/>
    <w:next w:val="1"/>
    <w:autoRedefine/>
    <w:unhideWhenUsed/>
    <w:qFormat/>
    <w:locked/>
    <w:uiPriority w:val="0"/>
    <w:pPr>
      <w:ind w:left="200" w:leftChars="200" w:hanging="200" w:hangingChars="200"/>
    </w:pPr>
    <w:rPr>
      <w:szCs w:val="21"/>
    </w:rPr>
  </w:style>
  <w:style w:type="paragraph" w:styleId="28">
    <w:name w:val="toc 2"/>
    <w:basedOn w:val="1"/>
    <w:next w:val="1"/>
    <w:autoRedefine/>
    <w:qFormat/>
    <w:locked/>
    <w:uiPriority w:val="0"/>
    <w:pPr>
      <w:ind w:left="420" w:leftChars="200"/>
    </w:pPr>
  </w:style>
  <w:style w:type="paragraph" w:styleId="29">
    <w:name w:val="Normal (Web)"/>
    <w:basedOn w:val="1"/>
    <w:next w:val="19"/>
    <w:link w:val="55"/>
    <w:autoRedefine/>
    <w:qFormat/>
    <w:uiPriority w:val="0"/>
    <w:pPr>
      <w:widowControl/>
      <w:spacing w:before="100" w:beforeAutospacing="1" w:after="100" w:afterAutospacing="1"/>
      <w:jc w:val="left"/>
    </w:pPr>
    <w:rPr>
      <w:rFonts w:ascii="宋体" w:hAnsi="宋体"/>
      <w:kern w:val="0"/>
      <w:sz w:val="24"/>
      <w:szCs w:val="20"/>
    </w:rPr>
  </w:style>
  <w:style w:type="paragraph" w:styleId="30">
    <w:name w:val="annotation subject"/>
    <w:basedOn w:val="8"/>
    <w:next w:val="8"/>
    <w:link w:val="56"/>
    <w:autoRedefine/>
    <w:semiHidden/>
    <w:qFormat/>
    <w:uiPriority w:val="0"/>
    <w:rPr>
      <w:b/>
    </w:rPr>
  </w:style>
  <w:style w:type="paragraph" w:styleId="31">
    <w:name w:val="Body Text First Indent"/>
    <w:basedOn w:val="9"/>
    <w:next w:val="1"/>
    <w:autoRedefine/>
    <w:qFormat/>
    <w:locked/>
    <w:uiPriority w:val="0"/>
    <w:pPr>
      <w:spacing w:after="120"/>
      <w:ind w:firstLine="420" w:firstLineChars="100"/>
    </w:pPr>
    <w:rPr>
      <w:sz w:val="21"/>
    </w:rPr>
  </w:style>
  <w:style w:type="paragraph" w:styleId="32">
    <w:name w:val="Body Text First Indent 2"/>
    <w:basedOn w:val="11"/>
    <w:next w:val="1"/>
    <w:autoRedefine/>
    <w:qFormat/>
    <w:locked/>
    <w:uiPriority w:val="0"/>
    <w:pPr>
      <w:ind w:firstLine="420" w:firstLineChars="200"/>
    </w:pPr>
    <w:rPr>
      <w:kern w:val="2"/>
      <w:sz w:val="21"/>
    </w:rPr>
  </w:style>
  <w:style w:type="table" w:styleId="34">
    <w:name w:val="Table Grid"/>
    <w:basedOn w:val="3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autoRedefine/>
    <w:qFormat/>
    <w:locked/>
    <w:uiPriority w:val="0"/>
    <w:rPr>
      <w:b/>
    </w:rPr>
  </w:style>
  <w:style w:type="character" w:styleId="37">
    <w:name w:val="page number"/>
    <w:autoRedefine/>
    <w:qFormat/>
    <w:locked/>
    <w:uiPriority w:val="0"/>
  </w:style>
  <w:style w:type="character" w:styleId="38">
    <w:name w:val="Hyperlink"/>
    <w:basedOn w:val="35"/>
    <w:qFormat/>
    <w:locked/>
    <w:uiPriority w:val="0"/>
    <w:rPr>
      <w:color w:val="0000FF"/>
      <w:u w:val="single"/>
    </w:rPr>
  </w:style>
  <w:style w:type="character" w:styleId="39">
    <w:name w:val="annotation reference"/>
    <w:autoRedefine/>
    <w:semiHidden/>
    <w:qFormat/>
    <w:uiPriority w:val="0"/>
    <w:rPr>
      <w:sz w:val="21"/>
    </w:rPr>
  </w:style>
  <w:style w:type="paragraph" w:customStyle="1" w:styleId="40">
    <w:name w:val="报告正文"/>
    <w:basedOn w:val="1"/>
    <w:autoRedefine/>
    <w:qFormat/>
    <w:uiPriority w:val="0"/>
    <w:pPr>
      <w:spacing w:line="480" w:lineRule="exact"/>
      <w:ind w:firstLine="200" w:firstLineChars="200"/>
    </w:pPr>
    <w:rPr>
      <w:color w:val="000000"/>
      <w:sz w:val="24"/>
    </w:rPr>
  </w:style>
  <w:style w:type="paragraph" w:customStyle="1" w:styleId="41">
    <w:name w:val="Default"/>
    <w:basedOn w:val="42"/>
    <w:next w:val="1"/>
    <w:autoRedefine/>
    <w:qFormat/>
    <w:uiPriority w:val="0"/>
    <w:rPr>
      <w:rFonts w:ascii="仿宋_GB2312" w:eastAsia="仿宋_GB2312" w:cs="仿宋_GB2312"/>
      <w:color w:val="000000"/>
      <w:sz w:val="24"/>
      <w:szCs w:val="24"/>
    </w:rPr>
  </w:style>
  <w:style w:type="paragraph" w:customStyle="1" w:styleId="42">
    <w:name w:val="纯文本1"/>
    <w:basedOn w:val="1"/>
    <w:autoRedefine/>
    <w:qFormat/>
    <w:uiPriority w:val="99"/>
    <w:pPr>
      <w:autoSpaceDE w:val="0"/>
      <w:autoSpaceDN w:val="0"/>
      <w:adjustRightInd w:val="0"/>
      <w:textAlignment w:val="baseline"/>
    </w:pPr>
    <w:rPr>
      <w:rFonts w:ascii="宋体"/>
      <w:szCs w:val="20"/>
    </w:rPr>
  </w:style>
  <w:style w:type="paragraph" w:customStyle="1" w:styleId="43">
    <w:name w:val="Default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4">
    <w:name w:val="样式 样式 样式 四号 左侧:  1.53 厘米 + 首行缩进:  2 字符 + 居中 左侧:  2 字符 首行缩进:  2..."/>
    <w:basedOn w:val="45"/>
    <w:autoRedefine/>
    <w:qFormat/>
    <w:uiPriority w:val="0"/>
    <w:pPr>
      <w:spacing w:line="360" w:lineRule="auto"/>
      <w:jc w:val="center"/>
    </w:pPr>
  </w:style>
  <w:style w:type="paragraph" w:customStyle="1" w:styleId="45">
    <w:name w:val="样式 样式 四号 左侧:  1.53 厘米 + 首行缩进:  2 字符"/>
    <w:basedOn w:val="46"/>
    <w:autoRedefine/>
    <w:qFormat/>
    <w:uiPriority w:val="99"/>
    <w:pPr>
      <w:ind w:left="200" w:leftChars="200"/>
    </w:pPr>
    <w:rPr>
      <w:szCs w:val="20"/>
    </w:rPr>
  </w:style>
  <w:style w:type="paragraph" w:customStyle="1" w:styleId="46">
    <w:name w:val="样式 四号 左侧:  1.53 厘米"/>
    <w:basedOn w:val="1"/>
    <w:autoRedefine/>
    <w:qFormat/>
    <w:uiPriority w:val="99"/>
    <w:rPr>
      <w:w w:val="90"/>
      <w:sz w:val="28"/>
      <w:szCs w:val="28"/>
    </w:rPr>
  </w:style>
  <w:style w:type="character" w:customStyle="1" w:styleId="47">
    <w:name w:val="正文文本缩进 字符"/>
    <w:link w:val="11"/>
    <w:autoRedefine/>
    <w:semiHidden/>
    <w:qFormat/>
    <w:locked/>
    <w:uiPriority w:val="0"/>
    <w:rPr>
      <w:rFonts w:ascii="Times New Roman" w:hAnsi="Times New Roman" w:eastAsia="宋体"/>
      <w:sz w:val="24"/>
    </w:rPr>
  </w:style>
  <w:style w:type="character" w:customStyle="1" w:styleId="48">
    <w:name w:val="批注文字 字符"/>
    <w:link w:val="8"/>
    <w:qFormat/>
    <w:locked/>
    <w:uiPriority w:val="0"/>
    <w:rPr>
      <w:rFonts w:ascii="Times New Roman" w:hAnsi="Times New Roman" w:eastAsia="宋体"/>
      <w:sz w:val="24"/>
    </w:rPr>
  </w:style>
  <w:style w:type="character" w:customStyle="1" w:styleId="49">
    <w:name w:val="正文文本 字符"/>
    <w:link w:val="9"/>
    <w:autoRedefine/>
    <w:qFormat/>
    <w:locked/>
    <w:uiPriority w:val="0"/>
    <w:rPr>
      <w:sz w:val="18"/>
    </w:rPr>
  </w:style>
  <w:style w:type="character" w:customStyle="1" w:styleId="50">
    <w:name w:val="日期 字符1"/>
    <w:link w:val="20"/>
    <w:autoRedefine/>
    <w:qFormat/>
    <w:locked/>
    <w:uiPriority w:val="0"/>
    <w:rPr>
      <w:rFonts w:ascii="Times New Roman" w:hAnsi="Times New Roman" w:eastAsia="宋体"/>
      <w:sz w:val="24"/>
    </w:rPr>
  </w:style>
  <w:style w:type="character" w:customStyle="1" w:styleId="51">
    <w:name w:val="批注框文本 字符"/>
    <w:link w:val="22"/>
    <w:autoRedefine/>
    <w:semiHidden/>
    <w:qFormat/>
    <w:locked/>
    <w:uiPriority w:val="0"/>
    <w:rPr>
      <w:rFonts w:ascii="Times New Roman" w:hAnsi="Times New Roman" w:eastAsia="宋体"/>
      <w:sz w:val="18"/>
    </w:rPr>
  </w:style>
  <w:style w:type="character" w:customStyle="1" w:styleId="52">
    <w:name w:val="页脚 字符1"/>
    <w:link w:val="23"/>
    <w:autoRedefine/>
    <w:qFormat/>
    <w:locked/>
    <w:uiPriority w:val="99"/>
    <w:rPr>
      <w:sz w:val="18"/>
    </w:rPr>
  </w:style>
  <w:style w:type="character" w:customStyle="1" w:styleId="53">
    <w:name w:val="页眉 字符"/>
    <w:link w:val="12"/>
    <w:autoRedefine/>
    <w:qFormat/>
    <w:locked/>
    <w:uiPriority w:val="0"/>
    <w:rPr>
      <w:sz w:val="18"/>
    </w:rPr>
  </w:style>
  <w:style w:type="character" w:customStyle="1" w:styleId="54">
    <w:name w:val="正文1 Char"/>
    <w:link w:val="14"/>
    <w:autoRedefine/>
    <w:qFormat/>
    <w:uiPriority w:val="0"/>
    <w:rPr>
      <w:snapToGrid/>
      <w:sz w:val="24"/>
    </w:rPr>
  </w:style>
  <w:style w:type="character" w:customStyle="1" w:styleId="55">
    <w:name w:val="普通(网站) 字符"/>
    <w:link w:val="29"/>
    <w:autoRedefine/>
    <w:qFormat/>
    <w:locked/>
    <w:uiPriority w:val="0"/>
    <w:rPr>
      <w:rFonts w:ascii="宋体" w:hAnsi="宋体" w:eastAsia="宋体"/>
      <w:sz w:val="24"/>
    </w:rPr>
  </w:style>
  <w:style w:type="character" w:customStyle="1" w:styleId="56">
    <w:name w:val="批注主题 字符"/>
    <w:link w:val="30"/>
    <w:autoRedefine/>
    <w:semiHidden/>
    <w:qFormat/>
    <w:locked/>
    <w:uiPriority w:val="0"/>
    <w:rPr>
      <w:rFonts w:ascii="Times New Roman" w:hAnsi="Times New Roman" w:eastAsia="宋体"/>
      <w:b/>
      <w:kern w:val="2"/>
      <w:sz w:val="24"/>
    </w:rPr>
  </w:style>
  <w:style w:type="character" w:customStyle="1" w:styleId="57">
    <w:name w:val="表格 Char"/>
    <w:link w:val="58"/>
    <w:autoRedefine/>
    <w:qFormat/>
    <w:locked/>
    <w:uiPriority w:val="0"/>
    <w:rPr>
      <w:rFonts w:ascii="宋体"/>
      <w:sz w:val="21"/>
    </w:rPr>
  </w:style>
  <w:style w:type="paragraph" w:customStyle="1" w:styleId="58">
    <w:name w:val="表格"/>
    <w:basedOn w:val="2"/>
    <w:next w:val="1"/>
    <w:link w:val="57"/>
    <w:autoRedefine/>
    <w:qFormat/>
    <w:uiPriority w:val="0"/>
    <w:pPr>
      <w:snapToGrid w:val="0"/>
      <w:spacing w:beforeLines="10" w:afterLines="10" w:line="259" w:lineRule="auto"/>
      <w:jc w:val="center"/>
    </w:pPr>
    <w:rPr>
      <w:rFonts w:ascii="宋体"/>
    </w:rPr>
  </w:style>
  <w:style w:type="paragraph" w:customStyle="1" w:styleId="59">
    <w:name w:val="表格文字"/>
    <w:basedOn w:val="9"/>
    <w:next w:val="9"/>
    <w:autoRedefine/>
    <w:qFormat/>
    <w:uiPriority w:val="0"/>
    <w:pPr>
      <w:adjustRightInd w:val="0"/>
      <w:spacing w:line="400" w:lineRule="atLeast"/>
      <w:jc w:val="center"/>
    </w:pPr>
    <w:rPr>
      <w:kern w:val="24"/>
      <w:sz w:val="24"/>
    </w:rPr>
  </w:style>
  <w:style w:type="character" w:customStyle="1" w:styleId="60">
    <w:name w:val="正文文本 字符1"/>
    <w:autoRedefine/>
    <w:semiHidden/>
    <w:qFormat/>
    <w:uiPriority w:val="0"/>
    <w:rPr>
      <w:rFonts w:ascii="Times New Roman" w:hAnsi="Times New Roman" w:eastAsia="宋体"/>
      <w:sz w:val="24"/>
    </w:rPr>
  </w:style>
  <w:style w:type="character" w:customStyle="1" w:styleId="61">
    <w:name w:val="font01"/>
    <w:autoRedefine/>
    <w:qFormat/>
    <w:uiPriority w:val="0"/>
    <w:rPr>
      <w:rFonts w:ascii="Calibri" w:hAnsi="Calibri" w:cs="Calibri"/>
      <w:color w:val="000000"/>
      <w:sz w:val="22"/>
      <w:szCs w:val="22"/>
      <w:u w:val="none"/>
    </w:rPr>
  </w:style>
  <w:style w:type="character" w:customStyle="1" w:styleId="62">
    <w:name w:val="日期 字符"/>
    <w:autoRedefine/>
    <w:semiHidden/>
    <w:qFormat/>
    <w:uiPriority w:val="0"/>
    <w:rPr>
      <w:rFonts w:ascii="Times New Roman" w:hAnsi="Times New Roman" w:eastAsia="宋体"/>
      <w:sz w:val="24"/>
    </w:rPr>
  </w:style>
  <w:style w:type="character" w:customStyle="1" w:styleId="63">
    <w:name w:val="font41"/>
    <w:autoRedefine/>
    <w:qFormat/>
    <w:uiPriority w:val="0"/>
    <w:rPr>
      <w:rFonts w:hint="eastAsia" w:ascii="宋体" w:hAnsi="宋体" w:eastAsia="宋体" w:cs="宋体"/>
      <w:color w:val="000000"/>
      <w:sz w:val="22"/>
      <w:szCs w:val="22"/>
      <w:u w:val="none"/>
    </w:rPr>
  </w:style>
  <w:style w:type="character" w:customStyle="1" w:styleId="64">
    <w:name w:val="font11"/>
    <w:autoRedefine/>
    <w:qFormat/>
    <w:uiPriority w:val="0"/>
    <w:rPr>
      <w:rFonts w:hint="eastAsia" w:ascii="宋体" w:hAnsi="宋体" w:eastAsia="宋体" w:cs="宋体"/>
      <w:color w:val="000000"/>
      <w:sz w:val="22"/>
      <w:szCs w:val="22"/>
      <w:u w:val="none"/>
    </w:rPr>
  </w:style>
  <w:style w:type="character" w:customStyle="1" w:styleId="65">
    <w:name w:val="批注文字 字符1"/>
    <w:autoRedefine/>
    <w:semiHidden/>
    <w:qFormat/>
    <w:uiPriority w:val="0"/>
    <w:rPr>
      <w:rFonts w:ascii="Times New Roman" w:hAnsi="Times New Roman" w:eastAsia="宋体"/>
      <w:sz w:val="24"/>
    </w:rPr>
  </w:style>
  <w:style w:type="character" w:customStyle="1" w:styleId="66">
    <w:name w:val="页脚 字符"/>
    <w:autoRedefine/>
    <w:qFormat/>
    <w:uiPriority w:val="99"/>
  </w:style>
  <w:style w:type="paragraph" w:customStyle="1" w:styleId="67">
    <w:name w:val="表头"/>
    <w:basedOn w:val="2"/>
    <w:next w:val="2"/>
    <w:autoRedefine/>
    <w:qFormat/>
    <w:uiPriority w:val="0"/>
    <w:pPr>
      <w:spacing w:line="360" w:lineRule="auto"/>
      <w:ind w:firstLine="300" w:firstLineChars="300"/>
    </w:pPr>
    <w:rPr>
      <w:rFonts w:ascii="黑体" w:eastAsia="黑体"/>
      <w:sz w:val="24"/>
    </w:rPr>
  </w:style>
  <w:style w:type="paragraph" w:customStyle="1" w:styleId="68">
    <w:name w:val="正文缩进1"/>
    <w:basedOn w:val="1"/>
    <w:autoRedefine/>
    <w:qFormat/>
    <w:uiPriority w:val="0"/>
    <w:pPr>
      <w:ind w:firstLine="480" w:firstLineChars="200"/>
    </w:pPr>
    <w:rPr>
      <w:rFonts w:ascii="Arial" w:hAnsi="Arial"/>
      <w:snapToGrid w:val="0"/>
      <w:sz w:val="24"/>
      <w:szCs w:val="20"/>
    </w:rPr>
  </w:style>
  <w:style w:type="paragraph" w:customStyle="1" w:styleId="69">
    <w:name w:val="Body text|1"/>
    <w:basedOn w:val="1"/>
    <w:autoRedefine/>
    <w:qFormat/>
    <w:uiPriority w:val="0"/>
    <w:pPr>
      <w:spacing w:line="391" w:lineRule="auto"/>
      <w:ind w:firstLine="400"/>
    </w:pPr>
    <w:rPr>
      <w:rFonts w:ascii="宋体" w:hAnsi="宋体" w:cs="宋体"/>
      <w:sz w:val="30"/>
      <w:szCs w:val="30"/>
      <w:lang w:val="zh-TW" w:eastAsia="zh-TW" w:bidi="zh-TW"/>
    </w:rPr>
  </w:style>
  <w:style w:type="paragraph" w:customStyle="1" w:styleId="70">
    <w:name w:val="普通(网站)2"/>
    <w:basedOn w:val="1"/>
    <w:autoRedefine/>
    <w:qFormat/>
    <w:uiPriority w:val="0"/>
    <w:pPr>
      <w:widowControl/>
      <w:spacing w:before="100" w:beforeAutospacing="1" w:after="100" w:afterAutospacing="1"/>
      <w:jc w:val="left"/>
    </w:pPr>
    <w:rPr>
      <w:rFonts w:ascii="宋体" w:hAnsi="宋体"/>
      <w:sz w:val="24"/>
      <w:szCs w:val="20"/>
    </w:rPr>
  </w:style>
  <w:style w:type="paragraph" w:customStyle="1" w:styleId="71">
    <w:name w:val="正文_1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2">
    <w:name w:val="环评表格"/>
    <w:next w:val="1"/>
    <w:autoRedefine/>
    <w:qFormat/>
    <w:uiPriority w:val="0"/>
    <w:pPr>
      <w:jc w:val="center"/>
    </w:pPr>
    <w:rPr>
      <w:rFonts w:ascii="Times New Roman" w:hAnsi="Times New Roman" w:eastAsia="宋体" w:cs="Times New Roman"/>
      <w:sz w:val="21"/>
      <w:szCs w:val="21"/>
      <w:lang w:val="en-US" w:eastAsia="zh-CN" w:bidi="ar-SA"/>
    </w:rPr>
  </w:style>
  <w:style w:type="paragraph" w:customStyle="1" w:styleId="73">
    <w:name w:val="二级无标题条"/>
    <w:basedOn w:val="1"/>
    <w:autoRedefine/>
    <w:qFormat/>
    <w:uiPriority w:val="0"/>
  </w:style>
  <w:style w:type="paragraph" w:styleId="74">
    <w:name w:val="List Paragraph"/>
    <w:basedOn w:val="1"/>
    <w:autoRedefine/>
    <w:qFormat/>
    <w:uiPriority w:val="34"/>
    <w:pPr>
      <w:ind w:firstLine="420" w:firstLineChars="200"/>
    </w:pPr>
  </w:style>
  <w:style w:type="paragraph" w:customStyle="1" w:styleId="75">
    <w:name w:val="段落"/>
    <w:basedOn w:val="1"/>
    <w:autoRedefine/>
    <w:qFormat/>
    <w:uiPriority w:val="0"/>
    <w:pPr>
      <w:ind w:firstLine="480" w:firstLineChars="200"/>
    </w:pPr>
    <w:rPr>
      <w:sz w:val="24"/>
    </w:rPr>
  </w:style>
  <w:style w:type="paragraph" w:customStyle="1" w:styleId="76">
    <w:name w:val="样式 小四 行距: 固定值 24 磅 首行缩进:  2 字符"/>
    <w:basedOn w:val="1"/>
    <w:autoRedefine/>
    <w:qFormat/>
    <w:uiPriority w:val="0"/>
    <w:pPr>
      <w:spacing w:line="440" w:lineRule="exact"/>
      <w:ind w:firstLine="200"/>
    </w:pPr>
  </w:style>
  <w:style w:type="paragraph" w:customStyle="1" w:styleId="77">
    <w:name w:val="标题111"/>
    <w:basedOn w:val="1"/>
    <w:autoRedefine/>
    <w:qFormat/>
    <w:uiPriority w:val="0"/>
    <w:pPr>
      <w:spacing w:line="480" w:lineRule="exact"/>
    </w:pPr>
    <w:rPr>
      <w:b/>
      <w:sz w:val="24"/>
    </w:rPr>
  </w:style>
  <w:style w:type="paragraph" w:customStyle="1" w:styleId="78">
    <w:name w:val="正文_1"/>
    <w:autoRedefine/>
    <w:qFormat/>
    <w:uiPriority w:val="0"/>
    <w:pPr>
      <w:widowControl w:val="0"/>
      <w:jc w:val="both"/>
    </w:pPr>
    <w:rPr>
      <w:rFonts w:ascii="Calibri" w:hAnsi="Calibri" w:eastAsia="宋体" w:cs="Times New Roman"/>
      <w:kern w:val="2"/>
      <w:sz w:val="21"/>
      <w:lang w:val="en-US" w:eastAsia="zh-CN" w:bidi="ar-SA"/>
    </w:rPr>
  </w:style>
  <w:style w:type="paragraph" w:customStyle="1" w:styleId="79">
    <w:name w:val="p0"/>
    <w:basedOn w:val="1"/>
    <w:autoRedefine/>
    <w:qFormat/>
    <w:uiPriority w:val="0"/>
    <w:pPr>
      <w:widowControl/>
    </w:pPr>
    <w:rPr>
      <w:kern w:val="0"/>
    </w:rPr>
  </w:style>
  <w:style w:type="paragraph" w:customStyle="1" w:styleId="80">
    <w:name w:val="Table Paragraph"/>
    <w:basedOn w:val="1"/>
    <w:autoRedefine/>
    <w:qFormat/>
    <w:uiPriority w:val="0"/>
    <w:pPr>
      <w:jc w:val="center"/>
    </w:pPr>
    <w:rPr>
      <w:rFonts w:ascii="宋体" w:hAnsi="宋体" w:cs="宋体"/>
      <w:lang w:val="zh-CN" w:bidi="zh-CN"/>
    </w:rPr>
  </w:style>
  <w:style w:type="paragraph" w:customStyle="1" w:styleId="81">
    <w:name w:val="正文内容"/>
    <w:basedOn w:val="1"/>
    <w:autoRedefine/>
    <w:qFormat/>
    <w:uiPriority w:val="0"/>
    <w:pPr>
      <w:spacing w:line="360" w:lineRule="auto"/>
      <w:ind w:firstLine="567"/>
    </w:pPr>
    <w:rPr>
      <w:rFonts w:ascii="宋体"/>
      <w:sz w:val="24"/>
    </w:rPr>
  </w:style>
  <w:style w:type="paragraph" w:customStyle="1" w:styleId="82">
    <w:name w:val="正文正"/>
    <w:basedOn w:val="1"/>
    <w:autoRedefine/>
    <w:qFormat/>
    <w:uiPriority w:val="0"/>
    <w:pPr>
      <w:ind w:firstLine="560" w:firstLineChars="200"/>
    </w:pPr>
    <w:rPr>
      <w:sz w:val="28"/>
    </w:rPr>
  </w:style>
  <w:style w:type="paragraph" w:customStyle="1" w:styleId="83">
    <w:name w:val="Other|1"/>
    <w:basedOn w:val="1"/>
    <w:autoRedefine/>
    <w:qFormat/>
    <w:uiPriority w:val="0"/>
    <w:pPr>
      <w:spacing w:line="427" w:lineRule="auto"/>
      <w:ind w:firstLine="400"/>
    </w:pPr>
    <w:rPr>
      <w:rFonts w:ascii="宋体" w:hAnsi="宋体" w:cs="宋体"/>
      <w:sz w:val="28"/>
      <w:szCs w:val="28"/>
      <w:lang w:val="zh-TW" w:eastAsia="zh-TW" w:bidi="zh-TW"/>
    </w:rPr>
  </w:style>
  <w:style w:type="paragraph" w:customStyle="1" w:styleId="84">
    <w:name w:val="表格内容"/>
    <w:basedOn w:val="1"/>
    <w:autoRedefine/>
    <w:qFormat/>
    <w:uiPriority w:val="0"/>
    <w:pPr>
      <w:autoSpaceDE w:val="0"/>
      <w:autoSpaceDN w:val="0"/>
      <w:adjustRightInd w:val="0"/>
      <w:snapToGrid w:val="0"/>
      <w:spacing w:line="360" w:lineRule="exact"/>
      <w:jc w:val="center"/>
    </w:pPr>
    <w:rPr>
      <w:szCs w:val="21"/>
    </w:rPr>
  </w:style>
  <w:style w:type="paragraph" w:customStyle="1" w:styleId="85">
    <w:name w:val="正文_4"/>
    <w:autoRedefine/>
    <w:qFormat/>
    <w:uiPriority w:val="0"/>
    <w:pPr>
      <w:widowControl w:val="0"/>
      <w:jc w:val="both"/>
    </w:pPr>
    <w:rPr>
      <w:rFonts w:ascii="Calibri" w:hAnsi="Calibri" w:eastAsia="宋体" w:cs="Times New Roman"/>
      <w:kern w:val="2"/>
      <w:sz w:val="21"/>
      <w:lang w:val="en-US" w:eastAsia="zh-CN" w:bidi="ar-SA"/>
    </w:rPr>
  </w:style>
  <w:style w:type="paragraph" w:customStyle="1" w:styleId="86">
    <w:name w:val="表"/>
    <w:basedOn w:val="1"/>
    <w:autoRedefine/>
    <w:qFormat/>
    <w:uiPriority w:val="0"/>
    <w:pPr>
      <w:widowControl/>
      <w:jc w:val="center"/>
    </w:pPr>
    <w:rPr>
      <w:rFonts w:ascii="黑体" w:eastAsia="黑体"/>
      <w:kern w:val="0"/>
    </w:rPr>
  </w:style>
  <w:style w:type="paragraph" w:customStyle="1" w:styleId="87">
    <w:name w:val="样式1"/>
    <w:basedOn w:val="1"/>
    <w:autoRedefine/>
    <w:qFormat/>
    <w:uiPriority w:val="0"/>
    <w:pPr>
      <w:tabs>
        <w:tab w:val="left" w:pos="1200"/>
      </w:tabs>
      <w:adjustRightInd w:val="0"/>
      <w:snapToGrid w:val="0"/>
      <w:spacing w:line="360" w:lineRule="auto"/>
    </w:pPr>
    <w:rPr>
      <w:sz w:val="28"/>
    </w:rPr>
  </w:style>
  <w:style w:type="paragraph" w:customStyle="1" w:styleId="88">
    <w:name w:val="三级标题"/>
    <w:basedOn w:val="1"/>
    <w:next w:val="32"/>
    <w:autoRedefine/>
    <w:qFormat/>
    <w:uiPriority w:val="0"/>
    <w:pPr>
      <w:adjustRightInd w:val="0"/>
      <w:snapToGrid w:val="0"/>
      <w:spacing w:line="320" w:lineRule="exact"/>
      <w:jc w:val="center"/>
    </w:pPr>
    <w:rPr>
      <w:b/>
      <w:bCs/>
      <w:kern w:val="0"/>
      <w:szCs w:val="21"/>
    </w:rPr>
  </w:style>
  <w:style w:type="paragraph" w:customStyle="1" w:styleId="89">
    <w:name w:val="样式 四号 首行缩进:  2 字符"/>
    <w:basedOn w:val="1"/>
    <w:autoRedefine/>
    <w:qFormat/>
    <w:uiPriority w:val="0"/>
    <w:pPr>
      <w:spacing w:line="480" w:lineRule="atLeast"/>
      <w:ind w:firstLine="200" w:firstLineChars="200"/>
    </w:pPr>
    <w:rPr>
      <w:sz w:val="24"/>
    </w:rPr>
  </w:style>
  <w:style w:type="paragraph" w:customStyle="1" w:styleId="90">
    <w:name w:val="正文缩进11"/>
    <w:basedOn w:val="1"/>
    <w:autoRedefine/>
    <w:qFormat/>
    <w:uiPriority w:val="0"/>
    <w:pPr>
      <w:ind w:firstLine="420"/>
    </w:pPr>
    <w:rPr>
      <w:szCs w:val="20"/>
    </w:rPr>
  </w:style>
  <w:style w:type="paragraph" w:customStyle="1" w:styleId="91">
    <w:name w:val="...表格标题"/>
    <w:autoRedefine/>
    <w:qFormat/>
    <w:uiPriority w:val="0"/>
    <w:pPr>
      <w:spacing w:line="480" w:lineRule="exact"/>
      <w:jc w:val="center"/>
    </w:pPr>
    <w:rPr>
      <w:rFonts w:ascii="Times New Roman" w:hAnsi="Times New Roman" w:eastAsia="黑体" w:cs="Times New Roman"/>
      <w:kern w:val="2"/>
      <w:sz w:val="24"/>
      <w:szCs w:val="24"/>
      <w:lang w:val="en-US" w:eastAsia="zh-CN" w:bidi="ar-SA"/>
    </w:rPr>
  </w:style>
  <w:style w:type="character" w:customStyle="1" w:styleId="92">
    <w:name w:val="NormalCharacter"/>
    <w:autoRedefine/>
    <w:semiHidden/>
    <w:qFormat/>
    <w:uiPriority w:val="0"/>
    <w:rPr>
      <w:rFonts w:ascii="Times New Roman" w:hAnsi="Times New Roman" w:eastAsia="宋体" w:cs="Times New Roman"/>
      <w:kern w:val="2"/>
      <w:sz w:val="21"/>
      <w:szCs w:val="24"/>
      <w:lang w:val="en-US" w:eastAsia="zh-CN" w:bidi="ar-SA"/>
    </w:rPr>
  </w:style>
  <w:style w:type="character" w:customStyle="1" w:styleId="93">
    <w:name w:val="Font Style98"/>
    <w:autoRedefine/>
    <w:qFormat/>
    <w:uiPriority w:val="0"/>
    <w:rPr>
      <w:rFonts w:ascii="宋体" w:eastAsia="宋体" w:cs="宋体"/>
      <w:sz w:val="22"/>
      <w:szCs w:val="22"/>
    </w:rPr>
  </w:style>
  <w:style w:type="paragraph" w:customStyle="1" w:styleId="94">
    <w:name w:val="(.a表格内容"/>
    <w:basedOn w:val="95"/>
    <w:autoRedefine/>
    <w:qFormat/>
    <w:uiPriority w:val="0"/>
    <w:pPr>
      <w:spacing w:line="0" w:lineRule="atLeast"/>
      <w:ind w:firstLine="0" w:firstLineChars="0"/>
      <w:jc w:val="center"/>
    </w:pPr>
    <w:rPr>
      <w:sz w:val="21"/>
    </w:rPr>
  </w:style>
  <w:style w:type="paragraph" w:customStyle="1" w:styleId="95">
    <w:name w:val="（.a正文"/>
    <w:autoRedefine/>
    <w:qFormat/>
    <w:uiPriority w:val="0"/>
    <w:pPr>
      <w:adjustRightInd w:val="0"/>
      <w:spacing w:line="480" w:lineRule="exact"/>
      <w:ind w:firstLine="200" w:firstLineChars="200"/>
      <w:jc w:val="both"/>
    </w:pPr>
    <w:rPr>
      <w:rFonts w:ascii="Times New Roman" w:hAnsi="Times New Roman" w:eastAsia="宋体" w:cs="Times New Roman"/>
      <w:bCs/>
      <w:kern w:val="2"/>
      <w:sz w:val="24"/>
      <w:szCs w:val="24"/>
      <w:lang w:val="en-US" w:eastAsia="zh-CN" w:bidi="ar-SA"/>
    </w:rPr>
  </w:style>
  <w:style w:type="paragraph" w:customStyle="1" w:styleId="96">
    <w:name w:val="WPSOffice手动目录 1"/>
    <w:autoRedefine/>
    <w:qFormat/>
    <w:uiPriority w:val="0"/>
    <w:rPr>
      <w:rFonts w:ascii="Times New Roman" w:hAnsi="Times New Roman" w:eastAsia="宋体" w:cs="Times New Roman"/>
      <w:lang w:val="en-US" w:eastAsia="zh-CN" w:bidi="ar-SA"/>
    </w:rPr>
  </w:style>
  <w:style w:type="paragraph" w:customStyle="1" w:styleId="97">
    <w:name w:val="正文文本 (15)"/>
    <w:basedOn w:val="1"/>
    <w:autoRedefine/>
    <w:qFormat/>
    <w:uiPriority w:val="0"/>
    <w:pPr>
      <w:widowControl/>
      <w:shd w:val="clear" w:color="auto" w:fill="FFFFFF"/>
      <w:spacing w:line="0" w:lineRule="atLeast"/>
      <w:jc w:val="left"/>
    </w:pPr>
    <w:rPr>
      <w:rFonts w:ascii="MingLiU" w:hAnsi="MingLiU" w:eastAsia="MingLiU"/>
      <w:sz w:val="17"/>
      <w:szCs w:val="17"/>
    </w:rPr>
  </w:style>
  <w:style w:type="character" w:customStyle="1" w:styleId="98">
    <w:name w:val="font141"/>
    <w:autoRedefine/>
    <w:qFormat/>
    <w:uiPriority w:val="0"/>
    <w:rPr>
      <w:rFonts w:hint="default" w:ascii="Times New Roman" w:hAnsi="Times New Roman" w:cs="Times New Roman"/>
      <w:color w:val="000000"/>
      <w:sz w:val="21"/>
      <w:szCs w:val="21"/>
      <w:u w:val="none"/>
    </w:rPr>
  </w:style>
  <w:style w:type="character" w:customStyle="1" w:styleId="99">
    <w:name w:val="font21"/>
    <w:basedOn w:val="35"/>
    <w:autoRedefine/>
    <w:qFormat/>
    <w:uiPriority w:val="0"/>
    <w:rPr>
      <w:rFonts w:hint="eastAsia" w:ascii="宋体" w:hAnsi="宋体" w:eastAsia="宋体" w:cs="宋体"/>
      <w:color w:val="000000"/>
      <w:sz w:val="21"/>
      <w:szCs w:val="21"/>
      <w:u w:val="none"/>
    </w:rPr>
  </w:style>
  <w:style w:type="character" w:customStyle="1" w:styleId="100">
    <w:name w:val="正文文本 + Arial Unicode MS"/>
    <w:autoRedefine/>
    <w:qFormat/>
    <w:uiPriority w:val="0"/>
    <w:rPr>
      <w:rFonts w:ascii="Arial Unicode MS" w:hAnsi="Arial Unicode MS" w:eastAsia="Arial Unicode MS" w:cs="Arial Unicode MS"/>
      <w:spacing w:val="0"/>
      <w:sz w:val="18"/>
      <w:szCs w:val="18"/>
    </w:rPr>
  </w:style>
  <w:style w:type="paragraph" w:customStyle="1" w:styleId="101">
    <w:name w:val="标题二"/>
    <w:basedOn w:val="1"/>
    <w:autoRedefine/>
    <w:qFormat/>
    <w:uiPriority w:val="0"/>
    <w:rPr>
      <w:sz w:val="24"/>
      <w:szCs w:val="20"/>
    </w:rPr>
  </w:style>
  <w:style w:type="paragraph" w:customStyle="1" w:styleId="102">
    <w:name w:val="中文报告书样式"/>
    <w:basedOn w:val="1"/>
    <w:autoRedefine/>
    <w:qFormat/>
    <w:uiPriority w:val="0"/>
    <w:pPr>
      <w:adjustRightInd w:val="0"/>
      <w:spacing w:line="480" w:lineRule="atLeast"/>
      <w:ind w:firstLine="482"/>
      <w:textAlignment w:val="baseline"/>
    </w:pPr>
    <w:rPr>
      <w:kern w:val="24"/>
      <w:sz w:val="24"/>
    </w:rPr>
  </w:style>
  <w:style w:type="character" w:customStyle="1" w:styleId="103">
    <w:name w:val="font31"/>
    <w:basedOn w:val="35"/>
    <w:autoRedefine/>
    <w:qFormat/>
    <w:uiPriority w:val="0"/>
    <w:rPr>
      <w:rFonts w:hint="eastAsia" w:ascii="宋体" w:hAnsi="宋体" w:eastAsia="宋体" w:cs="宋体"/>
      <w:color w:val="333333"/>
      <w:sz w:val="36"/>
      <w:szCs w:val="36"/>
      <w:u w:val="none"/>
    </w:rPr>
  </w:style>
  <w:style w:type="paragraph" w:customStyle="1" w:styleId="104">
    <w:name w:val="正文2"/>
    <w:basedOn w:val="105"/>
    <w:autoRedefine/>
    <w:qFormat/>
    <w:uiPriority w:val="0"/>
    <w:pPr>
      <w:suppressAutoHyphens/>
      <w:spacing w:line="520" w:lineRule="atLeast"/>
      <w:ind w:firstLine="680"/>
    </w:pPr>
    <w:rPr>
      <w:rFonts w:ascii="Calibri" w:hAnsi="Calibri" w:eastAsia="宋体"/>
      <w:spacing w:val="18"/>
      <w:sz w:val="32"/>
    </w:rPr>
  </w:style>
  <w:style w:type="paragraph" w:customStyle="1" w:styleId="105">
    <w:name w:val="Body Text 22"/>
    <w:autoRedefine/>
    <w:qFormat/>
    <w:uiPriority w:val="0"/>
    <w:pPr>
      <w:widowControl w:val="0"/>
      <w:adjustRightInd w:val="0"/>
      <w:spacing w:line="440" w:lineRule="atLeast"/>
      <w:ind w:firstLine="480"/>
      <w:jc w:val="both"/>
      <w:textAlignment w:val="baseline"/>
    </w:pPr>
    <w:rPr>
      <w:rFonts w:ascii="Times New Roman" w:hAnsi="Times New Roman" w:eastAsia="仿宋_GB2312" w:cs="Times New Roman"/>
      <w:kern w:val="2"/>
      <w:sz w:val="24"/>
      <w:szCs w:val="22"/>
      <w:lang w:val="en-US" w:eastAsia="zh-CN" w:bidi="ar-SA"/>
    </w:rPr>
  </w:style>
  <w:style w:type="paragraph" w:customStyle="1" w:styleId="106">
    <w:name w:val="表头样式1"/>
    <w:basedOn w:val="1"/>
    <w:autoRedefine/>
    <w:qFormat/>
    <w:uiPriority w:val="0"/>
    <w:pPr>
      <w:tabs>
        <w:tab w:val="center" w:pos="4505"/>
      </w:tabs>
      <w:jc w:val="center"/>
    </w:pPr>
    <w:rPr>
      <w:b/>
      <w:szCs w:val="22"/>
    </w:rPr>
  </w:style>
  <w:style w:type="paragraph" w:customStyle="1" w:styleId="107">
    <w:name w:val="我的表头"/>
    <w:basedOn w:val="108"/>
    <w:autoRedefine/>
    <w:qFormat/>
    <w:uiPriority w:val="0"/>
    <w:pPr>
      <w:ind w:firstLine="0" w:firstLineChars="0"/>
      <w:jc w:val="center"/>
    </w:pPr>
    <w:rPr>
      <w:b/>
      <w:sz w:val="21"/>
      <w:szCs w:val="21"/>
    </w:rPr>
  </w:style>
  <w:style w:type="paragraph" w:customStyle="1" w:styleId="108">
    <w:name w:val="正常格式"/>
    <w:basedOn w:val="104"/>
    <w:autoRedefine/>
    <w:qFormat/>
    <w:uiPriority w:val="0"/>
    <w:pPr>
      <w:spacing w:line="480" w:lineRule="exact"/>
      <w:ind w:firstLine="682" w:firstLineChars="200"/>
    </w:pPr>
    <w:rPr>
      <w:rFonts w:ascii="Times New Roman" w:hAnsi="Times New Roman"/>
      <w:szCs w:val="24"/>
    </w:rPr>
  </w:style>
  <w:style w:type="paragraph" w:customStyle="1" w:styleId="109">
    <w:name w:val="正文233"/>
    <w:basedOn w:val="110"/>
    <w:autoRedefine/>
    <w:qFormat/>
    <w:uiPriority w:val="0"/>
  </w:style>
  <w:style w:type="paragraph" w:customStyle="1" w:styleId="110">
    <w:name w:val="样式 样式 正文 + 首行缩进:  2 字符 + 首行缩进:  2 字符"/>
    <w:basedOn w:val="111"/>
    <w:autoRedefine/>
    <w:qFormat/>
    <w:uiPriority w:val="0"/>
  </w:style>
  <w:style w:type="paragraph" w:customStyle="1" w:styleId="111">
    <w:name w:val="样式 正文 + 首行缩进:  2 字符"/>
    <w:basedOn w:val="112"/>
    <w:autoRedefine/>
    <w:qFormat/>
    <w:uiPriority w:val="0"/>
    <w:pPr>
      <w:spacing w:line="480" w:lineRule="exact"/>
      <w:jc w:val="both"/>
    </w:pPr>
    <w:rPr>
      <w:rFonts w:cs="宋体"/>
      <w:szCs w:val="20"/>
    </w:rPr>
  </w:style>
  <w:style w:type="paragraph" w:customStyle="1" w:styleId="112">
    <w:name w:val="正文3"/>
    <w:next w:val="1"/>
    <w:autoRedefine/>
    <w:qFormat/>
    <w:uiPriority w:val="0"/>
    <w:pPr>
      <w:autoSpaceDE w:val="0"/>
      <w:autoSpaceDN w:val="0"/>
      <w:adjustRightInd w:val="0"/>
      <w:snapToGrid w:val="0"/>
      <w:spacing w:line="360" w:lineRule="auto"/>
      <w:ind w:firstLine="200" w:firstLineChars="200"/>
    </w:pPr>
    <w:rPr>
      <w:rFonts w:ascii="Times New Roman" w:hAnsi="Times New Roman" w:eastAsia="宋体" w:cs="Times New Roman"/>
      <w:sz w:val="24"/>
      <w:szCs w:val="24"/>
      <w:lang w:val="en-US" w:eastAsia="zh-CN" w:bidi="ar-SA"/>
    </w:rPr>
  </w:style>
  <w:style w:type="paragraph" w:customStyle="1" w:styleId="113">
    <w:name w:val="表标题"/>
    <w:basedOn w:val="1"/>
    <w:autoRedefine/>
    <w:qFormat/>
    <w:uiPriority w:val="0"/>
    <w:pPr>
      <w:spacing w:line="500" w:lineRule="exact"/>
      <w:jc w:val="center"/>
    </w:pPr>
    <w:rPr>
      <w:b/>
      <w:sz w:val="24"/>
    </w:rPr>
  </w:style>
  <w:style w:type="paragraph" w:customStyle="1" w:styleId="114">
    <w:name w:val="标书正文"/>
    <w:basedOn w:val="1"/>
    <w:autoRedefine/>
    <w:qFormat/>
    <w:uiPriority w:val="0"/>
    <w:pPr>
      <w:tabs>
        <w:tab w:val="left" w:pos="0"/>
        <w:tab w:val="left" w:pos="735"/>
      </w:tabs>
      <w:spacing w:line="360" w:lineRule="auto"/>
    </w:pPr>
  </w:style>
  <w:style w:type="paragraph" w:customStyle="1" w:styleId="115">
    <w:name w:val="图表"/>
    <w:basedOn w:val="1"/>
    <w:autoRedefine/>
    <w:qFormat/>
    <w:uiPriority w:val="0"/>
    <w:pPr>
      <w:jc w:val="center"/>
    </w:pPr>
    <w:rPr>
      <w:rFonts w:eastAsia="黑体"/>
      <w:sz w:val="24"/>
    </w:rPr>
  </w:style>
  <w:style w:type="paragraph" w:customStyle="1" w:styleId="116">
    <w:name w:val="04 正文"/>
    <w:basedOn w:val="1"/>
    <w:autoRedefine/>
    <w:qFormat/>
    <w:uiPriority w:val="0"/>
    <w:pPr>
      <w:spacing w:line="400" w:lineRule="exact"/>
      <w:ind w:firstLine="420" w:firstLineChars="200"/>
    </w:pPr>
    <w:rPr>
      <w:bCs/>
      <w:color w:val="000000"/>
      <w:sz w:val="24"/>
      <w:szCs w:val="21"/>
    </w:rPr>
  </w:style>
  <w:style w:type="paragraph" w:customStyle="1" w:styleId="117">
    <w:name w:val="样式 仿宋_GB2312 四号 两端对齐 行距: 固定值 25 磅"/>
    <w:basedOn w:val="1"/>
    <w:autoRedefine/>
    <w:qFormat/>
    <w:uiPriority w:val="0"/>
    <w:pPr>
      <w:spacing w:line="500" w:lineRule="exact"/>
      <w:ind w:firstLine="560" w:firstLineChars="200"/>
    </w:pPr>
    <w:rPr>
      <w:rFonts w:ascii="仿宋_GB2312" w:cs="宋体"/>
      <w:sz w:val="28"/>
    </w:rPr>
  </w:style>
  <w:style w:type="paragraph" w:customStyle="1" w:styleId="118">
    <w:name w:val="标题3"/>
    <w:basedOn w:val="6"/>
    <w:next w:val="1"/>
    <w:autoRedefine/>
    <w:qFormat/>
    <w:uiPriority w:val="0"/>
    <w:pPr>
      <w:keepNext w:val="0"/>
      <w:keepLines w:val="0"/>
      <w:spacing w:before="0" w:after="0" w:line="500" w:lineRule="exact"/>
    </w:pPr>
    <w:rPr>
      <w:sz w:val="24"/>
    </w:rPr>
  </w:style>
  <w:style w:type="paragraph" w:customStyle="1" w:styleId="119">
    <w:name w:val="标 正文"/>
    <w:autoRedefine/>
    <w:qFormat/>
    <w:uiPriority w:val="0"/>
    <w:pPr>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120">
    <w:name w:val="表格内文字格式"/>
    <w:basedOn w:val="1"/>
    <w:next w:val="1"/>
    <w:autoRedefine/>
    <w:qFormat/>
    <w:uiPriority w:val="0"/>
    <w:pPr>
      <w:adjustRightInd w:val="0"/>
      <w:snapToGrid w:val="0"/>
      <w:jc w:val="left"/>
    </w:pPr>
    <w:rPr>
      <w:szCs w:val="21"/>
    </w:rPr>
  </w:style>
  <w:style w:type="paragraph" w:customStyle="1" w:styleId="121">
    <w:name w:val="图名表头"/>
    <w:basedOn w:val="1"/>
    <w:autoRedefine/>
    <w:qFormat/>
    <w:uiPriority w:val="0"/>
    <w:pPr>
      <w:spacing w:line="360" w:lineRule="auto"/>
      <w:jc w:val="center"/>
    </w:pPr>
    <w:rPr>
      <w:rFonts w:ascii="宋体" w:hAnsi="宋体" w:cs="宋体"/>
      <w:sz w:val="24"/>
      <w:szCs w:val="21"/>
    </w:rPr>
  </w:style>
  <w:style w:type="paragraph" w:styleId="122">
    <w:name w:val="No Spacing"/>
    <w:autoRedefine/>
    <w:qFormat/>
    <w:uiPriority w:val="1"/>
    <w:pPr>
      <w:widowControl w:val="0"/>
      <w:spacing w:line="440" w:lineRule="exact"/>
      <w:jc w:val="center"/>
    </w:pPr>
    <w:rPr>
      <w:rFonts w:ascii="Times New Roman" w:hAnsi="Times New Roman" w:eastAsia="宋体" w:cs="Times New Roman"/>
      <w:b/>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jpeg"/><Relationship Id="rId18" Type="http://schemas.openxmlformats.org/officeDocument/2006/relationships/hyperlink" Target="http://www.biaozhi.net/eNews/news/200602/0030_0000002014.shtml" TargetMode="External"/><Relationship Id="rId17" Type="http://schemas.openxmlformats.org/officeDocument/2006/relationships/image" Target="media/image6.png"/><Relationship Id="rId16" Type="http://schemas.openxmlformats.org/officeDocument/2006/relationships/hyperlink" Target="http://www.biaozhi.net/eNews/news/200602/0029_0000000909.shtml" TargetMode="External"/><Relationship Id="rId15" Type="http://schemas.openxmlformats.org/officeDocument/2006/relationships/image" Target="media/image5.png"/><Relationship Id="rId14" Type="http://schemas.openxmlformats.org/officeDocument/2006/relationships/hyperlink" Target="http://www.biaozhi.net/eNews/news/200602/0029_0000000907.shtml" TargetMode="External"/><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微软中国</Company>
  <Pages>68</Pages>
  <Words>37791</Words>
  <Characters>42486</Characters>
  <Lines>343</Lines>
  <Paragraphs>96</Paragraphs>
  <TotalTime>88</TotalTime>
  <ScaleCrop>false</ScaleCrop>
  <LinksUpToDate>false</LinksUpToDate>
  <CharactersWithSpaces>42795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Administrator</cp:lastModifiedBy>
  <cp:lastPrinted>2024-04-02T04:43:00Z</cp:lastPrinted>
  <dcterms:modified xsi:type="dcterms:W3CDTF">2024-04-07T06:29:30Z</dcterms:modified>
  <dc:title>附件2</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5B039DCBF89E46A3965A94F2B68CB628</vt:lpwstr>
  </property>
</Properties>
</file>