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hint="eastAsia" w:ascii="黑体" w:hAnsi="Calibri" w:eastAsia="黑体"/>
          <w:b/>
          <w:sz w:val="44"/>
        </w:rPr>
        <w:t>2022年单位预算信息公开目录</w:t>
      </w:r>
    </w:p>
    <w:p>
      <w:pPr>
        <w:jc w:val="center"/>
        <w:rPr>
          <w:rFonts w:hAnsi="宋体"/>
          <w:b/>
          <w:sz w:val="30"/>
        </w:rPr>
      </w:pPr>
    </w:p>
    <w:p>
      <w:pPr>
        <w:jc w:val="left"/>
        <w:rPr>
          <w:rFonts w:hAnsi="宋体"/>
          <w:b/>
          <w:sz w:val="28"/>
        </w:rPr>
      </w:pPr>
      <w:r>
        <w:rPr>
          <w:rFonts w:hint="eastAsia" w:ascii="方正楷体_GBK" w:hAnsi="Calibri" w:eastAsia="方正楷体_GBK"/>
          <w:b/>
          <w:sz w:val="28"/>
        </w:rPr>
        <w:t>本级预算公开表</w:t>
      </w:r>
    </w:p>
    <w:p>
      <w:pPr>
        <w:pStyle w:val="10"/>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w:instrText>
      </w:r>
      <w:r>
        <w:rPr>
          <w:rFonts w:hAnsi="Calibri" w:eastAsia="方正仿宋_GBK"/>
          <w:sz w:val="28"/>
        </w:rPr>
        <w:fldChar w:fldCharType="separate"/>
      </w:r>
      <w:r>
        <w:fldChar w:fldCharType="begin"/>
      </w:r>
      <w:r>
        <w:instrText xml:space="preserve"> HYPERLINK \l "_Toc68791536" </w:instrText>
      </w:r>
      <w:r>
        <w:fldChar w:fldCharType="separate"/>
      </w:r>
      <w:r>
        <w:rPr>
          <w:rStyle w:val="17"/>
          <w:rFonts w:hint="eastAsia" w:hAnsi="Calibri" w:eastAsia="方正仿宋_GBK"/>
          <w:sz w:val="28"/>
        </w:rPr>
        <w:t>本级预算收支总表</w:t>
      </w:r>
      <w:r>
        <w:rPr>
          <w:rFonts w:hAnsi="Calibri" w:eastAsia="方正仿宋_GBK"/>
          <w:sz w:val="28"/>
        </w:rPr>
        <w:tab/>
      </w:r>
      <w:r>
        <w:rPr>
          <w:rFonts w:hint="eastAsia" w:hAnsi="Calibri"/>
          <w:sz w:val="28"/>
        </w:rPr>
        <w:t>1</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"_Toc68791537" </w:instrText>
      </w:r>
      <w:r>
        <w:fldChar w:fldCharType="separate"/>
      </w:r>
      <w:r>
        <w:rPr>
          <w:rStyle w:val="17"/>
          <w:rFonts w:hint="eastAsia" w:hAnsi="Calibri" w:eastAsia="方正仿宋_GBK"/>
          <w:sz w:val="28"/>
        </w:rPr>
        <w:t>本级预算收入总表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"_Toc68791538" </w:instrText>
      </w:r>
      <w:r>
        <w:fldChar w:fldCharType="separate"/>
      </w:r>
      <w:r>
        <w:rPr>
          <w:rStyle w:val="17"/>
          <w:rFonts w:hint="eastAsia" w:hAnsi="Calibri" w:eastAsia="方正仿宋_GBK"/>
          <w:sz w:val="28"/>
        </w:rPr>
        <w:t>本级预算支出总表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"_Toc68791539" </w:instrText>
      </w:r>
      <w:r>
        <w:fldChar w:fldCharType="separate"/>
      </w:r>
      <w:r>
        <w:rPr>
          <w:rStyle w:val="17"/>
          <w:rFonts w:hint="eastAsia" w:hAnsi="Calibri" w:eastAsia="方正仿宋_GBK"/>
          <w:sz w:val="28"/>
        </w:rPr>
        <w:t>本级预算财政拨款收支总表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"_Toc68791540" </w:instrText>
      </w:r>
      <w:r>
        <w:fldChar w:fldCharType="separate"/>
      </w:r>
      <w:r>
        <w:rPr>
          <w:rStyle w:val="17"/>
          <w:rFonts w:hint="eastAsia" w:hAnsi="Calibri" w:eastAsia="方正仿宋_GBK"/>
          <w:sz w:val="28"/>
        </w:rPr>
        <w:t>本级预算一般公共预算财政拨款支出表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0</w:t>
      </w:r>
    </w:p>
    <w:p>
      <w:pPr>
        <w:pStyle w:val="10"/>
        <w:tabs>
          <w:tab w:val="right" w:leader="dot" w:pos="14789"/>
        </w:tabs>
        <w:jc w:val="center"/>
        <w:rPr>
          <w:rFonts w:hAnsi="Calibri"/>
          <w:sz w:val="28"/>
        </w:rPr>
      </w:pPr>
      <w:r>
        <w:fldChar w:fldCharType="begin"/>
      </w:r>
      <w:r>
        <w:instrText xml:space="preserve"> HYPERLINK \l "_Toc68791541" </w:instrText>
      </w:r>
      <w:r>
        <w:fldChar w:fldCharType="separate"/>
      </w:r>
      <w:r>
        <w:rPr>
          <w:rStyle w:val="17"/>
          <w:rFonts w:hint="eastAsia" w:hAnsi="Calibri" w:eastAsia="方正仿宋_GBK"/>
          <w:sz w:val="28"/>
        </w:rPr>
        <w:t>本级预算一般公共预算财政拨款基本支出表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2</w:t>
      </w:r>
    </w:p>
    <w:p>
      <w:pPr>
        <w:pStyle w:val="10"/>
        <w:tabs>
          <w:tab w:val="right" w:leader="dot" w:pos="14789"/>
        </w:tabs>
        <w:jc w:val="center"/>
        <w:rPr>
          <w:rFonts w:hAnsi="Calibri"/>
          <w:sz w:val="28"/>
        </w:rPr>
      </w:pPr>
      <w:r>
        <w:fldChar w:fldCharType="begin"/>
      </w:r>
      <w:r>
        <w:instrText xml:space="preserve"> HYPERLINK \l "_Toc68791542" </w:instrText>
      </w:r>
      <w:r>
        <w:fldChar w:fldCharType="separate"/>
      </w:r>
      <w:r>
        <w:rPr>
          <w:rStyle w:val="17"/>
          <w:rFonts w:hint="eastAsia" w:hAnsi="Calibri" w:eastAsia="方正仿宋_GBK"/>
          <w:sz w:val="28"/>
        </w:rPr>
        <w:t>本级预算政府基金预算财政拨款支出表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5</w:t>
      </w:r>
    </w:p>
    <w:p>
      <w:pPr>
        <w:pStyle w:val="10"/>
        <w:tabs>
          <w:tab w:val="right" w:leader="dot" w:pos="14789"/>
        </w:tabs>
        <w:jc w:val="center"/>
        <w:rPr>
          <w:rFonts w:hAnsi="Calibri"/>
          <w:sz w:val="28"/>
        </w:rPr>
      </w:pPr>
      <w:r>
        <w:fldChar w:fldCharType="begin"/>
      </w:r>
      <w:r>
        <w:instrText xml:space="preserve"> HYPERLINK \l "_Toc68791543" </w:instrText>
      </w:r>
      <w:r>
        <w:fldChar w:fldCharType="separate"/>
      </w:r>
      <w:r>
        <w:rPr>
          <w:rStyle w:val="17"/>
          <w:rFonts w:hint="eastAsia" w:hAnsi="Calibri" w:eastAsia="方正仿宋_GBK"/>
          <w:sz w:val="28"/>
        </w:rPr>
        <w:t>本级预算国有资本经营预算财政拨款支出表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6</w:t>
      </w:r>
    </w:p>
    <w:p>
      <w:pPr>
        <w:pStyle w:val="10"/>
        <w:tabs>
          <w:tab w:val="right" w:leader="dot" w:pos="14789"/>
        </w:tabs>
        <w:jc w:val="center"/>
        <w:rPr>
          <w:rFonts w:hAnsi="Calibri"/>
          <w:sz w:val="28"/>
        </w:rPr>
      </w:pPr>
      <w:r>
        <w:fldChar w:fldCharType="begin"/>
      </w:r>
      <w:r>
        <w:instrText xml:space="preserve"> HYPERLINK \l "_Toc68791544" </w:instrText>
      </w:r>
      <w:r>
        <w:fldChar w:fldCharType="separate"/>
      </w:r>
      <w:r>
        <w:rPr>
          <w:rStyle w:val="17"/>
          <w:rFonts w:hint="eastAsia" w:hAnsi="Calibri" w:eastAsia="方正仿宋_GBK"/>
          <w:sz w:val="28"/>
        </w:rPr>
        <w:t>本级预算财政拨款“三公”经费支出表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7</w:t>
      </w:r>
    </w:p>
    <w:p>
      <w:pPr>
        <w:ind w:left="420" w:leftChars="200"/>
        <w:jc w:val="center"/>
        <w:rPr>
          <w:rFonts w:hAnsi="宋体"/>
        </w:rPr>
      </w:pPr>
      <w:r>
        <w:rPr>
          <w:rFonts w:hAnsi="Calibri" w:eastAsia="方正仿宋_GBK"/>
          <w:sz w:val="28"/>
        </w:rPr>
        <w:fldChar w:fldCharType="end"/>
      </w:r>
    </w:p>
    <w:p>
      <w:pPr>
        <w:jc w:val="left"/>
        <w:rPr>
          <w:rFonts w:hAnsi="宋体"/>
          <w:b/>
          <w:sz w:val="28"/>
        </w:rPr>
      </w:pPr>
      <w:r>
        <w:rPr>
          <w:rFonts w:hint="eastAsia" w:ascii="方正楷体_GBK" w:hAnsi="Calibri" w:eastAsia="方正楷体_GBK"/>
          <w:b/>
          <w:sz w:val="28"/>
        </w:rPr>
        <w:t>本级预算信息公开情况说明</w:t>
      </w:r>
    </w:p>
    <w:p>
      <w:pPr>
        <w:pStyle w:val="5"/>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w:instrText>
      </w:r>
      <w:r>
        <w:rPr>
          <w:rFonts w:hAnsi="Calibri" w:eastAsia="方正仿宋_GBK"/>
          <w:sz w:val="28"/>
        </w:rPr>
        <w:fldChar w:fldCharType="separate"/>
      </w:r>
      <w:r>
        <w:fldChar w:fldCharType="begin"/>
      </w:r>
      <w:r>
        <w:instrText xml:space="preserve"> HYPERLINK \l "_Toc68791545" </w:instrText>
      </w:r>
      <w:r>
        <w:fldChar w:fldCharType="separate"/>
      </w:r>
      <w:r>
        <w:rPr>
          <w:rStyle w:val="17"/>
          <w:rFonts w:hint="eastAsia" w:hAnsi="黑体" w:eastAsia="方正仿宋_GBK"/>
          <w:sz w:val="28"/>
        </w:rPr>
        <w:t>一、本级职责及机构设置情况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8</w:t>
      </w:r>
    </w:p>
    <w:p>
      <w:pPr>
        <w:pStyle w:val="5"/>
        <w:tabs>
          <w:tab w:val="right" w:leader="dot" w:pos="14789"/>
        </w:tabs>
        <w:ind w:left="420" w:leftChars="200"/>
        <w:jc w:val="center"/>
        <w:rPr>
          <w:rFonts w:hAnsi="Calibri"/>
          <w:sz w:val="28"/>
        </w:rPr>
      </w:pPr>
      <w:r>
        <w:fldChar w:fldCharType="begin"/>
      </w:r>
      <w:r>
        <w:instrText xml:space="preserve"> HYPERLINK \l "_Toc68791546" </w:instrText>
      </w:r>
      <w:r>
        <w:fldChar w:fldCharType="separate"/>
      </w:r>
      <w:r>
        <w:rPr>
          <w:rStyle w:val="17"/>
          <w:rFonts w:hint="eastAsia" w:hAnsi="黑体" w:eastAsia="方正仿宋_GBK"/>
          <w:sz w:val="28"/>
        </w:rPr>
        <w:t>二、本级预算安排的总体情况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5</w:t>
      </w:r>
    </w:p>
    <w:p>
      <w:pPr>
        <w:pStyle w:val="5"/>
        <w:tabs>
          <w:tab w:val="right" w:leader="dot" w:pos="14789"/>
        </w:tabs>
        <w:ind w:left="420" w:leftChars="200"/>
        <w:jc w:val="center"/>
        <w:rPr>
          <w:rStyle w:val="17"/>
          <w:rFonts w:hAnsi="Calibri" w:eastAsia="方正仿宋_GBK"/>
          <w:sz w:val="28"/>
        </w:rPr>
        <w:sectPr>
          <w:footerReference r:id="rId3" w:type="default"/>
          <w:pgSz w:w="16839" w:h="11907" w:orient="landscape"/>
          <w:pgMar w:top="680" w:right="1020" w:bottom="680" w:left="1020" w:header="851" w:footer="992" w:gutter="0"/>
          <w:cols w:space="720" w:num="1"/>
          <w:docGrid w:type="lines" w:linePitch="312" w:charSpace="0"/>
        </w:sectPr>
      </w:pPr>
    </w:p>
    <w:p>
      <w:pPr>
        <w:pStyle w:val="5"/>
        <w:tabs>
          <w:tab w:val="right" w:leader="dot" w:pos="14789"/>
        </w:tabs>
        <w:ind w:left="420" w:leftChars="200"/>
        <w:jc w:val="center"/>
        <w:rPr>
          <w:rFonts w:hAnsi="Calibri"/>
          <w:sz w:val="28"/>
        </w:rPr>
      </w:pPr>
      <w:r>
        <w:fldChar w:fldCharType="begin"/>
      </w:r>
      <w:r>
        <w:instrText xml:space="preserve"> HYPERLINK \l "_Toc68791547" </w:instrText>
      </w:r>
      <w:r>
        <w:fldChar w:fldCharType="separate"/>
      </w:r>
      <w:r>
        <w:rPr>
          <w:rStyle w:val="17"/>
          <w:rFonts w:hint="eastAsia" w:hAnsi="黑体" w:eastAsia="方正仿宋_GBK"/>
          <w:sz w:val="28"/>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"_Toc68791548" </w:instrText>
      </w:r>
      <w:r>
        <w:fldChar w:fldCharType="separate"/>
      </w:r>
      <w:r>
        <w:rPr>
          <w:rStyle w:val="17"/>
          <w:rFonts w:hint="eastAsia" w:hAnsi="黑体" w:eastAsia="方正仿宋_GBK"/>
          <w:sz w:val="28"/>
        </w:rPr>
        <w:t>四、财政拨款</w:t>
      </w:r>
      <w:r>
        <w:rPr>
          <w:rStyle w:val="17"/>
          <w:rFonts w:hAnsi="黑体" w:eastAsia="方正仿宋_GBK"/>
          <w:sz w:val="28"/>
        </w:rPr>
        <w:t>“</w:t>
      </w:r>
      <w:r>
        <w:rPr>
          <w:rStyle w:val="17"/>
          <w:rFonts w:hint="eastAsia" w:hAnsi="黑体" w:eastAsia="方正仿宋_GBK"/>
          <w:sz w:val="28"/>
        </w:rPr>
        <w:t>三公</w:t>
      </w:r>
      <w:r>
        <w:rPr>
          <w:rStyle w:val="17"/>
          <w:rFonts w:hAnsi="黑体" w:eastAsia="方正仿宋_GBK"/>
          <w:sz w:val="28"/>
        </w:rPr>
        <w:t>”</w:t>
      </w:r>
      <w:r>
        <w:rPr>
          <w:rStyle w:val="17"/>
          <w:rFonts w:hint="eastAsia" w:hAnsi="黑体" w:eastAsia="方正仿宋_GBK"/>
          <w:sz w:val="28"/>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jc w:val="center"/>
        <w:rPr>
          <w:rFonts w:hAnsi="Calibri"/>
          <w:sz w:val="28"/>
        </w:rPr>
      </w:pPr>
      <w:r>
        <w:fldChar w:fldCharType="begin"/>
      </w:r>
      <w:r>
        <w:instrText xml:space="preserve"> HYPERLINK \l "_Toc68791549" </w:instrText>
      </w:r>
      <w:r>
        <w:fldChar w:fldCharType="separate"/>
      </w:r>
      <w:r>
        <w:rPr>
          <w:rStyle w:val="17"/>
          <w:rFonts w:hint="eastAsia" w:hAnsi="黑体" w:eastAsia="方正仿宋_GBK"/>
          <w:sz w:val="28"/>
        </w:rPr>
        <w:t>五、预算绩效信息</w:t>
      </w:r>
      <w:r>
        <w:rPr>
          <w:rFonts w:hAnsi="Calibri" w:eastAsia="方正仿宋_GBK"/>
          <w:sz w:val="28"/>
        </w:rPr>
        <w:tab/>
      </w:r>
      <w:r>
        <w:rPr>
          <w:rFonts w:hint="eastAsia" w:hAnsi="Calibri"/>
          <w:sz w:val="28"/>
        </w:rPr>
        <w:t>35</w:t>
      </w:r>
      <w:r>
        <w:rPr>
          <w:rFonts w:hint="eastAsia" w:hAnsi="Calibri"/>
          <w:sz w:val="28"/>
        </w:rPr>
        <w:fldChar w:fldCharType="end"/>
      </w:r>
    </w:p>
    <w:p>
      <w:pPr>
        <w:pStyle w:val="5"/>
        <w:tabs>
          <w:tab w:val="right" w:leader="dot" w:pos="14789"/>
        </w:tabs>
        <w:ind w:left="420" w:leftChars="200"/>
        <w:jc w:val="center"/>
        <w:rPr>
          <w:rFonts w:hAnsi="Calibri"/>
          <w:sz w:val="28"/>
        </w:rPr>
      </w:pPr>
      <w:r>
        <w:fldChar w:fldCharType="begin"/>
      </w:r>
      <w:r>
        <w:instrText xml:space="preserve"> HYPERLINK \l "_Toc68791550" </w:instrText>
      </w:r>
      <w:r>
        <w:fldChar w:fldCharType="separate"/>
      </w:r>
      <w:r>
        <w:rPr>
          <w:rStyle w:val="17"/>
          <w:rFonts w:hint="eastAsia" w:hAnsi="Calibri" w:eastAsia="方正仿宋_GBK"/>
          <w:sz w:val="28"/>
        </w:rPr>
        <w:t>六、政府采购预算情况</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"_Toc68791551" </w:instrText>
      </w:r>
      <w:r>
        <w:fldChar w:fldCharType="separate"/>
      </w:r>
      <w:r>
        <w:rPr>
          <w:rStyle w:val="17"/>
          <w:rFonts w:hint="eastAsia" w:hAnsi="黑体" w:eastAsia="方正仿宋_GBK"/>
          <w:sz w:val="28"/>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rPr>
          <w:rFonts w:hAnsi="Calibri"/>
          <w:sz w:val="28"/>
        </w:rPr>
      </w:pPr>
      <w:r>
        <w:fldChar w:fldCharType="begin"/>
      </w:r>
      <w:r>
        <w:instrText xml:space="preserve"> HYPERLINK \l "_Toc68791552" </w:instrText>
      </w:r>
      <w:r>
        <w:fldChar w:fldCharType="separate"/>
      </w:r>
      <w:r>
        <w:rPr>
          <w:rStyle w:val="17"/>
          <w:rFonts w:hint="eastAsia" w:hAnsi="黑体" w:eastAsia="方正仿宋_GBK"/>
          <w:sz w:val="28"/>
        </w:rPr>
        <w:t>八、名词解释</w:t>
      </w:r>
      <w:r>
        <w:rPr>
          <w:rFonts w:hAnsi="Calibri" w:eastAsia="方正仿宋_GBK"/>
          <w:sz w:val="28"/>
        </w:rPr>
        <w:tab/>
      </w:r>
      <w:r>
        <w:rPr>
          <w:rFonts w:hAnsi="Calibri" w:eastAsia="方正仿宋_GBK"/>
          <w:sz w:val="28"/>
        </w:rPr>
        <w:fldChar w:fldCharType="end"/>
      </w:r>
      <w:r>
        <w:rPr>
          <w:rStyle w:val="17"/>
          <w:rFonts w:hint="eastAsia" w:hAnsi="Calibri"/>
          <w:sz w:val="28"/>
        </w:rPr>
        <w:t>37</w:t>
      </w:r>
    </w:p>
    <w:p>
      <w:pPr>
        <w:pStyle w:val="5"/>
        <w:tabs>
          <w:tab w:val="right" w:leader="dot" w:pos="14789"/>
        </w:tabs>
        <w:ind w:left="420" w:leftChars="200"/>
        <w:jc w:val="center"/>
        <w:rPr>
          <w:rFonts w:hAnsi="Calibri"/>
          <w:sz w:val="28"/>
        </w:rPr>
      </w:pPr>
      <w:r>
        <w:fldChar w:fldCharType="begin"/>
      </w:r>
      <w:r>
        <w:instrText xml:space="preserve"> HYPERLINK \l "_Toc68791553" </w:instrText>
      </w:r>
      <w:r>
        <w:fldChar w:fldCharType="separate"/>
      </w:r>
      <w:r>
        <w:rPr>
          <w:rStyle w:val="17"/>
          <w:rFonts w:hint="eastAsia" w:hAnsi="黑体" w:eastAsia="方正仿宋_GBK"/>
          <w:sz w:val="28"/>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8</w:t>
      </w:r>
    </w:p>
    <w:p>
      <w:pPr>
        <w:ind w:left="420" w:leftChars="200"/>
        <w:jc w:val="center"/>
        <w:rPr>
          <w:rFonts w:hAnsi="宋体"/>
        </w:rPr>
      </w:pPr>
      <w:r>
        <w:rPr>
          <w:rFonts w:hAnsi="Calibri" w:eastAsia="方正仿宋_GBK"/>
          <w:sz w:val="28"/>
        </w:rPr>
        <w:fldChar w:fldCharType="end"/>
      </w:r>
    </w:p>
    <w:p>
      <w:pPr>
        <w:pStyle w:val="9"/>
        <w:tabs>
          <w:tab w:val="right" w:leader="dot" w:pos="14789"/>
        </w:tabs>
        <w:ind w:left="420" w:leftChars="200"/>
        <w:jc w:val="center"/>
        <w:rPr>
          <w:rFonts w:hAnsi="Calibri" w:eastAsia="方正仿宋_GBK"/>
          <w:sz w:val="28"/>
        </w:rPr>
      </w:pPr>
    </w:p>
    <w:p>
      <w:pPr>
        <w:ind w:left="420" w:leftChars="200"/>
        <w:jc w:val="center"/>
        <w:rPr>
          <w:rFonts w:hAnsi="宋体"/>
        </w:rPr>
      </w:pPr>
    </w:p>
    <w:p>
      <w:pPr>
        <w:jc w:val="center"/>
        <w:rPr>
          <w:rFonts w:ascii="Calibri" w:hAnsi="Calibri"/>
        </w:rPr>
      </w:pPr>
    </w:p>
    <w:p>
      <w:pPr>
        <w:ind w:firstLine="560" w:firstLineChars="200"/>
        <w:jc w:val="left"/>
        <w:rPr>
          <w:rFonts w:hAnsi="Calibri" w:eastAsia="方正仿宋_GBK"/>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sectPr>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p>
    <w:p>
      <w:pPr>
        <w:spacing w:line="560" w:lineRule="exact"/>
        <w:jc w:val="left"/>
        <w:rPr>
          <w:rFonts w:ascii="黑体" w:hAnsi="黑体" w:eastAsia="黑体" w:cs="黑体"/>
          <w:bCs/>
          <w:sz w:val="24"/>
        </w:rPr>
      </w:pPr>
      <w:r>
        <w:rPr>
          <w:rFonts w:hint="eastAsia" w:ascii="黑体" w:hAnsi="黑体" w:eastAsia="黑体" w:cs="黑体"/>
          <w:bCs/>
          <w:sz w:val="24"/>
        </w:rPr>
        <w:t>附表1-1</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单位预算收支总表</w:t>
      </w:r>
    </w:p>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629 遵化市文化路街道办事处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790" w:type="dxa"/>
            <w:gridSpan w:val="2"/>
            <w:noWrap/>
            <w:vAlign w:val="center"/>
          </w:tcPr>
          <w:p>
            <w:pPr>
              <w:spacing w:line="560" w:lineRule="exact"/>
              <w:ind w:firstLine="1440" w:firstLineChars="6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7714" w:type="dxa"/>
            <w:gridSpan w:val="2"/>
            <w:noWrap/>
            <w:vAlign w:val="center"/>
          </w:tcPr>
          <w:p>
            <w:pPr>
              <w:spacing w:line="560" w:lineRule="exact"/>
              <w:ind w:firstLine="1920" w:firstLineChars="8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一、一般公共预算拨款收入</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四、财政专户管理资金收入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五、事业收入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六、事业单位经营收入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七、上级补助收入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八、附属单位上缴收入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九、其他收入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tabs>
                <w:tab w:val="left" w:pos="49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24"/>
              </w:rPr>
            </w:pP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426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上年结转结余</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年终结转结余</w:t>
            </w:r>
          </w:p>
        </w:tc>
        <w:tc>
          <w:tcPr>
            <w:tcW w:w="2219" w:type="dxa"/>
            <w:noWrap/>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r>
        <w:rPr>
          <w:rFonts w:hint="eastAsia" w:ascii="黑体" w:hAnsi="黑体" w:eastAsia="黑体" w:cs="黑体"/>
          <w:bCs/>
          <w:sz w:val="24"/>
        </w:rPr>
        <w:t>附表1-2</w:t>
      </w:r>
    </w:p>
    <w:p>
      <w:pPr>
        <w:pStyle w:val="4"/>
        <w:rPr>
          <w:rFonts w:ascii="方正黑体简体" w:hAnsi="方正黑体简体" w:cs="方正黑体简体"/>
          <w:b w:val="0"/>
          <w:bCs/>
          <w:szCs w:val="44"/>
        </w:rPr>
      </w:pPr>
      <w:r>
        <w:rPr>
          <w:rFonts w:hint="eastAsia" w:ascii="方正黑体简体" w:hAnsi="方正黑体简体" w:cs="方正黑体简体"/>
          <w:b w:val="0"/>
          <w:bCs/>
          <w:szCs w:val="44"/>
        </w:rPr>
        <w:t>单位预算收入总表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629 遵化市文化路街道办事处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1151"/>
        <w:gridCol w:w="1134"/>
        <w:gridCol w:w="1134"/>
        <w:gridCol w:w="284"/>
        <w:gridCol w:w="333"/>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9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15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7087" w:type="dxa"/>
            <w:gridSpan w:val="8"/>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w:t>
            </w:r>
          </w:p>
        </w:tc>
        <w:tc>
          <w:tcPr>
            <w:tcW w:w="87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功能科目编码</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15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财政拨款收入</w:t>
            </w:r>
          </w:p>
        </w:tc>
        <w:tc>
          <w:tcPr>
            <w:tcW w:w="2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财政专户收入</w:t>
            </w:r>
          </w:p>
        </w:tc>
        <w:tc>
          <w:tcPr>
            <w:tcW w:w="33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事业收入</w:t>
            </w:r>
          </w:p>
        </w:tc>
        <w:tc>
          <w:tcPr>
            <w:tcW w:w="8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经营收入</w:t>
            </w:r>
          </w:p>
        </w:tc>
        <w:tc>
          <w:tcPr>
            <w:tcW w:w="108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上级补助收入</w:t>
            </w:r>
          </w:p>
        </w:tc>
        <w:tc>
          <w:tcPr>
            <w:tcW w:w="143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附属单位上缴收入</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其他收入</w:t>
            </w:r>
          </w:p>
        </w:tc>
        <w:tc>
          <w:tcPr>
            <w:tcW w:w="87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3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8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08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43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87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25" w:type="dxa"/>
            <w:noWrap/>
            <w:vAlign w:val="center"/>
          </w:tcPr>
          <w:p>
            <w:pPr>
              <w:spacing w:line="560" w:lineRule="exact"/>
              <w:jc w:val="center"/>
              <w:rPr>
                <w:rFonts w:ascii="方正仿宋简体" w:hAnsi="方正仿宋简体" w:eastAsia="方正仿宋简体" w:cs="方正仿宋简体"/>
                <w:bCs/>
                <w:sz w:val="24"/>
              </w:rPr>
            </w:pP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761.37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761.37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761.37</w:t>
            </w:r>
          </w:p>
        </w:tc>
        <w:tc>
          <w:tcPr>
            <w:tcW w:w="284" w:type="dxa"/>
            <w:noWrap/>
            <w:vAlign w:val="center"/>
          </w:tcPr>
          <w:p>
            <w:pPr>
              <w:spacing w:line="560" w:lineRule="exact"/>
              <w:jc w:val="center"/>
              <w:rPr>
                <w:rFonts w:ascii="方正仿宋简体" w:hAnsi="方正仿宋简体" w:eastAsia="方正仿宋简体" w:cs="方正仿宋简体"/>
                <w:bCs/>
                <w:sz w:val="24"/>
              </w:rPr>
            </w:pPr>
          </w:p>
        </w:tc>
        <w:tc>
          <w:tcPr>
            <w:tcW w:w="333" w:type="dxa"/>
            <w:noWrap/>
            <w:vAlign w:val="center"/>
          </w:tcPr>
          <w:p>
            <w:pPr>
              <w:spacing w:line="560" w:lineRule="exact"/>
              <w:jc w:val="center"/>
              <w:rPr>
                <w:rFonts w:ascii="方正仿宋简体" w:hAnsi="方正仿宋简体" w:eastAsia="方正仿宋简体" w:cs="方正仿宋简体"/>
                <w:bCs/>
                <w:sz w:val="24"/>
              </w:rPr>
            </w:pPr>
          </w:p>
        </w:tc>
        <w:tc>
          <w:tcPr>
            <w:tcW w:w="851" w:type="dxa"/>
            <w:noWrap/>
            <w:vAlign w:val="center"/>
          </w:tcPr>
          <w:p>
            <w:pPr>
              <w:spacing w:line="560" w:lineRule="exact"/>
              <w:jc w:val="center"/>
              <w:rPr>
                <w:rFonts w:ascii="方正仿宋简体" w:hAnsi="方正仿宋简体" w:eastAsia="方正仿宋简体" w:cs="方正仿宋简体"/>
                <w:bCs/>
                <w:sz w:val="24"/>
              </w:rPr>
            </w:pPr>
          </w:p>
        </w:tc>
        <w:tc>
          <w:tcPr>
            <w:tcW w:w="1088" w:type="dxa"/>
            <w:noWrap/>
            <w:vAlign w:val="center"/>
          </w:tcPr>
          <w:p>
            <w:pPr>
              <w:spacing w:line="560" w:lineRule="exact"/>
              <w:jc w:val="center"/>
              <w:rPr>
                <w:rFonts w:ascii="方正仿宋简体" w:hAnsi="方正仿宋简体" w:eastAsia="方正仿宋简体" w:cs="方正仿宋简体"/>
                <w:bCs/>
                <w:sz w:val="24"/>
              </w:rPr>
            </w:pPr>
          </w:p>
        </w:tc>
        <w:tc>
          <w:tcPr>
            <w:tcW w:w="1435" w:type="dxa"/>
            <w:noWrap/>
            <w:vAlign w:val="center"/>
          </w:tcPr>
          <w:p>
            <w:pPr>
              <w:spacing w:line="560" w:lineRule="exact"/>
              <w:jc w:val="center"/>
              <w:rPr>
                <w:rFonts w:ascii="方正仿宋简体" w:hAnsi="方正仿宋简体" w:eastAsia="方正仿宋简体" w:cs="方正仿宋简体"/>
                <w:bCs/>
                <w:sz w:val="24"/>
              </w:rPr>
            </w:pPr>
          </w:p>
        </w:tc>
        <w:tc>
          <w:tcPr>
            <w:tcW w:w="828" w:type="dxa"/>
            <w:noWrap/>
            <w:vAlign w:val="center"/>
          </w:tcPr>
          <w:p>
            <w:pPr>
              <w:spacing w:line="560" w:lineRule="exact"/>
              <w:jc w:val="center"/>
              <w:rPr>
                <w:rFonts w:ascii="方正仿宋简体" w:hAnsi="方正仿宋简体" w:eastAsia="方正仿宋简体" w:cs="方正仿宋简体"/>
                <w:bCs/>
                <w:sz w:val="24"/>
              </w:rPr>
            </w:pPr>
          </w:p>
        </w:tc>
        <w:tc>
          <w:tcPr>
            <w:tcW w:w="87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1413.288</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附表1-3</w:t>
      </w:r>
    </w:p>
    <w:p>
      <w:pPr>
        <w:pStyle w:val="4"/>
        <w:rPr>
          <w:rFonts w:ascii="方正黑体简体" w:hAnsi="方正黑体简体" w:cs="方正黑体简体"/>
          <w:b w:val="0"/>
          <w:bCs/>
          <w:szCs w:val="32"/>
        </w:rPr>
      </w:pPr>
      <w:r>
        <w:rPr>
          <w:rFonts w:hint="eastAsia" w:ascii="方正黑体简体" w:hAnsi="方正黑体简体" w:cs="方正黑体简体"/>
          <w:b w:val="0"/>
          <w:bCs/>
          <w:szCs w:val="44"/>
        </w:rPr>
        <w:t>单位预算支出总表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210"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41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3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c>
          <w:tcPr>
            <w:tcW w:w="9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经营支出</w:t>
            </w:r>
          </w:p>
        </w:tc>
        <w:tc>
          <w:tcPr>
            <w:tcW w:w="90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上缴上级支出</w:t>
            </w:r>
          </w:p>
        </w:tc>
        <w:tc>
          <w:tcPr>
            <w:tcW w:w="135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45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41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6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0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5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9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5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365" w:type="dxa"/>
            <w:noWrap/>
            <w:vAlign w:val="center"/>
          </w:tcPr>
          <w:p>
            <w:pPr>
              <w:spacing w:line="560" w:lineRule="exact"/>
              <w:jc w:val="center"/>
              <w:rPr>
                <w:rFonts w:ascii="方正仿宋简体" w:hAnsi="方正仿宋简体" w:eastAsia="方正仿宋简体" w:cs="方正仿宋简体"/>
                <w:bCs/>
                <w:sz w:val="24"/>
              </w:rPr>
            </w:pP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1224.78</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center"/>
              <w:rPr>
                <w:rFonts w:ascii="方正仿宋简体" w:hAnsi="方正仿宋简体" w:eastAsia="方正仿宋简体" w:cs="方正仿宋简体"/>
                <w:bCs/>
                <w:sz w:val="24"/>
              </w:rPr>
            </w:pPr>
          </w:p>
        </w:tc>
        <w:tc>
          <w:tcPr>
            <w:tcW w:w="900" w:type="dxa"/>
            <w:noWrap/>
            <w:vAlign w:val="center"/>
          </w:tcPr>
          <w:p>
            <w:pPr>
              <w:spacing w:line="560" w:lineRule="exact"/>
              <w:jc w:val="center"/>
              <w:rPr>
                <w:rFonts w:ascii="方正仿宋简体" w:hAnsi="方正仿宋简体" w:eastAsia="方正仿宋简体" w:cs="方正仿宋简体"/>
                <w:bCs/>
                <w:sz w:val="24"/>
              </w:rPr>
            </w:pPr>
          </w:p>
        </w:tc>
        <w:tc>
          <w:tcPr>
            <w:tcW w:w="135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859.99</w:t>
            </w:r>
          </w:p>
        </w:tc>
        <w:tc>
          <w:tcPr>
            <w:tcW w:w="1380" w:type="dxa"/>
            <w:noWrap/>
            <w:vAlign w:val="center"/>
          </w:tcPr>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410" w:type="dxa"/>
            <w:noWrap/>
            <w:vAlign w:val="center"/>
          </w:tcPr>
          <w:p>
            <w:pPr>
              <w:spacing w:line="560" w:lineRule="exact"/>
              <w:jc w:val="center"/>
              <w:rPr>
                <w:rFonts w:ascii="方正仿宋简体" w:hAnsi="方正仿宋简体" w:eastAsia="方正仿宋简体" w:cs="方正仿宋简体"/>
                <w:bCs/>
                <w:sz w:val="24"/>
              </w:rPr>
            </w:pP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410" w:type="dxa"/>
            <w:noWrap/>
            <w:vAlign w:val="center"/>
          </w:tcPr>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附表1-4</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单位预算财政拨款收支总表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60"/>
        <w:gridCol w:w="98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78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8854" w:type="dxa"/>
            <w:gridSpan w:val="5"/>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金额</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一般公共预算财政拨款</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政府性基金预算财政拨款</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年初财政拨款结转和结余</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年末财政拨款结转和结余</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985" w:type="dxa"/>
            <w:noWrap/>
            <w:vAlign w:val="center"/>
          </w:tcPr>
          <w:p>
            <w:pPr>
              <w:spacing w:line="560" w:lineRule="exact"/>
              <w:jc w:val="center"/>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bCs/>
          <w:sz w:val="24"/>
        </w:rPr>
      </w:pPr>
      <w:r>
        <w:rPr>
          <w:rFonts w:hint="eastAsia" w:ascii="方正仿宋简体" w:hAnsi="方正仿宋简体" w:eastAsia="方正仿宋简体" w:cs="方正仿宋简体"/>
          <w:bCs/>
          <w:sz w:val="28"/>
          <w:szCs w:val="22"/>
        </w:rPr>
        <w:t>附表1-5</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单位预算一般公共预算财政拨款支出表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r>
        <w:rPr>
          <w:rFonts w:hint="eastAsia" w:ascii="方正仿宋简体" w:hAnsi="方正仿宋简体" w:eastAsia="方正仿宋简体" w:cs="方正仿宋简体"/>
          <w:bCs/>
          <w:sz w:val="24"/>
        </w:rPr>
        <w:tab/>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315" w:type="dxa"/>
            <w:gridSpan w:val="2"/>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51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4500"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53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0" w:hRule="atLeast"/>
          <w:tblHeader/>
          <w:jc w:val="center"/>
        </w:trPr>
        <w:tc>
          <w:tcPr>
            <w:tcW w:w="87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6315" w:type="dxa"/>
            <w:gridSpan w:val="2"/>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48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51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60"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8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5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75" w:type="dxa"/>
            <w:noWrap/>
            <w:vAlign w:val="center"/>
          </w:tcPr>
          <w:p>
            <w:pPr>
              <w:spacing w:line="560" w:lineRule="exact"/>
              <w:jc w:val="center"/>
              <w:rPr>
                <w:rFonts w:ascii="方正仿宋简体" w:hAnsi="方正仿宋简体" w:eastAsia="方正仿宋简体" w:cs="方正仿宋简体"/>
                <w:bCs/>
                <w:sz w:val="24"/>
              </w:rPr>
            </w:pP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1224.78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1182.81</w:t>
            </w:r>
          </w:p>
        </w:tc>
        <w:tc>
          <w:tcPr>
            <w:tcW w:w="1455" w:type="dxa"/>
            <w:noWrap/>
            <w:vAlign w:val="center"/>
          </w:tcPr>
          <w:p>
            <w:pPr>
              <w:tabs>
                <w:tab w:val="left" w:pos="447"/>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818.01</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15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1778.08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818.01</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818.01</w:t>
            </w:r>
          </w:p>
        </w:tc>
        <w:tc>
          <w:tcPr>
            <w:tcW w:w="1455" w:type="dxa"/>
            <w:noWrap/>
          </w:tcPr>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41.97</w:t>
            </w:r>
          </w:p>
        </w:tc>
        <w:tc>
          <w:tcPr>
            <w:tcW w:w="153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附表1-6</w:t>
      </w:r>
    </w:p>
    <w:p>
      <w:pPr>
        <w:spacing w:line="560" w:lineRule="exact"/>
        <w:jc w:val="center"/>
        <w:rPr>
          <w:rFonts w:ascii="方正黑体简体" w:hAnsi="方正黑体简体" w:eastAsia="方正黑体简体" w:cs="方正黑体简体"/>
          <w:bCs/>
          <w:sz w:val="44"/>
          <w:szCs w:val="44"/>
        </w:rPr>
      </w:pPr>
      <w:r>
        <w:rPr>
          <w:rFonts w:hint="eastAsia" w:ascii="方正黑体简体" w:hAnsi="方正黑体简体" w:eastAsia="方正黑体简体" w:cs="方正黑体简体"/>
          <w:bCs/>
          <w:sz w:val="32"/>
          <w:szCs w:val="32"/>
        </w:rPr>
        <w:t>单位预算一般公共预算财政拨款基本支出表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1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7534"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经济分类科目编码</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4650" w:type="dxa"/>
            <w:noWrap/>
            <w:vAlign w:val="center"/>
          </w:tcPr>
          <w:p>
            <w:pPr>
              <w:spacing w:line="560" w:lineRule="exact"/>
              <w:ind w:firstLine="1200" w:firstLineChars="5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1224.78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1182.81</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1172.00</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1172.00</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542.29</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542.29</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津贴补贴</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127.42</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127.42</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奖金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7.02</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7.02</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绩效工资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108.87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108.87</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110.17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110.17</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职业年金缴费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30110</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职工基本医疗保险缴费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54.01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54.01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7"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公务员医疗补助缴费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61.73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61.73</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其他社会保障缴费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21.6</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21.6</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办公费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1.65</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邮电费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1.34</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取暖费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差旅费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维修（护）费</w:t>
            </w: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30215</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会议费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培训费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公务接待费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工会经费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4.91</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福利费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5.43</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其他交通费用</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14.22</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对个人和家庭的补助</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10.81</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退休费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30304</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抚恤金</w:t>
            </w: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医疗费补助</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1.20</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1.20</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附表1-7</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单位预算政府基金预算财政拨款支出表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Fonts w:ascii="方正仿宋简体" w:hAnsi="方正仿宋简体" w:eastAsia="方正仿宋简体" w:cs="方正仿宋简体"/>
                <w:bCs/>
                <w:sz w:val="24"/>
              </w:rPr>
            </w:pPr>
          </w:p>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956" w:type="dxa"/>
            <w:gridSpan w:val="2"/>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747"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3"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49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747"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3"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9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74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9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5956"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注：无政府基金预算财政拨款预算，空表列示。</w:t>
      </w:r>
    </w:p>
    <w:p>
      <w:pPr>
        <w:spacing w:line="560" w:lineRule="exact"/>
        <w:jc w:val="left"/>
        <w:rPr>
          <w:rFonts w:ascii="仿宋" w:hAnsi="仿宋" w:eastAsia="仿宋" w:cs="仿宋"/>
          <w:bCs/>
          <w:sz w:val="28"/>
        </w:rPr>
        <w:sectPr>
          <w:pgSz w:w="16839" w:h="11907" w:orient="landscape"/>
          <w:pgMar w:top="680" w:right="1020" w:bottom="1134" w:left="1020" w:header="851" w:footer="992" w:gutter="0"/>
          <w:cols w:space="720" w:num="1"/>
          <w:docGrid w:type="lines" w:linePitch="312" w:charSpace="0"/>
        </w:sectPr>
      </w:pPr>
    </w:p>
    <w:p>
      <w:pPr>
        <w:spacing w:line="560" w:lineRule="exact"/>
        <w:jc w:val="left"/>
        <w:rPr>
          <w:rFonts w:ascii="方正小标宋简体" w:hAnsi="方正小标宋简体" w:eastAsia="方正小标宋简体" w:cs="方正小标宋简体"/>
          <w:bCs/>
          <w:sz w:val="44"/>
          <w:szCs w:val="44"/>
        </w:rPr>
      </w:pPr>
      <w:r>
        <w:rPr>
          <w:rFonts w:hint="eastAsia" w:ascii="仿宋" w:hAnsi="仿宋" w:eastAsia="仿宋" w:cs="仿宋"/>
          <w:bCs/>
          <w:sz w:val="28"/>
          <w:szCs w:val="22"/>
        </w:rPr>
        <w:t>附表1-8</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单位预算国有资本经营预算财政拨款支出表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53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64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659"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5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659"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65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8"/>
        </w:rPr>
        <w:sectPr>
          <w:footerReference r:id="rId6" w:type="default"/>
          <w:pgSz w:w="16840" w:h="11900" w:orient="landscape"/>
          <w:pgMar w:top="1304" w:right="1984" w:bottom="1304" w:left="1134" w:header="720" w:footer="720" w:gutter="0"/>
          <w:cols w:space="720" w:num="1"/>
        </w:sectPr>
      </w:pPr>
      <w:r>
        <w:rPr>
          <w:rFonts w:hint="eastAsia" w:ascii="方正仿宋简体" w:hAnsi="方正仿宋简体" w:eastAsia="方正仿宋简体" w:cs="方正仿宋简体"/>
          <w:bCs/>
          <w:sz w:val="24"/>
        </w:rPr>
        <w:t>注：无国有资本经营预算财政拨款预算，空表列示。</w:t>
      </w:r>
    </w:p>
    <w:p>
      <w:pPr>
        <w:spacing w:line="560" w:lineRule="exact"/>
        <w:rPr>
          <w:rFonts w:ascii="方正小标宋简体" w:hAnsi="方正小标宋简体" w:eastAsia="方正小标宋简体" w:cs="方正小标宋简体"/>
          <w:bCs/>
          <w:sz w:val="44"/>
          <w:szCs w:val="44"/>
        </w:rPr>
      </w:pPr>
      <w:r>
        <w:rPr>
          <w:rFonts w:hint="eastAsia" w:ascii="方正仿宋简体" w:hAnsi="方正仿宋简体" w:eastAsia="方正仿宋简体" w:cs="方正仿宋简体"/>
          <w:bCs/>
          <w:sz w:val="28"/>
          <w:szCs w:val="22"/>
        </w:rPr>
        <w:t>附表1-9</w:t>
      </w:r>
    </w:p>
    <w:p>
      <w:pPr>
        <w:spacing w:line="560" w:lineRule="exact"/>
        <w:jc w:val="center"/>
        <w:rPr>
          <w:rFonts w:ascii="方正黑体" w:hAnsi="方正黑体" w:eastAsia="方正黑体" w:cs="方正黑体"/>
          <w:bCs/>
          <w:sz w:val="32"/>
          <w:szCs w:val="32"/>
        </w:rPr>
      </w:pPr>
      <w:r>
        <w:rPr>
          <w:rFonts w:hint="eastAsia" w:ascii="方正黑体简体" w:hAnsi="方正黑体简体" w:eastAsia="方正黑体简体" w:cs="方正黑体简体"/>
          <w:bCs/>
          <w:sz w:val="32"/>
          <w:szCs w:val="32"/>
        </w:rPr>
        <w:t>单位预算财政拨款“三公”经费支出表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395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9906" w:type="dxa"/>
            <w:gridSpan w:val="4"/>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95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       财政拨款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         预算拨款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一、因公出国（境）费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二、公务用车购置及运维费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其中：公务用车购置费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三、公务接待费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32"/>
          <w:szCs w:val="32"/>
        </w:rPr>
      </w:pPr>
    </w:p>
    <w:p>
      <w:pPr>
        <w:widowControl/>
        <w:tabs>
          <w:tab w:val="left" w:pos="5552"/>
          <w:tab w:val="left" w:pos="7323"/>
          <w:tab w:val="left" w:pos="12218"/>
          <w:tab w:val="left" w:pos="14365"/>
          <w:tab w:val="left" w:pos="17759"/>
          <w:tab w:val="left" w:pos="19300"/>
          <w:tab w:val="left" w:pos="20220"/>
        </w:tabs>
        <w:spacing w:line="570" w:lineRule="exact"/>
        <w:jc w:val="center"/>
        <w:rPr>
          <w:rFonts w:ascii="黑体" w:hAnsi="Calibri" w:eastAsia="黑体"/>
          <w:b/>
          <w:sz w:val="44"/>
        </w:rPr>
        <w:sectPr>
          <w:footerReference r:id="rId7" w:type="default"/>
          <w:pgSz w:w="16840" w:h="11900" w:orient="landscape"/>
          <w:pgMar w:top="1304" w:right="1984" w:bottom="1304" w:left="1134" w:header="720" w:footer="720" w:gutter="0"/>
          <w:cols w:space="720" w:num="1"/>
        </w:sect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遵化市文化路街道办事处本级2022年</w:t>
      </w:r>
      <w:r>
        <w:rPr>
          <w:rFonts w:hint="eastAsia" w:ascii="方正小标宋简体" w:hAnsi="方正小标宋简体" w:eastAsia="方正小标宋简体" w:cs="方正小标宋简体"/>
          <w:sz w:val="44"/>
          <w:szCs w:val="44"/>
          <w:lang w:val="en-US" w:eastAsia="zh-CN"/>
        </w:rPr>
        <w:t>单位</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rPr>
          <w:rFonts w:ascii="仿宋" w:hAnsi="仿宋" w:eastAsia="仿宋" w:cs="黑体"/>
          <w:color w:val="FFFFFF" w:themeColor="background1"/>
          <w:sz w:val="28"/>
          <w:szCs w:val="28"/>
        </w:rPr>
      </w:pPr>
    </w:p>
    <w:p>
      <w:pPr>
        <w:spacing w:line="570" w:lineRule="exact"/>
        <w:ind w:firstLine="640" w:firstLineChars="200"/>
        <w:rPr>
          <w:rFonts w:ascii="方正仿宋简体" w:hAnsi="仿宋" w:eastAsia="方正仿宋简体" w:cs="黑体"/>
          <w:color w:val="000000"/>
          <w:kern w:val="0"/>
          <w:sz w:val="32"/>
          <w:szCs w:val="32"/>
        </w:rPr>
      </w:pPr>
      <w:r>
        <w:rPr>
          <w:rFonts w:hint="eastAsia" w:ascii="方正仿宋简体" w:hAnsi="仿宋" w:eastAsia="方正仿宋简体" w:cs="黑体"/>
          <w:sz w:val="32"/>
          <w:szCs w:val="32"/>
        </w:rPr>
        <w:t>按照《</w:t>
      </w:r>
      <w:r>
        <w:rPr>
          <w:rFonts w:hint="eastAsia" w:ascii="方正仿宋简体" w:hAnsi="仿宋" w:eastAsia="方正仿宋简体" w:cs="黑体"/>
          <w:sz w:val="32"/>
          <w:szCs w:val="32"/>
          <w:lang w:val="en-US" w:eastAsia="zh-CN"/>
        </w:rPr>
        <w:t>中华</w:t>
      </w:r>
      <w:bookmarkStart w:id="5" w:name="_GoBack"/>
      <w:bookmarkEnd w:id="5"/>
      <w:r>
        <w:rPr>
          <w:rFonts w:hint="eastAsia" w:ascii="方正仿宋简体" w:hAnsi="仿宋" w:eastAsia="方正仿宋简体" w:cs="黑体"/>
          <w:sz w:val="32"/>
          <w:szCs w:val="32"/>
          <w:lang w:val="en-US" w:eastAsia="zh-CN"/>
        </w:rPr>
        <w:t>人民共和国</w:t>
      </w:r>
      <w:r>
        <w:rPr>
          <w:rFonts w:hint="eastAsia" w:ascii="方正仿宋简体" w:hAnsi="仿宋" w:eastAsia="方正仿宋简体" w:cs="黑体"/>
          <w:sz w:val="32"/>
          <w:szCs w:val="32"/>
        </w:rPr>
        <w:t>预算法》、《地方预决算公开操作规程》和《河北省省级预算公开办法》规定，现将遵化市文化路街道办事处2022年本级预算公开如下：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一、本级职责、机构设置等基本情况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pPr>
        <w:pStyle w:val="11"/>
        <w:spacing w:before="0" w:beforeAutospacing="0" w:after="0" w:afterAutospacing="0" w:line="570" w:lineRule="exact"/>
        <w:ind w:firstLine="645"/>
        <w:jc w:val="both"/>
        <w:rPr>
          <w:rFonts w:ascii="方正仿宋简体" w:hAnsi="仿宋"/>
          <w:sz w:val="32"/>
          <w:szCs w:val="32"/>
        </w:rPr>
      </w:pPr>
      <w:r>
        <w:rPr>
          <w:rFonts w:hint="eastAsia" w:ascii="方正仿宋简体" w:hAnsi="仿宋"/>
          <w:sz w:val="32"/>
          <w:szCs w:val="32"/>
        </w:rPr>
        <w:t>（1）宣传贯彻执行党的路线方针政策和党中央、上级党组织的决议。贯彻执行法律、法规、规章和上级人民代表大会及其常务委员会决议及上级政府的决定、命令，依法管理辖区公共事务。</w:t>
      </w:r>
    </w:p>
    <w:p>
      <w:pPr>
        <w:pStyle w:val="11"/>
        <w:spacing w:before="0" w:beforeAutospacing="0" w:after="0" w:afterAutospacing="0" w:line="570" w:lineRule="exact"/>
        <w:ind w:firstLine="645"/>
        <w:jc w:val="both"/>
        <w:rPr>
          <w:rFonts w:ascii="方正仿宋简体" w:hAnsi="仿宋"/>
          <w:sz w:val="32"/>
          <w:szCs w:val="32"/>
        </w:rPr>
      </w:pPr>
      <w:r>
        <w:rPr>
          <w:rFonts w:hint="eastAsia" w:ascii="方正仿宋简体" w:hAnsi="仿宋"/>
          <w:sz w:val="32"/>
          <w:szCs w:val="32"/>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（3）负责办理上级人大常委会交办的监督、选举以及其他工作，做好人大代表工作，联系选民、反映群众意见和要求。</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4）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（5）街道党工委领导群团组织，加强指导和规范，支持和保证群团组织依照国家法律法规以及各自章程履行职责。坚持党管武装的根本原则和制度，协调各方力量，对街道人民武装工作实行统一领导。</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6）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（7）按照管理权限，对街道机关及所属单位干部进行教育、培训、选拔、考核和监督，对上级政府职能部门派出机构的工作考核和主要负责同志任免提出意见。</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（8）组织维护辖区安全稳定，协调推动社会治安综合治理，做好应急管理、民族宗教工作，承担民兵预备役、征兵、退役军人服务、拥军优属、防范邪教等工作。</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（9）组织开展群众性文化、体育、科普活动，开展法治宣传和社会公德教育，推动社区公益事业发展。维护老年人、妇女、未成年人、残疾人等合法权益。</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（10）参与辖区设施规划、建设和验收，综合管理、统筹调度和考核督办涉及辖区的公共事务，按照有关规定统筹使用下沉到街道社区的人财物等资源。</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（11）承办上级党委、人大、政府交办的其他事项。</w:t>
      </w:r>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（一）党政综合办公室</w:t>
      </w:r>
    </w:p>
    <w:p>
      <w:pPr>
        <w:pStyle w:val="11"/>
        <w:spacing w:before="0" w:beforeAutospacing="0" w:after="0" w:afterAutospacing="0" w:line="570" w:lineRule="exact"/>
        <w:ind w:firstLine="645"/>
        <w:rPr>
          <w:rFonts w:cs="Calibri"/>
          <w:sz w:val="32"/>
          <w:szCs w:val="32"/>
        </w:rPr>
      </w:pPr>
      <w:r>
        <w:rPr>
          <w:rFonts w:hint="eastAsia" w:cs="MS Mincho"/>
          <w:sz w:val="32"/>
          <w:szCs w:val="32"/>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w:t>
      </w:r>
      <w:r>
        <w:rPr>
          <w:rFonts w:hint="eastAsia"/>
          <w:sz w:val="32"/>
          <w:szCs w:val="32"/>
        </w:rPr>
        <w:t>政</w:t>
      </w:r>
      <w:r>
        <w:rPr>
          <w:rFonts w:hint="eastAsia" w:cs="MS Mincho"/>
          <w:sz w:val="32"/>
          <w:szCs w:val="32"/>
        </w:rPr>
        <w:t>务公开工作；负责监督、检查和指导所属单位和辖区内</w:t>
      </w:r>
      <w:r>
        <w:rPr>
          <w:rFonts w:hint="eastAsia"/>
          <w:sz w:val="32"/>
          <w:szCs w:val="32"/>
        </w:rPr>
        <w:t>居委会</w:t>
      </w:r>
      <w:r>
        <w:rPr>
          <w:rFonts w:hint="eastAsia" w:cs="MS Mincho"/>
          <w:sz w:val="32"/>
          <w:szCs w:val="32"/>
        </w:rPr>
        <w:t>的档案管理工作；</w:t>
      </w:r>
      <w:r>
        <w:rPr>
          <w:rFonts w:hint="eastAsia" w:cs="方正仿宋简体"/>
          <w:sz w:val="32"/>
          <w:szCs w:val="32"/>
        </w:rPr>
        <w:t>负责法治建设工作；负责行政行为合法性审查、执法培训及资格管理、行政应复应诉、法律顾问事务等工作。负责内部审计工作；</w:t>
      </w:r>
      <w:r>
        <w:rPr>
          <w:rFonts w:hint="eastAsia" w:cs="MS Mincho"/>
          <w:sz w:val="32"/>
          <w:szCs w:val="32"/>
        </w:rPr>
        <w:t>负责财政预（决）算编制、预算执行和预算管理，统一管理本级各项政府性收支；负责国有资产和政府性债务管理，承担各项财政性资金监管工作。</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rFonts w:cs="方正仿宋简体"/>
          <w:sz w:val="32"/>
          <w:szCs w:val="32"/>
        </w:rPr>
      </w:pPr>
      <w:r>
        <w:rPr>
          <w:rFonts w:hint="eastAsia" w:cs="方正仿宋简体"/>
          <w:sz w:val="32"/>
          <w:szCs w:val="32"/>
        </w:rPr>
        <w:t>（二）党建工作办公室（人大工委办公室）</w:t>
      </w:r>
    </w:p>
    <w:p>
      <w:pPr>
        <w:pStyle w:val="11"/>
        <w:spacing w:before="0" w:beforeAutospacing="0" w:after="0" w:afterAutospacing="0" w:line="570" w:lineRule="exact"/>
        <w:ind w:firstLine="645"/>
        <w:rPr>
          <w:rFonts w:cs="MS Mincho"/>
          <w:sz w:val="32"/>
          <w:szCs w:val="32"/>
        </w:rPr>
      </w:pPr>
      <w:r>
        <w:rPr>
          <w:rFonts w:hint="eastAsia" w:cs="方正仿宋简体"/>
          <w:sz w:val="32"/>
          <w:szCs w:val="32"/>
        </w:rPr>
        <w:t>主要承担基层党组织建设以及党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11"/>
        <w:spacing w:before="0" w:beforeAutospacing="0" w:after="0" w:afterAutospacing="0" w:line="570" w:lineRule="exact"/>
        <w:ind w:firstLine="645"/>
        <w:rPr>
          <w:rFonts w:cs="MS Mincho"/>
          <w:sz w:val="32"/>
          <w:szCs w:val="32"/>
        </w:rPr>
      </w:pPr>
      <w:r>
        <w:rPr>
          <w:rFonts w:hint="eastAsia" w:cs="MS Mincho"/>
          <w:sz w:val="32"/>
          <w:szCs w:val="32"/>
        </w:rPr>
        <w:t>（三）应急管理办公室（城市管理办公室）</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负责贯彻执行应急管理、安全生产、消防、防灾减灾救灾等方面的法律法规和政策规定。负责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w:t>
      </w:r>
      <w:r>
        <w:rPr>
          <w:rFonts w:cs="MS Mincho"/>
          <w:sz w:val="32"/>
          <w:szCs w:val="32"/>
        </w:rPr>
        <w:t>防灾减灾宣传教育</w:t>
      </w:r>
      <w:r>
        <w:rPr>
          <w:rFonts w:hint="eastAsia" w:cs="MS Mincho"/>
          <w:sz w:val="32"/>
          <w:szCs w:val="32"/>
        </w:rPr>
        <w:t>，建立健全自然灾害救助款物和捐赠款物的监督检查制度，并及时受理投诉和举报；按照职责分工</w:t>
      </w:r>
      <w:r>
        <w:rPr>
          <w:rFonts w:hint="eastAsia" w:cs="方正仿宋简体"/>
          <w:sz w:val="32"/>
          <w:szCs w:val="32"/>
        </w:rPr>
        <w:t>及时处理并上报有关单位和个人报告的农产品质量安全事故；按照权限</w:t>
      </w:r>
      <w:r>
        <w:rPr>
          <w:rFonts w:hint="eastAsia"/>
          <w:sz w:val="32"/>
          <w:szCs w:val="32"/>
        </w:rPr>
        <w:t>负责城市管理有关工作；按照职责分工负责辖区市容、环境卫生等管理责任；</w:t>
      </w:r>
      <w:r>
        <w:rPr>
          <w:rFonts w:hint="eastAsia" w:cs="方正仿宋简体"/>
          <w:sz w:val="32"/>
          <w:szCs w:val="32"/>
        </w:rPr>
        <w:t>依法组织群众协助做好本辖区动物疫病预防与控制工作，组织饲养动物的单位和个人做好强制免疫工作；负责公共场所病死畜禽收集处理和上报；按照权限</w:t>
      </w:r>
      <w:r>
        <w:rPr>
          <w:rFonts w:hint="eastAsia" w:cs="MS Mincho"/>
          <w:sz w:val="32"/>
          <w:szCs w:val="32"/>
        </w:rPr>
        <w:t>负责拟订辖区经济社会发展规划并组织实施，做好经济发展、优化营商环境等工作；</w:t>
      </w:r>
      <w:r>
        <w:rPr>
          <w:rFonts w:hint="eastAsia" w:cs="方正仿宋简体"/>
          <w:sz w:val="32"/>
          <w:szCs w:val="32"/>
        </w:rPr>
        <w:t>负责辖区人口、卫生健康、传染病防治、教育等社会事务相关工作。完成党工委、办事处交办的其他工作任务。</w:t>
      </w:r>
    </w:p>
    <w:p>
      <w:pPr>
        <w:pStyle w:val="11"/>
        <w:spacing w:before="0" w:beforeAutospacing="0" w:after="0" w:afterAutospacing="0" w:line="570" w:lineRule="exact"/>
        <w:ind w:firstLine="640" w:firstLineChars="200"/>
        <w:jc w:val="both"/>
        <w:rPr>
          <w:rFonts w:cs="MS Mincho"/>
          <w:sz w:val="32"/>
          <w:szCs w:val="32"/>
        </w:rPr>
      </w:pPr>
      <w:r>
        <w:rPr>
          <w:rFonts w:hint="eastAsia" w:cs="MS Mincho"/>
          <w:sz w:val="32"/>
          <w:szCs w:val="32"/>
        </w:rPr>
        <w:t>（四）自然资源和生态环境办公室（社区建设和物业监督管理办公室）。</w:t>
      </w:r>
    </w:p>
    <w:p>
      <w:pPr>
        <w:pStyle w:val="11"/>
        <w:spacing w:before="0" w:beforeAutospacing="0" w:after="0" w:afterAutospacing="0" w:line="570" w:lineRule="exact"/>
        <w:ind w:firstLine="640" w:firstLineChars="200"/>
        <w:jc w:val="both"/>
        <w:rPr>
          <w:rFonts w:cs="方正仿宋简体"/>
          <w:sz w:val="32"/>
          <w:szCs w:val="32"/>
        </w:rPr>
      </w:pPr>
      <w:r>
        <w:rPr>
          <w:rFonts w:hint="eastAsia" w:cs="MS Mincho"/>
          <w:sz w:val="32"/>
          <w:szCs w:val="32"/>
        </w:rPr>
        <w:t>贯彻执行自然资源、国土空间规划及测绘、生态环境保护等方面的法律法规和政策规定。按照权限</w:t>
      </w:r>
      <w:r>
        <w:rPr>
          <w:rFonts w:hint="eastAsia" w:cs="方正仿宋简体"/>
          <w:sz w:val="32"/>
          <w:szCs w:val="32"/>
        </w:rPr>
        <w:t>负责辖区的社区规划建设管理相关工作；</w:t>
      </w:r>
      <w:r>
        <w:rPr>
          <w:rFonts w:hint="eastAsia" w:cs="MS Mincho"/>
          <w:sz w:val="32"/>
          <w:szCs w:val="32"/>
        </w:rPr>
        <w:t>按照职责分工负责辖区水资源保护、水域岸线管理、水污染防治、水环境治理等相关工作；协助有关部门做好地下水相关管理和监督工作；</w:t>
      </w:r>
      <w:r>
        <w:rPr>
          <w:rFonts w:hint="eastAsia" w:cs="方正仿宋简体"/>
          <w:sz w:val="32"/>
          <w:szCs w:val="32"/>
        </w:rPr>
        <w:t>按权限组织开展大气污染防治、扬尘污染防治、禁止露天焚烧等工作；</w:t>
      </w:r>
      <w:r>
        <w:rPr>
          <w:rFonts w:hint="eastAsia" w:cs="MS Mincho"/>
          <w:sz w:val="32"/>
          <w:szCs w:val="32"/>
        </w:rPr>
        <w:t>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部门指导下，按照权限负责辖区内的绿化工作。</w:t>
      </w:r>
      <w:r>
        <w:rPr>
          <w:rFonts w:hint="eastAsia"/>
          <w:sz w:val="32"/>
          <w:szCs w:val="32"/>
        </w:rPr>
        <w:t>贯彻执行物业监督管理方面的法律法规和政策规定，负责协调指导辖区业主大会的成立和业主委员会的选举工作，指导监督业主大会和业主委员会依法履行职责；调解物业管理中的纠纷；协调物业管理与社区管理关系；</w:t>
      </w:r>
      <w:r>
        <w:rPr>
          <w:rFonts w:hint="eastAsia" w:cs="方正仿宋简体"/>
          <w:sz w:val="32"/>
          <w:szCs w:val="32"/>
        </w:rPr>
        <w:t>完成党工委、办事处交办的其他工作任务。</w:t>
      </w:r>
    </w:p>
    <w:p>
      <w:pPr>
        <w:pStyle w:val="11"/>
        <w:spacing w:before="0" w:beforeAutospacing="0" w:after="0" w:afterAutospacing="0" w:line="570" w:lineRule="exact"/>
        <w:ind w:firstLine="640" w:firstLineChars="200"/>
        <w:jc w:val="both"/>
        <w:rPr>
          <w:rFonts w:cs="MS Mincho"/>
          <w:sz w:val="32"/>
          <w:szCs w:val="32"/>
        </w:rPr>
      </w:pPr>
      <w:r>
        <w:rPr>
          <w:rFonts w:hint="eastAsia" w:ascii="方正黑体简体" w:hAnsi="方正黑体简体" w:eastAsia="方正黑体简体" w:cs="方正黑体简体"/>
          <w:sz w:val="32"/>
          <w:szCs w:val="32"/>
        </w:rPr>
        <w:t>第五条</w:t>
      </w:r>
      <w:r>
        <w:rPr>
          <w:rFonts w:hint="eastAsia"/>
          <w:sz w:val="32"/>
          <w:szCs w:val="32"/>
        </w:rPr>
        <w:t xml:space="preserve"> </w:t>
      </w:r>
      <w:r>
        <w:rPr>
          <w:rFonts w:hint="eastAsia" w:cs="MS Mincho"/>
          <w:sz w:val="32"/>
          <w:szCs w:val="32"/>
        </w:rPr>
        <w:t>事业工作机构，规格均相当于正股级：</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（一）综合行政执法队。为公益一类事业单位，</w:t>
      </w:r>
      <w:r>
        <w:rPr>
          <w:rFonts w:hint="eastAsia"/>
          <w:kern w:val="2"/>
          <w:sz w:val="32"/>
          <w:szCs w:val="32"/>
        </w:rPr>
        <w:t>核定财政性资金基本保证事业编制11名</w:t>
      </w:r>
      <w:r>
        <w:rPr>
          <w:rFonts w:hint="eastAsia" w:cs="MS Mincho"/>
          <w:sz w:val="32"/>
          <w:szCs w:val="32"/>
        </w:rPr>
        <w:t>，其中队长</w:t>
      </w:r>
      <w:r>
        <w:rPr>
          <w:rFonts w:cs="MS Mincho"/>
          <w:sz w:val="32"/>
          <w:szCs w:val="32"/>
        </w:rPr>
        <w:t>1</w:t>
      </w:r>
      <w:r>
        <w:rPr>
          <w:rFonts w:hint="eastAsia" w:cs="MS Mincho"/>
          <w:sz w:val="32"/>
          <w:szCs w:val="32"/>
        </w:rPr>
        <w:t>名，副队长2名。</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（二）行政综合服务中心。为公益一类事业单位，</w:t>
      </w:r>
      <w:r>
        <w:rPr>
          <w:rFonts w:hint="eastAsia"/>
          <w:kern w:val="2"/>
          <w:sz w:val="32"/>
          <w:szCs w:val="32"/>
        </w:rPr>
        <w:t>核定财政性资金基本保证事业编制11名</w:t>
      </w:r>
      <w:r>
        <w:rPr>
          <w:rFonts w:hint="eastAsia" w:cs="MS Mincho"/>
          <w:sz w:val="32"/>
          <w:szCs w:val="32"/>
        </w:rPr>
        <w:t>，其中主任</w:t>
      </w:r>
      <w:r>
        <w:rPr>
          <w:rFonts w:cs="MS Mincho"/>
          <w:sz w:val="32"/>
          <w:szCs w:val="32"/>
        </w:rPr>
        <w:t>1</w:t>
      </w:r>
      <w:r>
        <w:rPr>
          <w:rFonts w:hint="eastAsia" w:cs="MS Mincho"/>
          <w:sz w:val="32"/>
          <w:szCs w:val="32"/>
        </w:rPr>
        <w:t>名，副主任2名。</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rPr>
          <w:rFonts w:cs="MS Mincho"/>
          <w:sz w:val="32"/>
          <w:szCs w:val="32"/>
        </w:rPr>
      </w:pPr>
      <w:r>
        <w:rPr>
          <w:rFonts w:hint="eastAsia" w:cs="MS Mincho"/>
          <w:sz w:val="32"/>
          <w:szCs w:val="32"/>
        </w:rPr>
        <w:t>（三）综合指挥和信息化网络中心（社会治理办公室）。为公益一类事业单位，</w:t>
      </w:r>
      <w:r>
        <w:rPr>
          <w:rFonts w:hint="eastAsia"/>
          <w:kern w:val="2"/>
          <w:sz w:val="32"/>
          <w:szCs w:val="32"/>
        </w:rPr>
        <w:t>核定财政性资金基本保证事业编制3名</w:t>
      </w:r>
      <w:r>
        <w:rPr>
          <w:rFonts w:hint="eastAsia" w:cs="MS Mincho"/>
          <w:sz w:val="32"/>
          <w:szCs w:val="32"/>
        </w:rPr>
        <w:t>，其中主任</w:t>
      </w:r>
      <w:r>
        <w:rPr>
          <w:rFonts w:cs="MS Mincho"/>
          <w:sz w:val="32"/>
          <w:szCs w:val="32"/>
        </w:rPr>
        <w:t>1</w:t>
      </w:r>
      <w:r>
        <w:rPr>
          <w:rFonts w:hint="eastAsia" w:cs="MS Mincho"/>
          <w:sz w:val="32"/>
          <w:szCs w:val="32"/>
        </w:rPr>
        <w:t>名。</w:t>
      </w:r>
    </w:p>
    <w:p>
      <w:pPr>
        <w:pStyle w:val="11"/>
        <w:spacing w:before="0" w:beforeAutospacing="0" w:after="0" w:afterAutospacing="0" w:line="570" w:lineRule="exact"/>
        <w:ind w:firstLine="645"/>
        <w:rPr>
          <w:rFonts w:cs="MS Mincho"/>
          <w:sz w:val="32"/>
          <w:szCs w:val="32"/>
        </w:rPr>
      </w:pPr>
      <w:r>
        <w:rPr>
          <w:rFonts w:hint="eastAsia" w:cs="MS Mincho"/>
          <w:sz w:val="32"/>
          <w:szCs w:val="32"/>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kern w:val="2"/>
          <w:sz w:val="32"/>
          <w:szCs w:val="32"/>
        </w:rPr>
      </w:pPr>
      <w:r>
        <w:rPr>
          <w:rFonts w:hint="eastAsia" w:cs="MS Mincho"/>
          <w:sz w:val="32"/>
          <w:szCs w:val="32"/>
        </w:rPr>
        <w:t>（四）退役军人服务站。</w:t>
      </w:r>
      <w:r>
        <w:rPr>
          <w:rFonts w:hint="eastAsia"/>
          <w:kern w:val="2"/>
          <w:sz w:val="32"/>
          <w:szCs w:val="32"/>
        </w:rPr>
        <w:t>为公益一类事业单位，核定财政性资金基本保证事业编制3名</w:t>
      </w:r>
      <w:r>
        <w:rPr>
          <w:rFonts w:hint="eastAsia" w:cs="MS Mincho"/>
          <w:sz w:val="32"/>
          <w:szCs w:val="32"/>
        </w:rPr>
        <w:t>，其中站长</w:t>
      </w:r>
      <w:r>
        <w:rPr>
          <w:rFonts w:cs="MS Mincho"/>
          <w:sz w:val="32"/>
          <w:szCs w:val="32"/>
        </w:rPr>
        <w:t>1</w:t>
      </w:r>
      <w:r>
        <w:rPr>
          <w:rFonts w:hint="eastAsia" w:cs="MS Mincho"/>
          <w:sz w:val="32"/>
          <w:szCs w:val="32"/>
        </w:rPr>
        <w:t>名</w:t>
      </w:r>
      <w:r>
        <w:rPr>
          <w:rFonts w:hint="eastAsia"/>
          <w:kern w:val="2"/>
          <w:sz w:val="32"/>
          <w:szCs w:val="32"/>
        </w:rPr>
        <w:t>。</w:t>
      </w:r>
    </w:p>
    <w:p>
      <w:pPr>
        <w:pStyle w:val="3"/>
        <w:spacing w:line="570" w:lineRule="exact"/>
        <w:rPr>
          <w:rFonts w:ascii="宋体" w:eastAsia="方正仿宋简体" w:cs="Times New Roman"/>
          <w:sz w:val="32"/>
          <w:szCs w:val="32"/>
        </w:rPr>
      </w:pP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sz w:val="32"/>
          <w:szCs w:val="32"/>
        </w:rPr>
        <w:t>；负责依照法定权限，做好本辖区拥军优属工作。</w:t>
      </w:r>
      <w:r>
        <w:rPr>
          <w:rFonts w:hint="eastAsia" w:ascii="宋体" w:eastAsia="方正仿宋简体" w:cs="Times New Roman"/>
          <w:sz w:val="32"/>
          <w:szCs w:val="32"/>
        </w:rPr>
        <w:t>完成党工委、办事处交办的其他工作任务。</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（五）综合文化服务站。为公益一类事业单位，</w:t>
      </w:r>
      <w:r>
        <w:rPr>
          <w:rFonts w:hint="eastAsia"/>
          <w:kern w:val="2"/>
          <w:sz w:val="32"/>
          <w:szCs w:val="32"/>
        </w:rPr>
        <w:t>核定财政性资金基本保证事业编制3名</w:t>
      </w:r>
      <w:r>
        <w:rPr>
          <w:rFonts w:hint="eastAsia" w:cs="MS Mincho"/>
          <w:sz w:val="32"/>
          <w:szCs w:val="32"/>
        </w:rPr>
        <w:t>，其中主任</w:t>
      </w:r>
      <w:r>
        <w:rPr>
          <w:rFonts w:cs="MS Mincho"/>
          <w:sz w:val="32"/>
          <w:szCs w:val="32"/>
        </w:rPr>
        <w:t>1</w:t>
      </w:r>
      <w:r>
        <w:rPr>
          <w:rFonts w:hint="eastAsia" w:cs="MS Mincho"/>
          <w:sz w:val="32"/>
          <w:szCs w:val="32"/>
        </w:rPr>
        <w:t>名。</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w:t>
      </w:r>
      <w:r>
        <w:rPr>
          <w:rFonts w:hint="eastAsia" w:cs="方正仿宋简体"/>
          <w:sz w:val="32"/>
          <w:szCs w:val="32"/>
        </w:rPr>
        <w:t>完成党工委、办事处交办的其他工作任务。</w:t>
      </w:r>
    </w:p>
    <w:p>
      <w:pPr>
        <w:pStyle w:val="2"/>
        <w:ind w:firstLine="640"/>
        <w:rPr>
          <w:color w:val="EEECE1" w:themeColor="background2"/>
        </w:rPr>
      </w:pPr>
      <w:r>
        <w:rPr>
          <w:rFonts w:hint="eastAsia" w:ascii="方正仿宋简体" w:hAnsi="方正仿宋简体" w:eastAsia="方正仿宋简体" w:cs="方正仿宋简体"/>
          <w:sz w:val="32"/>
          <w:szCs w:val="32"/>
        </w:rPr>
        <w:t>遵化市</w:t>
      </w:r>
      <w:r>
        <w:rPr>
          <w:rFonts w:hint="eastAsia" w:ascii="方正仿宋简体" w:hAnsi="仿宋" w:eastAsia="方正仿宋简体" w:cs="黑体"/>
          <w:sz w:val="32"/>
          <w:szCs w:val="32"/>
        </w:rPr>
        <w:t>遵化市文化路街道办事处</w:t>
      </w:r>
      <w:r>
        <w:rPr>
          <w:rFonts w:hint="eastAsia" w:ascii="方正仿宋简体" w:hAnsi="方正仿宋简体" w:eastAsia="方正仿宋简体" w:cs="方正仿宋简体"/>
          <w:sz w:val="32"/>
          <w:szCs w:val="32"/>
        </w:rPr>
        <w:t>编制人数57名（行政编制20名、全额事业编制37名）。实有行政人数19名，全额事业人数36名。</w:t>
      </w:r>
    </w:p>
    <w:p>
      <w:pPr>
        <w:spacing w:line="570" w:lineRule="exact"/>
        <w:ind w:firstLine="639"/>
        <w:jc w:val="center"/>
        <w:rPr>
          <w:rFonts w:ascii="方正仿宋简体" w:hAnsi="仿宋" w:eastAsia="方正仿宋简体" w:cs="黑体"/>
          <w:b/>
          <w:sz w:val="32"/>
          <w:szCs w:val="32"/>
        </w:rPr>
      </w:pPr>
      <w:r>
        <w:rPr>
          <w:rFonts w:hint="eastAsia" w:ascii="方正仿宋简体" w:hAnsi="仿宋" w:eastAsia="方正仿宋简体" w:cs="黑体"/>
          <w:b/>
          <w:sz w:val="32"/>
          <w:szCs w:val="32"/>
        </w:rPr>
        <w:t>本级机构设置情况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19"/>
        <w:gridCol w:w="2071"/>
        <w:gridCol w:w="1919"/>
        <w:gridCol w:w="3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0" w:hRule="atLeast"/>
          <w:tblHeader/>
          <w:jc w:val="center"/>
        </w:trPr>
        <w:tc>
          <w:tcPr>
            <w:tcW w:w="5419"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单位名称</w:t>
            </w:r>
          </w:p>
        </w:tc>
        <w:tc>
          <w:tcPr>
            <w:tcW w:w="2071"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单位性质</w:t>
            </w:r>
          </w:p>
        </w:tc>
        <w:tc>
          <w:tcPr>
            <w:tcW w:w="1919"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单位规格</w:t>
            </w:r>
          </w:p>
        </w:tc>
        <w:tc>
          <w:tcPr>
            <w:tcW w:w="3301"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5419"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2071"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1919"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3301" w:type="dxa"/>
            <w:vMerge w:val="continue"/>
            <w:noWrap/>
            <w:vAlign w:val="center"/>
          </w:tcPr>
          <w:p>
            <w:pPr>
              <w:spacing w:line="570" w:lineRule="exact"/>
              <w:jc w:val="left"/>
              <w:outlineLvl w:val="0"/>
              <w:rPr>
                <w:rFonts w:ascii="方正仿宋简体" w:hAnsi="仿宋" w:eastAsia="方正仿宋简体" w:cs="黑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jc w:val="center"/>
        </w:trPr>
        <w:tc>
          <w:tcPr>
            <w:tcW w:w="5419" w:type="dxa"/>
            <w:noWrap/>
            <w:vAlign w:val="center"/>
          </w:tcPr>
          <w:p>
            <w:pPr>
              <w:spacing w:line="570" w:lineRule="exact"/>
              <w:jc w:val="left"/>
              <w:rPr>
                <w:rFonts w:ascii="方正仿宋简体" w:hAnsi="仿宋" w:eastAsia="方正仿宋简体" w:cs="黑体"/>
                <w:sz w:val="32"/>
                <w:szCs w:val="32"/>
              </w:rPr>
            </w:pPr>
            <w:r>
              <w:rPr>
                <w:rFonts w:hint="eastAsia" w:ascii="方正仿宋简体" w:hAnsi="仿宋" w:eastAsia="方正仿宋简体" w:cs="黑体"/>
                <w:sz w:val="32"/>
                <w:szCs w:val="32"/>
              </w:rPr>
              <w:t>遵化市文化路街道办事处</w:t>
            </w:r>
          </w:p>
        </w:tc>
        <w:tc>
          <w:tcPr>
            <w:tcW w:w="2071"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行政</w:t>
            </w:r>
          </w:p>
        </w:tc>
        <w:tc>
          <w:tcPr>
            <w:tcW w:w="1919"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正科级</w:t>
            </w:r>
          </w:p>
        </w:tc>
        <w:tc>
          <w:tcPr>
            <w:tcW w:w="3301"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财政拨款</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二、本级预算安排的总体情况</w:t>
      </w:r>
      <w:bookmarkEnd w:id="1"/>
    </w:p>
    <w:p>
      <w:pPr>
        <w:spacing w:line="570" w:lineRule="exact"/>
        <w:ind w:firstLine="720" w:firstLineChars="225"/>
        <w:rPr>
          <w:rFonts w:ascii="方正仿宋简体" w:hAnsi="仿宋" w:eastAsia="方正仿宋简体" w:cs="黑体"/>
          <w:sz w:val="32"/>
          <w:szCs w:val="32"/>
        </w:rPr>
      </w:pPr>
      <w:r>
        <w:rPr>
          <w:rFonts w:hint="eastAsia" w:ascii="方正仿宋简体" w:hAnsi="仿宋" w:eastAsia="方正仿宋简体" w:cs="黑体"/>
          <w:sz w:val="32"/>
          <w:szCs w:val="32"/>
        </w:rPr>
        <w:t>按照预算管理有关规定，目前我单位本级预算的编制实行综合预算制度，即全部收入和支出都反映在预算中。</w:t>
      </w:r>
    </w:p>
    <w:p>
      <w:pPr>
        <w:spacing w:line="570" w:lineRule="exact"/>
        <w:ind w:firstLine="640"/>
        <w:rPr>
          <w:rFonts w:ascii="方正仿宋简体" w:hAnsi="宋体" w:eastAsia="方正仿宋简体" w:cs="黑体"/>
          <w:b/>
          <w:sz w:val="32"/>
          <w:szCs w:val="32"/>
        </w:rPr>
      </w:pPr>
      <w:r>
        <w:rPr>
          <w:rFonts w:hint="eastAsia" w:ascii="方正仿宋简体" w:hAnsi="宋体" w:eastAsia="方正仿宋简体" w:cs="黑体"/>
          <w:b/>
          <w:sz w:val="32"/>
          <w:szCs w:val="32"/>
        </w:rPr>
        <w:t>1、收入说明</w:t>
      </w:r>
    </w:p>
    <w:p>
      <w:pPr>
        <w:spacing w:line="570" w:lineRule="exact"/>
        <w:ind w:firstLine="640"/>
        <w:rPr>
          <w:rFonts w:ascii="方正仿宋简体" w:hAnsi="仿宋" w:eastAsia="方正仿宋简体" w:cs="黑体"/>
          <w:sz w:val="32"/>
          <w:szCs w:val="32"/>
        </w:rPr>
      </w:pPr>
      <w:r>
        <w:rPr>
          <w:rFonts w:hint="eastAsia" w:ascii="方正仿宋简体" w:hAnsi="仿宋" w:eastAsia="方正仿宋简体" w:cs="黑体"/>
          <w:sz w:val="32"/>
          <w:szCs w:val="32"/>
        </w:rPr>
        <w:t>反映本部门当年全部收入。2022年预算收入1778.08万元，其中：一般公共预算拨款收入1778.08万元，基金预算收入0万元，财政专户核拨收入0万元，其他来源收入0万元。</w:t>
      </w:r>
    </w:p>
    <w:p>
      <w:pPr>
        <w:spacing w:line="570" w:lineRule="exact"/>
        <w:ind w:firstLine="640"/>
        <w:rPr>
          <w:rFonts w:ascii="方正仿宋简体" w:hAnsi="宋体" w:eastAsia="方正仿宋简体" w:cs="黑体"/>
          <w:b/>
          <w:sz w:val="32"/>
          <w:szCs w:val="32"/>
        </w:rPr>
      </w:pPr>
      <w:r>
        <w:rPr>
          <w:rFonts w:hint="eastAsia" w:ascii="方正仿宋简体" w:hAnsi="宋体" w:eastAsia="方正仿宋简体" w:cs="黑体"/>
          <w:b/>
          <w:sz w:val="32"/>
          <w:szCs w:val="32"/>
        </w:rPr>
        <w:t>2、支出说明</w:t>
      </w:r>
    </w:p>
    <w:p>
      <w:pPr>
        <w:pStyle w:val="26"/>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仿宋" w:eastAsia="方正仿宋简体" w:cs="黑体"/>
          <w:sz w:val="32"/>
          <w:szCs w:val="32"/>
        </w:rPr>
        <w:t>收支预算总表支出栏、基本支出表、项目支出表按经济分类和支出功能分类科目编制，反映遵化市文化路街道办事处2022年度部门预算中支出预算的总体情况。2022年支出预算1778.08万元，其中基本支出1224.78万元，包括人员经费1182.81万元和日常公用经费41.97万元；项目支出553.3万元</w:t>
      </w:r>
      <w:r>
        <w:rPr>
          <w:rFonts w:hint="eastAsia" w:ascii="方正仿宋简体" w:hAnsi="仿宋" w:eastAsia="方正仿宋简体" w:cs="黑体"/>
          <w:sz w:val="32"/>
          <w:szCs w:val="32"/>
          <w:lang w:eastAsia="zh-CN"/>
        </w:rPr>
        <w:t>，</w:t>
      </w:r>
      <w:r>
        <w:rPr>
          <w:rFonts w:hint="eastAsia" w:ascii="宋体" w:hAnsi="宋体" w:eastAsia="方正仿宋简体" w:cs="MS Mincho"/>
          <w:kern w:val="0"/>
          <w:sz w:val="32"/>
          <w:szCs w:val="32"/>
          <w:lang w:val="en-US" w:eastAsia="zh-CN" w:bidi="ar-SA"/>
        </w:rPr>
        <w:t>主要为洁净煤工作经费，军转家属生活补助及保险，居委会办公用房装修经费，日常维稳及宣传费用，社区党组织</w:t>
      </w:r>
      <w:r>
        <w:rPr>
          <w:rFonts w:hint="eastAsia" w:ascii="方正仿宋简体" w:hAnsi="方正仿宋简体" w:eastAsia="方正仿宋简体" w:cs="方正仿宋简体"/>
          <w:sz w:val="32"/>
          <w:szCs w:val="32"/>
          <w:lang w:val="en-US" w:eastAsia="zh-CN"/>
        </w:rPr>
        <w:t>服务群众经费，社区工作经费，疫情防控工作经费，老农经公寓污水管道修复资金等。</w:t>
      </w:r>
    </w:p>
    <w:p>
      <w:pPr>
        <w:spacing w:line="570" w:lineRule="exact"/>
        <w:ind w:firstLine="643" w:firstLineChars="200"/>
        <w:rPr>
          <w:rFonts w:ascii="方正仿宋简体" w:hAnsi="宋体" w:eastAsia="方正仿宋简体" w:cs="黑体"/>
          <w:b/>
          <w:sz w:val="32"/>
          <w:szCs w:val="32"/>
        </w:rPr>
      </w:pPr>
      <w:r>
        <w:rPr>
          <w:rFonts w:hint="eastAsia" w:ascii="方正仿宋简体" w:hAnsi="宋体" w:eastAsia="方正仿宋简体" w:cs="黑体"/>
          <w:b/>
          <w:sz w:val="32"/>
          <w:szCs w:val="32"/>
        </w:rPr>
        <w:t>3、比上年增减情况</w:t>
      </w:r>
    </w:p>
    <w:p>
      <w:pPr>
        <w:spacing w:line="570" w:lineRule="exact"/>
        <w:ind w:firstLine="640" w:firstLineChars="200"/>
        <w:rPr>
          <w:rFonts w:ascii="方正仿宋简体" w:hAnsi="仿宋" w:eastAsia="方正仿宋简体" w:cs="黑体"/>
          <w:sz w:val="32"/>
          <w:szCs w:val="32"/>
        </w:rPr>
      </w:pPr>
      <w:r>
        <w:rPr>
          <w:rFonts w:hint="eastAsia" w:ascii="方正仿宋简体" w:hAnsi="仿宋" w:eastAsia="方正仿宋简体" w:cs="黑体"/>
          <w:sz w:val="32"/>
          <w:szCs w:val="32"/>
        </w:rPr>
        <w:t>2022年预算收支安排1778.08万元，较2021年预算增加374.88万元，其中：基本支出增加474.24万元，主要为增加人员经费支出432.27万元；（人员经费增加的主要原因为抽调自收自支人员和招聘社区工作者人员的增加）；日常公用经费增加1.31万元（增加原因为在职人员的增加等因素）。项目支出减少58.7万元。</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仿宋" w:eastAsia="方正仿宋简体" w:cs="黑体"/>
          <w:sz w:val="32"/>
          <w:szCs w:val="32"/>
        </w:rPr>
      </w:pPr>
      <w:r>
        <w:rPr>
          <w:rFonts w:hint="eastAsia" w:ascii="方正仿宋简体" w:hAnsi="仿宋" w:eastAsia="方正仿宋简体"/>
          <w:sz w:val="32"/>
          <w:szCs w:val="32"/>
        </w:rPr>
        <w:t>2022</w:t>
      </w:r>
      <w:r>
        <w:rPr>
          <w:rFonts w:hint="eastAsia" w:ascii="方正仿宋简体" w:hAnsi="仿宋" w:eastAsia="方正仿宋简体" w:cs="方正仿宋_GBK"/>
          <w:sz w:val="32"/>
          <w:szCs w:val="32"/>
        </w:rPr>
        <w:t>年，我单位机关运行经费共计安排</w:t>
      </w:r>
      <w:r>
        <w:rPr>
          <w:rFonts w:hint="eastAsia" w:ascii="方正仿宋简体" w:hAnsi="仿宋" w:eastAsia="方正仿宋简体"/>
          <w:sz w:val="32"/>
          <w:szCs w:val="32"/>
        </w:rPr>
        <w:t>41.97</w:t>
      </w:r>
      <w:r>
        <w:rPr>
          <w:rFonts w:hint="eastAsia" w:ascii="方正仿宋简体" w:hAnsi="仿宋" w:eastAsia="方正仿宋简体" w:cs="方正仿宋_GBK"/>
          <w:sz w:val="32"/>
          <w:szCs w:val="32"/>
        </w:rPr>
        <w:t>万元，主要用于：</w:t>
      </w:r>
      <w:r>
        <w:rPr>
          <w:rFonts w:hint="eastAsia" w:ascii="方正仿宋简体" w:hAnsi="仿宋" w:eastAsia="方正仿宋简体" w:cs="黑体"/>
          <w:sz w:val="32"/>
          <w:szCs w:val="32"/>
        </w:rPr>
        <w:t>2022年机关办公费1.65万元，电费1.1万元，邮电费1.34万元，取暖费4万元，差旅费1.1万元，会议费0.28万元,培训费0.28万元, 公务用车运行维护费6.15万元，公务接待费0.61万元，离退休干部经费0.36万元，公车补贴费用14.22万元,其他业务费0.54万元，工会经费4.91万元，福利费5.43万元。</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仿宋" w:eastAsia="方正仿宋简体" w:cs="黑体"/>
          <w:sz w:val="32"/>
          <w:szCs w:val="32"/>
        </w:rPr>
      </w:pPr>
      <w:r>
        <w:rPr>
          <w:rFonts w:hint="eastAsia" w:ascii="方正仿宋简体" w:hAnsi="仿宋" w:eastAsia="方正仿宋简体" w:cs="黑体"/>
          <w:sz w:val="32"/>
          <w:szCs w:val="32"/>
        </w:rPr>
        <w:t xml:space="preserve">2022年我单位“三公”经费预算安排6.76万元，比2021年增加0.7万元，原因为公务用车购置及运行费增加0.7万元。具体安排情况为： </w:t>
      </w:r>
    </w:p>
    <w:p>
      <w:pPr>
        <w:widowControl/>
        <w:tabs>
          <w:tab w:val="left" w:pos="5552"/>
          <w:tab w:val="left" w:pos="7323"/>
          <w:tab w:val="left" w:pos="12218"/>
          <w:tab w:val="left" w:pos="14365"/>
          <w:tab w:val="left" w:pos="17759"/>
          <w:tab w:val="left" w:pos="19300"/>
          <w:tab w:val="left" w:pos="20220"/>
        </w:tabs>
        <w:spacing w:line="570" w:lineRule="exact"/>
        <w:ind w:firstLine="470" w:firstLineChars="147"/>
        <w:jc w:val="left"/>
        <w:rPr>
          <w:rFonts w:ascii="方正仿宋简体" w:hAnsi="仿宋" w:eastAsia="方正仿宋简体" w:cs="黑体"/>
          <w:bCs/>
          <w:sz w:val="32"/>
          <w:szCs w:val="32"/>
        </w:rPr>
      </w:pPr>
      <w:r>
        <w:rPr>
          <w:rFonts w:hint="eastAsia" w:ascii="方正仿宋简体" w:hAnsi="仿宋" w:eastAsia="方正仿宋简体" w:cs="黑体"/>
          <w:bCs/>
          <w:sz w:val="32"/>
          <w:szCs w:val="32"/>
        </w:rPr>
        <w:t>（一）公务用车购置及运行费。共计安排6.15万元，比2021年增加0.7万元，原因为增加两辆执法用车保险费用。其中①公务用车购置安排0万元，与2021年持平，无增减变化。②公车运行维护经费安排6.15万元，比2021年增加0.7万元，原因为增加两辆执法用车保险费用。</w:t>
      </w:r>
    </w:p>
    <w:p>
      <w:pPr>
        <w:widowControl/>
        <w:tabs>
          <w:tab w:val="left" w:pos="5552"/>
          <w:tab w:val="left" w:pos="7323"/>
          <w:tab w:val="left" w:pos="12218"/>
          <w:tab w:val="left" w:pos="14365"/>
          <w:tab w:val="left" w:pos="17759"/>
          <w:tab w:val="left" w:pos="19300"/>
          <w:tab w:val="left" w:pos="20220"/>
        </w:tabs>
        <w:spacing w:line="570" w:lineRule="exact"/>
        <w:ind w:firstLine="470" w:firstLineChars="147"/>
        <w:jc w:val="left"/>
        <w:rPr>
          <w:rFonts w:ascii="方正仿宋简体" w:hAnsi="仿宋" w:eastAsia="方正仿宋简体" w:cs="黑体"/>
          <w:bCs/>
          <w:sz w:val="32"/>
          <w:szCs w:val="32"/>
        </w:rPr>
      </w:pPr>
      <w:r>
        <w:rPr>
          <w:rFonts w:hint="eastAsia" w:ascii="方正仿宋简体" w:hAnsi="仿宋" w:eastAsia="方正仿宋简体" w:cs="黑体"/>
          <w:bCs/>
          <w:sz w:val="32"/>
          <w:szCs w:val="32"/>
        </w:rPr>
        <w:t>（二）公务接待费。安排0.61万元，与2021年预算持平,</w:t>
      </w:r>
      <w:r>
        <w:rPr>
          <w:rFonts w:hint="eastAsia" w:ascii="宋体" w:hAnsi="宋体" w:eastAsia="方正仿宋简体" w:cs="MS Mincho"/>
          <w:kern w:val="0"/>
          <w:sz w:val="32"/>
          <w:szCs w:val="32"/>
          <w:lang w:val="en-US" w:eastAsia="uk-UA" w:bidi="ar-SA"/>
        </w:rPr>
        <w:t>按照</w:t>
      </w:r>
      <w:r>
        <w:rPr>
          <w:rFonts w:hint="eastAsia" w:ascii="宋体" w:hAnsi="宋体" w:eastAsia="方正仿宋简体" w:cs="MS Mincho"/>
          <w:kern w:val="0"/>
          <w:sz w:val="32"/>
          <w:szCs w:val="32"/>
          <w:lang w:val="en-US" w:eastAsia="zh-CN" w:bidi="ar-SA"/>
        </w:rPr>
        <w:t>统一定额标准计算，无增减变化</w:t>
      </w:r>
      <w:r>
        <w:rPr>
          <w:rFonts w:hint="eastAsia" w:ascii="宋体" w:hAnsi="宋体" w:eastAsia="方正仿宋简体" w:cs="MS Mincho"/>
          <w:kern w:val="0"/>
          <w:sz w:val="32"/>
          <w:szCs w:val="32"/>
          <w:lang w:val="en-US" w:eastAsia="uk-UA" w:bidi="ar-SA"/>
        </w:rPr>
        <w:t>。</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仿宋简体" w:cs="方正楷体简体"/>
          <w:kern w:val="0"/>
          <w:sz w:val="32"/>
          <w:szCs w:val="32"/>
          <w:lang w:val="en-US" w:eastAsia="zh-CN" w:bidi="ar-SA"/>
        </w:rPr>
      </w:pPr>
      <w:r>
        <w:rPr>
          <w:rFonts w:hint="eastAsia" w:ascii="方正仿宋简体" w:hAnsi="仿宋" w:eastAsia="方正仿宋简体" w:cs="黑体"/>
          <w:bCs/>
          <w:sz w:val="32"/>
          <w:szCs w:val="32"/>
        </w:rPr>
        <w:t>（三）因公出国（境）费安排0万元，与2021年持平，无增减变化。</w:t>
      </w:r>
      <w:r>
        <w:rPr>
          <w:rFonts w:hint="eastAsia" w:ascii="宋体" w:hAnsi="宋体" w:eastAsia="方正仿宋简体" w:cs="MS Mincho"/>
          <w:kern w:val="0"/>
          <w:sz w:val="32"/>
          <w:szCs w:val="32"/>
          <w:lang w:val="en-US" w:eastAsia="zh-CN" w:bidi="ar-SA"/>
        </w:rPr>
        <w:t>没有因公出国安排，所以未安排因公出国费。</w:t>
      </w:r>
    </w:p>
    <w:p>
      <w:pPr>
        <w:pStyle w:val="3"/>
        <w:ind w:left="0" w:leftChars="0" w:firstLine="640" w:firstLineChars="200"/>
        <w:rPr>
          <w:rFonts w:ascii="方正黑体简体" w:hAnsi="方正黑体简体" w:eastAsia="方正黑体简体" w:cs="方正黑体简体"/>
          <w:sz w:val="32"/>
          <w:szCs w:val="32"/>
        </w:rPr>
      </w:pPr>
      <w:bookmarkStart w:id="2" w:name="_Toc68791549"/>
      <w:r>
        <w:rPr>
          <w:rFonts w:hint="eastAsia" w:ascii="方正黑体简体" w:hAnsi="方正黑体简体" w:eastAsia="方正黑体简体" w:cs="方正黑体简体"/>
          <w:sz w:val="32"/>
          <w:szCs w:val="32"/>
        </w:rPr>
        <w:t>五、预算绩效信息</w:t>
      </w:r>
      <w:bookmarkEnd w:id="2"/>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2021年，街道党工委、办事处将坚持以党的十九大精神为指导，以党建引领为主线，以“六位一体”为抓手，以“经济发展、民生改善、文明和谐、社会稳定”为目标，全面推进经济社会发展各项工作，提升街道社区治理现代化水平，守好维护稳定的第一防线，打造服务居民的第一平台，建设发展经济的第一环境，努力建设书香、文明、智慧、美丽街道。</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1、强化党建，加强干部队伍管理，提升整体执政能力</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是持续推进社区“六位一体”建设，夯实“六位一体”的物质基础，建立健全规章制度、人员配备等软件措施，进一步提升社区治理的现代化水平。二是以党建为引领协调推进各项工作持续向好开展，进一步推进党建工作的机制、制度和工作创新，切实解决困扰党建工作的难点问题，秉承思想、点面结合、协调推进，力争街道党建工作再上新台阶。</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2、改善民生，加强社会管理创新，提升居民幸福指数</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3、寻求突破，推进网格化管理，提升街道管理水平</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4、践行宗旨，增强服务意识，提升服务发展能力</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是全面提高为民服务的质量和水平，切实保障社会救助落到实处，对符合城镇低保标准条件的人，实现应保尽保。二是扎实做好保障性住房工作，为辖区符合条件的无房户争取住上保障性住房，切实解决居民民生问题。全力推动辖区老旧小区改造工作顺利实施，提升公共环境，营造宜居新亮点。三是扎实掌握辖区无业人员情况，充分结合就业政策，积极开展各项有利于困难人员就业的援助活动和引导推荐工作，力争千方百计促进辖区无业人员就业。</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5、综合治理，增强维护稳定意识，提升矛盾化解能力</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是深化排查调处机制，做好安全稳定工作。对辖区的热点难点问题做到底数清、情况明、发现得早、化解得了、控制得住、处理得好，快速有效地化解矛盾，把隐患消除在萌芽状态。二是加强综合治理，确保社区平安。进一步完善社会治安防控体系，落实社会治安长效管理机制，维护社区治安环境。三是妥善处理信访问题，合理解决群众诉求。规范信访登记，完善应急工作预案，有效处理突发事件，确保社会稳定。四是加大安全生产监管力度。严格落实安全生产责任制，抓好隐患整治工作落实，坚决遏制安全生产事故的发生。</w:t>
      </w:r>
    </w:p>
    <w:p>
      <w:pPr>
        <w:autoSpaceDE w:val="0"/>
        <w:autoSpaceDN w:val="0"/>
        <w:adjustRightInd w:val="0"/>
        <w:spacing w:line="570" w:lineRule="exact"/>
        <w:ind w:firstLine="472" w:firstLineChars="147"/>
        <w:jc w:val="left"/>
        <w:rPr>
          <w:rFonts w:ascii="方正仿宋简体" w:eastAsia="方正仿宋简体" w:cs="方正仿宋_GBK"/>
          <w:b/>
          <w:bCs/>
          <w:sz w:val="32"/>
          <w:szCs w:val="32"/>
        </w:rPr>
      </w:pPr>
    </w:p>
    <w:p>
      <w:pPr>
        <w:autoSpaceDE w:val="0"/>
        <w:autoSpaceDN w:val="0"/>
        <w:adjustRightInd w:val="0"/>
        <w:spacing w:line="570" w:lineRule="exact"/>
        <w:ind w:firstLine="472" w:firstLineChars="147"/>
        <w:jc w:val="left"/>
        <w:rPr>
          <w:rFonts w:eastAsia="方正仿宋_GBK" w:cs="方正仿宋_GBK"/>
          <w:b/>
          <w:bCs/>
          <w:sz w:val="32"/>
          <w:szCs w:val="32"/>
        </w:rPr>
      </w:pPr>
    </w:p>
    <w:p>
      <w:pPr>
        <w:autoSpaceDE w:val="0"/>
        <w:autoSpaceDN w:val="0"/>
        <w:adjustRightInd w:val="0"/>
        <w:ind w:firstLine="472" w:firstLineChars="147"/>
        <w:jc w:val="left"/>
        <w:rPr>
          <w:rFonts w:eastAsia="方正仿宋_GBK" w:cs="方正仿宋_GBK"/>
          <w:b/>
          <w:bCs/>
          <w:sz w:val="32"/>
          <w:szCs w:val="32"/>
        </w:rPr>
      </w:pPr>
    </w:p>
    <w:p>
      <w:pPr>
        <w:autoSpaceDE w:val="0"/>
        <w:autoSpaceDN w:val="0"/>
        <w:adjustRightInd w:val="0"/>
        <w:ind w:firstLine="472" w:firstLineChars="147"/>
        <w:jc w:val="left"/>
        <w:rPr>
          <w:rFonts w:eastAsia="方正仿宋_GBK" w:cs="方正仿宋_GBK"/>
          <w:b/>
          <w:bCs/>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1、文化路社区工作经费（文化路街道办）项目绩效目标表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709"/>
        <w:gridCol w:w="1521"/>
        <w:gridCol w:w="3686"/>
        <w:gridCol w:w="442"/>
        <w:gridCol w:w="1895"/>
        <w:gridCol w:w="409"/>
        <w:gridCol w:w="593"/>
        <w:gridCol w:w="1527"/>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480" w:type="pct"/>
            <w:gridSpan w:val="4"/>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13028121DCK58E9XTS8MG</w:t>
            </w:r>
          </w:p>
        </w:tc>
        <w:tc>
          <w:tcPr>
            <w:tcW w:w="63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491" w:type="pct"/>
            <w:gridSpan w:val="4"/>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文化路街道社区工作经费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70" w:type="pct"/>
            <w:gridSpan w:val="5"/>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2130" w:type="pct"/>
            <w:gridSpan w:val="5"/>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8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11" w:type="pct"/>
            <w:gridSpan w:val="9"/>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预算数90.2万元。其中：财政资金90.2万元，其他资金0万元。用于21个居委会办公开支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089"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243"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124" w:type="pct"/>
            <w:gridSpan w:val="4"/>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1154"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089"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1243"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124" w:type="pct"/>
            <w:gridSpan w:val="4"/>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1154"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034" w:type="pct"/>
            <w:gridSpan w:val="8"/>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严格按照各项办公经费管理办法，保障单位位各项公用经费及时、顺畅报销。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034" w:type="pct"/>
            <w:gridSpan w:val="8"/>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034" w:type="pct"/>
            <w:gridSpan w:val="8"/>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576"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513"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391" w:type="pct"/>
            <w:gridSpan w:val="2"/>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63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853" w:type="pct"/>
            <w:gridSpan w:val="3"/>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63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13"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91" w:type="pct"/>
            <w:gridSpan w:val="2"/>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3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200"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515"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63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576"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391" w:type="pct"/>
            <w:gridSpan w:val="2"/>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单位经费保障人数</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tcPr>
          <w:p>
            <w:pPr>
              <w:widowControl/>
              <w:ind w:right="270"/>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21</w:t>
            </w:r>
          </w:p>
        </w:tc>
        <w:tc>
          <w:tcPr>
            <w:tcW w:w="515"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21个居委会</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1391" w:type="pct"/>
            <w:gridSpan w:val="2"/>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按照办公经费管理办法审核经费开支</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40.00</w:t>
            </w:r>
          </w:p>
        </w:tc>
        <w:tc>
          <w:tcPr>
            <w:tcW w:w="515"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项目安排经费</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办公用品质量</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把关采购办公用品质优价廉</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经费使用情况</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按照审批程序及时报销公用经费、不拖延</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公用经费节约率</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率节约率=（预算金额-报销金额）/预算金额</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经费实际成本</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576"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513"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391" w:type="pct"/>
            <w:gridSpan w:val="2"/>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提高办公效率</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经费使用效率整体提高</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保障机关运转对公共服务水平提升情况</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推动社区工作开展</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购买办公用品、专用材料等对工作环境的改善程度</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改善办公环境</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受益人口满意度提高</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513"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91" w:type="pct"/>
            <w:gridSpan w:val="2"/>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8"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00" w:type="pct"/>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15"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513"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91" w:type="pct"/>
            <w:gridSpan w:val="2"/>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8"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00" w:type="pct"/>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15"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bl>
    <w:p>
      <w:pPr>
        <w:spacing w:line="580" w:lineRule="exact"/>
        <w:rPr>
          <w:rFonts w:ascii="方正仿宋简体" w:hAnsi="方正仿宋简体" w:eastAsia="方正仿宋简体" w:cs="方正仿宋简体"/>
          <w:sz w:val="32"/>
          <w:szCs w:val="32"/>
        </w:rPr>
      </w:pPr>
    </w:p>
    <w:p>
      <w:pPr>
        <w:spacing w:line="5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2、文化路街道日常维稳及宣传费用（文化路街道办）项目绩效目标表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3"/>
        <w:gridCol w:w="1567"/>
        <w:gridCol w:w="1573"/>
        <w:gridCol w:w="3799"/>
        <w:gridCol w:w="1880"/>
        <w:gridCol w:w="566"/>
        <w:gridCol w:w="549"/>
        <w:gridCol w:w="156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339" w:type="pct"/>
            <w:gridSpan w:val="3"/>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13028121QGQD9O2KZGG40</w:t>
            </w:r>
          </w:p>
        </w:tc>
        <w:tc>
          <w:tcPr>
            <w:tcW w:w="634"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667" w:type="pct"/>
            <w:gridSpan w:val="4"/>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文化路街道日常维稳及宣传费用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697" w:type="pct"/>
            <w:gridSpan w:val="4"/>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2302" w:type="pct"/>
            <w:gridSpan w:val="5"/>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41" w:type="pct"/>
            <w:gridSpan w:val="8"/>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预算数20万元。其中：财政资金20万元，其他资金0万元。用于街道维稳宣传等开支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058"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281"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010" w:type="pct"/>
            <w:gridSpan w:val="3"/>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1291"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058"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1281"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010" w:type="pct"/>
            <w:gridSpan w:val="3"/>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1291"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113" w:type="pct"/>
            <w:gridSpan w:val="7"/>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严格按照各项办公经费管理办法，保障单位各项公用经费及时、顺畅报销。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113" w:type="pct"/>
            <w:gridSpan w:val="7"/>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113" w:type="pct"/>
            <w:gridSpan w:val="7"/>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52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52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281"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634"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905" w:type="pct"/>
            <w:gridSpan w:val="3"/>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762"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281"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34"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91"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184"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52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762"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52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28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保障单位发放工资福利及缴纳保险的人数</w:t>
            </w:r>
          </w:p>
        </w:tc>
        <w:tc>
          <w:tcPr>
            <w:tcW w:w="634"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51.00</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762"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按照办公经费管理办法审核经费开支</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20.00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工资发放金额占全年金额的比例</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文字描述</w:t>
            </w:r>
          </w:p>
        </w:tc>
        <w:tc>
          <w:tcPr>
            <w:tcW w:w="184" w:type="pct"/>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52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28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34"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762"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践行厉行节约反对浪费制度体系建设</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保障机关运转对公共服务水平提升情况</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购买办公用品、专用材料等对工作环境的改善程度</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35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bl>
    <w:p>
      <w:pPr>
        <w:spacing w:line="580" w:lineRule="exact"/>
        <w:rPr>
          <w:rFonts w:eastAsia="方正仿宋_GBK"/>
          <w:sz w:val="28"/>
          <w:szCs w:val="28"/>
        </w:rPr>
      </w:pPr>
    </w:p>
    <w:p>
      <w:pPr>
        <w:spacing w:line="580" w:lineRule="exact"/>
        <w:rPr>
          <w:rFonts w:eastAsia="方正仿宋_GBK"/>
          <w:sz w:val="28"/>
          <w:szCs w:val="28"/>
        </w:rPr>
      </w:pPr>
    </w:p>
    <w:p>
      <w:pPr>
        <w:spacing w:line="580" w:lineRule="exact"/>
        <w:jc w:val="center"/>
        <w:rPr>
          <w:rFonts w:eastAsia="方正仿宋_GBK"/>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3、军转家属生活补助及保险资金绩效目标表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05"/>
        <w:gridCol w:w="1486"/>
        <w:gridCol w:w="2020"/>
        <w:gridCol w:w="409"/>
        <w:gridCol w:w="2862"/>
        <w:gridCol w:w="273"/>
        <w:gridCol w:w="1907"/>
        <w:gridCol w:w="406"/>
        <w:gridCol w:w="303"/>
        <w:gridCol w:w="380"/>
        <w:gridCol w:w="810"/>
        <w:gridCol w:w="1100"/>
        <w:gridCol w:w="18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377" w:type="pct"/>
            <w:gridSpan w:val="5"/>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13028121ZPBDGBGQ3K0XO</w:t>
            </w:r>
          </w:p>
        </w:tc>
        <w:tc>
          <w:tcPr>
            <w:tcW w:w="882" w:type="pct"/>
            <w:gridSpan w:val="3"/>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402" w:type="pct"/>
            <w:gridSpan w:val="4"/>
            <w:tcBorders>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军转家属生活补助及保险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2716" w:type="pct"/>
            <w:gridSpan w:val="6"/>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2284" w:type="pct"/>
            <w:gridSpan w:val="7"/>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61" w:type="pct"/>
            <w:gridSpan w:val="1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预算数26.3万元。其中：财政资金26.3万元，其他资金0万元。用于3名军属工资及各项保险补贴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320"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05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283"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1001" w:type="pct"/>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7"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073"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326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3959"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089" w:type="dxa"/>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军属人员工资津贴补贴发放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军属人员各项保险缴纳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50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68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103"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735"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1011"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630" w:type="pct"/>
            <w:vMerge w:val="restar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8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103"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35"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630" w:type="pct"/>
            <w:vMerge w:val="continue"/>
            <w:tcBorders>
              <w:top w:val="single" w:color="auto" w:sz="4" w:space="0"/>
              <w:left w:val="single" w:color="auto" w:sz="4" w:space="0"/>
              <w:bottom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3"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保障单位发放工资福利及缴纳保险的人数</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单位人员年底考核合格率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工资发放金额占全年金额的比例</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文字描述</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提高职工工作积极性和劳动生产率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环保意识增强</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环保意识明显提高（如减少开车次数、单位可自行增加相关指标）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环保意识增强</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走访调查或以问卷形式征求满意度</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bl>
    <w:p>
      <w:pPr>
        <w:spacing w:line="5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15"/>
          <w:szCs w:val="15"/>
        </w:rPr>
        <w:br w:type="page"/>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4、文化路社区党组织服务群众专项经费（文化路街道办）项目绩效目标表</w:t>
      </w:r>
    </w:p>
    <w:tbl>
      <w:tblPr>
        <w:tblStyle w:val="12"/>
        <w:tblW w:w="5000" w:type="pct"/>
        <w:tblInd w:w="0" w:type="dxa"/>
        <w:tblLayout w:type="fixed"/>
        <w:tblCellMar>
          <w:top w:w="0" w:type="dxa"/>
          <w:left w:w="0" w:type="dxa"/>
          <w:bottom w:w="0" w:type="dxa"/>
          <w:right w:w="0" w:type="dxa"/>
        </w:tblCellMar>
      </w:tblPr>
      <w:tblGrid>
        <w:gridCol w:w="980"/>
        <w:gridCol w:w="1069"/>
        <w:gridCol w:w="2145"/>
        <w:gridCol w:w="4930"/>
        <w:gridCol w:w="2311"/>
        <w:gridCol w:w="404"/>
        <w:gridCol w:w="675"/>
        <w:gridCol w:w="272"/>
        <w:gridCol w:w="456"/>
        <w:gridCol w:w="1170"/>
        <w:gridCol w:w="367"/>
        <w:gridCol w:w="50"/>
      </w:tblGrid>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75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13028121IOW1ZV5RMUCSI</w:t>
            </w:r>
          </w:p>
        </w:tc>
        <w:tc>
          <w:tcPr>
            <w:tcW w:w="5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3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文化路社区党组织服务群众专项经费</w:t>
            </w:r>
          </w:p>
        </w:tc>
      </w:tr>
      <w:tr>
        <w:tblPrEx>
          <w:tblCellMar>
            <w:top w:w="0" w:type="dxa"/>
            <w:left w:w="0" w:type="dxa"/>
            <w:bottom w:w="0" w:type="dxa"/>
            <w:right w:w="0" w:type="dxa"/>
          </w:tblCellMar>
        </w:tblPrEx>
        <w:trPr>
          <w:trHeight w:val="300" w:hRule="atLeast"/>
        </w:trPr>
        <w:tc>
          <w:tcPr>
            <w:tcW w:w="3083"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1917" w:type="pct"/>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6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68" w:type="pct"/>
            <w:gridSpan w:val="11"/>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预算数334万元。其中财政资金334万元，其他资金0万元。用于保洁人员及招聘人员的工资及保险</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08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2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396"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97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35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31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4878"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021"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街道保洁人员工资及保险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街道招聘人员工资及保险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36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7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11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78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1147"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5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11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8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32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68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5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保障单位发放工资福利及缴纳保险的人数</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单位人员年底考核合格率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工资发放金额占全年金额的比例</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ind w:right="90"/>
              <w:jc w:val="righ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100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443"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严格执行年初预算，有效防止超预算提高职工工作积极性和劳动生产率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ind w:right="360"/>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环保意识明显提高</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提高职工工作积极性和劳动生产率环保意识明显提高</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环保意识明显提高</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走访调查或以问卷形式征求满意度</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bl>
    <w:p>
      <w:pPr>
        <w:spacing w:line="580" w:lineRule="exact"/>
        <w:jc w:val="center"/>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5、文化路街道居委会办公用房装修资金（文化路街道办）项目绩效目标表</w:t>
      </w:r>
    </w:p>
    <w:tbl>
      <w:tblPr>
        <w:tblStyle w:val="12"/>
        <w:tblW w:w="5000" w:type="pct"/>
        <w:tblInd w:w="0" w:type="dxa"/>
        <w:tblLayout w:type="fixed"/>
        <w:tblCellMar>
          <w:top w:w="0" w:type="dxa"/>
          <w:left w:w="0" w:type="dxa"/>
          <w:bottom w:w="0" w:type="dxa"/>
          <w:right w:w="0" w:type="dxa"/>
        </w:tblCellMar>
      </w:tblPr>
      <w:tblGrid>
        <w:gridCol w:w="964"/>
        <w:gridCol w:w="1424"/>
        <w:gridCol w:w="1266"/>
        <w:gridCol w:w="175"/>
        <w:gridCol w:w="3681"/>
        <w:gridCol w:w="264"/>
        <w:gridCol w:w="1779"/>
        <w:gridCol w:w="18"/>
        <w:gridCol w:w="528"/>
        <w:gridCol w:w="679"/>
        <w:gridCol w:w="371"/>
        <w:gridCol w:w="836"/>
        <w:gridCol w:w="566"/>
        <w:gridCol w:w="2278"/>
      </w:tblGrid>
      <w:tr>
        <w:trPr>
          <w:trHeight w:val="3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902"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13028121KUF5YW1T237RG</w:t>
            </w:r>
          </w:p>
        </w:tc>
        <w:tc>
          <w:tcPr>
            <w:tcW w:w="532"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24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文化路街道居委会办公用房装修资金</w:t>
            </w:r>
          </w:p>
        </w:tc>
      </w:tr>
      <w:tr>
        <w:tblPrEx>
          <w:tblCellMar>
            <w:top w:w="0" w:type="dxa"/>
            <w:left w:w="0" w:type="dxa"/>
            <w:bottom w:w="0" w:type="dxa"/>
            <w:right w:w="0" w:type="dxa"/>
          </w:tblCellMar>
        </w:tblPrEx>
        <w:trPr>
          <w:trHeight w:val="300" w:hRule="atLeast"/>
        </w:trPr>
        <w:tc>
          <w:tcPr>
            <w:tcW w:w="3227" w:type="pct"/>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17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6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75" w:type="pct"/>
            <w:gridSpan w:val="1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预算数82.80万元。其中财政资金82.80万元，其他资金0万元。21个居委会办公用房装修资金</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90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38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420"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279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428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4382"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295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严格按照各项办公经费管理办法，保障单位位各项公用经费及时、顺畅报销。</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加强预算监督，提高资金使用效益，保障单位工作顺利开展。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48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486"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2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689"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1011"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768"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6"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2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89"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768"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单位经费保障人数</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按照办公经费管理办法审核经费开支</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258.00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办公用品质量</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把关采购办公用品质优价廉</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办公用品质量</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按照审批程序及时报销公用经费、不拖延</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公用经费节约率</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率节约率=（预算金额-报销金额）/预算金额</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公用经费节约率</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践行厉行节约反对浪费制度体系建设</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保障机关运转对公共服务水平提升情况</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践行厉行节约反对浪费制度体系建设购买办公用品、专用材料等对工作环境的改善程度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bl>
    <w:p>
      <w:pPr>
        <w:spacing w:line="560" w:lineRule="exact"/>
        <w:rPr>
          <w:rFonts w:ascii="黑体" w:hAnsi="黑体" w:eastAsia="黑体" w:cs="黑体"/>
          <w:bCs/>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spacing w:line="560" w:lineRule="exact"/>
        <w:ind w:firstLine="899" w:firstLineChars="28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政府采购预算安排4.05万元 ，其中车辆设备维修和保险服务3万元，保险服务1.05万元，比2021年增加0.7万元，原因为增加两辆执法用车维修费用。</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本级政府采购预算</w:t>
      </w:r>
    </w:p>
    <w:p>
      <w:pPr>
        <w:spacing w:line="560" w:lineRule="exact"/>
        <w:ind w:firstLine="899" w:firstLineChars="281"/>
        <w:rPr>
          <w:rFonts w:ascii="方正仿宋简体" w:hAnsi="方正仿宋简体" w:eastAsia="方正仿宋简体" w:cs="方正仿宋简体"/>
          <w:sz w:val="32"/>
          <w:szCs w:val="32"/>
        </w:rPr>
      </w:pPr>
    </w:p>
    <w:tbl>
      <w:tblPr>
        <w:tblStyle w:val="12"/>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7"/>
        <w:gridCol w:w="846"/>
        <w:gridCol w:w="1951"/>
        <w:gridCol w:w="1478"/>
        <w:gridCol w:w="1005"/>
        <w:gridCol w:w="532"/>
        <w:gridCol w:w="532"/>
        <w:gridCol w:w="532"/>
        <w:gridCol w:w="532"/>
        <w:gridCol w:w="1478"/>
        <w:gridCol w:w="1163"/>
        <w:gridCol w:w="1163"/>
        <w:gridCol w:w="1163"/>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42" w:type="pct"/>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151遵化市文化路街道</w:t>
            </w:r>
          </w:p>
        </w:tc>
        <w:tc>
          <w:tcPr>
            <w:tcW w:w="1757" w:type="pct"/>
            <w:gridSpan w:val="7"/>
            <w:tcBorders>
              <w:top w:val="single" w:color="FFFFFF" w:sz="6" w:space="0"/>
              <w:left w:val="single" w:color="FFFFFF" w:sz="6" w:space="0"/>
              <w:right w:val="single" w:color="FFFFFF" w:sz="6" w:space="0"/>
            </w:tcBorders>
            <w:noWrap/>
            <w:vAlign w:val="center"/>
          </w:tcPr>
          <w:p>
            <w:pPr>
              <w:spacing w:line="300" w:lineRule="exact"/>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21" w:type="pct"/>
            <w:gridSpan w:val="2"/>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893"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345"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278"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  单位</w:t>
            </w:r>
          </w:p>
        </w:tc>
        <w:tc>
          <w:tcPr>
            <w:tcW w:w="322"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280"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1757" w:type="pct"/>
            <w:gridSpan w:val="7"/>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8"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92"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预算资金</w:t>
            </w:r>
          </w:p>
        </w:tc>
        <w:tc>
          <w:tcPr>
            <w:tcW w:w="893"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45"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78"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22"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80"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56"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总计</w:t>
            </w:r>
          </w:p>
        </w:tc>
        <w:tc>
          <w:tcPr>
            <w:tcW w:w="1240" w:type="pct"/>
            <w:gridSpan w:val="5"/>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当年部门预算安排资金</w:t>
            </w:r>
          </w:p>
        </w:tc>
        <w:tc>
          <w:tcPr>
            <w:tcW w:w="161"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8"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92"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893"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45"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78"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22"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80"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56"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22"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334"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222"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159"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201"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其他来源收入</w:t>
            </w:r>
          </w:p>
        </w:tc>
        <w:tc>
          <w:tcPr>
            <w:tcW w:w="161" w:type="pct"/>
            <w:vMerge w:val="continue"/>
            <w:noWrap/>
            <w:vAlign w:val="center"/>
          </w:tcPr>
          <w:p>
            <w:pPr>
              <w:spacing w:line="300" w:lineRule="exact"/>
              <w:jc w:val="left"/>
              <w:outlineLvl w:val="0"/>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29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893" w:type="pct"/>
            <w:noWrap/>
            <w:vAlign w:val="center"/>
          </w:tcPr>
          <w:p>
            <w:pPr>
              <w:spacing w:line="300" w:lineRule="exact"/>
              <w:jc w:val="left"/>
              <w:rPr>
                <w:rFonts w:ascii="方正仿宋简体" w:hAnsi="方正仿宋简体" w:eastAsia="方正仿宋简体" w:cs="方正仿宋简体"/>
              </w:rPr>
            </w:pPr>
          </w:p>
        </w:tc>
        <w:tc>
          <w:tcPr>
            <w:tcW w:w="345" w:type="pct"/>
            <w:noWrap/>
            <w:vAlign w:val="center"/>
          </w:tcPr>
          <w:p>
            <w:pPr>
              <w:spacing w:line="300" w:lineRule="exact"/>
              <w:jc w:val="left"/>
              <w:rPr>
                <w:rFonts w:ascii="方正仿宋简体" w:hAnsi="方正仿宋简体" w:eastAsia="方正仿宋简体" w:cs="方正仿宋简体"/>
              </w:rPr>
            </w:pP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p>
        </w:tc>
        <w:tc>
          <w:tcPr>
            <w:tcW w:w="280" w:type="pct"/>
            <w:noWrap/>
            <w:vAlign w:val="center"/>
          </w:tcPr>
          <w:p>
            <w:pPr>
              <w:spacing w:line="300" w:lineRule="exact"/>
              <w:jc w:val="right"/>
              <w:rPr>
                <w:rFonts w:ascii="方正仿宋简体" w:hAnsi="方正仿宋简体" w:eastAsia="方正仿宋简体" w:cs="方正仿宋简体"/>
              </w:rPr>
            </w:pPr>
          </w:p>
        </w:tc>
        <w:tc>
          <w:tcPr>
            <w:tcW w:w="356"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22"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34"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22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59"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201"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61" w:type="pct"/>
            <w:noWrap/>
            <w:vAlign w:val="center"/>
          </w:tcPr>
          <w:p>
            <w:pPr>
              <w:spacing w:line="300" w:lineRule="exact"/>
              <w:jc w:val="right"/>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遵化市文化路街道</w:t>
            </w:r>
          </w:p>
        </w:tc>
        <w:tc>
          <w:tcPr>
            <w:tcW w:w="292" w:type="pct"/>
            <w:noWrap/>
            <w:vAlign w:val="center"/>
          </w:tcPr>
          <w:p>
            <w:pPr>
              <w:spacing w:line="300" w:lineRule="exact"/>
              <w:jc w:val="right"/>
              <w:rPr>
                <w:rFonts w:ascii="方正仿宋简体" w:hAnsi="方正仿宋简体" w:eastAsia="方正仿宋简体" w:cs="方正仿宋简体"/>
              </w:rPr>
            </w:pPr>
          </w:p>
        </w:tc>
        <w:tc>
          <w:tcPr>
            <w:tcW w:w="893" w:type="pct"/>
            <w:noWrap/>
            <w:vAlign w:val="center"/>
          </w:tcPr>
          <w:p>
            <w:pPr>
              <w:spacing w:line="300" w:lineRule="exact"/>
              <w:jc w:val="left"/>
              <w:rPr>
                <w:rFonts w:ascii="方正仿宋简体" w:hAnsi="方正仿宋简体" w:eastAsia="方正仿宋简体" w:cs="方正仿宋简体"/>
              </w:rPr>
            </w:pPr>
          </w:p>
        </w:tc>
        <w:tc>
          <w:tcPr>
            <w:tcW w:w="345" w:type="pct"/>
            <w:noWrap/>
            <w:vAlign w:val="center"/>
          </w:tcPr>
          <w:p>
            <w:pPr>
              <w:spacing w:line="300" w:lineRule="exact"/>
              <w:jc w:val="left"/>
              <w:rPr>
                <w:rFonts w:ascii="方正仿宋简体" w:hAnsi="方正仿宋简体" w:eastAsia="方正仿宋简体" w:cs="方正仿宋简体"/>
              </w:rPr>
            </w:pP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p>
        </w:tc>
        <w:tc>
          <w:tcPr>
            <w:tcW w:w="280" w:type="pct"/>
            <w:noWrap/>
            <w:vAlign w:val="center"/>
          </w:tcPr>
          <w:p>
            <w:pPr>
              <w:spacing w:line="300" w:lineRule="exact"/>
              <w:jc w:val="right"/>
              <w:rPr>
                <w:rFonts w:ascii="方正仿宋简体" w:hAnsi="方正仿宋简体" w:eastAsia="方正仿宋简体" w:cs="方正仿宋简体"/>
              </w:rPr>
            </w:pPr>
          </w:p>
        </w:tc>
        <w:tc>
          <w:tcPr>
            <w:tcW w:w="356"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22"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34"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222" w:type="pct"/>
            <w:noWrap/>
            <w:vAlign w:val="center"/>
          </w:tcPr>
          <w:p>
            <w:pPr>
              <w:spacing w:line="300" w:lineRule="exact"/>
              <w:jc w:val="right"/>
              <w:rPr>
                <w:rFonts w:ascii="方正仿宋简体" w:hAnsi="方正仿宋简体" w:eastAsia="方正仿宋简体" w:cs="方正仿宋简体"/>
              </w:rPr>
            </w:pPr>
          </w:p>
        </w:tc>
        <w:tc>
          <w:tcPr>
            <w:tcW w:w="159" w:type="pct"/>
            <w:noWrap/>
            <w:vAlign w:val="center"/>
          </w:tcPr>
          <w:p>
            <w:pPr>
              <w:spacing w:line="300" w:lineRule="exact"/>
              <w:jc w:val="right"/>
              <w:rPr>
                <w:rFonts w:ascii="方正仿宋简体" w:hAnsi="方正仿宋简体" w:eastAsia="方正仿宋简体" w:cs="方正仿宋简体"/>
              </w:rPr>
            </w:pPr>
          </w:p>
        </w:tc>
        <w:tc>
          <w:tcPr>
            <w:tcW w:w="201" w:type="pct"/>
            <w:noWrap/>
            <w:vAlign w:val="center"/>
          </w:tcPr>
          <w:p>
            <w:pPr>
              <w:spacing w:line="300" w:lineRule="exact"/>
              <w:jc w:val="right"/>
              <w:rPr>
                <w:rFonts w:ascii="方正仿宋简体" w:hAnsi="方正仿宋简体" w:eastAsia="方正仿宋简体" w:cs="方正仿宋简体"/>
              </w:rPr>
            </w:pPr>
          </w:p>
        </w:tc>
        <w:tc>
          <w:tcPr>
            <w:tcW w:w="161" w:type="pct"/>
            <w:noWrap/>
            <w:vAlign w:val="center"/>
          </w:tcPr>
          <w:p>
            <w:pPr>
              <w:spacing w:line="300" w:lineRule="exact"/>
              <w:jc w:val="right"/>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lef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rPr>
              <w:t>汽车维修费</w:t>
            </w:r>
          </w:p>
        </w:tc>
        <w:tc>
          <w:tcPr>
            <w:tcW w:w="29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893"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车辆设备维修和保养服务</w:t>
            </w:r>
          </w:p>
        </w:tc>
        <w:tc>
          <w:tcPr>
            <w:tcW w:w="345"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C0503</w:t>
            </w: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280" w:type="pct"/>
            <w:noWrap/>
          </w:tcPr>
          <w:p>
            <w:pPr>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56"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322"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334"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222" w:type="pct"/>
            <w:noWrap/>
            <w:vAlign w:val="center"/>
          </w:tcPr>
          <w:p>
            <w:pPr>
              <w:spacing w:line="300" w:lineRule="exact"/>
              <w:jc w:val="right"/>
              <w:rPr>
                <w:rFonts w:ascii="方正仿宋简体" w:hAnsi="方正仿宋简体" w:eastAsia="方正仿宋简体" w:cs="方正仿宋简体"/>
              </w:rPr>
            </w:pPr>
          </w:p>
        </w:tc>
        <w:tc>
          <w:tcPr>
            <w:tcW w:w="159" w:type="pct"/>
            <w:noWrap/>
            <w:vAlign w:val="center"/>
          </w:tcPr>
          <w:p>
            <w:pPr>
              <w:spacing w:line="300" w:lineRule="exact"/>
              <w:jc w:val="right"/>
              <w:rPr>
                <w:rFonts w:ascii="方正仿宋简体" w:hAnsi="方正仿宋简体" w:eastAsia="方正仿宋简体" w:cs="方正仿宋简体"/>
              </w:rPr>
            </w:pPr>
          </w:p>
        </w:tc>
        <w:tc>
          <w:tcPr>
            <w:tcW w:w="201" w:type="pct"/>
            <w:noWrap/>
            <w:vAlign w:val="center"/>
          </w:tcPr>
          <w:p>
            <w:pPr>
              <w:spacing w:line="300" w:lineRule="exact"/>
              <w:jc w:val="right"/>
              <w:rPr>
                <w:rFonts w:ascii="方正仿宋简体" w:hAnsi="方正仿宋简体" w:eastAsia="方正仿宋简体" w:cs="方正仿宋简体"/>
              </w:rPr>
            </w:pPr>
          </w:p>
        </w:tc>
        <w:tc>
          <w:tcPr>
            <w:tcW w:w="161" w:type="pct"/>
            <w:noWrap/>
            <w:vAlign w:val="center"/>
          </w:tcPr>
          <w:p>
            <w:pPr>
              <w:spacing w:line="300" w:lineRule="exact"/>
              <w:jc w:val="right"/>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lef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rPr>
              <w:t>汽车保险费</w:t>
            </w:r>
          </w:p>
        </w:tc>
        <w:tc>
          <w:tcPr>
            <w:tcW w:w="29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893"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保险费</w:t>
            </w:r>
          </w:p>
        </w:tc>
        <w:tc>
          <w:tcPr>
            <w:tcW w:w="345"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C1504</w:t>
            </w: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280"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0.35</w:t>
            </w:r>
          </w:p>
        </w:tc>
        <w:tc>
          <w:tcPr>
            <w:tcW w:w="356"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322"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334"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222" w:type="pct"/>
            <w:noWrap/>
            <w:vAlign w:val="center"/>
          </w:tcPr>
          <w:p>
            <w:pPr>
              <w:spacing w:line="300" w:lineRule="exact"/>
              <w:jc w:val="right"/>
              <w:rPr>
                <w:rFonts w:ascii="方正仿宋简体" w:hAnsi="方正仿宋简体" w:eastAsia="方正仿宋简体" w:cs="方正仿宋简体"/>
              </w:rPr>
            </w:pPr>
          </w:p>
        </w:tc>
        <w:tc>
          <w:tcPr>
            <w:tcW w:w="159" w:type="pct"/>
            <w:noWrap/>
            <w:vAlign w:val="center"/>
          </w:tcPr>
          <w:p>
            <w:pPr>
              <w:spacing w:line="300" w:lineRule="exact"/>
              <w:jc w:val="right"/>
              <w:rPr>
                <w:rFonts w:ascii="方正仿宋简体" w:hAnsi="方正仿宋简体" w:eastAsia="方正仿宋简体" w:cs="方正仿宋简体"/>
              </w:rPr>
            </w:pPr>
          </w:p>
        </w:tc>
        <w:tc>
          <w:tcPr>
            <w:tcW w:w="201" w:type="pct"/>
            <w:noWrap/>
            <w:vAlign w:val="center"/>
          </w:tcPr>
          <w:p>
            <w:pPr>
              <w:spacing w:line="300" w:lineRule="exact"/>
              <w:jc w:val="right"/>
              <w:rPr>
                <w:rFonts w:ascii="方正仿宋简体" w:hAnsi="方正仿宋简体" w:eastAsia="方正仿宋简体" w:cs="方正仿宋简体"/>
              </w:rPr>
            </w:pPr>
          </w:p>
        </w:tc>
        <w:tc>
          <w:tcPr>
            <w:tcW w:w="161" w:type="pct"/>
            <w:noWrap/>
            <w:vAlign w:val="center"/>
          </w:tcPr>
          <w:p>
            <w:pPr>
              <w:spacing w:line="300" w:lineRule="exact"/>
              <w:jc w:val="right"/>
              <w:rPr>
                <w:rFonts w:ascii="方正仿宋简体" w:hAnsi="方正仿宋简体" w:eastAsia="方正仿宋简体" w:cs="方正仿宋简体"/>
              </w:rPr>
            </w:pPr>
          </w:p>
        </w:tc>
      </w:tr>
    </w:tbl>
    <w:p>
      <w:pPr>
        <w:tabs>
          <w:tab w:val="left" w:pos="7035"/>
        </w:tabs>
        <w:autoSpaceDE w:val="0"/>
        <w:autoSpaceDN w:val="0"/>
        <w:adjustRightInd w:val="0"/>
        <w:spacing w:line="560" w:lineRule="exact"/>
        <w:ind w:firstLine="899" w:firstLineChars="281"/>
        <w:jc w:val="left"/>
        <w:rPr>
          <w:rFonts w:ascii="黑体" w:hAnsi="黑体" w:eastAsia="黑体" w:cs="黑体"/>
          <w:sz w:val="32"/>
          <w:szCs w:val="32"/>
        </w:rPr>
      </w:pPr>
      <w:r>
        <w:rPr>
          <w:rFonts w:hint="eastAsia" w:ascii="黑体" w:hAnsi="黑体" w:eastAsia="黑体" w:cs="黑体"/>
          <w:sz w:val="32"/>
          <w:szCs w:val="32"/>
        </w:rPr>
        <w:t>七、国有资产信息情况</w:t>
      </w:r>
      <w:r>
        <w:rPr>
          <w:rFonts w:hint="eastAsia" w:ascii="黑体" w:hAnsi="黑体" w:eastAsia="黑体" w:cs="黑体"/>
          <w:sz w:val="32"/>
          <w:szCs w:val="32"/>
        </w:rPr>
        <w:tab/>
      </w:r>
    </w:p>
    <w:p>
      <w:pPr>
        <w:spacing w:line="560" w:lineRule="exact"/>
        <w:ind w:firstLine="912" w:firstLineChars="285"/>
        <w:rPr>
          <w:rFonts w:ascii="仿宋" w:hAnsi="仿宋" w:eastAsia="仿宋" w:cs="黑体"/>
          <w:sz w:val="32"/>
          <w:szCs w:val="32"/>
        </w:rPr>
      </w:pPr>
      <w:r>
        <w:rPr>
          <w:rFonts w:hint="eastAsia" w:ascii="仿宋" w:hAnsi="仿宋" w:eastAsia="仿宋" w:cs="黑体"/>
          <w:sz w:val="32"/>
          <w:szCs w:val="32"/>
        </w:rPr>
        <w:t>我单位上年末固定资产金额为267.92万元（详见下表）。</w:t>
      </w:r>
    </w:p>
    <w:p>
      <w:pPr>
        <w:spacing w:line="560" w:lineRule="exact"/>
        <w:ind w:firstLine="640"/>
        <w:rPr>
          <w:rFonts w:ascii="仿宋" w:hAnsi="仿宋" w:eastAsia="仿宋" w:cs="黑体"/>
          <w:sz w:val="32"/>
          <w:szCs w:val="32"/>
        </w:rPr>
      </w:pPr>
    </w:p>
    <w:tbl>
      <w:tblPr>
        <w:tblStyle w:val="12"/>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ign w:val="center"/>
          </w:tcPr>
          <w:p>
            <w:pPr>
              <w:widowControl/>
              <w:spacing w:line="560" w:lineRule="exact"/>
              <w:ind w:left="218" w:leftChars="104" w:firstLine="231" w:firstLineChars="72"/>
              <w:jc w:val="center"/>
              <w:rPr>
                <w:rFonts w:ascii="仿宋" w:hAnsi="仿宋" w:eastAsia="仿宋" w:cs="黑体"/>
                <w:b/>
                <w:bCs/>
                <w:kern w:val="0"/>
                <w:sz w:val="32"/>
                <w:szCs w:val="32"/>
              </w:rPr>
            </w:pPr>
            <w:r>
              <w:rPr>
                <w:rFonts w:hint="eastAsia" w:ascii="仿宋" w:hAnsi="仿宋" w:eastAsia="仿宋" w:cs="黑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遵化市文化路街道办事处</w:t>
            </w:r>
          </w:p>
        </w:tc>
        <w:tc>
          <w:tcPr>
            <w:tcW w:w="5103" w:type="dxa"/>
            <w:tcBorders>
              <w:top w:val="nil"/>
              <w:left w:val="nil"/>
              <w:bottom w:val="nil"/>
              <w:right w:val="nil"/>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黑体"/>
                <w:b/>
                <w:bCs/>
                <w:kern w:val="0"/>
                <w:sz w:val="32"/>
                <w:szCs w:val="32"/>
              </w:rPr>
            </w:pPr>
            <w:r>
              <w:rPr>
                <w:rFonts w:hint="eastAsia" w:ascii="仿宋" w:hAnsi="仿宋" w:eastAsia="仿宋" w:cs="黑体"/>
                <w:b/>
                <w:bCs/>
                <w:kern w:val="0"/>
                <w:sz w:val="32"/>
                <w:szCs w:val="3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 w:hAnsi="仿宋" w:eastAsia="仿宋" w:cs="黑体"/>
                <w:b/>
                <w:bCs/>
                <w:kern w:val="0"/>
                <w:sz w:val="32"/>
                <w:szCs w:val="32"/>
              </w:rPr>
            </w:pPr>
            <w:r>
              <w:rPr>
                <w:rFonts w:hint="eastAsia" w:ascii="仿宋" w:hAnsi="仿宋" w:eastAsia="仿宋" w:cs="黑体"/>
                <w:b/>
                <w:bCs/>
                <w:kern w:val="0"/>
                <w:sz w:val="32"/>
                <w:szCs w:val="3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 w:hAnsi="仿宋" w:eastAsia="仿宋" w:cs="黑体"/>
                <w:b/>
                <w:bCs/>
                <w:kern w:val="0"/>
                <w:sz w:val="32"/>
                <w:szCs w:val="32"/>
              </w:rPr>
            </w:pPr>
            <w:r>
              <w:rPr>
                <w:rFonts w:hint="eastAsia" w:ascii="仿宋" w:hAnsi="仿宋" w:eastAsia="仿宋" w:cs="黑体"/>
                <w:b/>
                <w:bCs/>
                <w:kern w:val="0"/>
                <w:sz w:val="32"/>
                <w:szCs w:val="3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黑体"/>
                <w:kern w:val="0"/>
                <w:sz w:val="32"/>
                <w:szCs w:val="32"/>
              </w:rPr>
            </w:pPr>
            <w:r>
              <w:rPr>
                <w:rFonts w:hint="eastAsia" w:ascii="仿宋" w:hAnsi="仿宋" w:eastAsia="仿宋" w:cs="黑体"/>
                <w:kern w:val="0"/>
                <w:sz w:val="32"/>
                <w:szCs w:val="32"/>
              </w:rPr>
              <w:t>资产总额</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267.92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1、房屋（平方米）</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1296</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92.8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 xml:space="preserve">   其中：办公用房（平方米）</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1296</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92.8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2、车辆（台、辆）</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2</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28.67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3、单价在20万元以上的设备</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　</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4、其他固定资产</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　701</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146.45</w:t>
            </w:r>
          </w:p>
        </w:tc>
      </w:tr>
    </w:tbl>
    <w:p>
      <w:pPr>
        <w:spacing w:line="560" w:lineRule="exact"/>
        <w:ind w:firstLine="640" w:firstLineChars="200"/>
        <w:jc w:val="left"/>
        <w:rPr>
          <w:rFonts w:ascii="方正黑体简体" w:hAnsi="方正黑体简体" w:eastAsia="方正黑体简体" w:cs="方正黑体简体"/>
          <w:sz w:val="32"/>
          <w:szCs w:val="32"/>
        </w:rPr>
      </w:pPr>
      <w:bookmarkStart w:id="3" w:name="_Toc68791552"/>
      <w:r>
        <w:rPr>
          <w:rFonts w:hint="eastAsia" w:ascii="方正黑体简体" w:hAnsi="方正黑体简体" w:eastAsia="方正黑体简体" w:cs="方正黑体简体"/>
          <w:sz w:val="32"/>
          <w:szCs w:val="32"/>
        </w:rPr>
        <w:t>八、名词解释</w:t>
      </w:r>
      <w:bookmarkEnd w:id="3"/>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4" w:name="_Toc68791553"/>
      <w:r>
        <w:rPr>
          <w:rFonts w:hint="eastAsia" w:ascii="方正黑体简体" w:hAnsi="方正黑体简体" w:eastAsia="方正黑体简体" w:cs="方正黑体简体"/>
          <w:sz w:val="32"/>
          <w:szCs w:val="32"/>
        </w:rPr>
        <w:t>九、其他需要说明的事项</w:t>
      </w:r>
      <w:bookmarkEnd w:id="4"/>
    </w:p>
    <w:p>
      <w:pPr>
        <w:spacing w:line="560" w:lineRule="exact"/>
        <w:ind w:firstLine="640" w:firstLineChars="200"/>
        <w:jc w:val="left"/>
        <w:rPr>
          <w:rFonts w:ascii="方正仿宋简体" w:hAnsi="方正仿宋简体" w:eastAsia="方正仿宋简体" w:cs="方正仿宋简体"/>
          <w:sz w:val="32"/>
          <w:szCs w:val="32"/>
        </w:rPr>
        <w:sectPr>
          <w:footerReference r:id="rId8" w:type="default"/>
          <w:pgSz w:w="16839" w:h="11907" w:orient="landscape"/>
          <w:pgMar w:top="680" w:right="1020" w:bottom="680" w:left="1020" w:header="851" w:footer="992" w:gutter="0"/>
          <w:cols w:space="720" w:num="1"/>
          <w:docGrid w:type="lines" w:linePitch="312" w:charSpace="0"/>
        </w:sectPr>
      </w:pPr>
      <w:r>
        <w:rPr>
          <w:rFonts w:hint="eastAsia" w:ascii="方正仿宋简体" w:hAnsi="方正仿宋简体" w:eastAsia="方正仿宋简体" w:cs="方正仿宋简体"/>
          <w:sz w:val="32"/>
          <w:szCs w:val="32"/>
        </w:rPr>
        <w:t>本级无其他需要说明的事项。</w:t>
      </w:r>
    </w:p>
    <w:p>
      <w:pPr>
        <w:rPr>
          <w:rFonts w:ascii="黑体" w:hAnsi="黑体" w:eastAsia="黑体" w:cs="黑体"/>
          <w:kern w:val="0"/>
          <w:sz w:val="28"/>
          <w:szCs w:val="28"/>
        </w:rPr>
      </w:pPr>
    </w:p>
    <w:sectPr>
      <w:headerReference r:id="rId9"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9" o:spid="_x0000_s102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Calibri" w:hAnsi="Calibri"/>
        <w:sz w:val="18"/>
        <w:szCs w:val="18"/>
      </w:rPr>
    </w:pPr>
    <w:r>
      <w:rPr>
        <w:rFonts w:ascii="Calibri" w:hAnsi="Calibri"/>
        <w:sz w:val="18"/>
        <w:szCs w:val="18"/>
      </w:rPr>
      <w:pict>
        <v:shape id="文本框 1031"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path/>
          <v:fill on="f" focussize="0,0"/>
          <v:stroke on="f" joinstyle="miter"/>
          <v:imagedata o:title=""/>
          <o:lock v:ext="edit"/>
          <v:textbox inset="0mm,0mm,0mm,0mm" style="mso-fit-shape-to-text:t;">
            <w:txbxContent>
              <w:p>
                <w:pPr>
                  <w:snapToGrid w:val="0"/>
                  <w:jc w:val="left"/>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45</w:t>
                </w:r>
                <w:r>
                  <w:rPr>
                    <w:rFonts w:ascii="Calibri" w:hAnsi="Calibri"/>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zNDE3OTJjODYwMmZjZWVmMDdiYzIxMjA0ZTRmMTIifQ=="/>
  </w:docVars>
  <w:rsids>
    <w:rsidRoot w:val="00172A27"/>
    <w:rsid w:val="00000D17"/>
    <w:rsid w:val="00000FB7"/>
    <w:rsid w:val="00001919"/>
    <w:rsid w:val="000117C1"/>
    <w:rsid w:val="00026DD9"/>
    <w:rsid w:val="0003079F"/>
    <w:rsid w:val="00034769"/>
    <w:rsid w:val="00043CC8"/>
    <w:rsid w:val="00047973"/>
    <w:rsid w:val="00051224"/>
    <w:rsid w:val="00052241"/>
    <w:rsid w:val="000575DB"/>
    <w:rsid w:val="00062B7E"/>
    <w:rsid w:val="00065712"/>
    <w:rsid w:val="00072AE0"/>
    <w:rsid w:val="0008082C"/>
    <w:rsid w:val="00080BCC"/>
    <w:rsid w:val="0008403B"/>
    <w:rsid w:val="0009452A"/>
    <w:rsid w:val="000A08FD"/>
    <w:rsid w:val="000A2E21"/>
    <w:rsid w:val="000C1BA8"/>
    <w:rsid w:val="000D3E99"/>
    <w:rsid w:val="000E13ED"/>
    <w:rsid w:val="000E1C1A"/>
    <w:rsid w:val="000F2A69"/>
    <w:rsid w:val="000F4ADC"/>
    <w:rsid w:val="000F6680"/>
    <w:rsid w:val="000F7F15"/>
    <w:rsid w:val="00101081"/>
    <w:rsid w:val="00101AFD"/>
    <w:rsid w:val="0010525C"/>
    <w:rsid w:val="00111434"/>
    <w:rsid w:val="00113272"/>
    <w:rsid w:val="0011487C"/>
    <w:rsid w:val="00122597"/>
    <w:rsid w:val="00125A12"/>
    <w:rsid w:val="00125E2D"/>
    <w:rsid w:val="00130EC3"/>
    <w:rsid w:val="00134CAD"/>
    <w:rsid w:val="00141AEE"/>
    <w:rsid w:val="00141DAB"/>
    <w:rsid w:val="00155F55"/>
    <w:rsid w:val="00170AE5"/>
    <w:rsid w:val="00172A27"/>
    <w:rsid w:val="00182318"/>
    <w:rsid w:val="00186292"/>
    <w:rsid w:val="0019506C"/>
    <w:rsid w:val="0019736C"/>
    <w:rsid w:val="001A1D3E"/>
    <w:rsid w:val="001A52B2"/>
    <w:rsid w:val="001A69E4"/>
    <w:rsid w:val="001D3EA0"/>
    <w:rsid w:val="001E0E53"/>
    <w:rsid w:val="00203816"/>
    <w:rsid w:val="00203C69"/>
    <w:rsid w:val="002073D9"/>
    <w:rsid w:val="0022084B"/>
    <w:rsid w:val="00227580"/>
    <w:rsid w:val="00230C63"/>
    <w:rsid w:val="002374E2"/>
    <w:rsid w:val="00251F4B"/>
    <w:rsid w:val="00252419"/>
    <w:rsid w:val="002530E0"/>
    <w:rsid w:val="00254EEF"/>
    <w:rsid w:val="00260937"/>
    <w:rsid w:val="00262C61"/>
    <w:rsid w:val="00287CAA"/>
    <w:rsid w:val="00290C8B"/>
    <w:rsid w:val="002967D5"/>
    <w:rsid w:val="002A24D8"/>
    <w:rsid w:val="002A6821"/>
    <w:rsid w:val="002B0EAA"/>
    <w:rsid w:val="002C235C"/>
    <w:rsid w:val="002C50A7"/>
    <w:rsid w:val="002D2BAB"/>
    <w:rsid w:val="002E0E88"/>
    <w:rsid w:val="002F05FF"/>
    <w:rsid w:val="002F7519"/>
    <w:rsid w:val="002F7A3A"/>
    <w:rsid w:val="00314B82"/>
    <w:rsid w:val="00315F1A"/>
    <w:rsid w:val="003237D6"/>
    <w:rsid w:val="0032683A"/>
    <w:rsid w:val="003338C3"/>
    <w:rsid w:val="003462F2"/>
    <w:rsid w:val="0036681C"/>
    <w:rsid w:val="00367B6A"/>
    <w:rsid w:val="00370154"/>
    <w:rsid w:val="00385975"/>
    <w:rsid w:val="00393AEB"/>
    <w:rsid w:val="003961EA"/>
    <w:rsid w:val="00396366"/>
    <w:rsid w:val="003A1442"/>
    <w:rsid w:val="003A3AFC"/>
    <w:rsid w:val="003C1529"/>
    <w:rsid w:val="003C2201"/>
    <w:rsid w:val="003C3D28"/>
    <w:rsid w:val="003C6ABC"/>
    <w:rsid w:val="003D5222"/>
    <w:rsid w:val="003E3429"/>
    <w:rsid w:val="003F4D23"/>
    <w:rsid w:val="0040624F"/>
    <w:rsid w:val="00414121"/>
    <w:rsid w:val="00421786"/>
    <w:rsid w:val="00423176"/>
    <w:rsid w:val="00423E8E"/>
    <w:rsid w:val="00425285"/>
    <w:rsid w:val="00427F73"/>
    <w:rsid w:val="004301B9"/>
    <w:rsid w:val="00431430"/>
    <w:rsid w:val="00441040"/>
    <w:rsid w:val="00471E33"/>
    <w:rsid w:val="00477516"/>
    <w:rsid w:val="00477F31"/>
    <w:rsid w:val="00486DDC"/>
    <w:rsid w:val="00492AEA"/>
    <w:rsid w:val="00496C89"/>
    <w:rsid w:val="004A0698"/>
    <w:rsid w:val="004A0A93"/>
    <w:rsid w:val="004A63CB"/>
    <w:rsid w:val="004B1838"/>
    <w:rsid w:val="004B62C9"/>
    <w:rsid w:val="004C3589"/>
    <w:rsid w:val="004C7079"/>
    <w:rsid w:val="004E2D20"/>
    <w:rsid w:val="004E2EB0"/>
    <w:rsid w:val="004E3E72"/>
    <w:rsid w:val="004F5962"/>
    <w:rsid w:val="00500901"/>
    <w:rsid w:val="00506022"/>
    <w:rsid w:val="00513407"/>
    <w:rsid w:val="00526A78"/>
    <w:rsid w:val="00532013"/>
    <w:rsid w:val="00532F23"/>
    <w:rsid w:val="00533497"/>
    <w:rsid w:val="00547278"/>
    <w:rsid w:val="005677D5"/>
    <w:rsid w:val="00573442"/>
    <w:rsid w:val="0058122F"/>
    <w:rsid w:val="00584810"/>
    <w:rsid w:val="005901CC"/>
    <w:rsid w:val="00590D6B"/>
    <w:rsid w:val="005B29CF"/>
    <w:rsid w:val="005B3749"/>
    <w:rsid w:val="005C03DA"/>
    <w:rsid w:val="005C5427"/>
    <w:rsid w:val="005D6B07"/>
    <w:rsid w:val="005D7308"/>
    <w:rsid w:val="005E1735"/>
    <w:rsid w:val="0060221D"/>
    <w:rsid w:val="00623999"/>
    <w:rsid w:val="00626834"/>
    <w:rsid w:val="0063072F"/>
    <w:rsid w:val="00637084"/>
    <w:rsid w:val="00653124"/>
    <w:rsid w:val="00657DD3"/>
    <w:rsid w:val="006855B7"/>
    <w:rsid w:val="0069069B"/>
    <w:rsid w:val="00697340"/>
    <w:rsid w:val="006A514D"/>
    <w:rsid w:val="006A5E94"/>
    <w:rsid w:val="006C50CF"/>
    <w:rsid w:val="006E1FB1"/>
    <w:rsid w:val="006E2555"/>
    <w:rsid w:val="006E3F4F"/>
    <w:rsid w:val="006F3D36"/>
    <w:rsid w:val="0070106E"/>
    <w:rsid w:val="007037CE"/>
    <w:rsid w:val="00722A79"/>
    <w:rsid w:val="007418CB"/>
    <w:rsid w:val="00743C57"/>
    <w:rsid w:val="00746456"/>
    <w:rsid w:val="00751530"/>
    <w:rsid w:val="00770D3E"/>
    <w:rsid w:val="007718E8"/>
    <w:rsid w:val="007730FF"/>
    <w:rsid w:val="00774DF6"/>
    <w:rsid w:val="007823C7"/>
    <w:rsid w:val="00782C1E"/>
    <w:rsid w:val="00783B8F"/>
    <w:rsid w:val="00786AD0"/>
    <w:rsid w:val="007A20F4"/>
    <w:rsid w:val="007A6CE1"/>
    <w:rsid w:val="007B0C60"/>
    <w:rsid w:val="007B11BC"/>
    <w:rsid w:val="007D28E2"/>
    <w:rsid w:val="007E3544"/>
    <w:rsid w:val="007E3C7F"/>
    <w:rsid w:val="007F0F59"/>
    <w:rsid w:val="007F1B66"/>
    <w:rsid w:val="008214D4"/>
    <w:rsid w:val="00836438"/>
    <w:rsid w:val="008435F0"/>
    <w:rsid w:val="008507A1"/>
    <w:rsid w:val="008517A0"/>
    <w:rsid w:val="00874AD6"/>
    <w:rsid w:val="0087560F"/>
    <w:rsid w:val="008854E2"/>
    <w:rsid w:val="00891161"/>
    <w:rsid w:val="00892A37"/>
    <w:rsid w:val="008A2DA8"/>
    <w:rsid w:val="008A658F"/>
    <w:rsid w:val="008B58CC"/>
    <w:rsid w:val="008C43AD"/>
    <w:rsid w:val="008C5636"/>
    <w:rsid w:val="008D3611"/>
    <w:rsid w:val="008D6104"/>
    <w:rsid w:val="008D7D27"/>
    <w:rsid w:val="00902068"/>
    <w:rsid w:val="00903C80"/>
    <w:rsid w:val="0090712C"/>
    <w:rsid w:val="0092649E"/>
    <w:rsid w:val="00932B25"/>
    <w:rsid w:val="00950780"/>
    <w:rsid w:val="00955C22"/>
    <w:rsid w:val="00970AF4"/>
    <w:rsid w:val="00971142"/>
    <w:rsid w:val="009712C5"/>
    <w:rsid w:val="009754B6"/>
    <w:rsid w:val="0099432D"/>
    <w:rsid w:val="009A26DD"/>
    <w:rsid w:val="009A2E83"/>
    <w:rsid w:val="009A4D1A"/>
    <w:rsid w:val="009B04AF"/>
    <w:rsid w:val="009B3AE3"/>
    <w:rsid w:val="009C10AC"/>
    <w:rsid w:val="009D13B2"/>
    <w:rsid w:val="009E4D20"/>
    <w:rsid w:val="009F11A0"/>
    <w:rsid w:val="00A038FF"/>
    <w:rsid w:val="00A060EB"/>
    <w:rsid w:val="00A060FC"/>
    <w:rsid w:val="00A178AB"/>
    <w:rsid w:val="00A21583"/>
    <w:rsid w:val="00A3040A"/>
    <w:rsid w:val="00A32AE2"/>
    <w:rsid w:val="00A346A5"/>
    <w:rsid w:val="00A36F2D"/>
    <w:rsid w:val="00A509ED"/>
    <w:rsid w:val="00A662C3"/>
    <w:rsid w:val="00A66903"/>
    <w:rsid w:val="00A9252F"/>
    <w:rsid w:val="00A97CBA"/>
    <w:rsid w:val="00AC120D"/>
    <w:rsid w:val="00AC2342"/>
    <w:rsid w:val="00AD638E"/>
    <w:rsid w:val="00AE6630"/>
    <w:rsid w:val="00AF04BD"/>
    <w:rsid w:val="00B035AC"/>
    <w:rsid w:val="00B056AC"/>
    <w:rsid w:val="00B124BD"/>
    <w:rsid w:val="00B138E7"/>
    <w:rsid w:val="00B14F01"/>
    <w:rsid w:val="00B1517B"/>
    <w:rsid w:val="00B1606C"/>
    <w:rsid w:val="00B227DF"/>
    <w:rsid w:val="00B24471"/>
    <w:rsid w:val="00B25B38"/>
    <w:rsid w:val="00B26402"/>
    <w:rsid w:val="00B33350"/>
    <w:rsid w:val="00B369C4"/>
    <w:rsid w:val="00B63B93"/>
    <w:rsid w:val="00B65865"/>
    <w:rsid w:val="00B71265"/>
    <w:rsid w:val="00B7513D"/>
    <w:rsid w:val="00B813FB"/>
    <w:rsid w:val="00B929EE"/>
    <w:rsid w:val="00B9563A"/>
    <w:rsid w:val="00B967FC"/>
    <w:rsid w:val="00BA1B9E"/>
    <w:rsid w:val="00BA2A19"/>
    <w:rsid w:val="00BB7710"/>
    <w:rsid w:val="00BD37B5"/>
    <w:rsid w:val="00BD4B3A"/>
    <w:rsid w:val="00BD7813"/>
    <w:rsid w:val="00BE17B9"/>
    <w:rsid w:val="00BE31A7"/>
    <w:rsid w:val="00BF3FF1"/>
    <w:rsid w:val="00C01F85"/>
    <w:rsid w:val="00C04B93"/>
    <w:rsid w:val="00C22BFF"/>
    <w:rsid w:val="00C2570F"/>
    <w:rsid w:val="00C2713F"/>
    <w:rsid w:val="00C2764D"/>
    <w:rsid w:val="00C42732"/>
    <w:rsid w:val="00C53087"/>
    <w:rsid w:val="00C547FC"/>
    <w:rsid w:val="00C70F44"/>
    <w:rsid w:val="00C7299E"/>
    <w:rsid w:val="00C74878"/>
    <w:rsid w:val="00C83ADB"/>
    <w:rsid w:val="00C90DDB"/>
    <w:rsid w:val="00C965D7"/>
    <w:rsid w:val="00CA3FD2"/>
    <w:rsid w:val="00CF512E"/>
    <w:rsid w:val="00D005FD"/>
    <w:rsid w:val="00D01064"/>
    <w:rsid w:val="00D01D36"/>
    <w:rsid w:val="00D148C1"/>
    <w:rsid w:val="00D23BA1"/>
    <w:rsid w:val="00D278A0"/>
    <w:rsid w:val="00D31AD3"/>
    <w:rsid w:val="00D33D1B"/>
    <w:rsid w:val="00D45E2A"/>
    <w:rsid w:val="00D52D46"/>
    <w:rsid w:val="00D53A73"/>
    <w:rsid w:val="00D6545C"/>
    <w:rsid w:val="00D6673F"/>
    <w:rsid w:val="00D67729"/>
    <w:rsid w:val="00D75239"/>
    <w:rsid w:val="00D828E6"/>
    <w:rsid w:val="00D91033"/>
    <w:rsid w:val="00D94680"/>
    <w:rsid w:val="00D974DF"/>
    <w:rsid w:val="00D97B21"/>
    <w:rsid w:val="00DA47F4"/>
    <w:rsid w:val="00DB205B"/>
    <w:rsid w:val="00DC6565"/>
    <w:rsid w:val="00DC6C0F"/>
    <w:rsid w:val="00DD6C51"/>
    <w:rsid w:val="00DD7F65"/>
    <w:rsid w:val="00DE6C96"/>
    <w:rsid w:val="00DF3031"/>
    <w:rsid w:val="00DF7492"/>
    <w:rsid w:val="00E00E8D"/>
    <w:rsid w:val="00E05F39"/>
    <w:rsid w:val="00E25AC1"/>
    <w:rsid w:val="00E44945"/>
    <w:rsid w:val="00E53920"/>
    <w:rsid w:val="00E6022E"/>
    <w:rsid w:val="00E640B8"/>
    <w:rsid w:val="00E776AD"/>
    <w:rsid w:val="00E842DA"/>
    <w:rsid w:val="00E87A95"/>
    <w:rsid w:val="00E916B9"/>
    <w:rsid w:val="00E97939"/>
    <w:rsid w:val="00ED0ADA"/>
    <w:rsid w:val="00ED0B00"/>
    <w:rsid w:val="00ED3234"/>
    <w:rsid w:val="00ED4222"/>
    <w:rsid w:val="00EE141E"/>
    <w:rsid w:val="00EE56C8"/>
    <w:rsid w:val="00EE7161"/>
    <w:rsid w:val="00EF03BE"/>
    <w:rsid w:val="00EF6FEF"/>
    <w:rsid w:val="00F053A2"/>
    <w:rsid w:val="00F1076E"/>
    <w:rsid w:val="00F1111A"/>
    <w:rsid w:val="00F12906"/>
    <w:rsid w:val="00F13667"/>
    <w:rsid w:val="00F171A7"/>
    <w:rsid w:val="00F34251"/>
    <w:rsid w:val="00F410D9"/>
    <w:rsid w:val="00F4161A"/>
    <w:rsid w:val="00F44B08"/>
    <w:rsid w:val="00F47D6A"/>
    <w:rsid w:val="00F749CF"/>
    <w:rsid w:val="00F77A8B"/>
    <w:rsid w:val="00F9049D"/>
    <w:rsid w:val="00F93230"/>
    <w:rsid w:val="00F94D09"/>
    <w:rsid w:val="00FA4205"/>
    <w:rsid w:val="00FB75DF"/>
    <w:rsid w:val="00FC44DC"/>
    <w:rsid w:val="00FC51F3"/>
    <w:rsid w:val="00FC7174"/>
    <w:rsid w:val="00FD0A2B"/>
    <w:rsid w:val="00FD2A41"/>
    <w:rsid w:val="00FD52AE"/>
    <w:rsid w:val="00FE229B"/>
    <w:rsid w:val="00FF00C1"/>
    <w:rsid w:val="00FF5DBF"/>
    <w:rsid w:val="0126619A"/>
    <w:rsid w:val="018576C3"/>
    <w:rsid w:val="01C47920"/>
    <w:rsid w:val="02094A42"/>
    <w:rsid w:val="02177954"/>
    <w:rsid w:val="027279A0"/>
    <w:rsid w:val="028B0413"/>
    <w:rsid w:val="035A1325"/>
    <w:rsid w:val="061F030B"/>
    <w:rsid w:val="07462C47"/>
    <w:rsid w:val="07E11B70"/>
    <w:rsid w:val="08DD10DF"/>
    <w:rsid w:val="098D09B3"/>
    <w:rsid w:val="0A054D24"/>
    <w:rsid w:val="0A401392"/>
    <w:rsid w:val="0A623A94"/>
    <w:rsid w:val="0B9B5488"/>
    <w:rsid w:val="0BDB1584"/>
    <w:rsid w:val="0C250CC0"/>
    <w:rsid w:val="0F5E06EF"/>
    <w:rsid w:val="0F9B5CC8"/>
    <w:rsid w:val="0FB47C18"/>
    <w:rsid w:val="0FBE68D7"/>
    <w:rsid w:val="10115765"/>
    <w:rsid w:val="104E3B3C"/>
    <w:rsid w:val="10C05CFF"/>
    <w:rsid w:val="10EC4483"/>
    <w:rsid w:val="116064CA"/>
    <w:rsid w:val="11C820EE"/>
    <w:rsid w:val="134F12E3"/>
    <w:rsid w:val="136127DF"/>
    <w:rsid w:val="13AB4620"/>
    <w:rsid w:val="13E92D48"/>
    <w:rsid w:val="140D759B"/>
    <w:rsid w:val="144C3C46"/>
    <w:rsid w:val="14B840E6"/>
    <w:rsid w:val="14FC0436"/>
    <w:rsid w:val="158F3FC8"/>
    <w:rsid w:val="15B32ECE"/>
    <w:rsid w:val="15D02D06"/>
    <w:rsid w:val="16152854"/>
    <w:rsid w:val="16754C77"/>
    <w:rsid w:val="17CB1C13"/>
    <w:rsid w:val="18443808"/>
    <w:rsid w:val="18C10887"/>
    <w:rsid w:val="18E14570"/>
    <w:rsid w:val="18F20FDA"/>
    <w:rsid w:val="1955359F"/>
    <w:rsid w:val="19C94D0D"/>
    <w:rsid w:val="1B031644"/>
    <w:rsid w:val="1B3C0228"/>
    <w:rsid w:val="1EEA1199"/>
    <w:rsid w:val="1F834E92"/>
    <w:rsid w:val="1FEF7E11"/>
    <w:rsid w:val="208E4770"/>
    <w:rsid w:val="209F0FCA"/>
    <w:rsid w:val="20B75BED"/>
    <w:rsid w:val="223E2867"/>
    <w:rsid w:val="22C27AF0"/>
    <w:rsid w:val="22D74273"/>
    <w:rsid w:val="23055A77"/>
    <w:rsid w:val="240A596A"/>
    <w:rsid w:val="242447D9"/>
    <w:rsid w:val="24B04D43"/>
    <w:rsid w:val="24B556CE"/>
    <w:rsid w:val="25265F44"/>
    <w:rsid w:val="2556533A"/>
    <w:rsid w:val="258F5240"/>
    <w:rsid w:val="26360D61"/>
    <w:rsid w:val="27273875"/>
    <w:rsid w:val="2736186B"/>
    <w:rsid w:val="2773193F"/>
    <w:rsid w:val="281E7C85"/>
    <w:rsid w:val="29E4058E"/>
    <w:rsid w:val="2A625279"/>
    <w:rsid w:val="2BF16A1B"/>
    <w:rsid w:val="2C3945F6"/>
    <w:rsid w:val="2C41499A"/>
    <w:rsid w:val="2C6573B8"/>
    <w:rsid w:val="2C717722"/>
    <w:rsid w:val="2D18707B"/>
    <w:rsid w:val="2DB23E24"/>
    <w:rsid w:val="2E0253DA"/>
    <w:rsid w:val="2E5D52F2"/>
    <w:rsid w:val="2EB123A9"/>
    <w:rsid w:val="2EE154C2"/>
    <w:rsid w:val="2EFB7425"/>
    <w:rsid w:val="2F300DFB"/>
    <w:rsid w:val="2F611CBB"/>
    <w:rsid w:val="2FDC0BD5"/>
    <w:rsid w:val="308C45AB"/>
    <w:rsid w:val="312C5F91"/>
    <w:rsid w:val="314056A1"/>
    <w:rsid w:val="31484EC0"/>
    <w:rsid w:val="31A72D2E"/>
    <w:rsid w:val="320906F8"/>
    <w:rsid w:val="328130B6"/>
    <w:rsid w:val="33761F33"/>
    <w:rsid w:val="346074C2"/>
    <w:rsid w:val="348A45CF"/>
    <w:rsid w:val="35133FD9"/>
    <w:rsid w:val="36363AC3"/>
    <w:rsid w:val="36D273F9"/>
    <w:rsid w:val="38D7080F"/>
    <w:rsid w:val="395229F1"/>
    <w:rsid w:val="3A013EBC"/>
    <w:rsid w:val="3A156D80"/>
    <w:rsid w:val="3A167E91"/>
    <w:rsid w:val="3A3677C7"/>
    <w:rsid w:val="3A803451"/>
    <w:rsid w:val="3A8A2A69"/>
    <w:rsid w:val="3B8F5B11"/>
    <w:rsid w:val="3BC441CF"/>
    <w:rsid w:val="3C0720C4"/>
    <w:rsid w:val="3C7E2D8C"/>
    <w:rsid w:val="3CA05DBD"/>
    <w:rsid w:val="3DBC3E6F"/>
    <w:rsid w:val="3DE63468"/>
    <w:rsid w:val="3E563845"/>
    <w:rsid w:val="3ECA5ED8"/>
    <w:rsid w:val="3ED254CE"/>
    <w:rsid w:val="3FCE40F3"/>
    <w:rsid w:val="40051C6C"/>
    <w:rsid w:val="40FC724C"/>
    <w:rsid w:val="41F30B67"/>
    <w:rsid w:val="42CE4DEE"/>
    <w:rsid w:val="4337334A"/>
    <w:rsid w:val="437410FC"/>
    <w:rsid w:val="438F3C13"/>
    <w:rsid w:val="43F1150E"/>
    <w:rsid w:val="46B11DA3"/>
    <w:rsid w:val="47183355"/>
    <w:rsid w:val="4A1E4708"/>
    <w:rsid w:val="4A6F7720"/>
    <w:rsid w:val="4A935840"/>
    <w:rsid w:val="4A9C614F"/>
    <w:rsid w:val="4BCF3697"/>
    <w:rsid w:val="4D423169"/>
    <w:rsid w:val="4E254292"/>
    <w:rsid w:val="4E637CF4"/>
    <w:rsid w:val="4EDB7799"/>
    <w:rsid w:val="50B8452D"/>
    <w:rsid w:val="51EE2D97"/>
    <w:rsid w:val="51F91E22"/>
    <w:rsid w:val="524469B5"/>
    <w:rsid w:val="557E0A15"/>
    <w:rsid w:val="55B05FE2"/>
    <w:rsid w:val="56941F33"/>
    <w:rsid w:val="570B2626"/>
    <w:rsid w:val="583A093D"/>
    <w:rsid w:val="59DA2F50"/>
    <w:rsid w:val="5AF0453E"/>
    <w:rsid w:val="5BBB79E7"/>
    <w:rsid w:val="5C251615"/>
    <w:rsid w:val="5C985DEF"/>
    <w:rsid w:val="5FAB7C5C"/>
    <w:rsid w:val="60E139CB"/>
    <w:rsid w:val="60E311BE"/>
    <w:rsid w:val="62750FEE"/>
    <w:rsid w:val="6341653F"/>
    <w:rsid w:val="63DB01CC"/>
    <w:rsid w:val="64636C3A"/>
    <w:rsid w:val="647978FF"/>
    <w:rsid w:val="650737D7"/>
    <w:rsid w:val="669A761F"/>
    <w:rsid w:val="67D222A8"/>
    <w:rsid w:val="68092DB0"/>
    <w:rsid w:val="6850593E"/>
    <w:rsid w:val="69CC666D"/>
    <w:rsid w:val="6A7B548F"/>
    <w:rsid w:val="6B686EC7"/>
    <w:rsid w:val="6BA069EA"/>
    <w:rsid w:val="6DA06A8C"/>
    <w:rsid w:val="6DD613D1"/>
    <w:rsid w:val="6DD91D88"/>
    <w:rsid w:val="6EA062D5"/>
    <w:rsid w:val="6ED015A5"/>
    <w:rsid w:val="6EDA67C5"/>
    <w:rsid w:val="6EFD0907"/>
    <w:rsid w:val="701115E3"/>
    <w:rsid w:val="70563AB5"/>
    <w:rsid w:val="709B2774"/>
    <w:rsid w:val="71866592"/>
    <w:rsid w:val="729771A1"/>
    <w:rsid w:val="73972459"/>
    <w:rsid w:val="73EC5C90"/>
    <w:rsid w:val="747577DC"/>
    <w:rsid w:val="757B185E"/>
    <w:rsid w:val="75B60A9C"/>
    <w:rsid w:val="75CA3070"/>
    <w:rsid w:val="7668607D"/>
    <w:rsid w:val="76C83A48"/>
    <w:rsid w:val="76E303D8"/>
    <w:rsid w:val="76F004FA"/>
    <w:rsid w:val="77F938BB"/>
    <w:rsid w:val="79FE4D40"/>
    <w:rsid w:val="7C8B294F"/>
    <w:rsid w:val="7CC6249B"/>
    <w:rsid w:val="7D6C641E"/>
    <w:rsid w:val="7D6E50BD"/>
    <w:rsid w:val="7E44620D"/>
    <w:rsid w:val="7ECD08EF"/>
    <w:rsid w:val="7FCA41FE"/>
    <w:rsid w:val="7FF3158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autoRedefine/>
    <w:qFormat/>
    <w:uiPriority w:val="9"/>
    <w:pPr>
      <w:keepNext/>
      <w:keepLines/>
      <w:widowControl w:val="0"/>
      <w:spacing w:line="576" w:lineRule="auto"/>
      <w:jc w:val="center"/>
      <w:outlineLvl w:val="0"/>
    </w:pPr>
    <w:rPr>
      <w:rFonts w:ascii="Times New Roman" w:hAnsi="Times New Roman" w:eastAsia="方正黑体简体" w:cs="Times New Roman"/>
      <w:b/>
      <w:kern w:val="44"/>
      <w:sz w:val="32"/>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 w:type="paragraph" w:styleId="5">
    <w:name w:val="toc 3"/>
    <w:basedOn w:val="1"/>
    <w:next w:val="1"/>
    <w:unhideWhenUsed/>
    <w:qFormat/>
    <w:uiPriority w:val="39"/>
    <w:pPr>
      <w:ind w:left="840" w:leftChars="400"/>
    </w:pPr>
  </w:style>
  <w:style w:type="paragraph" w:styleId="6">
    <w:name w:val="Balloon Text"/>
    <w:basedOn w:val="1"/>
    <w:link w:val="23"/>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unhideWhenUsed/>
    <w:qFormat/>
    <w:uiPriority w:val="39"/>
    <w:pPr>
      <w:ind w:left="1260" w:leftChars="600"/>
    </w:pPr>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100" w:beforeAutospacing="1" w:after="100" w:afterAutospacing="1"/>
      <w:jc w:val="left"/>
    </w:pPr>
    <w:rPr>
      <w:rFonts w:ascii="宋体" w:hAnsi="宋体" w:eastAsia="方正仿宋简体"/>
      <w:kern w:val="0"/>
      <w:sz w:val="24"/>
    </w:rPr>
  </w:style>
  <w:style w:type="table" w:styleId="1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autoRedefine/>
    <w:qFormat/>
    <w:uiPriority w:val="0"/>
  </w:style>
  <w:style w:type="character" w:styleId="16">
    <w:name w:val="FollowedHyperlink"/>
    <w:qFormat/>
    <w:uiPriority w:val="0"/>
    <w:rPr>
      <w:color w:val="800080"/>
      <w:u w:val="none"/>
    </w:rPr>
  </w:style>
  <w:style w:type="character" w:styleId="17">
    <w:name w:val="Hyperlink"/>
    <w:basedOn w:val="14"/>
    <w:autoRedefine/>
    <w:qFormat/>
    <w:uiPriority w:val="0"/>
    <w:rPr>
      <w:color w:val="0000FF"/>
      <w:u w:val="none"/>
    </w:rPr>
  </w:style>
  <w:style w:type="character" w:customStyle="1" w:styleId="18">
    <w:name w:val="页脚 Char"/>
    <w:basedOn w:val="14"/>
    <w:link w:val="7"/>
    <w:qFormat/>
    <w:uiPriority w:val="0"/>
    <w:rPr>
      <w:kern w:val="2"/>
      <w:sz w:val="18"/>
      <w:szCs w:val="18"/>
    </w:rPr>
  </w:style>
  <w:style w:type="character" w:customStyle="1" w:styleId="19">
    <w:name w:val="页眉 Char"/>
    <w:basedOn w:val="14"/>
    <w:link w:val="8"/>
    <w:qFormat/>
    <w:uiPriority w:val="0"/>
    <w:rPr>
      <w:kern w:val="2"/>
      <w:sz w:val="18"/>
      <w:szCs w:val="18"/>
    </w:rPr>
  </w:style>
  <w:style w:type="character" w:customStyle="1" w:styleId="20">
    <w:name w:val="font41"/>
    <w:qFormat/>
    <w:uiPriority w:val="0"/>
    <w:rPr>
      <w:rFonts w:hint="eastAsia" w:ascii="宋体" w:hAnsi="宋体" w:eastAsia="宋体" w:cs="宋体"/>
      <w:b/>
      <w:color w:val="000000"/>
      <w:sz w:val="20"/>
      <w:szCs w:val="20"/>
      <w:u w:val="none"/>
    </w:rPr>
  </w:style>
  <w:style w:type="character" w:customStyle="1" w:styleId="21">
    <w:name w:val="批注框文本 Char"/>
    <w:qFormat/>
    <w:uiPriority w:val="0"/>
    <w:rPr>
      <w:kern w:val="2"/>
      <w:sz w:val="18"/>
      <w:szCs w:val="18"/>
    </w:rPr>
  </w:style>
  <w:style w:type="character" w:customStyle="1" w:styleId="22">
    <w:name w:val="font21"/>
    <w:basedOn w:val="14"/>
    <w:qFormat/>
    <w:uiPriority w:val="0"/>
    <w:rPr>
      <w:rFonts w:hint="eastAsia" w:ascii="宋体" w:hAnsi="宋体" w:eastAsia="宋体" w:cs="宋体"/>
      <w:color w:val="000000"/>
      <w:sz w:val="20"/>
      <w:szCs w:val="20"/>
      <w:u w:val="none"/>
    </w:rPr>
  </w:style>
  <w:style w:type="character" w:customStyle="1" w:styleId="23">
    <w:name w:val="批注框文本 Char1"/>
    <w:basedOn w:val="14"/>
    <w:link w:val="6"/>
    <w:semiHidden/>
    <w:qFormat/>
    <w:uiPriority w:val="99"/>
    <w:rPr>
      <w:kern w:val="2"/>
      <w:sz w:val="18"/>
      <w:szCs w:val="18"/>
    </w:rPr>
  </w:style>
  <w:style w:type="paragraph" w:customStyle="1" w:styleId="24">
    <w:name w:val="单元格样式3"/>
    <w:basedOn w:val="1"/>
    <w:qFormat/>
    <w:uiPriority w:val="0"/>
    <w:pPr>
      <w:jc w:val="center"/>
    </w:pPr>
    <w:rPr>
      <w:rFonts w:ascii="方正书宋_GBK" w:hAnsi="方正书宋_GBK" w:eastAsia="方正书宋_GBK" w:cs="方正书宋_GBK"/>
    </w:rPr>
  </w:style>
  <w:style w:type="paragraph" w:customStyle="1" w:styleId="25">
    <w:name w:val="Char"/>
    <w:basedOn w:val="1"/>
    <w:autoRedefine/>
    <w:qFormat/>
    <w:uiPriority w:val="0"/>
    <w:pPr>
      <w:spacing w:line="360" w:lineRule="auto"/>
    </w:pPr>
    <w:rPr>
      <w:szCs w:val="20"/>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2982D-03A2-49C8-9F10-E0DD2EF3655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42</Pages>
  <Words>14555</Words>
  <Characters>16708</Characters>
  <Lines>145</Lines>
  <Paragraphs>41</Paragraphs>
  <TotalTime>0</TotalTime>
  <ScaleCrop>false</ScaleCrop>
  <LinksUpToDate>false</LinksUpToDate>
  <CharactersWithSpaces>17310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2022-04-04T07:09:00Z</dcterms:created>
  <dc:creator>Microsoft</dc:creator>
  <cp:lastModifiedBy>柠檬草</cp:lastModifiedBy>
  <cp:lastPrinted>2018-02-27T05:34:00Z</cp:lastPrinted>
  <dcterms:modified xsi:type="dcterms:W3CDTF">2024-04-24T03:17:23Z</dcterms:modified>
  <dc:title>***镇人民政府2016年度预算情况说明</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A5CEE9A8D73344C2910A44943695802C</vt:lpwstr>
  </property>
</Properties>
</file>