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cs="Times New Roman" w:hAnsi="Times New Roman"/>
          <w:sz w:val="44"/>
          <w:szCs w:val="44"/>
        </w:rPr>
      </w:pPr>
    </w:p>
    <w:p>
      <w:pPr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预算部门整体绩效自评报告</w:t>
      </w:r>
    </w:p>
    <w:p>
      <w:pPr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（20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22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年度）</w:t>
      </w:r>
    </w:p>
    <w:p>
      <w:pPr>
        <w:rPr>
          <w:rFonts w:ascii="Times New Roman" w:eastAsia="仿宋" w:cs="Times New Roman" w:hAnsi="Times New Roman"/>
        </w:rPr>
      </w:pPr>
    </w:p>
    <w:p>
      <w:pPr>
        <w:rPr>
          <w:rFonts w:ascii="Times New Roman" w:eastAsia="仿宋" w:cs="Times New Roman" w:hAnsi="Times New Roman"/>
        </w:rPr>
      </w:pPr>
    </w:p>
    <w:p>
      <w:pPr>
        <w:ind w:firstLineChars="100" w:firstLine="32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评价方式：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44"/>
          <w:szCs w:val="44"/>
        </w:rPr>
        <w:sym w:font="Wingdings 2" w:char="52"/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 xml:space="preserve">直接组织评价   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44"/>
          <w:szCs w:val="44"/>
        </w:rPr>
        <w:t>□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委托评价</w:t>
      </w:r>
    </w:p>
    <w:p>
      <w:pPr>
        <w:rPr>
          <w:rFonts w:ascii="方正仿宋简体" w:eastAsia="方正仿宋简体" w:cs="方正仿宋简体" w:hAnsi="方正仿宋简体" w:hint="eastAsia"/>
          <w:b w:val="0"/>
          <w:bCs w:val="0"/>
        </w:rPr>
      </w:pPr>
    </w:p>
    <w:p>
      <w:pPr>
        <w:rPr>
          <w:rFonts w:ascii="方正仿宋简体" w:eastAsia="方正仿宋简体" w:cs="方正仿宋简体" w:hAnsi="方正仿宋简体" w:hint="eastAsia"/>
          <w:b w:val="0"/>
          <w:bCs w:val="0"/>
        </w:rPr>
      </w:pPr>
    </w:p>
    <w:p>
      <w:pPr>
        <w:rPr>
          <w:rFonts w:ascii="方正仿宋简体" w:eastAsia="方正仿宋简体" w:cs="方正仿宋简体" w:hAnsi="方正仿宋简体" w:hint="eastAsia"/>
          <w:b w:val="0"/>
          <w:bCs w:val="0"/>
        </w:rPr>
      </w:pPr>
    </w:p>
    <w:p>
      <w:pPr>
        <w:ind w:firstLineChars="600" w:firstLine="192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600" w:firstLine="192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600" w:firstLine="192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200" w:firstLine="6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部门名称：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  <w:lang w:val="en-US" w:eastAsia="zh-CN"/>
        </w:rPr>
        <w:t>遵化市遵化镇人民政府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</w:rPr>
        <w:t>（加盖公章）</w:t>
      </w:r>
    </w:p>
    <w:p>
      <w:pPr>
        <w:ind w:firstLineChars="200" w:firstLine="6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联系电话：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  <w:lang w:val="en-US" w:eastAsia="zh-CN"/>
        </w:rPr>
        <w:t>0315-6611544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u w:val="single"/>
        </w:rPr>
        <w:t xml:space="preserve">          </w:t>
      </w: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ind w:firstLineChars="450" w:firstLine="1440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</w:p>
    <w:p>
      <w:pPr>
        <w:jc w:val="center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填报日期：20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 xml:space="preserve">年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月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lang w:val="en-US" w:eastAsia="zh-CN"/>
        </w:rPr>
        <w:t>11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日</w:t>
      </w:r>
    </w:p>
    <w:p>
      <w:pPr>
        <w:jc w:val="center"/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  <w:lang w:val="en-US" w:eastAsia="zh-CN"/>
        </w:rPr>
        <w:t>遵化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2"/>
          <w:szCs w:val="32"/>
        </w:rPr>
        <w:t>市财政局编制</w:t>
      </w:r>
    </w:p>
    <w:p>
      <w:pPr>
        <w:widowControl/>
        <w:jc w:val="left"/>
        <w:rPr>
          <w:rFonts w:ascii="宋体" w:cs="Times New Roman" w:hAnsi="宋体"/>
          <w:b/>
          <w:sz w:val="44"/>
          <w:szCs w:val="44"/>
        </w:rPr>
      </w:pPr>
      <w:r>
        <w:rPr>
          <w:rFonts w:ascii="宋体" w:cs="Times New Roman" w:hAnsi="宋体"/>
          <w:b/>
          <w:sz w:val="44"/>
          <w:szCs w:val="44"/>
        </w:rPr>
        <w:br w:type="page"/>
      </w:r>
    </w:p>
    <w:p>
      <w:pPr>
        <w:tabs>
          <w:tab w:val="left" w:pos="4828"/>
        </w:tabs>
        <w:bidi w:val="0"/>
        <w:jc w:val="left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附件：1</w:t>
      </w:r>
    </w:p>
    <w:p>
      <w:pPr>
        <w:tabs>
          <w:tab w:val="left" w:pos="4828"/>
        </w:tabs>
        <w:bidi w:val="0"/>
        <w:ind w:firstLineChars="500" w:firstLine="2200"/>
        <w:jc w:val="left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部门整体绩效评价报告</w:t>
      </w:r>
    </w:p>
    <w:p>
      <w:pPr>
        <w:spacing w:line="600" w:lineRule="atLeast"/>
        <w:ind w:firstLineChars="200" w:firstLine="64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</w:t>
      </w:r>
      <w:r>
        <w:rPr>
          <w:rFonts w:eastAsia="黑体" w:hint="eastAsia"/>
          <w:sz w:val="32"/>
          <w:szCs w:val="32"/>
        </w:rPr>
        <w:t>整体</w:t>
      </w:r>
      <w:r>
        <w:rPr>
          <w:rFonts w:eastAsia="黑体"/>
          <w:sz w:val="32"/>
          <w:szCs w:val="32"/>
        </w:rPr>
        <w:t>概况</w:t>
      </w:r>
    </w:p>
    <w:p>
      <w:pPr>
        <w:spacing w:line="600" w:lineRule="atLeast"/>
        <w:ind w:firstLineChars="200" w:firstLine="640"/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本部门20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22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年度申请预算资金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2430.344744万元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，实际支出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2430.344744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万元，预算执行率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100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%。其中：专项项目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19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个，金额合计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849.001354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万元，实际支出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849.001354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万元，执行率为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100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%。</w:t>
      </w:r>
    </w:p>
    <w:p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二、部门总体绩效目标和绩效指标设定情况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</w:rPr>
        <w:t>本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eastAsia="zh-CN"/>
        </w:rPr>
        <w:t>单位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</w:rPr>
        <w:t>年初设定的部门整体绩效指标是：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</w:rPr>
      </w:pP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(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一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)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大力加强维护社会稳定工作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eastAsia="zh-CN"/>
        </w:rPr>
        <w:t>积极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zh-CN"/>
        </w:rPr>
        <w:t>参与配合协调处置各类突发性和群众性事件，组织排查，协调整治治安混乱地区和突发治安问题。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维护社会稳定，保障社会治安，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zh-CN"/>
        </w:rPr>
        <w:t>保障社会稳定和谐发展，保障居民安居乐业，健康有序。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eastAsia="zh-CN"/>
        </w:rPr>
      </w:pP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(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二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)继续推进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生态环境治理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工作。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eastAsia="zh-CN"/>
        </w:rPr>
        <w:t>响应上级精神打造美丽乡村建设，在全镇辖区内开展生态环境整治，大力改善农村生态环境，提升乡村人居生活品位，拉小城乡一体化距离，提高人居生活幸福指数。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/>
        <w:textAlignment w:val="auto"/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</w:pP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（三）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</w:rPr>
        <w:t>创建“全国文明城市”和“国家全域旅游示范区”。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加快旅游经济发展、带动与旅游相关的基础设施、公共服务等方面迅速发展，同时优化全镇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40个行政村的生活环境，加强宣传教育提升全镇45665人的文明素质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（四）完善基础设施建设。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优化办公环境，保障办公人员人身安全，提高在职人员幸福生活指数，保障我镇各项工作正常运转。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eastAsia="zh-CN"/>
        </w:rPr>
        <w:t>（五）党建工作继续加强。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加强党的政治建设，党的组织建设，党的思想建设，改进优化工作作风，进一步巩固拓展脱贫攻坚成果，落实全面从严治党主体责任。</w:t>
      </w:r>
    </w:p>
    <w:p>
      <w:pPr>
        <w:tabs>
          <w:tab w:val="left" w:pos="3360"/>
        </w:tabs>
        <w:spacing w:line="600" w:lineRule="atLeas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eastAsia="黑体"/>
          <w:sz w:val="32"/>
          <w:szCs w:val="32"/>
        </w:rPr>
        <w:t>三、绩效评价组织情况</w:t>
      </w:r>
    </w:p>
    <w:p>
      <w:pPr>
        <w:spacing w:line="600" w:lineRule="atLeast"/>
        <w:ind w:firstLineChars="200" w:firstLine="640"/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本次绩效评价项目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19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个，占部门项目总数的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100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%，涉及金额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  <w:lang w:val="en-US" w:eastAsia="zh-CN"/>
        </w:rPr>
        <w:t>849.001354</w:t>
      </w:r>
      <w:r>
        <w:rPr>
          <w:rFonts w:ascii="方正仿宋简体" w:eastAsia="方正仿宋简体" w:cs="方正仿宋简体" w:hAnsi="方正仿宋简体" w:hint="eastAsia"/>
          <w:i w:val="0"/>
          <w:iCs w:val="0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四、绩效实现情况分析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本年度安排的专项项目资金保障了各个项目的顺利实施，有效推动了我镇经济社会发展,为实现“重返百强、再创辉煌”目标贡献了力量。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（一）</w:t>
      </w:r>
      <w:r>
        <w:rPr>
          <w:rFonts w:ascii="方正楷体简体" w:eastAsia="方正楷体简体" w:cs="方正楷体简体" w:hAnsi="方正楷体简体" w:hint="eastAsia"/>
          <w:b/>
          <w:bCs/>
          <w:i w:val="0"/>
          <w:iCs w:val="0"/>
          <w:color w:val="000000"/>
          <w:sz w:val="32"/>
          <w:szCs w:val="32"/>
          <w:lang w:val="zh-CN" w:eastAsia="zh-CN"/>
        </w:rPr>
        <w:t>社会稳定居民生活和谐。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社会事务管理、执法办案等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工作减少了不安定因素，为乡镇维稳工作减轻了压力。信访调解工作能力提升，充分发挥人民调解、行政调解、司法调解、防范重大安全事故，保障社会和谐稳定。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（二）生态环境得到有效改善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val="zh-CN" w:eastAsia="zh-CN"/>
        </w:rPr>
        <w:t>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通过环境治理工作，全面提升我镇宜居环境的水平，提高农民生产生活水平。生态环境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整治和超收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奖励资金项目既是上级对我镇环境治理工作的肯定，又为我镇进一步生态环境整治工作提供了有力的保障。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/>
          <w:color w:val="000000"/>
          <w:sz w:val="32"/>
          <w:szCs w:val="32"/>
          <w:lang w:val="en-US" w:eastAsia="zh-CN"/>
        </w:rPr>
      </w:pP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（三）打赢疫情防控战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val="zh-CN" w:eastAsia="zh-CN"/>
        </w:rPr>
        <w:t>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在新冠疫情爆发期间，及时购买防护用品、预防性药品、现场检测物品和消杀物品，并设置检测点，对进出人员进行严格的登记检测，结合“五级联控”体制加强疫情防控，防止疫情传播，保障我镇居民生命健康安全，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提升我镇居民生产生活水平。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(四)</w:t>
      </w: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en-US" w:eastAsia="zh-CN"/>
        </w:rPr>
        <w:t>开展好各村各种补偿款相关</w:t>
      </w: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工作</w:t>
      </w:r>
      <w:r>
        <w:rPr>
          <w:rFonts w:ascii="方正楷体简体" w:eastAsia="方正楷体简体" w:cs="方正楷体简体" w:hAnsi="方正楷体简体" w:hint="eastAsia"/>
          <w:color w:val="000000"/>
          <w:sz w:val="32"/>
          <w:szCs w:val="32"/>
          <w:lang w:val="zh-CN" w:eastAsia="zh-CN"/>
        </w:rPr>
        <w:t>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张家窑棚改腾退开发土地征收相关费用、北关村租赁费用、</w:t>
      </w:r>
      <w:r>
        <w:rPr>
          <w:rFonts w:ascii="方正仿宋简体" w:eastAsia="方正仿宋简体" w:cs="方正仿宋简体" w:hAnsi="方正仿宋简体" w:hint="eastAsia"/>
          <w:color w:val="000000"/>
          <w:kern w:val="0"/>
          <w:sz w:val="32"/>
          <w:szCs w:val="32"/>
          <w:lang w:val="en-US" w:eastAsia="zh-CN"/>
        </w:rPr>
        <w:t>华宇大街（文化南路至沙河路段)道路红线内占地所需费用、沙河南路铁山岭路段道路采空区勘测费用、华远世纪城小区安保费用等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得到及时补偿发放。提升村民生活的幸福感、获得感；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提升城乡文明指数和文明素质，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en-US" w:eastAsia="zh-CN"/>
        </w:rPr>
        <w:t>提升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群众幸福指数，推动遵化高质量发展。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楷体简体" w:eastAsia="方正楷体简体" w:cs="方正楷体简体" w:hAnsi="方正楷体简体" w:hint="eastAsia"/>
          <w:b/>
          <w:bCs/>
          <w:color w:val="000000"/>
          <w:sz w:val="32"/>
          <w:szCs w:val="32"/>
          <w:lang w:val="zh-CN" w:eastAsia="zh-CN"/>
        </w:rPr>
        <w:t>（五）加强党建工作。</w:t>
      </w: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“展示文明单位形象、打造书香机关品牌”，全面抓好政治引领、思想宣传、</w:t>
      </w:r>
      <w:r>
        <w:rPr>
          <w:rFonts w:ascii="方正仿宋简体" w:eastAsia="方正仿宋简体" w:cs="方正仿宋简体" w:hAnsi="方正仿宋简体"/>
          <w:color w:val="000000"/>
          <w:sz w:val="32"/>
          <w:szCs w:val="32"/>
          <w:lang w:val="zh-CN" w:eastAsia="zh-CN"/>
        </w:rPr>
        <w:t>全面</w:t>
      </w:r>
      <w:bookmarkStart w:id="0" w:name="_GoBack"/>
      <w:bookmarkEnd w:id="0"/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从严治党、精神文明、作风建设等方面行动，进一步推动机关党建向纵深发展，为促进我镇工作提供坚强有力的保障服务。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Chars="200" w:firstLine="640"/>
        <w:textAlignment w:val="auto"/>
        <w:rPr>
          <w:rFonts w:ascii="宋体" w:eastAsia="黑体" w:hAnsi="宋体" w:hint="eastAsia"/>
          <w:color w:val="000000"/>
          <w:sz w:val="32"/>
          <w:szCs w:val="32"/>
        </w:rPr>
      </w:pPr>
      <w:r>
        <w:rPr>
          <w:rFonts w:ascii="宋体" w:eastAsia="黑体" w:hAnsi="宋体"/>
          <w:color w:val="000000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今后我单位将进一步完善部门整体绩效目标、项目绩效目标；严格预算管理、决算管理；严格执行年度预算,推进绩效预算管理；提高财政资金使用效益。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Chars="200" w:firstLine="640"/>
        <w:textAlignment w:val="auto"/>
        <w:rPr>
          <w:rFonts w:ascii="宋体" w:eastAsia="黑体" w:hAnsi="宋体" w:hint="eastAsia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t>六、相关</w:t>
      </w:r>
      <w:r>
        <w:rPr>
          <w:rFonts w:ascii="宋体" w:eastAsia="黑体" w:hAnsi="宋体"/>
          <w:color w:val="000000"/>
          <w:sz w:val="32"/>
          <w:szCs w:val="32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</w:pPr>
      <w:r>
        <w:rPr>
          <w:rFonts w:ascii="方正仿宋简体" w:eastAsia="方正仿宋简体" w:cs="方正仿宋简体" w:hAnsi="方正仿宋简体" w:hint="eastAsia"/>
          <w:color w:val="000000"/>
          <w:sz w:val="32"/>
          <w:szCs w:val="32"/>
          <w:lang w:val="zh-CN" w:eastAsia="zh-CN"/>
        </w:rPr>
        <w:t>无相关建议。</w:t>
      </w:r>
    </w:p>
    <w:p>
      <w:pPr>
        <w:widowControl/>
        <w:tabs>
          <w:tab w:val="left" w:pos="7980"/>
        </w:tabs>
        <w:spacing w:line="600" w:lineRule="atLeas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tabs>
          <w:tab w:val="left" w:pos="7980"/>
        </w:tabs>
        <w:spacing w:line="600" w:lineRule="atLeas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tabs>
          <w:tab w:val="left" w:pos="7980"/>
        </w:tabs>
        <w:spacing w:line="600" w:lineRule="atLeast"/>
        <w:jc w:val="left"/>
        <w:rPr>
          <w:rFonts w:ascii="宋体" w:eastAsia="宋体" w:cs="宋体" w:hAnsi="宋体"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</w:t>
      </w:r>
    </w:p>
    <w:tbl>
      <w:tblPr>
        <w:tblpPr w:leftFromText="180" w:rightFromText="180" w:vertAnchor="text" w:horzAnchor="page" w:tblpX="1188" w:tblpY="780"/>
        <w:tblOverlap w:val="never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32"/>
        <w:gridCol w:w="1179"/>
        <w:gridCol w:w="1603"/>
        <w:gridCol w:w="1404"/>
        <w:gridCol w:w="1437"/>
        <w:gridCol w:w="2693"/>
        <w:gridCol w:w="916"/>
      </w:tblGrid>
      <w:tr>
        <w:trPr>
          <w:trHeight w:val="612"/>
        </w:trPr>
        <w:tc>
          <w:tcPr>
            <w:tcW w:w="97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2022年绩效评价信息汇总表</w:t>
            </w:r>
          </w:p>
        </w:tc>
      </w:tr>
      <w:tr>
        <w:trPr>
          <w:trHeight w:val="56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注：含一般公共预算和政府性基金项目</w:t>
            </w:r>
          </w:p>
        </w:tc>
        <w:tc>
          <w:tcPr>
            <w:tcW w:w="64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单位：万元</w:t>
            </w: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预算数（含调整数）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自评决算数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自评结论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rPr>
          <w:trHeight w:val="1020"/>
        </w:trPr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849.001354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849.001354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33"/>
              </w:tabs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ab/>
            </w: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2021年第四季度乡村振兴美丽家园拉练观摩活动奖励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方正仿宋简体" w:eastAsia="方正仿宋简体" w:cs="方正仿宋简体" w:hAnsi="方正仿宋简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乡村环境得到明显改善，全面提升我镇宜居环境水平，提高村民生产生活水平。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疫情防控工作经费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1"/>
              </w:tabs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99.741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99.741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</w:rPr>
              <w:t>为进一步调动村级工作积极性，充分发挥我市五级联控指挥体系作用</w:t>
            </w: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</w:rPr>
              <w:t>完成全员核酸检测，有效控制疫情</w:t>
            </w: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社会事务管理支出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保障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了我镇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社会治安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zh-CN"/>
              </w:rPr>
              <w:t>协调处置各类突发性和群众性事件，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维护社会稳定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98"/>
              </w:tabs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执法办案等经费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88.4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保障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了我镇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社会治安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zh-CN"/>
              </w:rPr>
              <w:t>协调处置各类突发性和群众性事件，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维护社会稳定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招商小组经费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 xml:space="preserve"> 严格按照各项管理办法，保障招商小组经费及时、顺畅报销，促进招商引资活动顺利开展。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2020年7-12月份生态环境奖励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方正仿宋简体" w:eastAsia="方正仿宋简体" w:cs="方正仿宋简体" w:hAnsi="方正仿宋简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乡村环境得到明显改善，全面提升我镇宜居环境水平，提高村民生产生活水平。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关于开展文明城创建、生态环境深度整治等各项工作所需资金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方正仿宋简体" w:eastAsia="方正仿宋简体" w:cs="方正仿宋简体" w:hAnsi="方正仿宋简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乡村环境得到明显改善，全面提升我镇宜居环境水平，提高农民生产生活水平。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2020、2021年环卫清运车辆等相关费用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189.24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方正仿宋简体" w:eastAsia="方正仿宋简体" w:cs="方正仿宋简体" w:hAnsi="方正仿宋简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乡村环境得到明显改善，全面提升我镇宜居环境水平，提高村民生产生活水平。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张家窑村棚改腾退开发土地征收相关费用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沙河南路铁山岭路段道路采空区勘测费用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北关村阳光小区租赁费资金</w:t>
            </w:r>
          </w:p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北关村老大车店租赁补贴资金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58"/>
              </w:tabs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ab/>
            </w: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开通华宇大街（文化南路至沙河路段)道路红线内占地所需费用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20.3352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20.3352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冀财农【2021】24号2021年省级农村综合改革转移支付资金的通知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11"/>
              </w:tabs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ab/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冀财农【2021】77号2021年中央农村综合改革转移支付资金的通知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减少不安定因素和矛盾纠纷，推动工作有序开展，资金及时拨付到位，提升人民满意度。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0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2021年第三季度固定资产投资完成奖惩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</w:rPr>
              <w:t>保证全镇</w:t>
            </w: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</w:rPr>
              <w:t>个村环境卫生，改善人居环境，提高群众生活品质</w:t>
            </w:r>
          </w:p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拨付城管执法人员等保险金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30.095154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87"/>
              </w:tabs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30.095154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专项用于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城管执法人员等保险金费用，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</w:rPr>
              <w:t>减少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  <w:lang w:eastAsia="zh-CN"/>
              </w:rPr>
              <w:t>我镇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</w:rPr>
              <w:t>社会不安定因素和矛盾纠纷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保障我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val="en-US" w:eastAsia="zh-CN"/>
              </w:rPr>
              <w:t>镇城管执法人员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工作的顺利开展，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val="en-US" w:eastAsia="zh-CN"/>
              </w:rPr>
              <w:t>保险金及时发放。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7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华远世纪城小区安保费用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31.64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31.64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专项用于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  <w:lang w:val="en-US" w:eastAsia="zh-CN"/>
              </w:rPr>
              <w:t>华远世纪城小区安保费用，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</w:rPr>
              <w:t>减少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  <w:lang w:eastAsia="zh-CN"/>
              </w:rPr>
              <w:t>我镇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</w:rPr>
              <w:t>社会不安定因素和矛盾纠纷</w:t>
            </w:r>
            <w:r>
              <w:rPr>
                <w:rFonts w:ascii="方正仿宋简体" w:eastAsia="方正仿宋简体" w:cs="方正仿宋简体" w:hAnsi="方正仿宋简体" w:hint="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保障我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val="en-US" w:eastAsia="zh-CN"/>
              </w:rPr>
              <w:t>镇华远世纪城小区安保人员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工作的顺利开展，为全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val="en-US" w:eastAsia="zh-CN"/>
              </w:rPr>
              <w:t>镇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经济发展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val="en-US" w:eastAsia="zh-CN"/>
              </w:rPr>
              <w:t>社会稳定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>保驾护航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ascii="方正仿宋简体" w:eastAsia="方正仿宋简体" w:cs="方正仿宋简体" w:hAnsi="方正仿宋简体" w:hint="eastAsia"/>
                <w:bCs/>
                <w:color w:val="auto"/>
                <w:sz w:val="21"/>
                <w:szCs w:val="21"/>
              </w:rPr>
              <w:tab/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1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遵化镇人民政府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color w:val="000000"/>
                <w:kern w:val="0"/>
                <w:sz w:val="21"/>
                <w:szCs w:val="21"/>
                <w:lang w:val="en-US" w:eastAsia="zh-CN"/>
              </w:rPr>
              <w:t>乡镇综合指挥中心和信息化网络中心建设申请资金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31.65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31.65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0"/>
                <w:sz w:val="21"/>
                <w:szCs w:val="21"/>
                <w:lang w:val="en-US" w:eastAsia="zh-CN"/>
              </w:rPr>
              <w:t>乡镇综合指挥中心和信息化网络中心建设项目顺利完成</w:t>
            </w:r>
            <w:r>
              <w:rPr>
                <w:rFonts w:ascii="方正仿宋简体" w:eastAsia="方正仿宋简体" w:cs="方正仿宋简体" w:hAnsi="方正仿宋简体" w:hint="eastAsia"/>
                <w:sz w:val="21"/>
                <w:szCs w:val="21"/>
              </w:rPr>
              <w:t>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方正仿宋简体" w:eastAsia="方正仿宋简体" w:cs="方正仿宋简体" w:hAnsi="方正仿宋简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5803"/>
        </w:tabs>
        <w:bidi w:val="0"/>
        <w:jc w:val="left"/>
        <w:rPr>
          <w:rFonts w:ascii="方正仿宋简体" w:eastAsia="方正仿宋简体" w:cs="方正仿宋简体" w:hAnsi="方正仿宋简体" w:hint="eastAsia"/>
          <w:sz w:val="21"/>
          <w:szCs w:val="21"/>
          <w:lang w:val="en-US" w:eastAsia="zh-CN"/>
        </w:rPr>
      </w:pPr>
    </w:p>
    <w:p>
      <w:pPr>
        <w:rPr>
          <w:rFonts w:eastAsia="宋体"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TA5MTM5OGEwN2JmODdlMzA3MmI1NTk0ZDFiMDU1N2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标3"/>
    <w:qFormat/>
    <w:basedOn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6">
    <w:name w:val="标4"/>
    <w:qFormat/>
    <w:basedOn w:val="15"/>
    <w:next w:val="0"/>
    <w:pPr>
      <w:spacing w:before="240"/>
      <w:outlineLvl w:val="3"/>
    </w:pPr>
    <w:rPr>
      <w:rFonts w:cs="Arial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73133BE-6758-4FBD-8CAF-08BCD7E7345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Yozo_Office27021597764231189</Application>
  <Pages>6</Pages>
  <Words>0</Words>
  <Characters>2517</Characters>
  <Lines>0</Lines>
  <Paragraphs>55</Paragraphs>
  <CharactersWithSpaces>3356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0</cp:revision>
  <cp:lastPrinted>2023-05-15T02:34:00Z</cp:lastPrinted>
  <dcterms:created xsi:type="dcterms:W3CDTF">2023-05-12T02:15:00Z</dcterms:created>
  <dcterms:modified xsi:type="dcterms:W3CDTF">2024-05-11T02:13:44Z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0C4EA26CE230403EA3A3B10FC356984A_12</vt:lpwstr>
  </property>
</Properties>
</file>