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预算部门整体绩效自评报告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年度）</w:t>
      </w:r>
    </w:p>
    <w:p>
      <w:pPr>
        <w:pStyle w:val="3"/>
        <w:spacing w:before="12"/>
        <w:rPr>
          <w:sz w:val="30"/>
          <w:szCs w:val="30"/>
        </w:rPr>
      </w:pPr>
    </w:p>
    <w:p>
      <w:pPr>
        <w:pStyle w:val="3"/>
        <w:spacing w:before="12"/>
        <w:rPr>
          <w:sz w:val="30"/>
          <w:szCs w:val="30"/>
        </w:rPr>
      </w:pPr>
    </w:p>
    <w:p>
      <w:pPr>
        <w:pStyle w:val="3"/>
        <w:spacing w:before="12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评价方式： </w:t>
      </w:r>
      <w:r>
        <w:rPr>
          <w:rFonts w:hint="eastAsia"/>
          <w:sz w:val="36"/>
          <w:szCs w:val="36"/>
        </w:rPr>
        <w:sym w:font="Wingdings" w:char="F0FE"/>
      </w:r>
      <w:r>
        <w:rPr>
          <w:rFonts w:hint="eastAsia"/>
          <w:sz w:val="30"/>
          <w:szCs w:val="30"/>
        </w:rPr>
        <w:t xml:space="preserve">直接组织评价          </w:t>
      </w:r>
      <w:r>
        <w:rPr>
          <w:rFonts w:hint="eastAsia"/>
          <w:sz w:val="36"/>
          <w:szCs w:val="36"/>
        </w:rPr>
        <w:t>□</w:t>
      </w:r>
      <w:r>
        <w:rPr>
          <w:rFonts w:hint="eastAsia"/>
          <w:sz w:val="30"/>
          <w:szCs w:val="30"/>
        </w:rPr>
        <w:t>委托评价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ind w:firstLine="750" w:firstLineChars="250"/>
        <w:rPr>
          <w:b/>
          <w:sz w:val="44"/>
          <w:szCs w:val="44"/>
        </w:rPr>
      </w:pPr>
      <w:r>
        <w:rPr>
          <w:rFonts w:hint="eastAsia"/>
          <w:sz w:val="30"/>
          <w:szCs w:val="30"/>
        </w:rPr>
        <w:t>部门名称：</w:t>
      </w:r>
      <w:r>
        <w:rPr>
          <w:rFonts w:hint="eastAsia"/>
          <w:sz w:val="30"/>
          <w:szCs w:val="30"/>
          <w:u w:val="single"/>
        </w:rPr>
        <w:t xml:space="preserve">    遵化市交通运输局       （加盖公章）                     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ind w:firstLine="8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0315-66807189                   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填报日期   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</w:rPr>
        <w:t>日</w:t>
      </w:r>
    </w:p>
    <w:p>
      <w:pPr>
        <w:pStyle w:val="3"/>
        <w:spacing w:before="12"/>
        <w:jc w:val="center"/>
        <w:rPr>
          <w:sz w:val="30"/>
          <w:szCs w:val="30"/>
        </w:rPr>
      </w:pPr>
    </w:p>
    <w:p>
      <w:pPr>
        <w:pStyle w:val="3"/>
        <w:spacing w:before="1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遵化市财政局编制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36"/>
          <w:szCs w:val="36"/>
        </w:rPr>
      </w:pPr>
    </w:p>
    <w:p>
      <w:pPr>
        <w:pStyle w:val="3"/>
        <w:spacing w:before="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遵化</w:t>
      </w:r>
      <w:r>
        <w:rPr>
          <w:b/>
          <w:sz w:val="36"/>
          <w:szCs w:val="36"/>
        </w:rPr>
        <w:t>市交通运输局</w:t>
      </w:r>
    </w:p>
    <w:p>
      <w:pPr>
        <w:pStyle w:val="3"/>
        <w:spacing w:before="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年度</w:t>
      </w:r>
      <w:r>
        <w:rPr>
          <w:b/>
          <w:sz w:val="36"/>
          <w:szCs w:val="36"/>
        </w:rPr>
        <w:t>部门整体绩效评价报告</w:t>
      </w:r>
    </w:p>
    <w:p>
      <w:pPr>
        <w:pStyle w:val="3"/>
        <w:spacing w:before="1" w:line="36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为了贯彻落实全面推进预算绩效管理要求，强化部门支出责任，规范资金管理、提高财政资金使用效率和效益，促进部门从整体上提升预算绩效管理水平，保障部门更好地履行职责，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遵化市交通运输局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（以下简称“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交通局”）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对局本级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20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2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年度部门整体支出进行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了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绩效评价。</w:t>
      </w:r>
    </w:p>
    <w:p>
      <w:pPr>
        <w:pStyle w:val="2"/>
        <w:numPr>
          <w:ilvl w:val="0"/>
          <w:numId w:val="1"/>
        </w:numPr>
        <w:spacing w:before="0" w:after="0" w:line="440" w:lineRule="exact"/>
        <w:rPr>
          <w:rFonts w:asciiTheme="minorEastAsia" w:hAnsiTheme="minorEastAsia" w:eastAsiaTheme="minorEastAsia"/>
          <w:sz w:val="30"/>
          <w:szCs w:val="30"/>
        </w:rPr>
      </w:pPr>
      <w:bookmarkStart w:id="0" w:name="_Toc47512426"/>
      <w:r>
        <w:rPr>
          <w:rFonts w:asciiTheme="minorEastAsia" w:hAnsiTheme="minorEastAsia" w:eastAsiaTheme="minorEastAsia"/>
          <w:sz w:val="30"/>
          <w:szCs w:val="30"/>
        </w:rPr>
        <w:t>部门</w:t>
      </w:r>
      <w:r>
        <w:rPr>
          <w:rFonts w:hint="eastAsia" w:asciiTheme="minorEastAsia" w:hAnsiTheme="minorEastAsia" w:eastAsiaTheme="minorEastAsia"/>
          <w:sz w:val="30"/>
          <w:szCs w:val="30"/>
        </w:rPr>
        <w:t>整体</w:t>
      </w:r>
      <w:r>
        <w:rPr>
          <w:rFonts w:asciiTheme="minorEastAsia" w:hAnsiTheme="minorEastAsia" w:eastAsiaTheme="minorEastAsia"/>
          <w:sz w:val="30"/>
          <w:szCs w:val="30"/>
        </w:rPr>
        <w:t>概况</w:t>
      </w:r>
      <w:bookmarkEnd w:id="0"/>
    </w:p>
    <w:p>
      <w:pPr>
        <w:spacing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本部门202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年度申请预算资金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16013.92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万元，实际支出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16013.92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万元，预算执行率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100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% 。其中：专项项目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个，金额合计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276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万元，实际支出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276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万元，执行率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100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%   。</w:t>
      </w:r>
    </w:p>
    <w:p>
      <w:pPr>
        <w:pStyle w:val="14"/>
        <w:numPr>
          <w:ilvl w:val="0"/>
          <w:numId w:val="1"/>
        </w:numPr>
        <w:ind w:firstLineChars="0"/>
        <w:rPr>
          <w:rFonts w:cs="仿宋" w:asciiTheme="minorEastAsia" w:hAnsiTheme="minorEastAsia" w:eastAsiaTheme="minorEastAsia"/>
          <w:b/>
          <w:bCs/>
          <w:kern w:val="44"/>
          <w:sz w:val="30"/>
          <w:szCs w:val="30"/>
          <w:lang w:val="zh-CN" w:bidi="zh-CN"/>
        </w:rPr>
      </w:pPr>
      <w:r>
        <w:rPr>
          <w:rFonts w:hint="eastAsia" w:cs="仿宋" w:asciiTheme="minorEastAsia" w:hAnsiTheme="minorEastAsia" w:eastAsiaTheme="minorEastAsia"/>
          <w:b/>
          <w:bCs/>
          <w:kern w:val="44"/>
          <w:sz w:val="30"/>
          <w:szCs w:val="30"/>
          <w:lang w:val="zh-CN" w:bidi="zh-CN"/>
        </w:rPr>
        <w:t>部门总体绩效目标和绩效指标设定情况</w:t>
      </w:r>
    </w:p>
    <w:p>
      <w:pPr>
        <w:spacing w:line="560" w:lineRule="atLeast"/>
        <w:ind w:left="708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本部门年初设定的部门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整体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绩效指标是：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一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加快推进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遵化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市交通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公路基础设施改造升级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，积极拓宽融资渠道，努力完成公路建设任务，实现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遵化市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市综合交通运输发展新跨越。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加大全市公路养护投入，全面提升管养水平，实现公路的安全畅通，为人民群众安全便捷出行提供交通运输保障。</w:t>
      </w: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（三）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落实节能减排，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加快推进新能源汽车应用，依法整治域内交通环境。</w:t>
      </w:r>
    </w:p>
    <w:p>
      <w:pPr>
        <w:spacing w:line="500" w:lineRule="exact"/>
        <w:ind w:firstLine="60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（四）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提升客运服务品质。优化公交线路，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发展多样化公交服务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做好出租汽车市场运力调控和秩序整治。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落实国家成品油改革政策，对公交、出租车及时按政策发放补贴，促进公共交通健康发展。</w:t>
      </w: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（五）深入推进平安交通建设。实施“平安交通”行动计划、危险化学品运输安全综合治理，建设公路安全防护设施建设，确保全行业不发生较大以上等级生产安全事故。</w:t>
      </w:r>
    </w:p>
    <w:p>
      <w:pPr>
        <w:spacing w:after="0"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（六）完成省道邦宽线收费工作，及时归还公路贷款本息</w:t>
      </w:r>
    </w:p>
    <w:p>
      <w:pPr>
        <w:spacing w:after="0"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（七）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全面做好疫情防控工作，切实做好新冠肺炎疫情防控工作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维护好广大人民群众的身体健康和生命安全。</w:t>
      </w:r>
    </w:p>
    <w:p>
      <w:pPr>
        <w:spacing w:after="0" w:line="500" w:lineRule="exact"/>
        <w:ind w:firstLine="420" w:firstLineChars="150"/>
        <w:rPr>
          <w:rFonts w:ascii="Times New Roman" w:hAnsi="方正仿宋_GBK" w:eastAsia="方正仿宋_GBK" w:cs="方正仿宋_GBK"/>
          <w:sz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（八）提高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通运输服务质量和管理水平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，加大治超力度和交通环境治理，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努力创建综合交通、平安交通、智慧交通、绿色交通。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，为建设环京津新型工业基地、旅游商贸名城、魅力中等城市、再创遵化发展新辉煌提供有力交通支撑和保障。</w:t>
      </w:r>
    </w:p>
    <w:p>
      <w:pPr>
        <w:spacing w:after="0" w:line="560" w:lineRule="atLeas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（九）党建工作继续加强。加强党的政治建设，党的组织建设，党的思想建设，改进优化工作作风，进一步巩固拓展脱贫攻坚成果，落实全面从严治党主体责任。</w:t>
      </w:r>
    </w:p>
    <w:p>
      <w:pPr>
        <w:pStyle w:val="14"/>
        <w:numPr>
          <w:ilvl w:val="0"/>
          <w:numId w:val="1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绩效评价组织情况</w:t>
      </w:r>
    </w:p>
    <w:p>
      <w:pPr>
        <w:spacing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本次绩效评价项目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24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个，占部门项目总数的 100  %，涉及金额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10328.98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万元。本着客观、公正、公开的原则开展自评工作，所有项目的绩效自评均设计了合理、明晰、可考核的、关键性产出和效果指标。自评结果真实可靠。</w:t>
      </w:r>
    </w:p>
    <w:p>
      <w:pPr>
        <w:pStyle w:val="14"/>
        <w:numPr>
          <w:ilvl w:val="0"/>
          <w:numId w:val="1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绩效实现情况分析</w:t>
      </w:r>
    </w:p>
    <w:p>
      <w:pPr>
        <w:pStyle w:val="14"/>
        <w:numPr>
          <w:ilvl w:val="0"/>
          <w:numId w:val="2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公路基础设施建设</w:t>
      </w:r>
    </w:p>
    <w:p>
      <w:pPr>
        <w:spacing w:after="0" w:line="460" w:lineRule="exact"/>
        <w:ind w:firstLine="560" w:firstLineChars="200"/>
        <w:rPr>
          <w:rFonts w:ascii="宋体" w:hAnsi="宋体" w:eastAsia="宋体" w:cs="宋体"/>
          <w:sz w:val="20"/>
          <w:szCs w:val="20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根据年初制定的预算方案和绩效目标，对全市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干线公路的大中修、桥涵维修加固工程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，精心组织施工和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交、竣工验收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工作。完成遵化市县道彭李线大修工程，遵化市乡道YGT1杨家峪-宫里公路改建工程，遵化市平安城-东旧寨线七户桥改建工，遵化市愚公桥改建工程省道邦宽线路面养护工程等重点工程项目。在改建扩建工程中，注重公路改造升级，完善安全、绿化设施，实现安全交通、绿色交通。完成</w:t>
      </w:r>
      <w:r>
        <w:rPr>
          <w:rFonts w:hint="eastAsia" w:ascii="宋体" w:hAnsi="宋体" w:eastAsia="宋体" w:cs="宋体"/>
          <w:sz w:val="20"/>
          <w:szCs w:val="20"/>
        </w:rPr>
        <w:t xml:space="preserve">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112线公路绿化工程  国道102线安保工程  普通干线公路排水整治工程，邦宽线安全设施整治工程等。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利用好乡村振兴补助资金，完善村村通工程建设，对乡村公路进行改造完善，完成自然村公路罩面、加宽工程，202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年度基本完成村村通工程建设计划。</w:t>
      </w:r>
    </w:p>
    <w:p>
      <w:pPr>
        <w:pStyle w:val="7"/>
        <w:spacing w:line="460" w:lineRule="exact"/>
        <w:ind w:firstLine="482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（二）路域环境治理不断深化，公路安全畅通有保障。开展路域环境专项整治，严格办理涉路行政许可，查处违法案件，立案率和查处率100%，结案率98%以上，路损赔付率95%以上。</w:t>
      </w:r>
    </w:p>
    <w:p>
      <w:pPr>
        <w:adjustRightInd/>
        <w:snapToGrid/>
        <w:spacing w:after="0" w:line="460" w:lineRule="exact"/>
        <w:ind w:firstLine="482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治超治限力度不减，超限超载率明显下降。严格落实处罚机制，抓好源头治超和联网治超，保持治超治限高压态势。加强车辆检测，全市站点车辆超限超载率稳控在1%以下。</w:t>
      </w:r>
    </w:p>
    <w:p>
      <w:pPr>
        <w:spacing w:line="460" w:lineRule="exact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宋体"/>
          <w:color w:val="000000"/>
          <w:sz w:val="24"/>
          <w:szCs w:val="24"/>
        </w:rPr>
        <w:t xml:space="preserve">     （三）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提升客运服务品质，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促进公共交通健康发展。认真贯彻执行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城市公交车成品油价格补助政策，及时足额发放补贴资金，规范补贴范围和标准，严格监督专项资金使用。利用专项资金，实施了道路运输车辆安装使用智能视频监控报警装置安装工作，有效减少疲劳驾驶等安全隐患。</w:t>
      </w:r>
    </w:p>
    <w:p>
      <w:pPr>
        <w:spacing w:after="0"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（四）利用好节能减排专项资金，</w:t>
      </w:r>
    </w:p>
    <w:p>
      <w:pPr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进一步加快新能源汽车推广应用，促进公交行业节能减排，实现公交行业健康、稳定发展，建立鼓励新能源公交车应用、限制燃油公交车增长新机制，推动新能源公交车规范化推广应用，促进公交行业节能减排，涨价补助数额与新能源公交车推广数量挂钩，奖励新能源公交车推广应用，逐步形成新能源公交车的比较优势，新能源公交车推广应用成绩显著。 </w:t>
      </w:r>
    </w:p>
    <w:p>
      <w:pPr>
        <w:adjustRightInd/>
        <w:snapToGrid/>
        <w:spacing w:after="0"/>
        <w:ind w:firstLine="700" w:firstLineChars="2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（五）做好省道邦宽线收费工作，及时偿还邦宽线公路贷款本金及利息。</w:t>
      </w:r>
    </w:p>
    <w:p>
      <w:pPr>
        <w:pStyle w:val="7"/>
        <w:shd w:val="clear" w:color="auto" w:fill="FFFFFF"/>
        <w:spacing w:line="420" w:lineRule="exact"/>
        <w:ind w:firstLine="48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积极落实收费站经费补资金，专款专用，助圆满完成全年收取通行费工作目标。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认真履行性借款合同，及时偿还借款本息，本年偿还本金2600万元，逐步降低资金成本。</w:t>
      </w:r>
    </w:p>
    <w:p>
      <w:pPr>
        <w:spacing w:after="0" w:line="460" w:lineRule="exact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   （六）加大交通管理设施投入，实现交通公路智能化，现代化。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购置治超站检测设备，建设治超站卸载场地，规范治超执法。加强交通管理网络化建设，做到精准管理，提高工作效率。</w:t>
      </w:r>
    </w:p>
    <w:p>
      <w:pPr>
        <w:spacing w:after="0" w:line="460" w:lineRule="exac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（七）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切实做好新冠肺炎疫情防控工作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建立24小时防疫检查工作机制及疫情日报告制度，加大检疫巡查力度，落实督导和责任追究制度，确保各项防疫工作落实到位。强化防控举措，提升服务质效。开设检疫专用车道，引导人员、车辆有序受检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加强消杀措施，确保乘车安全。</w:t>
      </w:r>
    </w:p>
    <w:p>
      <w:pPr>
        <w:spacing w:after="0" w:line="460" w:lineRule="exac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（八）全面抓好政治引领、思想宣传、全面</w:t>
      </w:r>
      <w:bookmarkStart w:id="1" w:name="_GoBack"/>
      <w:bookmarkEnd w:id="1"/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从严治党、精神文明、作风建设等方面行动，进一步推动机关党建向纵深发展，为促进我局工作提供坚强有力的保障服务。</w:t>
      </w:r>
    </w:p>
    <w:p>
      <w:pPr>
        <w:spacing w:line="57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五、存在的问题</w:t>
      </w:r>
    </w:p>
    <w:p>
      <w:pPr>
        <w:spacing w:line="57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今后我局将进一步完善部门整体绩效目标，项目绩效目标，严格预算管理、决算管理,严格执行年度预算,推进绩效预算管理，提高财政资金使用效益。</w:t>
      </w:r>
    </w:p>
    <w:p>
      <w:pPr>
        <w:pStyle w:val="14"/>
        <w:numPr>
          <w:ilvl w:val="0"/>
          <w:numId w:val="3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相关建议</w:t>
      </w:r>
    </w:p>
    <w:p>
      <w:pPr>
        <w:ind w:left="708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无相关建议</w:t>
      </w: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     </w:t>
      </w: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 xml:space="preserve">                   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 遵化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市交通运输局</w:t>
      </w: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              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 xml:space="preserve">           </w:t>
      </w:r>
    </w:p>
    <w:p>
      <w:pPr>
        <w:pStyle w:val="14"/>
        <w:ind w:left="1338" w:firstLine="3920" w:firstLineChars="1400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 202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3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.5.1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bidi="zh-CN"/>
        </w:rPr>
        <w:t>7</w:t>
      </w:r>
    </w:p>
    <w:p>
      <w:pPr>
        <w:adjustRightInd/>
        <w:snapToGrid/>
        <w:spacing w:line="220" w:lineRule="atLeas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br w:type="page"/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765"/>
        <w:gridCol w:w="808"/>
        <w:gridCol w:w="80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附件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adjustRightInd/>
        <w:snapToGrid/>
        <w:spacing w:line="220" w:lineRule="atLeas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27"/>
        <w:gridCol w:w="3203"/>
        <w:gridCol w:w="934"/>
        <w:gridCol w:w="1011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40"/>
                <w:szCs w:val="40"/>
              </w:rPr>
              <w:t>年绩效评价信息汇总表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注：含一般公共预算和政府性基金项目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单位名称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项目名称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预算数（含调整数）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自评决算数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自评结论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19" w:type="pct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合计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　偿还邦宽线贷款本金及利息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6326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5370.008075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资金已全部用于偿还邦宽线修建所欠银行贷款本息，将逐步推进债务清偿进度。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　省道邦宽线重点路段大修工程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1425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530.3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结合实际公路破损情况，完成了重点路段大修任务。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　通行费安排收费站运转经费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79.73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79.73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资金支出控制在预算范围内，资金使用合法合规，收费站正常运转。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乡村振兴农村公路养护资金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201.6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201.6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保障公路养护目标完成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冀财建【2021】238号提前下达农村公路专项资金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圆满完成养护任务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冀财建【2021】239号提前下达2022年普通国省干线公路建设养护发展专项资金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圆满完成养护任务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7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冀财建[2021]64号河北省财政厅下达2021年节能减排补助资金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合理支出资金，并推进新能源汽车的推广。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8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通行费安排收费站人员经费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834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585.566976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此资金为收费站工作人员工资，为收费系统运转提供了人员资源。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9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冀财建【2019】296号河北省财政厅关于提前下达2020年农村公路建设养护发展资金（安防工程危桥改造）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工程质量合格，资金使用合理。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城乡客运一体化建设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1765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1104.9769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已完成工作进度。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11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交通道路保洁一体化服务费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418.79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377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此资金为收费站工作人员工资，为收费系统运转提供了人员资源。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12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拨付工程编审费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47.93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47.93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遵循平等、自愿、公平和诚实信用的原则，根据进度已全额付给编审所。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13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邦宽线路面养护工程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414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414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结合实际公路破损情况，完成了重点路段大修任务。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14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邦宽线金卓道口至电厂东门口路面维修工程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53.12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53.12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资金及时执行到位，面好路率合格达标，保障了行人车辆出行安全。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县域旅游道路PPP项目工程前期费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12.3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12.3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编制工程清单及招标控制价格，根据进度已全额付给编审所。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16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国防公路建设公益人员生活补贴项目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45.6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做到了按季度核实健在人员情况，及时申请财政资金，及时执行发放资金的绩效管理模式。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17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国省干线日常养护经费（冀财建【2021】196号）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221.5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符合冀财建【2021】196号文件资金使用范围。符合财政审批程序，资金已全部到位并支出。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18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长城旅游公路改建工程征地拆迁资金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81.2682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81.2682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已全部到人到户发放完毕，奠定了后期长城旅游路施工的基础，保障了后期的施工建设进度。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19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以前年度工程欠款及新启动项目资金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1630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根据进度已完成工程项目建设。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愚公桥七户桥改建工程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已于年底完成，工程质量合格。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国土空间规划经费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92.72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92.72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已完成预期目标。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冀财建【2020】97号2020年城市公交车油补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23.33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23.33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资金使用符合要求。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交通运输自然灾害风险普查经费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资金使用合理合规。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收费站设施维护费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  <w:t>工程质量合格，资金使用合理。</w:t>
            </w:r>
          </w:p>
        </w:tc>
      </w:tr>
    </w:tbl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sectPr>
      <w:pgSz w:w="11906" w:h="16838"/>
      <w:pgMar w:top="1440" w:right="1800" w:bottom="1440" w:left="180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62C50"/>
    <w:multiLevelType w:val="multilevel"/>
    <w:tmpl w:val="1E862C50"/>
    <w:lvl w:ilvl="0" w:tentative="0">
      <w:start w:val="6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455F0AC8"/>
    <w:multiLevelType w:val="multilevel"/>
    <w:tmpl w:val="455F0AC8"/>
    <w:lvl w:ilvl="0" w:tentative="0">
      <w:start w:val="1"/>
      <w:numFmt w:val="japaneseCounting"/>
      <w:lvlText w:val="%1、"/>
      <w:lvlJc w:val="left"/>
      <w:pPr>
        <w:ind w:left="1338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73CA68E5"/>
    <w:multiLevelType w:val="multilevel"/>
    <w:tmpl w:val="73CA68E5"/>
    <w:lvl w:ilvl="0" w:tentative="0">
      <w:start w:val="1"/>
      <w:numFmt w:val="japaneseCounting"/>
      <w:lvlText w:val="（%1）"/>
      <w:lvlJc w:val="left"/>
      <w:pPr>
        <w:ind w:left="156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WVlYjk2ZDAxODA1Y2U1OWI0YzU5OThlMDdjZGNmMDAifQ=="/>
  </w:docVars>
  <w:rsids>
    <w:rsidRoot w:val="00D31D50"/>
    <w:rsid w:val="000C109D"/>
    <w:rsid w:val="000D5F84"/>
    <w:rsid w:val="000D61DB"/>
    <w:rsid w:val="000F4133"/>
    <w:rsid w:val="00152761"/>
    <w:rsid w:val="0016195F"/>
    <w:rsid w:val="00167054"/>
    <w:rsid w:val="001A1E4C"/>
    <w:rsid w:val="001D0ED6"/>
    <w:rsid w:val="00220A3D"/>
    <w:rsid w:val="002A4289"/>
    <w:rsid w:val="002B220B"/>
    <w:rsid w:val="00323B43"/>
    <w:rsid w:val="00341A95"/>
    <w:rsid w:val="003477B6"/>
    <w:rsid w:val="003D37D8"/>
    <w:rsid w:val="003E14BA"/>
    <w:rsid w:val="00401F20"/>
    <w:rsid w:val="00426133"/>
    <w:rsid w:val="00434751"/>
    <w:rsid w:val="004358AB"/>
    <w:rsid w:val="004725D5"/>
    <w:rsid w:val="004832EA"/>
    <w:rsid w:val="004B6059"/>
    <w:rsid w:val="004D0E3E"/>
    <w:rsid w:val="004F0499"/>
    <w:rsid w:val="004F44FD"/>
    <w:rsid w:val="004F7D21"/>
    <w:rsid w:val="00515BB0"/>
    <w:rsid w:val="00536CE7"/>
    <w:rsid w:val="005561FA"/>
    <w:rsid w:val="005574E4"/>
    <w:rsid w:val="00591975"/>
    <w:rsid w:val="005B6DDB"/>
    <w:rsid w:val="0060643F"/>
    <w:rsid w:val="00614359"/>
    <w:rsid w:val="0062391D"/>
    <w:rsid w:val="006A0EAB"/>
    <w:rsid w:val="006D3582"/>
    <w:rsid w:val="007F0B52"/>
    <w:rsid w:val="008B7726"/>
    <w:rsid w:val="008C0BAE"/>
    <w:rsid w:val="008F7451"/>
    <w:rsid w:val="00901439"/>
    <w:rsid w:val="009501C9"/>
    <w:rsid w:val="009A503E"/>
    <w:rsid w:val="009B75BA"/>
    <w:rsid w:val="009F5BA6"/>
    <w:rsid w:val="00A2662C"/>
    <w:rsid w:val="00A50B8D"/>
    <w:rsid w:val="00B90B4B"/>
    <w:rsid w:val="00B9460C"/>
    <w:rsid w:val="00BB4BE7"/>
    <w:rsid w:val="00BC63FA"/>
    <w:rsid w:val="00C33452"/>
    <w:rsid w:val="00CE00AD"/>
    <w:rsid w:val="00D100F4"/>
    <w:rsid w:val="00D162B2"/>
    <w:rsid w:val="00D31D50"/>
    <w:rsid w:val="00D3406C"/>
    <w:rsid w:val="00D65FFE"/>
    <w:rsid w:val="00D67B33"/>
    <w:rsid w:val="00D956E2"/>
    <w:rsid w:val="00DB02E7"/>
    <w:rsid w:val="00E543F0"/>
    <w:rsid w:val="00E73147"/>
    <w:rsid w:val="00E7793E"/>
    <w:rsid w:val="00E77E7C"/>
    <w:rsid w:val="00ED576C"/>
    <w:rsid w:val="00F24F13"/>
    <w:rsid w:val="00F65C40"/>
    <w:rsid w:val="00F77967"/>
    <w:rsid w:val="00FA54EE"/>
    <w:rsid w:val="00FD5F29"/>
    <w:rsid w:val="01061083"/>
    <w:rsid w:val="08EE2127"/>
    <w:rsid w:val="0B3867E6"/>
    <w:rsid w:val="0C097C5A"/>
    <w:rsid w:val="0F0335FC"/>
    <w:rsid w:val="0F9C66D1"/>
    <w:rsid w:val="0FEA4334"/>
    <w:rsid w:val="101B46C1"/>
    <w:rsid w:val="10D52E30"/>
    <w:rsid w:val="11D5089E"/>
    <w:rsid w:val="122F4891"/>
    <w:rsid w:val="13BD43C9"/>
    <w:rsid w:val="14E029C6"/>
    <w:rsid w:val="15CB4B86"/>
    <w:rsid w:val="177822C7"/>
    <w:rsid w:val="18A26578"/>
    <w:rsid w:val="1AE60E12"/>
    <w:rsid w:val="1B8471DA"/>
    <w:rsid w:val="1DCC4E65"/>
    <w:rsid w:val="1E1249B3"/>
    <w:rsid w:val="1E7144EB"/>
    <w:rsid w:val="2010318C"/>
    <w:rsid w:val="25496EEE"/>
    <w:rsid w:val="2741446A"/>
    <w:rsid w:val="28546AA4"/>
    <w:rsid w:val="2A3E7690"/>
    <w:rsid w:val="2AB05551"/>
    <w:rsid w:val="2AF10783"/>
    <w:rsid w:val="2B514617"/>
    <w:rsid w:val="2B5B1676"/>
    <w:rsid w:val="2BE14F1A"/>
    <w:rsid w:val="2C4566F3"/>
    <w:rsid w:val="2C737B23"/>
    <w:rsid w:val="2D5D0815"/>
    <w:rsid w:val="2D852475"/>
    <w:rsid w:val="31386DD5"/>
    <w:rsid w:val="32293F3B"/>
    <w:rsid w:val="34715A1F"/>
    <w:rsid w:val="36197868"/>
    <w:rsid w:val="3A1D3CC5"/>
    <w:rsid w:val="3A8237D2"/>
    <w:rsid w:val="3AB20BDC"/>
    <w:rsid w:val="3BEF0022"/>
    <w:rsid w:val="3C7015EA"/>
    <w:rsid w:val="3EAA709D"/>
    <w:rsid w:val="43227911"/>
    <w:rsid w:val="447C4A1B"/>
    <w:rsid w:val="45C3188E"/>
    <w:rsid w:val="47D76F00"/>
    <w:rsid w:val="484C1189"/>
    <w:rsid w:val="48FE1F90"/>
    <w:rsid w:val="4AA374D3"/>
    <w:rsid w:val="4AE80F41"/>
    <w:rsid w:val="4B267A46"/>
    <w:rsid w:val="4B9C60FC"/>
    <w:rsid w:val="4D261752"/>
    <w:rsid w:val="4DEF1226"/>
    <w:rsid w:val="4DF36D5B"/>
    <w:rsid w:val="4E291309"/>
    <w:rsid w:val="4EC41375"/>
    <w:rsid w:val="4F9E7C6B"/>
    <w:rsid w:val="536D1E9F"/>
    <w:rsid w:val="536D53FD"/>
    <w:rsid w:val="549B04F5"/>
    <w:rsid w:val="55B272EA"/>
    <w:rsid w:val="57453D81"/>
    <w:rsid w:val="57D03916"/>
    <w:rsid w:val="57E14B49"/>
    <w:rsid w:val="5FFF0A56"/>
    <w:rsid w:val="60575754"/>
    <w:rsid w:val="6122014C"/>
    <w:rsid w:val="675F6886"/>
    <w:rsid w:val="67F317DE"/>
    <w:rsid w:val="68E66FD5"/>
    <w:rsid w:val="6A4713F8"/>
    <w:rsid w:val="6A9942BF"/>
    <w:rsid w:val="6B4557D3"/>
    <w:rsid w:val="6E160A3C"/>
    <w:rsid w:val="6EFD2F68"/>
    <w:rsid w:val="6FD4593F"/>
    <w:rsid w:val="716C14B1"/>
    <w:rsid w:val="72461A90"/>
    <w:rsid w:val="74537387"/>
    <w:rsid w:val="74B27A3B"/>
    <w:rsid w:val="765F72A3"/>
    <w:rsid w:val="77E705B3"/>
    <w:rsid w:val="79574910"/>
    <w:rsid w:val="79934F0D"/>
    <w:rsid w:val="7AB17DF4"/>
    <w:rsid w:val="7C4C4D71"/>
    <w:rsid w:val="7CB01634"/>
    <w:rsid w:val="7D6D741D"/>
    <w:rsid w:val="7E1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 w:val="0"/>
      <w:autoSpaceDE w:val="0"/>
      <w:autoSpaceDN w:val="0"/>
      <w:adjustRightInd/>
      <w:snapToGrid/>
      <w:spacing w:before="340" w:after="330" w:line="578" w:lineRule="auto"/>
      <w:outlineLvl w:val="0"/>
    </w:pPr>
    <w:rPr>
      <w:rFonts w:ascii="仿宋" w:hAnsi="仿宋" w:eastAsia="仿宋" w:cs="仿宋"/>
      <w:b/>
      <w:bCs/>
      <w:kern w:val="44"/>
      <w:sz w:val="44"/>
      <w:szCs w:val="44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customStyle="1" w:styleId="10">
    <w:name w:val="页眉 Char"/>
    <w:basedOn w:val="9"/>
    <w:link w:val="6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仿宋" w:hAnsi="仿宋" w:eastAsia="仿宋" w:cs="仿宋"/>
      <w:b/>
      <w:bCs/>
      <w:kern w:val="44"/>
      <w:sz w:val="44"/>
      <w:szCs w:val="44"/>
      <w:lang w:val="zh-CN" w:bidi="zh-CN"/>
    </w:rPr>
  </w:style>
  <w:style w:type="character" w:customStyle="1" w:styleId="13">
    <w:name w:val="正文文本 Char"/>
    <w:basedOn w:val="9"/>
    <w:link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4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654</Words>
  <Characters>3733</Characters>
  <Lines>31</Lines>
  <Paragraphs>8</Paragraphs>
  <TotalTime>78</TotalTime>
  <ScaleCrop>false</ScaleCrop>
  <LinksUpToDate>false</LinksUpToDate>
  <CharactersWithSpaces>4379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2023-05-15T07:53:00Z</cp:lastPrinted>
  <dcterms:modified xsi:type="dcterms:W3CDTF">2024-05-11T03:16:38Z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4E6A94CF79D54AAFA8B3EF6937EA9959_12</vt:lpwstr>
  </property>
</Properties>
</file>