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firstLine="0"/>
      </w:pPr>
    </w:p>
    <w:p>
      <w:pPr>
        <w:rPr>
          <w:rFonts w:eastAsia="仿宋_GB2312"/>
          <w:sz w:val="36"/>
          <w:szCs w:val="36"/>
        </w:rPr>
      </w:pPr>
    </w:p>
    <w:p>
      <w:pPr>
        <w:rPr>
          <w:rFonts w:eastAsia="仿宋_GB2312"/>
          <w:sz w:val="36"/>
          <w:szCs w:val="36"/>
        </w:rPr>
      </w:pPr>
    </w:p>
    <w:p>
      <w:pPr>
        <w:rPr>
          <w:rFonts w:eastAsia="仿宋_GB2312"/>
          <w:sz w:val="36"/>
          <w:szCs w:val="36"/>
        </w:rPr>
      </w:pPr>
    </w:p>
    <w:p>
      <w:pPr>
        <w:rPr>
          <w:rFonts w:eastAsia="仿宋_GB2312"/>
          <w:sz w:val="36"/>
          <w:szCs w:val="36"/>
        </w:rPr>
      </w:pPr>
    </w:p>
    <w:p>
      <w:pPr>
        <w:jc w:val="center"/>
        <w:rPr>
          <w:rFonts w:hint="eastAsia" w:ascii="宋体" w:hAnsi="宋体" w:eastAsia="宋体" w:cs="宋体"/>
          <w:bCs/>
          <w:color w:val="auto"/>
          <w:sz w:val="72"/>
          <w:szCs w:val="72"/>
          <w:highlight w:val="none"/>
        </w:rPr>
      </w:pPr>
      <w:bookmarkStart w:id="0" w:name="_Toc3272"/>
      <w:r>
        <w:rPr>
          <w:rFonts w:hint="eastAsia" w:ascii="宋体" w:hAnsi="宋体" w:eastAsia="宋体" w:cs="宋体"/>
          <w:bCs/>
          <w:color w:val="auto"/>
          <w:sz w:val="72"/>
          <w:szCs w:val="72"/>
          <w:highlight w:val="none"/>
        </w:rPr>
        <w:t>建设项</w:t>
      </w:r>
      <w:r>
        <w:rPr>
          <w:rFonts w:hint="eastAsia" w:ascii="宋体" w:hAnsi="宋体" w:eastAsia="宋体" w:cs="宋体"/>
          <w:bCs/>
          <w:color w:val="auto"/>
          <w:sz w:val="72"/>
          <w:szCs w:val="72"/>
          <w:highlight w:val="none"/>
          <w:lang w:val="en-US" w:eastAsia="zh-CN"/>
        </w:rPr>
        <w:t>目环</w:t>
      </w:r>
      <w:r>
        <w:rPr>
          <w:rFonts w:hint="eastAsia" w:ascii="宋体" w:hAnsi="宋体" w:eastAsia="宋体" w:cs="宋体"/>
          <w:bCs/>
          <w:color w:val="auto"/>
          <w:sz w:val="72"/>
          <w:szCs w:val="72"/>
          <w:highlight w:val="none"/>
        </w:rPr>
        <w:t>境影响报告表</w:t>
      </w:r>
      <w:bookmarkEnd w:id="0"/>
    </w:p>
    <w:p>
      <w:pPr>
        <w:jc w:val="center"/>
        <w:rPr>
          <w:rFonts w:eastAsia="仿宋"/>
          <w:sz w:val="52"/>
          <w:szCs w:val="52"/>
        </w:rPr>
      </w:pPr>
      <w:r>
        <w:rPr>
          <w:rFonts w:hint="eastAsia" w:eastAsia="仿宋"/>
          <w:sz w:val="52"/>
          <w:szCs w:val="52"/>
        </w:rPr>
        <w:t>（污染影响型）</w:t>
      </w:r>
    </w:p>
    <w:p>
      <w:pPr>
        <w:rPr>
          <w:rFonts w:eastAsia="仿宋"/>
          <w:sz w:val="44"/>
          <w:szCs w:val="44"/>
        </w:rPr>
      </w:pPr>
    </w:p>
    <w:p>
      <w:pPr>
        <w:ind w:firstLine="1040"/>
        <w:rPr>
          <w:rFonts w:eastAsia="仿宋"/>
          <w:sz w:val="44"/>
          <w:szCs w:val="44"/>
        </w:rPr>
      </w:pPr>
    </w:p>
    <w:p>
      <w:pPr>
        <w:pStyle w:val="15"/>
        <w:rPr>
          <w:rFonts w:eastAsia="仿宋"/>
          <w:sz w:val="44"/>
          <w:szCs w:val="44"/>
        </w:rPr>
      </w:pPr>
    </w:p>
    <w:p>
      <w:r>
        <w:rPr>
          <w:rFonts w:hint="eastAsia"/>
        </w:rPr>
        <w:t xml:space="preserve"> </w:t>
      </w:r>
    </w:p>
    <w:p>
      <w:pPr>
        <w:ind w:firstLine="1040"/>
        <w:rPr>
          <w:rFonts w:eastAsia="仿宋"/>
          <w:sz w:val="44"/>
          <w:szCs w:val="44"/>
        </w:rPr>
      </w:pPr>
    </w:p>
    <w:p>
      <w:pPr>
        <w:pStyle w:val="9"/>
        <w:rPr>
          <w:rFonts w:eastAsia="仿宋"/>
          <w:sz w:val="44"/>
          <w:szCs w:val="44"/>
        </w:rPr>
      </w:pPr>
    </w:p>
    <w:p/>
    <w:p>
      <w:pPr>
        <w:adjustRightInd w:val="0"/>
        <w:snapToGrid w:val="0"/>
        <w:spacing w:line="288" w:lineRule="auto"/>
        <w:rPr>
          <w:rFonts w:eastAsia="仿宋_GB2312"/>
          <w:sz w:val="36"/>
          <w:szCs w:val="36"/>
        </w:rPr>
      </w:pPr>
    </w:p>
    <w:p>
      <w:pPr>
        <w:pStyle w:val="9"/>
      </w:pPr>
    </w:p>
    <w:p>
      <w:pPr>
        <w:adjustRightInd w:val="0"/>
        <w:snapToGrid w:val="0"/>
        <w:spacing w:line="288" w:lineRule="auto"/>
        <w:jc w:val="center"/>
        <w:outlineLvl w:val="0"/>
        <w:rPr>
          <w:rFonts w:hint="eastAsia" w:eastAsia="仿宋_GB2312"/>
          <w:sz w:val="36"/>
          <w:szCs w:val="36"/>
          <w:u w:val="single"/>
          <w:lang w:eastAsia="zh-CN"/>
        </w:rPr>
      </w:pPr>
      <w:bookmarkStart w:id="1" w:name="_Toc6212"/>
      <w:r>
        <w:rPr>
          <w:rFonts w:eastAsia="仿宋_GB2312"/>
          <w:sz w:val="36"/>
          <w:szCs w:val="36"/>
        </w:rPr>
        <w:t>项目名称：</w:t>
      </w:r>
      <w:bookmarkEnd w:id="1"/>
      <w:r>
        <w:rPr>
          <w:rFonts w:hint="eastAsia" w:eastAsia="仿宋_GB2312"/>
          <w:sz w:val="36"/>
          <w:szCs w:val="36"/>
          <w:u w:val="single"/>
          <w:lang w:eastAsia="zh-CN"/>
        </w:rPr>
        <w:t>遵化垣发机械制造有限公司年产高端数控机床配件7000吨项目</w:t>
      </w:r>
    </w:p>
    <w:p>
      <w:pPr>
        <w:adjustRightInd w:val="0"/>
        <w:snapToGrid w:val="0"/>
        <w:spacing w:line="288" w:lineRule="auto"/>
        <w:jc w:val="center"/>
        <w:rPr>
          <w:rFonts w:hint="eastAsia" w:eastAsia="仿宋_GB2312"/>
          <w:sz w:val="36"/>
          <w:szCs w:val="36"/>
          <w:u w:val="single"/>
          <w:lang w:eastAsia="zh-CN"/>
        </w:rPr>
      </w:pPr>
      <w:r>
        <w:rPr>
          <w:rFonts w:eastAsia="仿宋_GB2312"/>
          <w:sz w:val="36"/>
          <w:szCs w:val="36"/>
        </w:rPr>
        <w:t>建设单位（盖章）：</w:t>
      </w:r>
      <w:r>
        <w:rPr>
          <w:rFonts w:hint="eastAsia" w:eastAsia="仿宋_GB2312"/>
          <w:sz w:val="36"/>
          <w:szCs w:val="36"/>
          <w:u w:val="single"/>
          <w:lang w:eastAsia="zh-CN"/>
        </w:rPr>
        <w:t>遵化垣发机械制造有限公司</w:t>
      </w:r>
    </w:p>
    <w:p>
      <w:pPr>
        <w:adjustRightInd w:val="0"/>
        <w:snapToGrid w:val="0"/>
        <w:spacing w:line="288" w:lineRule="auto"/>
        <w:jc w:val="center"/>
        <w:rPr>
          <w:rFonts w:eastAsia="仿宋_GB2312"/>
          <w:sz w:val="36"/>
          <w:szCs w:val="36"/>
          <w:u w:val="single"/>
        </w:rPr>
      </w:pPr>
      <w:r>
        <w:rPr>
          <w:rFonts w:eastAsia="仿宋_GB2312"/>
          <w:sz w:val="36"/>
          <w:szCs w:val="36"/>
        </w:rPr>
        <w:t>编制日期：</w:t>
      </w:r>
      <w:r>
        <w:rPr>
          <w:rFonts w:eastAsia="仿宋_GB2312"/>
          <w:sz w:val="36"/>
          <w:szCs w:val="36"/>
          <w:u w:val="single"/>
        </w:rPr>
        <w:t>20</w:t>
      </w:r>
      <w:r>
        <w:rPr>
          <w:rFonts w:hint="eastAsia" w:eastAsia="仿宋_GB2312"/>
          <w:sz w:val="36"/>
          <w:szCs w:val="36"/>
          <w:u w:val="single"/>
        </w:rPr>
        <w:t>24</w:t>
      </w:r>
      <w:r>
        <w:rPr>
          <w:rFonts w:eastAsia="仿宋_GB2312"/>
          <w:sz w:val="36"/>
          <w:szCs w:val="36"/>
          <w:u w:val="single"/>
        </w:rPr>
        <w:t>年</w:t>
      </w:r>
      <w:r>
        <w:rPr>
          <w:rFonts w:hint="eastAsia" w:eastAsia="仿宋_GB2312"/>
          <w:sz w:val="36"/>
          <w:szCs w:val="36"/>
          <w:u w:val="single"/>
          <w:lang w:val="en-US" w:eastAsia="zh-CN"/>
        </w:rPr>
        <w:t>6</w:t>
      </w:r>
      <w:r>
        <w:rPr>
          <w:rFonts w:eastAsia="仿宋_GB2312"/>
          <w:sz w:val="36"/>
          <w:szCs w:val="36"/>
          <w:u w:val="single"/>
        </w:rPr>
        <w:t>月</w:t>
      </w:r>
    </w:p>
    <w:p>
      <w:pPr>
        <w:adjustRightInd w:val="0"/>
        <w:snapToGrid w:val="0"/>
        <w:spacing w:line="288" w:lineRule="auto"/>
        <w:ind w:firstLine="1040"/>
        <w:rPr>
          <w:rFonts w:eastAsia="仿宋_GB2312"/>
          <w:sz w:val="36"/>
          <w:szCs w:val="36"/>
          <w:u w:val="single"/>
        </w:rPr>
      </w:pPr>
      <w:bookmarkStart w:id="2"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bookmarkEnd w:id="2"/>
    <w:p>
      <w:pPr>
        <w:adjustRightInd w:val="0"/>
        <w:snapToGrid w:val="0"/>
        <w:spacing w:line="288" w:lineRule="auto"/>
        <w:jc w:val="center"/>
        <w:outlineLvl w:val="0"/>
        <w:rPr>
          <w:rFonts w:eastAsia="楷体_GB2312"/>
          <w:sz w:val="36"/>
          <w:szCs w:val="36"/>
        </w:rPr>
      </w:pPr>
      <w:bookmarkStart w:id="3" w:name="_Toc30634"/>
      <w:bookmarkStart w:id="4" w:name="_Toc18711"/>
      <w:r>
        <w:rPr>
          <w:rFonts w:eastAsia="楷体_GB2312"/>
          <w:sz w:val="36"/>
          <w:szCs w:val="36"/>
        </w:rPr>
        <w:t>中华人民共和国生态环境部制</w:t>
      </w:r>
      <w:bookmarkEnd w:id="3"/>
    </w:p>
    <w:p>
      <w:pPr>
        <w:adjustRightInd w:val="0"/>
        <w:snapToGrid w:val="0"/>
        <w:spacing w:line="288" w:lineRule="auto"/>
        <w:ind w:firstLine="1040"/>
        <w:rPr>
          <w:rFonts w:eastAsia="仿宋_GB2312"/>
          <w:sz w:val="36"/>
          <w:szCs w:val="36"/>
        </w:rPr>
      </w:pPr>
    </w:p>
    <w:sdt>
      <w:sdtPr>
        <w:rPr>
          <w:rFonts w:ascii="宋体" w:hAnsi="宋体"/>
        </w:rPr>
        <w:id w:val="147482074"/>
        <w15:color w:val="DBDBDB"/>
        <w:docPartObj>
          <w:docPartGallery w:val="Table of Contents"/>
          <w:docPartUnique/>
        </w:docPartObj>
      </w:sdtPr>
      <w:sdtEndPr>
        <w:rPr>
          <w:rFonts w:ascii="Times New Roman" w:hAnsi="Times New Roman" w:eastAsia="仿宋_GB2312"/>
          <w:szCs w:val="36"/>
        </w:rPr>
      </w:sdtEndPr>
      <w:sdtContent>
        <w:p>
          <w:pPr>
            <w:jc w:val="center"/>
            <w:rPr>
              <w:sz w:val="32"/>
              <w:szCs w:val="32"/>
            </w:rPr>
          </w:pPr>
          <w:r>
            <w:rPr>
              <w:rFonts w:ascii="宋体" w:hAnsi="宋体"/>
              <w:sz w:val="32"/>
              <w:szCs w:val="32"/>
            </w:rPr>
            <w:t>目录</w:t>
          </w:r>
        </w:p>
        <w:p>
          <w:pPr>
            <w:pStyle w:val="97"/>
            <w:tabs>
              <w:tab w:val="right" w:leader="dot" w:pos="8844"/>
            </w:tabs>
          </w:pPr>
          <w:r>
            <w:rPr>
              <w:rFonts w:eastAsia="仿宋_GB2312"/>
              <w:sz w:val="36"/>
              <w:szCs w:val="36"/>
            </w:rPr>
            <w:fldChar w:fldCharType="begin"/>
          </w:r>
          <w:r>
            <w:rPr>
              <w:rFonts w:eastAsia="仿宋_GB2312"/>
              <w:sz w:val="36"/>
              <w:szCs w:val="36"/>
            </w:rPr>
            <w:instrText xml:space="preserve">TOC \o "1-1" \h \u </w:instrText>
          </w:r>
          <w:r>
            <w:rPr>
              <w:rFonts w:eastAsia="仿宋_GB2312"/>
              <w:sz w:val="36"/>
              <w:szCs w:val="36"/>
            </w:rPr>
            <w:fldChar w:fldCharType="separate"/>
          </w:r>
        </w:p>
        <w:p>
          <w:pPr>
            <w:pStyle w:val="97"/>
            <w:tabs>
              <w:tab w:val="right" w:leader="dot" w:pos="8844"/>
            </w:tabs>
            <w:rPr>
              <w:sz w:val="24"/>
              <w:szCs w:val="24"/>
            </w:rPr>
          </w:pPr>
          <w:r>
            <w:fldChar w:fldCharType="begin"/>
          </w:r>
          <w:r>
            <w:instrText xml:space="preserve"> HYPERLINK \l "_Toc18711" </w:instrText>
          </w:r>
          <w:r>
            <w:fldChar w:fldCharType="separate"/>
          </w:r>
          <w:r>
            <w:rPr>
              <w:rFonts w:eastAsia="黑体"/>
              <w:snapToGrid w:val="0"/>
              <w:sz w:val="24"/>
              <w:szCs w:val="24"/>
            </w:rPr>
            <w:t>一、建设项目基本情况</w:t>
          </w:r>
          <w:r>
            <w:rPr>
              <w:sz w:val="24"/>
              <w:szCs w:val="24"/>
            </w:rPr>
            <w:tab/>
          </w:r>
          <w:r>
            <w:rPr>
              <w:sz w:val="24"/>
              <w:szCs w:val="24"/>
            </w:rPr>
            <w:fldChar w:fldCharType="begin"/>
          </w:r>
          <w:r>
            <w:rPr>
              <w:sz w:val="24"/>
              <w:szCs w:val="24"/>
            </w:rPr>
            <w:instrText xml:space="preserve"> PAGEREF _Toc18711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97"/>
            <w:tabs>
              <w:tab w:val="right" w:leader="dot" w:pos="8844"/>
            </w:tabs>
            <w:rPr>
              <w:sz w:val="24"/>
              <w:szCs w:val="24"/>
            </w:rPr>
          </w:pPr>
          <w:r>
            <w:fldChar w:fldCharType="begin"/>
          </w:r>
          <w:r>
            <w:instrText xml:space="preserve"> HYPERLINK \l "_Toc26214" </w:instrText>
          </w:r>
          <w:r>
            <w:fldChar w:fldCharType="separate"/>
          </w:r>
          <w:r>
            <w:rPr>
              <w:rFonts w:eastAsia="黑体"/>
              <w:snapToGrid w:val="0"/>
              <w:sz w:val="24"/>
              <w:szCs w:val="24"/>
            </w:rPr>
            <w:t>二、建设项目工程分析</w:t>
          </w:r>
          <w:r>
            <w:rPr>
              <w:sz w:val="24"/>
              <w:szCs w:val="24"/>
            </w:rPr>
            <w:tab/>
          </w:r>
          <w:r>
            <w:rPr>
              <w:sz w:val="24"/>
              <w:szCs w:val="24"/>
            </w:rPr>
            <w:fldChar w:fldCharType="begin"/>
          </w:r>
          <w:r>
            <w:rPr>
              <w:sz w:val="24"/>
              <w:szCs w:val="24"/>
            </w:rPr>
            <w:instrText xml:space="preserve"> PAGEREF _Toc26214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97"/>
            <w:tabs>
              <w:tab w:val="right" w:leader="dot" w:pos="8844"/>
            </w:tabs>
            <w:rPr>
              <w:sz w:val="24"/>
              <w:szCs w:val="24"/>
            </w:rPr>
          </w:pPr>
          <w:r>
            <w:fldChar w:fldCharType="begin"/>
          </w:r>
          <w:r>
            <w:instrText xml:space="preserve"> HYPERLINK \l "_Toc30819" </w:instrText>
          </w:r>
          <w:r>
            <w:fldChar w:fldCharType="separate"/>
          </w:r>
          <w:r>
            <w:rPr>
              <w:rFonts w:eastAsia="黑体"/>
              <w:snapToGrid w:val="0"/>
              <w:sz w:val="24"/>
              <w:szCs w:val="24"/>
            </w:rPr>
            <w:t>三、区域环境质量现状、环境保护目标及评价标准</w:t>
          </w:r>
          <w:r>
            <w:rPr>
              <w:sz w:val="24"/>
              <w:szCs w:val="24"/>
            </w:rPr>
            <w:tab/>
          </w:r>
          <w:r>
            <w:rPr>
              <w:sz w:val="24"/>
              <w:szCs w:val="24"/>
            </w:rPr>
            <w:fldChar w:fldCharType="begin"/>
          </w:r>
          <w:r>
            <w:rPr>
              <w:sz w:val="24"/>
              <w:szCs w:val="24"/>
            </w:rPr>
            <w:instrText xml:space="preserve"> PAGEREF _Toc30819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97"/>
            <w:tabs>
              <w:tab w:val="right" w:leader="dot" w:pos="8844"/>
            </w:tabs>
            <w:rPr>
              <w:sz w:val="24"/>
              <w:szCs w:val="24"/>
            </w:rPr>
          </w:pPr>
          <w:r>
            <w:fldChar w:fldCharType="begin"/>
          </w:r>
          <w:r>
            <w:instrText xml:space="preserve"> HYPERLINK \l "_Toc26788" </w:instrText>
          </w:r>
          <w:r>
            <w:fldChar w:fldCharType="separate"/>
          </w:r>
          <w:r>
            <w:rPr>
              <w:rFonts w:hint="eastAsia" w:eastAsia="黑体"/>
              <w:snapToGrid w:val="0"/>
              <w:sz w:val="24"/>
              <w:szCs w:val="24"/>
            </w:rPr>
            <w:t xml:space="preserve">四、 </w:t>
          </w:r>
          <w:r>
            <w:rPr>
              <w:rFonts w:eastAsia="黑体"/>
              <w:snapToGrid w:val="0"/>
              <w:sz w:val="24"/>
              <w:szCs w:val="24"/>
            </w:rPr>
            <w:t>主要环境影响和保护措施</w:t>
          </w:r>
          <w:r>
            <w:rPr>
              <w:sz w:val="24"/>
              <w:szCs w:val="24"/>
            </w:rPr>
            <w:tab/>
          </w:r>
          <w:r>
            <w:rPr>
              <w:sz w:val="24"/>
              <w:szCs w:val="24"/>
            </w:rPr>
            <w:fldChar w:fldCharType="begin"/>
          </w:r>
          <w:r>
            <w:rPr>
              <w:sz w:val="24"/>
              <w:szCs w:val="24"/>
            </w:rPr>
            <w:instrText xml:space="preserve"> PAGEREF _Toc26788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97"/>
            <w:tabs>
              <w:tab w:val="right" w:leader="dot" w:pos="8844"/>
            </w:tabs>
            <w:rPr>
              <w:sz w:val="24"/>
              <w:szCs w:val="24"/>
            </w:rPr>
          </w:pPr>
          <w:r>
            <w:fldChar w:fldCharType="begin"/>
          </w:r>
          <w:r>
            <w:instrText xml:space="preserve"> HYPERLINK \l "_Toc14698" </w:instrText>
          </w:r>
          <w:r>
            <w:fldChar w:fldCharType="separate"/>
          </w:r>
          <w:r>
            <w:rPr>
              <w:rFonts w:eastAsia="黑体"/>
              <w:snapToGrid w:val="0"/>
              <w:sz w:val="24"/>
              <w:szCs w:val="24"/>
            </w:rPr>
            <w:t>五、环境保护措施监督检查清单</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97"/>
            <w:tabs>
              <w:tab w:val="right" w:leader="dot" w:pos="8844"/>
            </w:tabs>
            <w:rPr>
              <w:sz w:val="24"/>
              <w:szCs w:val="24"/>
            </w:rPr>
          </w:pPr>
          <w:r>
            <w:fldChar w:fldCharType="begin"/>
          </w:r>
          <w:r>
            <w:instrText xml:space="preserve"> HYPERLINK \l "_Toc26089" </w:instrText>
          </w:r>
          <w:r>
            <w:fldChar w:fldCharType="separate"/>
          </w:r>
          <w:r>
            <w:rPr>
              <w:rFonts w:eastAsia="黑体"/>
              <w:snapToGrid w:val="0"/>
              <w:sz w:val="24"/>
              <w:szCs w:val="24"/>
            </w:rPr>
            <w:t>六、结论</w:t>
          </w:r>
          <w:r>
            <w:rPr>
              <w:sz w:val="24"/>
              <w:szCs w:val="24"/>
            </w:rPr>
            <w:tab/>
          </w:r>
          <w:r>
            <w:rPr>
              <w:sz w:val="24"/>
              <w:szCs w:val="24"/>
            </w:rPr>
            <w:fldChar w:fldCharType="begin"/>
          </w:r>
          <w:r>
            <w:rPr>
              <w:sz w:val="24"/>
              <w:szCs w:val="24"/>
            </w:rPr>
            <w:instrText xml:space="preserve"> PAGEREF _Toc26089 \h </w:instrText>
          </w:r>
          <w:r>
            <w:rPr>
              <w:sz w:val="24"/>
              <w:szCs w:val="24"/>
            </w:rPr>
            <w:fldChar w:fldCharType="separate"/>
          </w:r>
          <w:r>
            <w:rPr>
              <w:sz w:val="24"/>
              <w:szCs w:val="24"/>
            </w:rPr>
            <w:t>72</w:t>
          </w:r>
          <w:r>
            <w:rPr>
              <w:sz w:val="24"/>
              <w:szCs w:val="24"/>
            </w:rPr>
            <w:fldChar w:fldCharType="end"/>
          </w:r>
          <w:r>
            <w:rPr>
              <w:sz w:val="24"/>
              <w:szCs w:val="24"/>
            </w:rPr>
            <w:fldChar w:fldCharType="end"/>
          </w:r>
        </w:p>
        <w:p>
          <w:pPr>
            <w:pStyle w:val="97"/>
            <w:tabs>
              <w:tab w:val="right" w:leader="dot" w:pos="8844"/>
            </w:tabs>
          </w:pPr>
          <w:r>
            <w:fldChar w:fldCharType="begin"/>
          </w:r>
          <w:r>
            <w:instrText xml:space="preserve"> HYPERLINK \l "_Toc14760" </w:instrText>
          </w:r>
          <w:r>
            <w:fldChar w:fldCharType="separate"/>
          </w:r>
          <w:r>
            <w:rPr>
              <w:rFonts w:eastAsia="黑体"/>
              <w:snapToGrid w:val="0"/>
              <w:sz w:val="24"/>
              <w:szCs w:val="24"/>
            </w:rPr>
            <w:t>附表</w:t>
          </w:r>
          <w:r>
            <w:rPr>
              <w:sz w:val="24"/>
              <w:szCs w:val="24"/>
            </w:rPr>
            <w:tab/>
          </w:r>
          <w:r>
            <w:rPr>
              <w:sz w:val="24"/>
              <w:szCs w:val="24"/>
            </w:rPr>
            <w:fldChar w:fldCharType="begin"/>
          </w:r>
          <w:r>
            <w:rPr>
              <w:sz w:val="24"/>
              <w:szCs w:val="24"/>
            </w:rPr>
            <w:instrText xml:space="preserve"> PAGEREF _Toc14760 \h </w:instrText>
          </w:r>
          <w:r>
            <w:rPr>
              <w:sz w:val="24"/>
              <w:szCs w:val="24"/>
            </w:rPr>
            <w:fldChar w:fldCharType="separate"/>
          </w:r>
          <w:r>
            <w:rPr>
              <w:sz w:val="24"/>
              <w:szCs w:val="24"/>
            </w:rPr>
            <w:t>73</w:t>
          </w:r>
          <w:r>
            <w:rPr>
              <w:sz w:val="24"/>
              <w:szCs w:val="24"/>
            </w:rPr>
            <w:fldChar w:fldCharType="end"/>
          </w:r>
          <w:r>
            <w:rPr>
              <w:sz w:val="24"/>
              <w:szCs w:val="24"/>
            </w:rPr>
            <w:fldChar w:fldCharType="end"/>
          </w:r>
        </w:p>
        <w:p>
          <w:pPr>
            <w:adjustRightInd w:val="0"/>
            <w:snapToGrid w:val="0"/>
            <w:spacing w:line="288" w:lineRule="auto"/>
            <w:ind w:firstLine="1040"/>
            <w:rPr>
              <w:rFonts w:eastAsia="仿宋_GB2312"/>
              <w:sz w:val="36"/>
              <w:szCs w:val="36"/>
            </w:rPr>
          </w:pPr>
          <w:r>
            <w:rPr>
              <w:rFonts w:eastAsia="仿宋_GB2312"/>
              <w:szCs w:val="36"/>
            </w:rPr>
            <w:fldChar w:fldCharType="end"/>
          </w:r>
        </w:p>
      </w:sdtContent>
    </w:sdt>
    <w:p>
      <w:pPr>
        <w:pStyle w:val="15"/>
        <w:rPr>
          <w:rFonts w:eastAsia="仿宋_GB2312"/>
          <w:sz w:val="36"/>
          <w:szCs w:val="36"/>
        </w:rPr>
      </w:pPr>
    </w:p>
    <w:p>
      <w:pPr>
        <w:pStyle w:val="15"/>
      </w:pPr>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8"/>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bookmarkEnd w:id="4"/>
    </w:p>
    <w:tbl>
      <w:tblPr>
        <w:tblStyle w:val="32"/>
        <w:tblW w:w="93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54"/>
        <w:gridCol w:w="1124"/>
        <w:gridCol w:w="346"/>
        <w:gridCol w:w="1847"/>
        <w:gridCol w:w="1849"/>
        <w:gridCol w:w="3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建设项目名称</w:t>
            </w:r>
          </w:p>
        </w:tc>
        <w:tc>
          <w:tcPr>
            <w:tcW w:w="7124" w:type="dxa"/>
            <w:gridSpan w:val="4"/>
            <w:vAlign w:val="center"/>
          </w:tcPr>
          <w:p>
            <w:pPr>
              <w:spacing w:line="500" w:lineRule="exact"/>
              <w:jc w:val="center"/>
              <w:rPr>
                <w:rFonts w:hint="eastAsia"/>
                <w:color w:val="auto"/>
                <w:sz w:val="24"/>
                <w:lang w:eastAsia="zh-CN"/>
              </w:rPr>
            </w:pPr>
            <w:r>
              <w:rPr>
                <w:rFonts w:hint="eastAsia"/>
                <w:color w:val="auto"/>
                <w:sz w:val="24"/>
                <w:lang w:eastAsia="zh-CN"/>
              </w:rPr>
              <w:t>遵化垣发机械制造有限公司年产高端数控机床配件7000吨项目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项目代码</w:t>
            </w:r>
          </w:p>
        </w:tc>
        <w:tc>
          <w:tcPr>
            <w:tcW w:w="7124" w:type="dxa"/>
            <w:gridSpan w:val="4"/>
            <w:vAlign w:val="center"/>
          </w:tcPr>
          <w:p>
            <w:pPr>
              <w:spacing w:line="500" w:lineRule="exact"/>
              <w:jc w:val="center"/>
              <w:rPr>
                <w:rFonts w:hint="eastAsia"/>
                <w:color w:val="auto"/>
                <w:sz w:val="24"/>
                <w:lang w:eastAsia="zh-CN"/>
              </w:rPr>
            </w:pPr>
            <w:r>
              <w:rPr>
                <w:rFonts w:hint="eastAsia"/>
                <w:color w:val="auto"/>
                <w:sz w:val="24"/>
                <w:lang w:eastAsia="zh-CN"/>
              </w:rPr>
              <w:t>2404-130281-89-01-458353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建设单位联系人</w:t>
            </w:r>
          </w:p>
        </w:tc>
        <w:tc>
          <w:tcPr>
            <w:tcW w:w="2193" w:type="dxa"/>
            <w:gridSpan w:val="2"/>
            <w:vAlign w:val="center"/>
          </w:tcPr>
          <w:p>
            <w:pPr>
              <w:spacing w:line="500" w:lineRule="exact"/>
              <w:jc w:val="center"/>
              <w:rPr>
                <w:rFonts w:hint="eastAsia"/>
                <w:color w:val="auto"/>
                <w:sz w:val="24"/>
                <w:lang w:eastAsia="zh-CN"/>
              </w:rPr>
            </w:pPr>
            <w:r>
              <w:rPr>
                <w:rFonts w:hint="eastAsia"/>
                <w:color w:val="auto"/>
                <w:sz w:val="24"/>
                <w:lang w:eastAsia="zh-CN"/>
              </w:rPr>
              <w:t>张野</w:t>
            </w:r>
          </w:p>
        </w:tc>
        <w:tc>
          <w:tcPr>
            <w:tcW w:w="1849" w:type="dxa"/>
            <w:vAlign w:val="center"/>
          </w:tcPr>
          <w:p>
            <w:pPr>
              <w:spacing w:line="500" w:lineRule="exact"/>
              <w:jc w:val="center"/>
              <w:rPr>
                <w:rFonts w:hint="eastAsia"/>
                <w:color w:val="auto"/>
                <w:sz w:val="24"/>
                <w:lang w:eastAsia="zh-CN"/>
              </w:rPr>
            </w:pPr>
            <w:r>
              <w:rPr>
                <w:rFonts w:hint="eastAsia"/>
                <w:color w:val="auto"/>
                <w:sz w:val="24"/>
                <w:lang w:eastAsia="zh-CN"/>
              </w:rPr>
              <w:t>联系方式</w:t>
            </w:r>
          </w:p>
        </w:tc>
        <w:tc>
          <w:tcPr>
            <w:tcW w:w="3082" w:type="dxa"/>
            <w:vAlign w:val="center"/>
          </w:tcPr>
          <w:p>
            <w:pPr>
              <w:spacing w:line="500" w:lineRule="exact"/>
              <w:jc w:val="center"/>
              <w:rPr>
                <w:rFonts w:hint="eastAsia"/>
                <w:color w:val="auto"/>
                <w:sz w:val="24"/>
                <w:lang w:eastAsia="zh-CN"/>
              </w:rPr>
            </w:pPr>
            <w:r>
              <w:rPr>
                <w:rFonts w:hint="eastAsia"/>
                <w:color w:val="auto"/>
                <w:sz w:val="24"/>
                <w:lang w:eastAsia="zh-CN"/>
              </w:rPr>
              <w:t>15612892999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建设地点</w:t>
            </w:r>
          </w:p>
        </w:tc>
        <w:tc>
          <w:tcPr>
            <w:tcW w:w="7124" w:type="dxa"/>
            <w:gridSpan w:val="4"/>
            <w:vAlign w:val="center"/>
          </w:tcPr>
          <w:p>
            <w:pPr>
              <w:adjustRightInd w:val="0"/>
              <w:snapToGrid w:val="0"/>
              <w:spacing w:line="500" w:lineRule="exact"/>
              <w:jc w:val="center"/>
              <w:rPr>
                <w:rFonts w:hint="eastAsia" w:eastAsia="宋体"/>
                <w:color w:val="auto"/>
                <w:sz w:val="24"/>
                <w:lang w:eastAsia="zh-CN"/>
              </w:rPr>
            </w:pPr>
            <w:r>
              <w:rPr>
                <w:rFonts w:hint="eastAsia"/>
                <w:snapToGrid w:val="0"/>
                <w:color w:val="auto"/>
                <w:kern w:val="0"/>
                <w:sz w:val="24"/>
                <w:szCs w:val="22"/>
                <w:lang w:eastAsia="zh-CN"/>
              </w:rPr>
              <w:t>河北省遵化市铁厂镇铁厂村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地理坐标</w:t>
            </w:r>
          </w:p>
        </w:tc>
        <w:tc>
          <w:tcPr>
            <w:tcW w:w="7124" w:type="dxa"/>
            <w:gridSpan w:val="4"/>
            <w:vAlign w:val="center"/>
          </w:tcPr>
          <w:p>
            <w:pPr>
              <w:spacing w:line="500" w:lineRule="exact"/>
              <w:jc w:val="center"/>
              <w:rPr>
                <w:color w:val="auto"/>
                <w:sz w:val="24"/>
              </w:rPr>
            </w:pPr>
            <w:r>
              <w:rPr>
                <w:color w:val="auto"/>
                <w:sz w:val="24"/>
              </w:rPr>
              <w:t>（</w:t>
            </w:r>
            <w:r>
              <w:rPr>
                <w:rFonts w:hint="eastAsia"/>
                <w:color w:val="auto"/>
                <w:sz w:val="24"/>
                <w:u w:val="single"/>
              </w:rPr>
              <w:t>北纬40度</w:t>
            </w:r>
            <w:r>
              <w:rPr>
                <w:rFonts w:hint="eastAsia"/>
                <w:color w:val="auto"/>
                <w:sz w:val="24"/>
                <w:u w:val="single"/>
                <w:lang w:val="en-US" w:eastAsia="zh-CN"/>
              </w:rPr>
              <w:t>4</w:t>
            </w:r>
            <w:r>
              <w:rPr>
                <w:rFonts w:hint="eastAsia"/>
                <w:color w:val="auto"/>
                <w:sz w:val="24"/>
                <w:u w:val="single"/>
              </w:rPr>
              <w:t>分</w:t>
            </w:r>
            <w:r>
              <w:rPr>
                <w:rFonts w:hint="eastAsia"/>
                <w:color w:val="auto"/>
                <w:sz w:val="24"/>
                <w:u w:val="single"/>
                <w:lang w:val="en-US" w:eastAsia="zh-CN"/>
              </w:rPr>
              <w:t>7.902</w:t>
            </w:r>
            <w:r>
              <w:rPr>
                <w:rFonts w:hint="eastAsia"/>
                <w:color w:val="auto"/>
                <w:sz w:val="24"/>
                <w:u w:val="single"/>
              </w:rPr>
              <w:t>秒，东经11</w:t>
            </w:r>
            <w:r>
              <w:rPr>
                <w:rFonts w:hint="eastAsia"/>
                <w:color w:val="auto"/>
                <w:sz w:val="24"/>
                <w:u w:val="single"/>
                <w:lang w:val="en-US" w:eastAsia="zh-CN"/>
              </w:rPr>
              <w:t>8</w:t>
            </w:r>
            <w:r>
              <w:rPr>
                <w:rFonts w:hint="eastAsia"/>
                <w:color w:val="auto"/>
                <w:sz w:val="24"/>
                <w:u w:val="single"/>
              </w:rPr>
              <w:t>度</w:t>
            </w:r>
            <w:r>
              <w:rPr>
                <w:rFonts w:hint="eastAsia"/>
                <w:color w:val="auto"/>
                <w:sz w:val="24"/>
                <w:u w:val="single"/>
                <w:lang w:val="en-US" w:eastAsia="zh-CN"/>
              </w:rPr>
              <w:t>10</w:t>
            </w:r>
            <w:r>
              <w:rPr>
                <w:rFonts w:hint="eastAsia"/>
                <w:color w:val="auto"/>
                <w:sz w:val="24"/>
                <w:u w:val="single"/>
              </w:rPr>
              <w:t>分</w:t>
            </w:r>
            <w:r>
              <w:rPr>
                <w:rFonts w:hint="eastAsia"/>
                <w:color w:val="auto"/>
                <w:sz w:val="24"/>
                <w:u w:val="single"/>
                <w:lang w:val="en-US" w:eastAsia="zh-CN"/>
              </w:rPr>
              <w:t>44.585</w:t>
            </w:r>
            <w:r>
              <w:rPr>
                <w:rFonts w:hint="eastAsia"/>
                <w:color w:val="auto"/>
                <w:sz w:val="24"/>
                <w:u w:val="single"/>
              </w:rPr>
              <w:t>秒</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snapToGrid w:val="0"/>
                <w:color w:val="auto"/>
                <w:kern w:val="0"/>
                <w:sz w:val="24"/>
                <w:szCs w:val="22"/>
              </w:rPr>
            </w:pPr>
            <w:r>
              <w:rPr>
                <w:snapToGrid w:val="0"/>
                <w:color w:val="auto"/>
                <w:kern w:val="0"/>
                <w:sz w:val="24"/>
                <w:szCs w:val="22"/>
              </w:rPr>
              <w:t>国民经济</w:t>
            </w:r>
          </w:p>
          <w:p>
            <w:pPr>
              <w:adjustRightInd w:val="0"/>
              <w:snapToGrid w:val="0"/>
              <w:spacing w:line="500" w:lineRule="exact"/>
              <w:jc w:val="center"/>
              <w:rPr>
                <w:snapToGrid w:val="0"/>
                <w:color w:val="auto"/>
                <w:kern w:val="0"/>
                <w:sz w:val="24"/>
                <w:szCs w:val="22"/>
              </w:rPr>
            </w:pPr>
            <w:r>
              <w:rPr>
                <w:snapToGrid w:val="0"/>
                <w:color w:val="auto"/>
                <w:kern w:val="0"/>
                <w:sz w:val="24"/>
                <w:szCs w:val="22"/>
              </w:rPr>
              <w:t>行业类别</w:t>
            </w:r>
          </w:p>
        </w:tc>
        <w:tc>
          <w:tcPr>
            <w:tcW w:w="2193" w:type="dxa"/>
            <w:gridSpan w:val="2"/>
            <w:vAlign w:val="center"/>
          </w:tcPr>
          <w:p>
            <w:pPr>
              <w:adjustRightInd w:val="0"/>
              <w:snapToGrid w:val="0"/>
              <w:spacing w:line="500" w:lineRule="exact"/>
              <w:jc w:val="center"/>
              <w:rPr>
                <w:snapToGrid w:val="0"/>
                <w:color w:val="auto"/>
                <w:kern w:val="0"/>
                <w:sz w:val="24"/>
                <w:szCs w:val="22"/>
              </w:rPr>
            </w:pPr>
            <w:r>
              <w:rPr>
                <w:color w:val="auto"/>
                <w:sz w:val="24"/>
              </w:rPr>
              <w:t>C3</w:t>
            </w:r>
            <w:r>
              <w:rPr>
                <w:rFonts w:hint="eastAsia"/>
                <w:color w:val="auto"/>
                <w:sz w:val="24"/>
              </w:rPr>
              <w:t>391黑色金属铸造</w:t>
            </w:r>
          </w:p>
        </w:tc>
        <w:tc>
          <w:tcPr>
            <w:tcW w:w="1849" w:type="dxa"/>
            <w:vAlign w:val="center"/>
          </w:tcPr>
          <w:p>
            <w:pPr>
              <w:adjustRightInd w:val="0"/>
              <w:snapToGrid w:val="0"/>
              <w:spacing w:line="500" w:lineRule="exact"/>
              <w:jc w:val="center"/>
              <w:rPr>
                <w:snapToGrid w:val="0"/>
                <w:color w:val="auto"/>
                <w:kern w:val="0"/>
                <w:sz w:val="24"/>
                <w:szCs w:val="22"/>
              </w:rPr>
            </w:pPr>
            <w:bookmarkStart w:id="5" w:name="_Hlk49843745"/>
            <w:r>
              <w:rPr>
                <w:snapToGrid w:val="0"/>
                <w:color w:val="auto"/>
                <w:kern w:val="0"/>
                <w:sz w:val="24"/>
                <w:szCs w:val="22"/>
              </w:rPr>
              <w:t>建设项目</w:t>
            </w:r>
          </w:p>
          <w:p>
            <w:pPr>
              <w:adjustRightInd w:val="0"/>
              <w:snapToGrid w:val="0"/>
              <w:spacing w:line="500" w:lineRule="exact"/>
              <w:jc w:val="center"/>
              <w:rPr>
                <w:snapToGrid w:val="0"/>
                <w:color w:val="auto"/>
                <w:kern w:val="0"/>
                <w:sz w:val="24"/>
                <w:szCs w:val="22"/>
              </w:rPr>
            </w:pPr>
            <w:r>
              <w:rPr>
                <w:snapToGrid w:val="0"/>
                <w:color w:val="auto"/>
                <w:kern w:val="0"/>
                <w:sz w:val="24"/>
                <w:szCs w:val="22"/>
              </w:rPr>
              <w:t>行业类别</w:t>
            </w:r>
            <w:bookmarkEnd w:id="5"/>
          </w:p>
        </w:tc>
        <w:tc>
          <w:tcPr>
            <w:tcW w:w="3082" w:type="dxa"/>
            <w:vAlign w:val="center"/>
          </w:tcPr>
          <w:p>
            <w:pPr>
              <w:adjustRightInd w:val="0"/>
              <w:snapToGrid w:val="0"/>
              <w:spacing w:line="500" w:lineRule="exact"/>
              <w:jc w:val="center"/>
              <w:rPr>
                <w:snapToGrid w:val="0"/>
                <w:color w:val="auto"/>
                <w:kern w:val="0"/>
                <w:sz w:val="24"/>
                <w:szCs w:val="22"/>
              </w:rPr>
            </w:pPr>
            <w:r>
              <w:rPr>
                <w:rFonts w:hint="eastAsia"/>
                <w:color w:val="auto"/>
                <w:sz w:val="24"/>
              </w:rPr>
              <w:t>三十</w:t>
            </w:r>
            <w:r>
              <w:rPr>
                <w:color w:val="auto"/>
                <w:sz w:val="24"/>
              </w:rPr>
              <w:t>、金属制品业</w:t>
            </w:r>
            <w:r>
              <w:rPr>
                <w:rFonts w:hint="eastAsia"/>
                <w:color w:val="auto"/>
                <w:sz w:val="24"/>
              </w:rPr>
              <w:t>33，68.铸造及其他金属制品制造339-其他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建设性质</w:t>
            </w:r>
          </w:p>
        </w:tc>
        <w:tc>
          <w:tcPr>
            <w:tcW w:w="2193" w:type="dxa"/>
            <w:gridSpan w:val="2"/>
            <w:vAlign w:val="center"/>
          </w:tcPr>
          <w:p>
            <w:pPr>
              <w:spacing w:line="500" w:lineRule="exact"/>
              <w:jc w:val="left"/>
              <w:rPr>
                <w:color w:val="auto"/>
                <w:sz w:val="24"/>
              </w:rPr>
            </w:pPr>
            <w:r>
              <w:rPr>
                <w:color w:val="auto"/>
                <w:sz w:val="24"/>
              </w:rPr>
              <w:sym w:font="Wingdings 2" w:char="0052"/>
            </w:r>
            <w:r>
              <w:rPr>
                <w:color w:val="auto"/>
                <w:sz w:val="24"/>
              </w:rPr>
              <w:t>新建（迁建）</w:t>
            </w:r>
          </w:p>
          <w:p>
            <w:pPr>
              <w:spacing w:line="500" w:lineRule="exact"/>
              <w:jc w:val="left"/>
              <w:rPr>
                <w:color w:val="auto"/>
                <w:sz w:val="24"/>
              </w:rPr>
            </w:pPr>
            <w:r>
              <w:rPr>
                <w:color w:val="auto"/>
                <w:sz w:val="24"/>
              </w:rPr>
              <w:sym w:font="Wingdings 2" w:char="00A3"/>
            </w:r>
            <w:r>
              <w:rPr>
                <w:color w:val="auto"/>
                <w:sz w:val="24"/>
              </w:rPr>
              <w:t>改建</w:t>
            </w:r>
          </w:p>
          <w:p>
            <w:pPr>
              <w:spacing w:line="500" w:lineRule="exact"/>
              <w:jc w:val="left"/>
              <w:rPr>
                <w:color w:val="auto"/>
                <w:sz w:val="24"/>
              </w:rPr>
            </w:pPr>
            <w:r>
              <w:rPr>
                <w:color w:val="auto"/>
                <w:sz w:val="24"/>
              </w:rPr>
              <w:sym w:font="Wingdings 2" w:char="00A3"/>
            </w:r>
            <w:r>
              <w:rPr>
                <w:color w:val="auto"/>
                <w:sz w:val="24"/>
              </w:rPr>
              <w:t>扩建</w:t>
            </w:r>
          </w:p>
          <w:p>
            <w:pPr>
              <w:spacing w:line="500" w:lineRule="exact"/>
              <w:jc w:val="left"/>
              <w:rPr>
                <w:color w:val="auto"/>
                <w:sz w:val="24"/>
              </w:rPr>
            </w:pPr>
            <w:r>
              <w:rPr>
                <w:color w:val="auto"/>
                <w:sz w:val="24"/>
              </w:rPr>
              <w:sym w:font="Wingdings 2" w:char="00A3"/>
            </w:r>
            <w:r>
              <w:rPr>
                <w:color w:val="auto"/>
                <w:sz w:val="24"/>
              </w:rPr>
              <w:t>技术改造</w:t>
            </w:r>
          </w:p>
        </w:tc>
        <w:tc>
          <w:tcPr>
            <w:tcW w:w="1849" w:type="dxa"/>
            <w:vAlign w:val="center"/>
          </w:tcPr>
          <w:p>
            <w:pPr>
              <w:adjustRightInd w:val="0"/>
              <w:snapToGrid w:val="0"/>
              <w:spacing w:line="500" w:lineRule="exact"/>
              <w:jc w:val="center"/>
              <w:rPr>
                <w:color w:val="auto"/>
                <w:sz w:val="24"/>
              </w:rPr>
            </w:pPr>
            <w:r>
              <w:rPr>
                <w:color w:val="auto"/>
                <w:sz w:val="24"/>
              </w:rPr>
              <w:t>建设项目</w:t>
            </w:r>
          </w:p>
          <w:p>
            <w:pPr>
              <w:adjustRightInd w:val="0"/>
              <w:snapToGrid w:val="0"/>
              <w:spacing w:line="500" w:lineRule="exact"/>
              <w:jc w:val="center"/>
              <w:rPr>
                <w:color w:val="auto"/>
                <w:sz w:val="24"/>
              </w:rPr>
            </w:pPr>
            <w:r>
              <w:rPr>
                <w:color w:val="auto"/>
                <w:sz w:val="24"/>
              </w:rPr>
              <w:t>申报情形</w:t>
            </w:r>
          </w:p>
        </w:tc>
        <w:tc>
          <w:tcPr>
            <w:tcW w:w="3082" w:type="dxa"/>
            <w:vAlign w:val="center"/>
          </w:tcPr>
          <w:p>
            <w:pPr>
              <w:spacing w:line="500" w:lineRule="exact"/>
              <w:jc w:val="left"/>
              <w:rPr>
                <w:color w:val="auto"/>
                <w:sz w:val="24"/>
              </w:rPr>
            </w:pPr>
            <w:r>
              <w:rPr>
                <w:color w:val="auto"/>
                <w:sz w:val="24"/>
              </w:rPr>
              <w:sym w:font="Wingdings 2" w:char="0052"/>
            </w:r>
            <w:r>
              <w:rPr>
                <w:color w:val="auto"/>
                <w:sz w:val="24"/>
              </w:rPr>
              <w:t>首次申报项目</w:t>
            </w:r>
          </w:p>
          <w:p>
            <w:pPr>
              <w:spacing w:line="500" w:lineRule="exact"/>
              <w:jc w:val="left"/>
              <w:rPr>
                <w:color w:val="auto"/>
                <w:sz w:val="24"/>
              </w:rPr>
            </w:pPr>
            <w:r>
              <w:rPr>
                <w:color w:val="auto"/>
                <w:sz w:val="24"/>
              </w:rPr>
              <w:sym w:font="Wingdings 2" w:char="00A3"/>
            </w:r>
            <w:r>
              <w:rPr>
                <w:color w:val="auto"/>
                <w:sz w:val="24"/>
              </w:rPr>
              <w:t>不予批准后再次申报项目</w:t>
            </w:r>
          </w:p>
          <w:p>
            <w:pPr>
              <w:spacing w:line="500" w:lineRule="exact"/>
              <w:jc w:val="left"/>
              <w:rPr>
                <w:color w:val="auto"/>
                <w:sz w:val="24"/>
              </w:rPr>
            </w:pPr>
            <w:r>
              <w:rPr>
                <w:color w:val="auto"/>
                <w:sz w:val="24"/>
              </w:rPr>
              <w:sym w:font="Wingdings 2" w:char="00A3"/>
            </w:r>
            <w:r>
              <w:rPr>
                <w:color w:val="auto"/>
                <w:sz w:val="24"/>
              </w:rPr>
              <w:t>超五年重新审核项目</w:t>
            </w:r>
          </w:p>
          <w:p>
            <w:pPr>
              <w:spacing w:line="500" w:lineRule="exact"/>
              <w:jc w:val="left"/>
              <w:rPr>
                <w:color w:val="auto"/>
                <w:sz w:val="24"/>
              </w:rPr>
            </w:pPr>
            <w:r>
              <w:rPr>
                <w:color w:val="auto"/>
                <w:sz w:val="24"/>
              </w:rPr>
              <w:sym w:font="Wingdings 2" w:char="00A3"/>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项目审批（核准/</w:t>
            </w:r>
          </w:p>
          <w:p>
            <w:pPr>
              <w:adjustRightInd w:val="0"/>
              <w:snapToGrid w:val="0"/>
              <w:spacing w:line="500" w:lineRule="exact"/>
              <w:jc w:val="center"/>
              <w:rPr>
                <w:color w:val="auto"/>
                <w:sz w:val="24"/>
              </w:rPr>
            </w:pPr>
            <w:r>
              <w:rPr>
                <w:color w:val="auto"/>
                <w:sz w:val="24"/>
              </w:rPr>
              <w:t>备案）部门（选填）</w:t>
            </w:r>
          </w:p>
        </w:tc>
        <w:tc>
          <w:tcPr>
            <w:tcW w:w="2193" w:type="dxa"/>
            <w:gridSpan w:val="2"/>
            <w:vAlign w:val="center"/>
          </w:tcPr>
          <w:p>
            <w:pPr>
              <w:adjustRightInd w:val="0"/>
              <w:snapToGrid w:val="0"/>
              <w:spacing w:line="500" w:lineRule="exact"/>
              <w:jc w:val="center"/>
              <w:rPr>
                <w:color w:val="auto"/>
                <w:sz w:val="24"/>
              </w:rPr>
            </w:pPr>
            <w:r>
              <w:rPr>
                <w:rFonts w:hint="eastAsia"/>
                <w:color w:val="auto"/>
                <w:sz w:val="24"/>
              </w:rPr>
              <w:t>遵化市行政审批局</w:t>
            </w:r>
          </w:p>
        </w:tc>
        <w:tc>
          <w:tcPr>
            <w:tcW w:w="1849" w:type="dxa"/>
            <w:vAlign w:val="center"/>
          </w:tcPr>
          <w:p>
            <w:pPr>
              <w:adjustRightInd w:val="0"/>
              <w:snapToGrid w:val="0"/>
              <w:spacing w:line="500" w:lineRule="exact"/>
              <w:jc w:val="center"/>
              <w:rPr>
                <w:color w:val="auto"/>
                <w:sz w:val="24"/>
                <w:highlight w:val="none"/>
              </w:rPr>
            </w:pPr>
            <w:r>
              <w:rPr>
                <w:color w:val="auto"/>
                <w:sz w:val="24"/>
                <w:highlight w:val="none"/>
              </w:rPr>
              <w:t>项目审批</w:t>
            </w:r>
            <w:r>
              <w:rPr>
                <w:rFonts w:hint="eastAsia"/>
                <w:color w:val="auto"/>
                <w:sz w:val="24"/>
                <w:highlight w:val="none"/>
              </w:rPr>
              <w:t>(</w:t>
            </w:r>
            <w:r>
              <w:rPr>
                <w:color w:val="auto"/>
                <w:sz w:val="24"/>
                <w:highlight w:val="none"/>
              </w:rPr>
              <w:t>核准/</w:t>
            </w:r>
          </w:p>
          <w:p>
            <w:pPr>
              <w:adjustRightInd w:val="0"/>
              <w:snapToGrid w:val="0"/>
              <w:spacing w:line="500" w:lineRule="exact"/>
              <w:jc w:val="center"/>
              <w:rPr>
                <w:color w:val="auto"/>
                <w:sz w:val="24"/>
                <w:highlight w:val="none"/>
              </w:rPr>
            </w:pPr>
            <w:r>
              <w:rPr>
                <w:color w:val="auto"/>
                <w:sz w:val="24"/>
                <w:highlight w:val="none"/>
              </w:rPr>
              <w:t>备案</w:t>
            </w:r>
            <w:r>
              <w:rPr>
                <w:rFonts w:hint="eastAsia"/>
                <w:color w:val="auto"/>
                <w:sz w:val="24"/>
                <w:highlight w:val="none"/>
              </w:rPr>
              <w:t>)</w:t>
            </w:r>
            <w:r>
              <w:rPr>
                <w:color w:val="auto"/>
                <w:sz w:val="24"/>
                <w:highlight w:val="none"/>
              </w:rPr>
              <w:t>文号</w:t>
            </w:r>
            <w:r>
              <w:rPr>
                <w:rFonts w:hint="eastAsia"/>
                <w:color w:val="auto"/>
                <w:sz w:val="24"/>
                <w:highlight w:val="none"/>
              </w:rPr>
              <w:t>(</w:t>
            </w:r>
            <w:r>
              <w:rPr>
                <w:color w:val="auto"/>
                <w:sz w:val="24"/>
                <w:highlight w:val="none"/>
              </w:rPr>
              <w:t>选填</w:t>
            </w:r>
            <w:r>
              <w:rPr>
                <w:rFonts w:hint="eastAsia"/>
                <w:color w:val="auto"/>
                <w:sz w:val="24"/>
                <w:highlight w:val="none"/>
              </w:rPr>
              <w:t>)</w:t>
            </w:r>
          </w:p>
        </w:tc>
        <w:tc>
          <w:tcPr>
            <w:tcW w:w="3082" w:type="dxa"/>
            <w:vAlign w:val="center"/>
          </w:tcPr>
          <w:p>
            <w:pPr>
              <w:adjustRightInd w:val="0"/>
              <w:snapToGrid w:val="0"/>
              <w:spacing w:line="500" w:lineRule="exact"/>
              <w:jc w:val="center"/>
              <w:rPr>
                <w:rFonts w:hint="eastAsia" w:eastAsia="宋体"/>
                <w:color w:val="auto"/>
                <w:sz w:val="24"/>
                <w:highlight w:val="none"/>
                <w:lang w:eastAsia="zh-CN"/>
              </w:rPr>
            </w:pPr>
            <w:r>
              <w:rPr>
                <w:rFonts w:hint="eastAsia"/>
                <w:color w:val="auto"/>
                <w:sz w:val="24"/>
                <w:highlight w:val="none"/>
                <w:lang w:eastAsia="zh-CN"/>
              </w:rPr>
              <w:t>遵审投资备字【2024】59号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总投资（万元）</w:t>
            </w:r>
          </w:p>
        </w:tc>
        <w:tc>
          <w:tcPr>
            <w:tcW w:w="2193" w:type="dxa"/>
            <w:gridSpan w:val="2"/>
            <w:vAlign w:val="center"/>
          </w:tcPr>
          <w:p>
            <w:pPr>
              <w:adjustRightInd w:val="0"/>
              <w:snapToGrid w:val="0"/>
              <w:spacing w:line="500" w:lineRule="exact"/>
              <w:jc w:val="center"/>
              <w:rPr>
                <w:color w:val="auto"/>
                <w:sz w:val="24"/>
                <w:highlight w:val="none"/>
              </w:rPr>
            </w:pPr>
            <w:r>
              <w:rPr>
                <w:rFonts w:hint="eastAsia"/>
                <w:color w:val="auto"/>
                <w:sz w:val="24"/>
                <w:highlight w:val="none"/>
              </w:rPr>
              <w:t>4000</w:t>
            </w:r>
          </w:p>
        </w:tc>
        <w:tc>
          <w:tcPr>
            <w:tcW w:w="1849" w:type="dxa"/>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环保投资</w:t>
            </w:r>
            <w:r>
              <w:rPr>
                <w:rFonts w:hint="eastAsia"/>
                <w:color w:val="auto"/>
                <w:sz w:val="24"/>
                <w:highlight w:val="none"/>
              </w:rPr>
              <w:t>(</w:t>
            </w:r>
            <w:r>
              <w:rPr>
                <w:color w:val="auto"/>
                <w:sz w:val="24"/>
                <w:highlight w:val="none"/>
              </w:rPr>
              <w:t>万元</w:t>
            </w:r>
            <w:r>
              <w:rPr>
                <w:rFonts w:hint="eastAsia"/>
                <w:color w:val="auto"/>
                <w:sz w:val="24"/>
                <w:highlight w:val="none"/>
              </w:rPr>
              <w:t>)</w:t>
            </w:r>
          </w:p>
        </w:tc>
        <w:tc>
          <w:tcPr>
            <w:tcW w:w="3082" w:type="dxa"/>
            <w:vAlign w:val="center"/>
          </w:tcPr>
          <w:p>
            <w:pPr>
              <w:adjustRightInd w:val="0"/>
              <w:snapToGrid w:val="0"/>
              <w:spacing w:line="500" w:lineRule="exact"/>
              <w:jc w:val="center"/>
              <w:rPr>
                <w:rFonts w:hint="default" w:eastAsia="宋体"/>
                <w:color w:val="auto"/>
                <w:sz w:val="24"/>
                <w:highlight w:val="none"/>
                <w:lang w:val="en-US" w:eastAsia="zh-CN"/>
              </w:rPr>
            </w:pPr>
            <w:r>
              <w:rPr>
                <w:rFonts w:hint="eastAsia"/>
                <w:color w:val="auto"/>
                <w:sz w:val="24"/>
                <w:highlight w:val="none"/>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2524" w:type="dxa"/>
            <w:gridSpan w:val="3"/>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环保投资占比（%）</w:t>
            </w:r>
          </w:p>
        </w:tc>
        <w:tc>
          <w:tcPr>
            <w:tcW w:w="1847" w:type="dxa"/>
            <w:vAlign w:val="center"/>
          </w:tcPr>
          <w:p>
            <w:pPr>
              <w:adjustRightInd w:val="0"/>
              <w:snapToGrid w:val="0"/>
              <w:spacing w:line="500" w:lineRule="exact"/>
              <w:jc w:val="center"/>
              <w:rPr>
                <w:rFonts w:hint="eastAsia" w:eastAsia="宋体"/>
                <w:color w:val="auto"/>
                <w:sz w:val="24"/>
                <w:highlight w:val="none"/>
                <w:lang w:eastAsia="zh-CN"/>
              </w:rPr>
            </w:pPr>
            <w:r>
              <w:rPr>
                <w:rFonts w:hint="eastAsia"/>
                <w:color w:val="auto"/>
                <w:sz w:val="24"/>
                <w:highlight w:val="none"/>
                <w:lang w:val="en-US" w:eastAsia="zh-CN"/>
              </w:rPr>
              <w:t>2</w:t>
            </w:r>
          </w:p>
        </w:tc>
        <w:tc>
          <w:tcPr>
            <w:tcW w:w="1849" w:type="dxa"/>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施工工期</w:t>
            </w:r>
          </w:p>
        </w:tc>
        <w:tc>
          <w:tcPr>
            <w:tcW w:w="3082" w:type="dxa"/>
            <w:vAlign w:val="center"/>
          </w:tcPr>
          <w:p>
            <w:pPr>
              <w:adjustRightInd w:val="0"/>
              <w:snapToGrid w:val="0"/>
              <w:spacing w:line="500" w:lineRule="exact"/>
              <w:jc w:val="center"/>
              <w:rPr>
                <w:color w:val="auto"/>
                <w:sz w:val="24"/>
                <w:highlight w:val="none"/>
              </w:rPr>
            </w:pPr>
            <w:r>
              <w:rPr>
                <w:rFonts w:hint="eastAsia"/>
                <w:color w:val="auto"/>
                <w:sz w:val="24"/>
                <w:highlight w:val="none"/>
              </w:rPr>
              <w:t>4</w:t>
            </w:r>
            <w:r>
              <w:rPr>
                <w:color w:val="auto"/>
                <w:sz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rPr>
            </w:pPr>
            <w:r>
              <w:rPr>
                <w:color w:val="auto"/>
                <w:sz w:val="24"/>
              </w:rPr>
              <w:t>是否开工建设</w:t>
            </w:r>
          </w:p>
        </w:tc>
        <w:tc>
          <w:tcPr>
            <w:tcW w:w="2193" w:type="dxa"/>
            <w:gridSpan w:val="2"/>
            <w:vAlign w:val="center"/>
          </w:tcPr>
          <w:p>
            <w:pPr>
              <w:adjustRightInd w:val="0"/>
              <w:snapToGrid w:val="0"/>
              <w:spacing w:line="500" w:lineRule="exact"/>
              <w:rPr>
                <w:color w:val="auto"/>
                <w:sz w:val="24"/>
              </w:rPr>
            </w:pPr>
            <w:r>
              <w:rPr>
                <w:color w:val="auto"/>
                <w:sz w:val="24"/>
              </w:rPr>
              <w:sym w:font="Wingdings 2" w:char="0052"/>
            </w:r>
            <w:r>
              <w:rPr>
                <w:color w:val="auto"/>
                <w:sz w:val="24"/>
              </w:rPr>
              <w:t>否</w:t>
            </w:r>
          </w:p>
          <w:p>
            <w:pPr>
              <w:adjustRightInd w:val="0"/>
              <w:snapToGrid w:val="0"/>
              <w:spacing w:line="500" w:lineRule="exact"/>
              <w:rPr>
                <w:color w:val="auto"/>
                <w:sz w:val="24"/>
              </w:rPr>
            </w:pPr>
            <w:r>
              <w:rPr>
                <w:color w:val="auto"/>
                <w:sz w:val="24"/>
              </w:rPr>
              <w:sym w:font="Wingdings 2" w:char="00A3"/>
            </w:r>
            <w:r>
              <w:rPr>
                <w:color w:val="auto"/>
                <w:sz w:val="24"/>
              </w:rPr>
              <w:t>是：</w:t>
            </w:r>
            <w:r>
              <w:rPr>
                <w:color w:val="auto"/>
                <w:sz w:val="24"/>
                <w:u w:val="single"/>
              </w:rPr>
              <w:t xml:space="preserve">   </w:t>
            </w:r>
          </w:p>
        </w:tc>
        <w:tc>
          <w:tcPr>
            <w:tcW w:w="1849" w:type="dxa"/>
            <w:tcMar>
              <w:top w:w="16" w:type="dxa"/>
              <w:left w:w="16" w:type="dxa"/>
              <w:right w:w="16" w:type="dxa"/>
            </w:tcMar>
            <w:vAlign w:val="center"/>
          </w:tcPr>
          <w:p>
            <w:pPr>
              <w:adjustRightInd w:val="0"/>
              <w:snapToGrid w:val="0"/>
              <w:spacing w:line="500" w:lineRule="exact"/>
              <w:jc w:val="center"/>
              <w:rPr>
                <w:color w:val="auto"/>
                <w:spacing w:val="-6"/>
                <w:sz w:val="24"/>
              </w:rPr>
            </w:pPr>
            <w:r>
              <w:rPr>
                <w:color w:val="auto"/>
                <w:spacing w:val="-6"/>
                <w:sz w:val="24"/>
              </w:rPr>
              <w:t>用地（用海）</w:t>
            </w:r>
          </w:p>
          <w:p>
            <w:pPr>
              <w:adjustRightInd w:val="0"/>
              <w:snapToGrid w:val="0"/>
              <w:spacing w:line="500" w:lineRule="exact"/>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3082" w:type="dxa"/>
            <w:vAlign w:val="center"/>
          </w:tcPr>
          <w:p>
            <w:pPr>
              <w:adjustRightInd w:val="0"/>
              <w:snapToGrid w:val="0"/>
              <w:spacing w:line="500" w:lineRule="exact"/>
              <w:jc w:val="center"/>
              <w:rPr>
                <w:rFonts w:hint="default" w:eastAsia="宋体"/>
                <w:color w:val="auto"/>
                <w:sz w:val="24"/>
                <w:highlight w:val="none"/>
                <w:lang w:val="en-US" w:eastAsia="zh-CN"/>
              </w:rPr>
            </w:pPr>
            <w:r>
              <w:rPr>
                <w:rFonts w:hint="eastAsia"/>
                <w:color w:val="auto"/>
                <w:sz w:val="24"/>
                <w:highlight w:val="none"/>
                <w:lang w:val="en-US" w:eastAsia="zh-CN"/>
              </w:rPr>
              <w:t>6466.66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4" w:type="dxa"/>
            <w:vAlign w:val="center"/>
          </w:tcPr>
          <w:p>
            <w:pPr>
              <w:adjustRightInd w:val="0"/>
              <w:snapToGrid w:val="0"/>
              <w:spacing w:line="500" w:lineRule="exact"/>
              <w:jc w:val="center"/>
              <w:rPr>
                <w:color w:val="auto"/>
                <w:kern w:val="0"/>
                <w:sz w:val="24"/>
              </w:rPr>
            </w:pPr>
            <w:r>
              <w:rPr>
                <w:color w:val="auto"/>
                <w:kern w:val="0"/>
                <w:sz w:val="24"/>
              </w:rPr>
              <w:t>专项评价设置情况</w:t>
            </w:r>
          </w:p>
        </w:tc>
        <w:tc>
          <w:tcPr>
            <w:tcW w:w="8248" w:type="dxa"/>
            <w:gridSpan w:val="5"/>
            <w:vAlign w:val="center"/>
          </w:tcPr>
          <w:p>
            <w:pPr>
              <w:adjustRightInd w:val="0"/>
              <w:snapToGrid w:val="0"/>
              <w:spacing w:line="500" w:lineRule="exact"/>
              <w:ind w:firstLine="480" w:firstLineChars="200"/>
              <w:rPr>
                <w:color w:val="auto"/>
                <w:sz w:val="24"/>
              </w:rPr>
            </w:pPr>
            <w:r>
              <w:rPr>
                <w:rFonts w:hint="eastAsia"/>
                <w:color w:val="auto"/>
                <w:sz w:val="24"/>
              </w:rPr>
              <w:t>根据《建设项目环</w:t>
            </w:r>
            <w:bookmarkStart w:id="32" w:name="_GoBack"/>
            <w:bookmarkEnd w:id="32"/>
            <w:r>
              <w:rPr>
                <w:rFonts w:hint="eastAsia"/>
                <w:color w:val="auto"/>
                <w:sz w:val="24"/>
              </w:rPr>
              <w:t>境影响报告表编制技术指南（污染影响类）（试行）》，结合本项目周边环境特征和污染物排放情况可知，本项目排放废气中不含有镉、铅、砷、汞等重金属，不含有二噁英等有毒有害污染物，故项目不需设置大气专项评价；</w:t>
            </w:r>
          </w:p>
          <w:p>
            <w:pPr>
              <w:adjustRightInd w:val="0"/>
              <w:snapToGrid w:val="0"/>
              <w:spacing w:line="500" w:lineRule="exact"/>
              <w:ind w:firstLine="480" w:firstLineChars="200"/>
              <w:rPr>
                <w:color w:val="auto"/>
                <w:sz w:val="24"/>
              </w:rPr>
            </w:pPr>
            <w:r>
              <w:rPr>
                <w:rFonts w:hint="eastAsia"/>
                <w:color w:val="auto"/>
                <w:sz w:val="24"/>
              </w:rPr>
              <w:t>本项目冷却水经冷却后循环利用不外排，</w:t>
            </w:r>
            <w:r>
              <w:rPr>
                <w:color w:val="auto"/>
                <w:sz w:val="24"/>
              </w:rPr>
              <w:t>职工</w:t>
            </w:r>
            <w:r>
              <w:rPr>
                <w:rFonts w:hint="eastAsia"/>
                <w:color w:val="auto"/>
                <w:sz w:val="24"/>
              </w:rPr>
              <w:t>盥洗废水就地泼洒抑尘不外排，项目无废水直接排放至外环境，不属于新增工业废水直排建设项目，也不属于新增废水直排的污水集中处理厂项目，因此，无需设地表水专项评价；</w:t>
            </w:r>
          </w:p>
          <w:p>
            <w:pPr>
              <w:adjustRightInd w:val="0"/>
              <w:snapToGrid w:val="0"/>
              <w:spacing w:line="500" w:lineRule="exact"/>
              <w:ind w:firstLine="480" w:firstLineChars="200"/>
              <w:rPr>
                <w:color w:val="auto"/>
                <w:sz w:val="24"/>
              </w:rPr>
            </w:pPr>
            <w:r>
              <w:rPr>
                <w:color w:val="auto"/>
                <w:sz w:val="24"/>
              </w:rPr>
              <w:t>本项目</w:t>
            </w:r>
            <w:r>
              <w:rPr>
                <w:rFonts w:hint="eastAsia"/>
                <w:color w:val="auto"/>
                <w:sz w:val="24"/>
              </w:rPr>
              <w:t>主要风险物质为润滑油、废润滑油</w:t>
            </w:r>
            <w:r>
              <w:rPr>
                <w:rFonts w:hint="eastAsia"/>
                <w:color w:val="auto"/>
                <w:sz w:val="24"/>
                <w:lang w:eastAsia="zh-CN"/>
              </w:rPr>
              <w:t>、</w:t>
            </w:r>
            <w:r>
              <w:rPr>
                <w:rFonts w:hint="eastAsia"/>
                <w:color w:val="auto"/>
                <w:sz w:val="24"/>
                <w:lang w:val="en-US" w:eastAsia="zh-CN"/>
              </w:rPr>
              <w:t>废油桶</w:t>
            </w:r>
            <w:r>
              <w:rPr>
                <w:rFonts w:hint="eastAsia"/>
                <w:color w:val="auto"/>
                <w:sz w:val="24"/>
              </w:rPr>
              <w:t>，项目润滑油储存量为0.3t、废润滑油储存量为0.1</w:t>
            </w:r>
            <w:r>
              <w:rPr>
                <w:rFonts w:hint="eastAsia"/>
                <w:color w:val="auto"/>
                <w:sz w:val="24"/>
                <w:lang w:val="en-US" w:eastAsia="zh-CN"/>
              </w:rPr>
              <w:t>5</w:t>
            </w:r>
            <w:r>
              <w:rPr>
                <w:rFonts w:hint="eastAsia"/>
                <w:color w:val="auto"/>
                <w:sz w:val="24"/>
              </w:rPr>
              <w:t>t、废油桶储存量为0.0</w:t>
            </w:r>
            <w:r>
              <w:rPr>
                <w:rFonts w:hint="eastAsia"/>
                <w:color w:val="auto"/>
                <w:sz w:val="24"/>
                <w:lang w:val="en-US" w:eastAsia="zh-CN"/>
              </w:rPr>
              <w:t>7</w:t>
            </w:r>
            <w:r>
              <w:rPr>
                <w:rFonts w:hint="eastAsia"/>
                <w:color w:val="auto"/>
                <w:sz w:val="24"/>
              </w:rPr>
              <w:t>t；润滑油临界量为2500t，废润滑油、废油桶临界量为100t，经计算，项目风险Q值为</w:t>
            </w:r>
            <w:r>
              <w:rPr>
                <w:rFonts w:hint="eastAsia"/>
                <w:color w:val="auto"/>
                <w:sz w:val="24"/>
                <w:lang w:eastAsia="zh-CN"/>
              </w:rPr>
              <w:t>0.003088</w:t>
            </w:r>
            <w:r>
              <w:rPr>
                <w:rFonts w:hint="eastAsia"/>
                <w:color w:val="auto"/>
                <w:sz w:val="24"/>
              </w:rPr>
              <w:t>，因此，无需设环境风险专项评价；</w:t>
            </w:r>
          </w:p>
          <w:p>
            <w:pPr>
              <w:adjustRightInd w:val="0"/>
              <w:snapToGrid w:val="0"/>
              <w:spacing w:line="500" w:lineRule="exact"/>
              <w:ind w:firstLine="480" w:firstLineChars="200"/>
              <w:rPr>
                <w:color w:val="auto"/>
                <w:sz w:val="24"/>
              </w:rPr>
            </w:pPr>
            <w:r>
              <w:rPr>
                <w:rFonts w:hint="eastAsia"/>
                <w:color w:val="auto"/>
                <w:sz w:val="24"/>
              </w:rPr>
              <w:t>本项目不属于“取水口下游</w:t>
            </w:r>
            <w:r>
              <w:rPr>
                <w:color w:val="auto"/>
                <w:sz w:val="24"/>
              </w:rPr>
              <w:t>500</w:t>
            </w:r>
            <w:r>
              <w:rPr>
                <w:rFonts w:hint="eastAsia"/>
                <w:color w:val="auto"/>
                <w:sz w:val="24"/>
              </w:rPr>
              <w:t>米范围内有重要水生生物的自然产卵场、索饵场、越冬场和洄游通道的新增河道取水的污染类建设项目”，因此，无需设生态专项评价；</w:t>
            </w:r>
          </w:p>
          <w:p>
            <w:pPr>
              <w:adjustRightInd w:val="0"/>
              <w:snapToGrid w:val="0"/>
              <w:spacing w:line="500" w:lineRule="exact"/>
              <w:ind w:firstLine="480" w:firstLineChars="200"/>
              <w:rPr>
                <w:color w:val="auto"/>
                <w:sz w:val="24"/>
              </w:rPr>
            </w:pPr>
            <w:r>
              <w:rPr>
                <w:rFonts w:hint="eastAsia"/>
                <w:color w:val="auto"/>
                <w:sz w:val="24"/>
              </w:rPr>
              <w:t>项目不属于“直接向海排放污染物的海洋工程建设项目”，因此，无需设海洋专项评价；</w:t>
            </w:r>
          </w:p>
          <w:p>
            <w:pPr>
              <w:adjustRightInd w:val="0"/>
              <w:snapToGrid w:val="0"/>
              <w:spacing w:line="500" w:lineRule="exact"/>
              <w:ind w:firstLine="480" w:firstLineChars="200"/>
              <w:rPr>
                <w:color w:val="auto"/>
                <w:kern w:val="0"/>
                <w:sz w:val="24"/>
              </w:rPr>
            </w:pPr>
            <w:r>
              <w:rPr>
                <w:rFonts w:hint="eastAsia"/>
                <w:color w:val="auto"/>
                <w:sz w:val="24"/>
              </w:rPr>
              <w:t>项目周边不涉及集中式饮用水水源和热水、矿泉水、温泉等特殊地下水资源保护区，无需设置地下水专项评价。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dxa"/>
            <w:vAlign w:val="center"/>
          </w:tcPr>
          <w:p>
            <w:pPr>
              <w:autoSpaceDE w:val="0"/>
              <w:autoSpaceDN w:val="0"/>
              <w:adjustRightInd w:val="0"/>
              <w:snapToGrid w:val="0"/>
              <w:spacing w:line="480" w:lineRule="exact"/>
              <w:jc w:val="center"/>
              <w:rPr>
                <w:color w:val="auto"/>
                <w:kern w:val="0"/>
                <w:sz w:val="24"/>
              </w:rPr>
            </w:pPr>
            <w:r>
              <w:rPr>
                <w:color w:val="auto"/>
                <w:kern w:val="0"/>
                <w:sz w:val="24"/>
              </w:rPr>
              <w:t>规划情况</w:t>
            </w:r>
          </w:p>
        </w:tc>
        <w:tc>
          <w:tcPr>
            <w:tcW w:w="8248" w:type="dxa"/>
            <w:gridSpan w:val="5"/>
            <w:vAlign w:val="center"/>
          </w:tcPr>
          <w:p>
            <w:pPr>
              <w:autoSpaceDE w:val="0"/>
              <w:autoSpaceDN w:val="0"/>
              <w:spacing w:line="480" w:lineRule="exact"/>
              <w:ind w:firstLine="480" w:firstLineChars="200"/>
              <w:rPr>
                <w:color w:val="auto"/>
                <w:kern w:val="0"/>
                <w:sz w:val="24"/>
              </w:rPr>
            </w:pPr>
            <w:r>
              <w:rPr>
                <w:rFonts w:hint="eastAsia"/>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pPr>
              <w:autoSpaceDE w:val="0"/>
              <w:autoSpaceDN w:val="0"/>
              <w:adjustRightInd w:val="0"/>
              <w:snapToGrid w:val="0"/>
              <w:spacing w:line="480" w:lineRule="exact"/>
              <w:jc w:val="center"/>
              <w:rPr>
                <w:color w:val="auto"/>
                <w:sz w:val="24"/>
              </w:rPr>
            </w:pPr>
            <w:r>
              <w:rPr>
                <w:color w:val="auto"/>
                <w:sz w:val="24"/>
              </w:rPr>
              <w:t>规划环境影响</w:t>
            </w:r>
          </w:p>
          <w:p>
            <w:pPr>
              <w:autoSpaceDE w:val="0"/>
              <w:autoSpaceDN w:val="0"/>
              <w:adjustRightInd w:val="0"/>
              <w:snapToGrid w:val="0"/>
              <w:spacing w:line="480" w:lineRule="exact"/>
              <w:jc w:val="center"/>
              <w:rPr>
                <w:color w:val="auto"/>
                <w:sz w:val="24"/>
              </w:rPr>
            </w:pPr>
            <w:r>
              <w:rPr>
                <w:color w:val="auto"/>
                <w:sz w:val="24"/>
              </w:rPr>
              <w:t>评价情况</w:t>
            </w:r>
          </w:p>
        </w:tc>
        <w:tc>
          <w:tcPr>
            <w:tcW w:w="8248" w:type="dxa"/>
            <w:gridSpan w:val="5"/>
            <w:vAlign w:val="center"/>
          </w:tcPr>
          <w:p>
            <w:pPr>
              <w:autoSpaceDE w:val="0"/>
              <w:autoSpaceDN w:val="0"/>
              <w:spacing w:line="480" w:lineRule="exact"/>
              <w:ind w:firstLine="480" w:firstLineChars="200"/>
              <w:rPr>
                <w:color w:val="auto"/>
                <w:kern w:val="0"/>
                <w:sz w:val="24"/>
              </w:rPr>
            </w:pPr>
            <w:r>
              <w:rPr>
                <w:rFonts w:hint="eastAsia"/>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54" w:type="dxa"/>
            <w:vAlign w:val="center"/>
          </w:tcPr>
          <w:p>
            <w:pPr>
              <w:autoSpaceDE w:val="0"/>
              <w:autoSpaceDN w:val="0"/>
              <w:adjustRightInd w:val="0"/>
              <w:snapToGrid w:val="0"/>
              <w:spacing w:line="480" w:lineRule="exact"/>
              <w:jc w:val="center"/>
              <w:rPr>
                <w:color w:val="auto"/>
                <w:sz w:val="24"/>
              </w:rPr>
            </w:pPr>
            <w:r>
              <w:rPr>
                <w:color w:val="auto"/>
                <w:sz w:val="24"/>
              </w:rPr>
              <w:t>规划及规划环境影响评价符合性分析</w:t>
            </w:r>
          </w:p>
        </w:tc>
        <w:tc>
          <w:tcPr>
            <w:tcW w:w="8248" w:type="dxa"/>
            <w:gridSpan w:val="5"/>
            <w:vAlign w:val="center"/>
          </w:tcPr>
          <w:p>
            <w:pPr>
              <w:widowControl/>
              <w:spacing w:line="480" w:lineRule="exact"/>
              <w:ind w:firstLine="480" w:firstLineChars="200"/>
              <w:jc w:val="left"/>
              <w:rPr>
                <w:color w:val="auto"/>
                <w:sz w:val="24"/>
              </w:rPr>
            </w:pPr>
            <w:r>
              <w:rPr>
                <w:rFonts w:hint="eastAsia"/>
                <w:color w:val="auto"/>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1054" w:type="dxa"/>
            <w:vAlign w:val="center"/>
          </w:tcPr>
          <w:p>
            <w:pPr>
              <w:autoSpaceDE w:val="0"/>
              <w:autoSpaceDN w:val="0"/>
              <w:adjustRightInd w:val="0"/>
              <w:snapToGrid w:val="0"/>
              <w:jc w:val="center"/>
              <w:rPr>
                <w:color w:val="auto"/>
                <w:sz w:val="24"/>
              </w:rPr>
            </w:pPr>
            <w:r>
              <w:rPr>
                <w:color w:val="auto"/>
                <w:kern w:val="0"/>
                <w:sz w:val="24"/>
              </w:rPr>
              <w:t>其他符合性分析</w:t>
            </w:r>
          </w:p>
        </w:tc>
        <w:tc>
          <w:tcPr>
            <w:tcW w:w="8248" w:type="dxa"/>
            <w:gridSpan w:val="5"/>
            <w:vAlign w:val="center"/>
          </w:tcPr>
          <w:p>
            <w:pPr>
              <w:autoSpaceDE w:val="0"/>
              <w:autoSpaceDN w:val="0"/>
              <w:adjustRightInd w:val="0"/>
              <w:snapToGrid w:val="0"/>
              <w:spacing w:line="500" w:lineRule="exact"/>
              <w:ind w:firstLine="482" w:firstLineChars="200"/>
              <w:jc w:val="left"/>
              <w:rPr>
                <w:b/>
                <w:bCs/>
                <w:color w:val="auto"/>
                <w:kern w:val="0"/>
                <w:sz w:val="24"/>
              </w:rPr>
            </w:pPr>
            <w:r>
              <w:rPr>
                <w:rFonts w:hint="eastAsia"/>
                <w:b/>
                <w:bCs/>
                <w:color w:val="auto"/>
                <w:kern w:val="0"/>
                <w:sz w:val="24"/>
              </w:rPr>
              <w:t>1</w:t>
            </w:r>
            <w:r>
              <w:rPr>
                <w:b/>
                <w:bCs/>
                <w:color w:val="auto"/>
                <w:kern w:val="0"/>
                <w:sz w:val="24"/>
              </w:rPr>
              <w:t>、“三线一单”符合性分析</w:t>
            </w:r>
          </w:p>
          <w:p>
            <w:pPr>
              <w:spacing w:line="480" w:lineRule="exact"/>
              <w:ind w:firstLine="480" w:firstLineChars="200"/>
              <w:rPr>
                <w:color w:val="auto"/>
                <w:sz w:val="24"/>
              </w:rPr>
            </w:pPr>
            <w:r>
              <w:rPr>
                <w:color w:val="auto"/>
                <w:sz w:val="24"/>
              </w:rPr>
              <w:t>根据《关于以改善环境质量为核心加强环境影响评价管理的通知》（环环评【2016】150号），要求以生态保护红线、环境质量底线、资源利用上线和环境准入负面清单（以下简称“三线一单”）为手段，强化空间、总量和准入环境管理。</w:t>
            </w:r>
          </w:p>
          <w:p>
            <w:pPr>
              <w:spacing w:line="480" w:lineRule="exact"/>
              <w:ind w:firstLine="480" w:firstLineChars="200"/>
              <w:rPr>
                <w:color w:val="auto"/>
                <w:sz w:val="24"/>
              </w:rPr>
            </w:pPr>
            <w:r>
              <w:rPr>
                <w:color w:val="auto"/>
                <w:sz w:val="24"/>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spacing w:line="480" w:lineRule="exact"/>
              <w:ind w:firstLine="482" w:firstLineChars="200"/>
              <w:rPr>
                <w:b/>
                <w:bCs/>
                <w:color w:val="auto"/>
                <w:sz w:val="24"/>
              </w:rPr>
            </w:pPr>
            <w:r>
              <w:rPr>
                <w:b/>
                <w:bCs/>
                <w:color w:val="auto"/>
                <w:sz w:val="24"/>
              </w:rPr>
              <w:t>⑴生态保护红线</w:t>
            </w:r>
          </w:p>
          <w:p>
            <w:pPr>
              <w:pStyle w:val="75"/>
              <w:tabs>
                <w:tab w:val="left" w:pos="1315"/>
              </w:tabs>
              <w:adjustRightInd w:val="0"/>
              <w:snapToGrid w:val="0"/>
              <w:spacing w:line="480" w:lineRule="exact"/>
              <w:ind w:firstLine="480"/>
              <w:rPr>
                <w:color w:val="auto"/>
                <w:sz w:val="24"/>
              </w:rPr>
            </w:pPr>
            <w:r>
              <w:rPr>
                <w:color w:val="auto"/>
                <w:sz w:val="24"/>
              </w:rPr>
              <w:t>根据《遵化市生态保护红线》遵化市生态保护红线面积341.38km</w:t>
            </w:r>
            <w:r>
              <w:rPr>
                <w:color w:val="auto"/>
                <w:sz w:val="24"/>
                <w:vertAlign w:val="superscript"/>
              </w:rPr>
              <w:t>2</w:t>
            </w:r>
            <w:r>
              <w:rPr>
                <w:color w:val="auto"/>
                <w:sz w:val="24"/>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snapToGrid w:val="0"/>
                <w:color w:val="auto"/>
                <w:kern w:val="0"/>
                <w:sz w:val="24"/>
                <w:szCs w:val="22"/>
                <w:lang w:eastAsia="zh-CN"/>
              </w:rPr>
              <w:t>河北省遵化市铁厂镇铁厂村</w:t>
            </w:r>
            <w:r>
              <w:rPr>
                <w:color w:val="auto"/>
                <w:sz w:val="24"/>
              </w:rPr>
              <w:t>，不在上述管控区范围内，即位于《遵化市生态保护红线》确定的生态红线范围之外，距最近的生态保护红线</w:t>
            </w:r>
            <w:r>
              <w:rPr>
                <w:rFonts w:hint="eastAsia"/>
                <w:color w:val="auto"/>
                <w:sz w:val="24"/>
                <w:lang w:eastAsia="zh-CN"/>
              </w:rPr>
              <w:t>（</w:t>
            </w:r>
            <w:r>
              <w:rPr>
                <w:rFonts w:hint="eastAsia"/>
                <w:color w:val="auto"/>
                <w:sz w:val="24"/>
                <w:lang w:val="en-US" w:eastAsia="zh-CN"/>
              </w:rPr>
              <w:t>项目西侧</w:t>
            </w:r>
            <w:r>
              <w:rPr>
                <w:rFonts w:hint="eastAsia"/>
                <w:color w:val="auto"/>
                <w:sz w:val="24"/>
                <w:lang w:eastAsia="zh-CN"/>
              </w:rPr>
              <w:t>）</w:t>
            </w:r>
            <w:r>
              <w:rPr>
                <w:color w:val="auto"/>
                <w:sz w:val="24"/>
              </w:rPr>
              <w:t>距离为</w:t>
            </w:r>
            <w:r>
              <w:rPr>
                <w:rFonts w:hint="eastAsia"/>
                <w:color w:val="auto"/>
                <w:sz w:val="24"/>
                <w:lang w:val="en-US" w:eastAsia="zh-CN"/>
              </w:rPr>
              <w:t>925</w:t>
            </w:r>
            <w:r>
              <w:rPr>
                <w:color w:val="auto"/>
                <w:sz w:val="24"/>
              </w:rPr>
              <w:t>m，因此项目建设符合生态红线要求。</w:t>
            </w:r>
          </w:p>
          <w:p>
            <w:pPr>
              <w:spacing w:line="480" w:lineRule="exact"/>
              <w:ind w:firstLine="482" w:firstLineChars="200"/>
              <w:rPr>
                <w:b/>
                <w:bCs/>
                <w:color w:val="auto"/>
                <w:sz w:val="24"/>
              </w:rPr>
            </w:pPr>
            <w:r>
              <w:rPr>
                <w:b/>
                <w:bCs/>
                <w:color w:val="auto"/>
                <w:sz w:val="24"/>
              </w:rPr>
              <w:t>⑵环境质量底线</w:t>
            </w:r>
          </w:p>
          <w:p>
            <w:pPr>
              <w:spacing w:line="480" w:lineRule="exact"/>
              <w:ind w:firstLine="480" w:firstLineChars="200"/>
              <w:rPr>
                <w:color w:val="auto"/>
                <w:sz w:val="24"/>
              </w:rPr>
            </w:pPr>
            <w:r>
              <w:rPr>
                <w:color w:val="auto"/>
                <w:sz w:val="24"/>
              </w:rPr>
              <w:t>区域地下水环境质量目标为《地下水质量标准》（GB/T14848-2017）中Ⅲ类标准；区域大气环境质量目标为《环境空气质量标准》（GB3095-2012）中的二级标准；区域声环境质量目标为《声环境质量标准》（GB3096-2008）</w:t>
            </w:r>
            <w:r>
              <w:rPr>
                <w:rFonts w:hint="eastAsia"/>
                <w:color w:val="auto"/>
                <w:sz w:val="24"/>
              </w:rPr>
              <w:t>2</w:t>
            </w:r>
            <w:r>
              <w:rPr>
                <w:color w:val="auto"/>
                <w:sz w:val="24"/>
              </w:rPr>
              <w:t>类区标准。</w:t>
            </w:r>
          </w:p>
          <w:p>
            <w:pPr>
              <w:pStyle w:val="77"/>
              <w:spacing w:line="480" w:lineRule="exact"/>
              <w:ind w:firstLine="504" w:firstLineChars="200"/>
              <w:rPr>
                <w:color w:val="auto"/>
                <w:sz w:val="24"/>
              </w:rPr>
            </w:pPr>
            <w:r>
              <w:rPr>
                <w:color w:val="auto"/>
                <w:spacing w:val="6"/>
                <w:sz w:val="24"/>
              </w:rPr>
              <w:t>根据唐山市生态环境局网站公布的《</w:t>
            </w:r>
            <w:r>
              <w:rPr>
                <w:color w:val="auto"/>
                <w:kern w:val="21"/>
                <w:sz w:val="24"/>
              </w:rPr>
              <w:t>202</w:t>
            </w:r>
            <w:r>
              <w:rPr>
                <w:rFonts w:hint="eastAsia"/>
                <w:color w:val="auto"/>
                <w:kern w:val="21"/>
                <w:sz w:val="24"/>
              </w:rPr>
              <w:t>2</w:t>
            </w:r>
            <w:r>
              <w:rPr>
                <w:color w:val="auto"/>
                <w:kern w:val="21"/>
                <w:sz w:val="24"/>
              </w:rPr>
              <w:t>年唐山市生态环境状况公报</w:t>
            </w:r>
            <w:r>
              <w:rPr>
                <w:color w:val="auto"/>
                <w:spacing w:val="6"/>
                <w:sz w:val="24"/>
              </w:rPr>
              <w:t>》</w:t>
            </w:r>
            <w:r>
              <w:rPr>
                <w:rFonts w:hint="eastAsia"/>
                <w:color w:val="auto"/>
                <w:spacing w:val="6"/>
                <w:sz w:val="24"/>
              </w:rPr>
              <w:t>可知，</w:t>
            </w:r>
            <w:r>
              <w:rPr>
                <w:color w:val="auto"/>
                <w:sz w:val="24"/>
              </w:rPr>
              <w:t>本项目所在区域为非达标区，超标因子为O</w:t>
            </w:r>
            <w:r>
              <w:rPr>
                <w:color w:val="auto"/>
                <w:sz w:val="24"/>
                <w:vertAlign w:val="subscript"/>
              </w:rPr>
              <w:t>3</w:t>
            </w:r>
            <w:r>
              <w:rPr>
                <w:color w:val="auto"/>
                <w:sz w:val="24"/>
              </w:rPr>
              <w:t>、PM</w:t>
            </w:r>
            <w:r>
              <w:rPr>
                <w:color w:val="auto"/>
                <w:sz w:val="24"/>
                <w:vertAlign w:val="subscript"/>
              </w:rPr>
              <w:t>2.5</w:t>
            </w:r>
            <w:r>
              <w:rPr>
                <w:color w:val="auto"/>
                <w:sz w:val="24"/>
              </w:rPr>
              <w:t>，本项目建设完成后，通过</w:t>
            </w:r>
            <w:r>
              <w:rPr>
                <w:rFonts w:hint="eastAsia"/>
                <w:color w:val="auto"/>
                <w:sz w:val="24"/>
                <w:lang w:eastAsia="zh-CN"/>
              </w:rPr>
              <w:t>“</w:t>
            </w:r>
            <w:r>
              <w:rPr>
                <w:rFonts w:hint="eastAsia"/>
                <w:color w:val="auto"/>
                <w:sz w:val="24"/>
                <w:lang w:val="en-US" w:eastAsia="zh-CN"/>
              </w:rPr>
              <w:t>倍量削建</w:t>
            </w:r>
            <w:r>
              <w:rPr>
                <w:rFonts w:hint="eastAsia"/>
                <w:color w:val="auto"/>
                <w:sz w:val="24"/>
                <w:lang w:eastAsia="zh-CN"/>
              </w:rPr>
              <w:t>”</w:t>
            </w:r>
            <w:r>
              <w:rPr>
                <w:rFonts w:hint="eastAsia"/>
                <w:color w:val="auto"/>
                <w:sz w:val="24"/>
              </w:rPr>
              <w:t>等措施</w:t>
            </w:r>
            <w:r>
              <w:rPr>
                <w:color w:val="auto"/>
                <w:sz w:val="24"/>
              </w:rPr>
              <w:t>，</w:t>
            </w:r>
            <w:r>
              <w:rPr>
                <w:rFonts w:hint="eastAsia"/>
                <w:color w:val="auto"/>
                <w:sz w:val="24"/>
              </w:rPr>
              <w:t>废气污染物排放量降低，对周围大气环境影响较小；本项目冷却水经冷却后循环利用不外排，</w:t>
            </w:r>
            <w:r>
              <w:rPr>
                <w:color w:val="auto"/>
                <w:sz w:val="24"/>
              </w:rPr>
              <w:t>职工</w:t>
            </w:r>
            <w:r>
              <w:rPr>
                <w:rFonts w:hint="eastAsia"/>
                <w:color w:val="auto"/>
                <w:sz w:val="24"/>
              </w:rPr>
              <w:t>盥洗废水就地泼洒抑尘不外排，不会对地表水环境产生影响，厂区采取合理的防渗措施，不会对地下水环境造成影响；噪声达标排放，项目建设完成后，不会改变区域声环境质量；项目固体废物均妥善处置；</w:t>
            </w:r>
            <w:r>
              <w:rPr>
                <w:color w:val="auto"/>
                <w:sz w:val="24"/>
              </w:rPr>
              <w:t>项目实施后区域环境质量得到整体改善，可改善项目所在地大气环境质量现状。项目对产生的主要废水、废气、噪声、固废等污染物均采取了严格的治理和处置措施，污染物均能达标排放。</w:t>
            </w:r>
          </w:p>
          <w:p>
            <w:pPr>
              <w:spacing w:line="480" w:lineRule="exact"/>
              <w:ind w:firstLine="480" w:firstLineChars="200"/>
              <w:rPr>
                <w:color w:val="auto"/>
                <w:sz w:val="24"/>
              </w:rPr>
            </w:pPr>
            <w:r>
              <w:rPr>
                <w:color w:val="auto"/>
                <w:sz w:val="24"/>
              </w:rPr>
              <w:t>综上所述，本项目的建设符合环境质量底线要求。</w:t>
            </w:r>
          </w:p>
          <w:p>
            <w:pPr>
              <w:spacing w:line="480" w:lineRule="exact"/>
              <w:ind w:firstLine="482" w:firstLineChars="200"/>
              <w:rPr>
                <w:b/>
                <w:bCs/>
                <w:color w:val="auto"/>
                <w:sz w:val="24"/>
                <w:highlight w:val="none"/>
              </w:rPr>
            </w:pPr>
            <w:r>
              <w:rPr>
                <w:b/>
                <w:bCs/>
                <w:color w:val="auto"/>
                <w:sz w:val="24"/>
              </w:rPr>
              <w:t>⑶资源</w:t>
            </w:r>
            <w:r>
              <w:rPr>
                <w:rFonts w:hint="eastAsia"/>
                <w:b/>
                <w:bCs/>
                <w:color w:val="auto"/>
                <w:sz w:val="24"/>
              </w:rPr>
              <w:t>利用上线</w:t>
            </w:r>
          </w:p>
          <w:p>
            <w:pPr>
              <w:pStyle w:val="75"/>
              <w:tabs>
                <w:tab w:val="left" w:pos="1315"/>
              </w:tabs>
              <w:adjustRightInd w:val="0"/>
              <w:snapToGrid w:val="0"/>
              <w:spacing w:line="480" w:lineRule="exact"/>
              <w:ind w:firstLine="480"/>
              <w:rPr>
                <w:color w:val="auto"/>
                <w:sz w:val="24"/>
                <w:highlight w:val="none"/>
              </w:rPr>
            </w:pPr>
            <w:r>
              <w:rPr>
                <w:color w:val="auto"/>
                <w:sz w:val="24"/>
                <w:highlight w:val="none"/>
              </w:rPr>
              <w:t>本项目</w:t>
            </w:r>
            <w:r>
              <w:rPr>
                <w:rFonts w:hint="eastAsia"/>
                <w:color w:val="auto"/>
                <w:sz w:val="24"/>
                <w:highlight w:val="none"/>
              </w:rPr>
              <w:t>厂区</w:t>
            </w:r>
            <w:r>
              <w:rPr>
                <w:color w:val="auto"/>
                <w:sz w:val="24"/>
                <w:highlight w:val="none"/>
              </w:rPr>
              <w:t>用水</w:t>
            </w:r>
            <w:r>
              <w:rPr>
                <w:rFonts w:hint="eastAsia"/>
                <w:color w:val="auto"/>
                <w:sz w:val="24"/>
                <w:highlight w:val="none"/>
              </w:rPr>
              <w:t>由</w:t>
            </w:r>
            <w:r>
              <w:rPr>
                <w:rFonts w:hint="eastAsia"/>
                <w:color w:val="auto"/>
                <w:sz w:val="24"/>
                <w:highlight w:val="none"/>
                <w:lang w:eastAsia="zh-CN"/>
              </w:rPr>
              <w:t>铁厂村</w:t>
            </w:r>
            <w:r>
              <w:rPr>
                <w:rFonts w:hint="eastAsia"/>
                <w:color w:val="auto"/>
                <w:sz w:val="24"/>
                <w:highlight w:val="none"/>
              </w:rPr>
              <w:t>供水管网供给</w:t>
            </w:r>
            <w:r>
              <w:rPr>
                <w:color w:val="auto"/>
                <w:sz w:val="24"/>
                <w:highlight w:val="none"/>
              </w:rPr>
              <w:t>，用电</w:t>
            </w:r>
            <w:r>
              <w:rPr>
                <w:rFonts w:hint="eastAsia"/>
                <w:color w:val="auto"/>
                <w:sz w:val="24"/>
                <w:highlight w:val="none"/>
              </w:rPr>
              <w:t>由当地电网引入，生产车间不采暖，办公用房采暖、制冷均采用空调。项目租用现有建设用地进行建设，</w:t>
            </w:r>
            <w:r>
              <w:rPr>
                <w:color w:val="auto"/>
                <w:sz w:val="24"/>
                <w:highlight w:val="none"/>
              </w:rPr>
              <w:t>故本项目的建设符合资源利用上线。</w:t>
            </w:r>
          </w:p>
          <w:p>
            <w:pPr>
              <w:autoSpaceDE w:val="0"/>
              <w:autoSpaceDN w:val="0"/>
              <w:adjustRightInd w:val="0"/>
              <w:snapToGrid w:val="0"/>
              <w:spacing w:line="480" w:lineRule="exact"/>
              <w:ind w:firstLine="482" w:firstLineChars="200"/>
              <w:jc w:val="left"/>
              <w:rPr>
                <w:rFonts w:cs="宋体"/>
                <w:color w:val="auto"/>
                <w:kern w:val="0"/>
                <w:sz w:val="24"/>
              </w:rPr>
            </w:pPr>
            <w:r>
              <w:rPr>
                <w:b/>
                <w:bCs/>
                <w:color w:val="auto"/>
                <w:sz w:val="24"/>
              </w:rPr>
              <w:t>⑷环境准入负面清单</w:t>
            </w:r>
          </w:p>
          <w:p>
            <w:pPr>
              <w:spacing w:line="480" w:lineRule="exact"/>
              <w:ind w:firstLine="480" w:firstLineChars="200"/>
              <w:rPr>
                <w:color w:val="auto"/>
                <w:sz w:val="24"/>
              </w:rPr>
            </w:pPr>
            <w:r>
              <w:rPr>
                <w:rFonts w:hint="eastAsia"/>
                <w:color w:val="auto"/>
                <w:sz w:val="24"/>
              </w:rPr>
              <w:t>项目所在区域无相关环境准入负面清单。</w:t>
            </w:r>
          </w:p>
          <w:p>
            <w:pPr>
              <w:spacing w:line="480" w:lineRule="exact"/>
              <w:ind w:firstLine="482" w:firstLineChars="200"/>
              <w:rPr>
                <w:b/>
                <w:bCs/>
                <w:color w:val="auto"/>
                <w:sz w:val="24"/>
              </w:rPr>
            </w:pPr>
            <w:r>
              <w:rPr>
                <w:rFonts w:hint="eastAsia"/>
                <w:b/>
                <w:bCs/>
                <w:color w:val="auto"/>
                <w:sz w:val="24"/>
              </w:rPr>
              <w:t>（5）</w:t>
            </w:r>
            <w:r>
              <w:rPr>
                <w:b/>
                <w:bCs/>
                <w:color w:val="auto"/>
                <w:sz w:val="24"/>
              </w:rPr>
              <w:t>与《唐山市人民政府关于实施“三线一单”生态环境分区管控的意见》符合性</w:t>
            </w:r>
            <w:r>
              <w:rPr>
                <w:rFonts w:hint="eastAsia"/>
                <w:b/>
                <w:bCs/>
                <w:color w:val="auto"/>
                <w:sz w:val="24"/>
              </w:rPr>
              <w:t>分析</w:t>
            </w:r>
          </w:p>
          <w:p>
            <w:pPr>
              <w:spacing w:line="480" w:lineRule="exact"/>
              <w:ind w:firstLine="480" w:firstLineChars="200"/>
              <w:rPr>
                <w:color w:val="auto"/>
                <w:sz w:val="24"/>
              </w:rPr>
            </w:pPr>
            <w:r>
              <w:rPr>
                <w:rFonts w:hint="eastAsia"/>
                <w:color w:val="auto"/>
                <w:sz w:val="24"/>
              </w:rPr>
              <w:t>根据</w:t>
            </w:r>
            <w:bookmarkStart w:id="6" w:name="bookmark5"/>
            <w:r>
              <w:rPr>
                <w:color w:val="auto"/>
                <w:sz w:val="24"/>
              </w:rPr>
              <w:t>唐山市人民政府</w:t>
            </w:r>
            <w:bookmarkEnd w:id="6"/>
            <w:r>
              <w:rPr>
                <w:rFonts w:hint="eastAsia"/>
                <w:color w:val="auto"/>
                <w:sz w:val="24"/>
              </w:rPr>
              <w:t>发布的</w:t>
            </w:r>
            <w:r>
              <w:rPr>
                <w:color w:val="auto"/>
                <w:sz w:val="24"/>
              </w:rPr>
              <w:t>《</w:t>
            </w:r>
            <w:bookmarkStart w:id="7" w:name="bookmark6"/>
            <w:bookmarkStart w:id="8" w:name="bookmark4"/>
            <w:bookmarkStart w:id="9" w:name="bookmark3"/>
            <w:r>
              <w:rPr>
                <w:color w:val="auto"/>
                <w:sz w:val="24"/>
              </w:rPr>
              <w:t>关于实施</w:t>
            </w:r>
            <w:r>
              <w:rPr>
                <w:color w:val="auto"/>
                <w:sz w:val="24"/>
                <w:lang w:val="zh-CN"/>
              </w:rPr>
              <w:t>“三</w:t>
            </w:r>
            <w:r>
              <w:rPr>
                <w:color w:val="auto"/>
                <w:sz w:val="24"/>
              </w:rPr>
              <w:t>线一单"生态环境分区管控的意见</w:t>
            </w:r>
            <w:bookmarkEnd w:id="7"/>
            <w:bookmarkEnd w:id="8"/>
            <w:bookmarkEnd w:id="9"/>
            <w:r>
              <w:rPr>
                <w:color w:val="auto"/>
                <w:sz w:val="24"/>
              </w:rPr>
              <w:t>》</w:t>
            </w:r>
            <w:r>
              <w:rPr>
                <w:rFonts w:hint="eastAsia"/>
                <w:color w:val="auto"/>
                <w:sz w:val="24"/>
              </w:rPr>
              <w:t>（</w:t>
            </w:r>
            <w:r>
              <w:rPr>
                <w:color w:val="auto"/>
                <w:sz w:val="24"/>
              </w:rPr>
              <w:t>唐政字〔2021〕48号</w:t>
            </w:r>
            <w:r>
              <w:rPr>
                <w:rFonts w:hint="eastAsia"/>
                <w:color w:val="auto"/>
                <w:sz w:val="24"/>
              </w:rPr>
              <w:t>）</w:t>
            </w:r>
            <w:r>
              <w:rPr>
                <w:color w:val="auto"/>
                <w:sz w:val="24"/>
              </w:rPr>
              <w:t>中</w:t>
            </w:r>
            <w:bookmarkStart w:id="10" w:name="bookmark24"/>
            <w:bookmarkStart w:id="11" w:name="bookmark25"/>
            <w:bookmarkStart w:id="12" w:name="bookmark23"/>
            <w:r>
              <w:rPr>
                <w:color w:val="auto"/>
                <w:sz w:val="24"/>
              </w:rPr>
              <w:t>唐山市生态环境准入清单</w:t>
            </w:r>
            <w:bookmarkEnd w:id="10"/>
            <w:bookmarkEnd w:id="11"/>
            <w:bookmarkEnd w:id="12"/>
            <w:r>
              <w:rPr>
                <w:color w:val="auto"/>
                <w:sz w:val="24"/>
              </w:rPr>
              <w:t>要求，对照唐山市环境管控单元分布图</w:t>
            </w:r>
            <w:r>
              <w:rPr>
                <w:rFonts w:hint="eastAsia"/>
                <w:color w:val="auto"/>
                <w:sz w:val="24"/>
              </w:rPr>
              <w:t>，本项目位于遵化市</w:t>
            </w:r>
            <w:r>
              <w:rPr>
                <w:rFonts w:hint="eastAsia"/>
                <w:color w:val="auto"/>
                <w:sz w:val="24"/>
                <w:lang w:val="en-US" w:eastAsia="zh-CN"/>
              </w:rPr>
              <w:t>优先保护单元</w:t>
            </w:r>
            <w:r>
              <w:rPr>
                <w:rFonts w:hint="eastAsia"/>
                <w:color w:val="auto"/>
                <w:sz w:val="24"/>
              </w:rPr>
              <w:t>（见附图），</w:t>
            </w:r>
            <w:r>
              <w:rPr>
                <w:color w:val="auto"/>
                <w:sz w:val="24"/>
              </w:rPr>
              <w:t>本项目不属于清单中的</w:t>
            </w:r>
            <w:r>
              <w:rPr>
                <w:rFonts w:hint="eastAsia"/>
                <w:color w:val="auto"/>
                <w:sz w:val="24"/>
              </w:rPr>
              <w:t>管控类项目</w:t>
            </w:r>
            <w:r>
              <w:rPr>
                <w:color w:val="auto"/>
                <w:sz w:val="24"/>
              </w:rPr>
              <w:t>，故</w:t>
            </w:r>
            <w:r>
              <w:rPr>
                <w:rFonts w:hint="eastAsia"/>
                <w:color w:val="auto"/>
                <w:sz w:val="24"/>
              </w:rPr>
              <w:t>项目符合</w:t>
            </w:r>
            <w:r>
              <w:rPr>
                <w:color w:val="auto"/>
                <w:sz w:val="24"/>
              </w:rPr>
              <w:t>遵化市生态环境准入负面清单</w:t>
            </w:r>
            <w:r>
              <w:rPr>
                <w:rFonts w:hint="eastAsia"/>
                <w:color w:val="auto"/>
                <w:sz w:val="24"/>
              </w:rPr>
              <w:t>要求</w:t>
            </w:r>
            <w:r>
              <w:rPr>
                <w:color w:val="auto"/>
                <w:sz w:val="24"/>
              </w:rPr>
              <w:t>。</w:t>
            </w:r>
          </w:p>
          <w:p>
            <w:pPr>
              <w:spacing w:line="480" w:lineRule="exact"/>
              <w:ind w:firstLine="482" w:firstLineChars="200"/>
              <w:rPr>
                <w:b/>
                <w:bCs/>
                <w:color w:val="auto"/>
                <w:sz w:val="24"/>
              </w:rPr>
            </w:pPr>
            <w:r>
              <w:rPr>
                <w:b/>
                <w:bCs/>
                <w:color w:val="auto"/>
                <w:sz w:val="24"/>
              </w:rPr>
              <w:t>（</w:t>
            </w:r>
            <w:r>
              <w:rPr>
                <w:rFonts w:hint="eastAsia"/>
                <w:b/>
                <w:bCs/>
                <w:color w:val="auto"/>
                <w:sz w:val="24"/>
              </w:rPr>
              <w:t>6</w:t>
            </w:r>
            <w:r>
              <w:rPr>
                <w:b/>
                <w:bCs/>
                <w:color w:val="auto"/>
                <w:sz w:val="24"/>
              </w:rPr>
              <w:t>）</w:t>
            </w:r>
            <w:r>
              <w:rPr>
                <w:rFonts w:ascii="Times New Roman" w:hAnsi="Times New Roman" w:eastAsia="宋体" w:cs="Times New Roman"/>
                <w:b/>
                <w:bCs/>
                <w:color w:val="auto"/>
                <w:sz w:val="24"/>
              </w:rPr>
              <w:t>与</w:t>
            </w:r>
            <w:r>
              <w:rPr>
                <w:rFonts w:hint="default"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唐山市生态环境准入清单</w:t>
            </w:r>
            <w:r>
              <w:rPr>
                <w:rFonts w:hint="default" w:ascii="Times New Roman" w:hAnsi="Times New Roman" w:eastAsia="宋体" w:cs="Times New Roman"/>
                <w:b/>
                <w:bCs/>
                <w:color w:val="auto"/>
                <w:sz w:val="24"/>
              </w:rPr>
              <w:t>》（</w:t>
            </w:r>
            <w:r>
              <w:rPr>
                <w:rFonts w:hint="eastAsia" w:ascii="Times New Roman" w:hAnsi="Times New Roman" w:eastAsia="宋体" w:cs="Times New Roman"/>
                <w:b/>
                <w:bCs/>
                <w:color w:val="auto"/>
                <w:sz w:val="24"/>
                <w:lang w:val="en-US" w:eastAsia="zh-CN"/>
              </w:rPr>
              <w:t>2023年版</w:t>
            </w:r>
            <w:r>
              <w:rPr>
                <w:rFonts w:hint="default" w:ascii="Times New Roman" w:hAnsi="Times New Roman" w:eastAsia="宋体" w:cs="Times New Roman"/>
                <w:b/>
                <w:bCs/>
                <w:color w:val="auto"/>
                <w:sz w:val="24"/>
              </w:rPr>
              <w:t>）</w:t>
            </w:r>
            <w:r>
              <w:rPr>
                <w:rFonts w:ascii="Times New Roman" w:hAnsi="Times New Roman" w:eastAsia="宋体" w:cs="Times New Roman"/>
                <w:b/>
                <w:bCs/>
                <w:color w:val="auto"/>
                <w:sz w:val="24"/>
              </w:rPr>
              <w:t>符</w:t>
            </w:r>
            <w:r>
              <w:rPr>
                <w:b/>
                <w:bCs/>
                <w:color w:val="auto"/>
                <w:sz w:val="24"/>
              </w:rPr>
              <w:t>合性分析</w:t>
            </w:r>
          </w:p>
          <w:p>
            <w:pPr>
              <w:spacing w:line="500" w:lineRule="exact"/>
              <w:ind w:firstLine="480" w:firstLineChars="200"/>
              <w:rPr>
                <w:b/>
                <w:bCs/>
                <w:color w:val="auto"/>
                <w:sz w:val="24"/>
              </w:rPr>
            </w:pPr>
            <w:r>
              <w:rPr>
                <w:color w:val="auto"/>
                <w:sz w:val="24"/>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w:t>
            </w:r>
            <w:r>
              <w:rPr>
                <w:rFonts w:ascii="Times New Roman" w:hAnsi="Times New Roman" w:eastAsia="宋体" w:cs="Times New Roman"/>
                <w:color w:val="auto"/>
                <w:sz w:val="24"/>
              </w:rPr>
              <w:t>于</w:t>
            </w:r>
            <w:r>
              <w:rPr>
                <w:rFonts w:hint="eastAsia"/>
                <w:color w:val="auto"/>
                <w:sz w:val="24"/>
                <w:lang w:val="en-US" w:eastAsia="zh-CN"/>
              </w:rPr>
              <w:t>优先保护单元</w:t>
            </w:r>
            <w:r>
              <w:rPr>
                <w:rFonts w:hint="eastAsia" w:ascii="Times New Roman" w:hAnsi="Times New Roman" w:eastAsia="宋体" w:cs="Times New Roman"/>
                <w:color w:val="auto"/>
                <w:sz w:val="24"/>
              </w:rPr>
              <w:t>，本项目符合</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唐山市生态环境准入清单</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2023年版</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rPr>
              <w:t>要求</w:t>
            </w:r>
            <w:r>
              <w:rPr>
                <w:rFonts w:ascii="Times New Roman" w:hAnsi="Times New Roman" w:eastAsia="宋体" w:cs="Times New Roman"/>
                <w:color w:val="auto"/>
                <w:sz w:val="24"/>
              </w:rPr>
              <w:t>。</w:t>
            </w:r>
          </w:p>
          <w:p>
            <w:pPr>
              <w:widowControl/>
              <w:spacing w:line="500" w:lineRule="exact"/>
              <w:ind w:firstLine="480" w:firstLineChars="200"/>
              <w:jc w:val="left"/>
              <w:rPr>
                <w:color w:val="auto"/>
                <w:sz w:val="24"/>
              </w:rPr>
            </w:pPr>
          </w:p>
        </w:tc>
      </w:tr>
    </w:tbl>
    <w:p>
      <w:pPr>
        <w:spacing w:line="360" w:lineRule="auto"/>
        <w:jc w:val="center"/>
        <w:rPr>
          <w:rFonts w:eastAsia="黑体"/>
          <w:sz w:val="30"/>
        </w:rPr>
        <w:sectPr>
          <w:footerReference r:id="rId4" w:type="default"/>
          <w:pgSz w:w="11906" w:h="16838"/>
          <w:pgMar w:top="1701" w:right="1417" w:bottom="1701" w:left="1417" w:header="851" w:footer="1077" w:gutter="0"/>
          <w:pgBorders>
            <w:top w:val="none" w:sz="0" w:space="0"/>
            <w:left w:val="none" w:sz="0" w:space="0"/>
            <w:bottom w:val="none" w:sz="0" w:space="0"/>
            <w:right w:val="none" w:sz="0" w:space="0"/>
          </w:pgBorders>
          <w:pgNumType w:start="1"/>
          <w:cols w:space="720" w:num="1"/>
          <w:docGrid w:linePitch="312" w:charSpace="0"/>
        </w:sectPr>
      </w:pPr>
    </w:p>
    <w:p>
      <w:pPr>
        <w:spacing w:line="480" w:lineRule="exact"/>
        <w:jc w:val="center"/>
        <w:rPr>
          <w:kern w:val="0"/>
          <w:sz w:val="24"/>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vAlign w:val="center"/>
          </w:tcPr>
          <w:p>
            <w:pPr>
              <w:pStyle w:val="2"/>
              <w:spacing w:line="480" w:lineRule="exact"/>
              <w:ind w:firstLine="0"/>
              <w:jc w:val="center"/>
              <w:rPr>
                <w:sz w:val="24"/>
                <w:szCs w:val="24"/>
              </w:rPr>
            </w:pPr>
            <w:r>
              <w:rPr>
                <w:sz w:val="24"/>
                <w:szCs w:val="24"/>
              </w:rPr>
              <w:t>其</w:t>
            </w:r>
          </w:p>
          <w:p>
            <w:pPr>
              <w:pStyle w:val="2"/>
              <w:spacing w:line="480" w:lineRule="exact"/>
              <w:ind w:firstLine="0"/>
              <w:jc w:val="center"/>
              <w:rPr>
                <w:sz w:val="24"/>
                <w:szCs w:val="24"/>
              </w:rPr>
            </w:pPr>
            <w:r>
              <w:rPr>
                <w:sz w:val="24"/>
                <w:szCs w:val="24"/>
              </w:rPr>
              <w:t>他</w:t>
            </w:r>
          </w:p>
          <w:p>
            <w:pPr>
              <w:pStyle w:val="2"/>
              <w:spacing w:line="480" w:lineRule="exact"/>
              <w:ind w:firstLine="0"/>
              <w:jc w:val="center"/>
              <w:rPr>
                <w:sz w:val="24"/>
                <w:szCs w:val="24"/>
              </w:rPr>
            </w:pPr>
            <w:r>
              <w:rPr>
                <w:sz w:val="24"/>
                <w:szCs w:val="24"/>
              </w:rPr>
              <w:t>符</w:t>
            </w:r>
          </w:p>
          <w:p>
            <w:pPr>
              <w:pStyle w:val="2"/>
              <w:spacing w:line="480" w:lineRule="exact"/>
              <w:ind w:firstLine="0"/>
              <w:jc w:val="center"/>
              <w:rPr>
                <w:sz w:val="24"/>
                <w:szCs w:val="24"/>
              </w:rPr>
            </w:pPr>
            <w:r>
              <w:rPr>
                <w:sz w:val="24"/>
                <w:szCs w:val="24"/>
              </w:rPr>
              <w:t>合</w:t>
            </w:r>
          </w:p>
          <w:p>
            <w:pPr>
              <w:pStyle w:val="2"/>
              <w:spacing w:line="480" w:lineRule="exact"/>
              <w:ind w:firstLine="0"/>
              <w:jc w:val="center"/>
              <w:rPr>
                <w:sz w:val="24"/>
                <w:szCs w:val="24"/>
              </w:rPr>
            </w:pPr>
            <w:r>
              <w:rPr>
                <w:sz w:val="24"/>
                <w:szCs w:val="24"/>
              </w:rPr>
              <w:t>性</w:t>
            </w:r>
          </w:p>
          <w:p>
            <w:pPr>
              <w:pStyle w:val="2"/>
              <w:spacing w:line="480" w:lineRule="exact"/>
              <w:ind w:firstLine="0"/>
              <w:jc w:val="center"/>
              <w:rPr>
                <w:sz w:val="24"/>
                <w:szCs w:val="24"/>
              </w:rPr>
            </w:pPr>
            <w:r>
              <w:rPr>
                <w:sz w:val="24"/>
                <w:szCs w:val="24"/>
              </w:rPr>
              <w:t>分</w:t>
            </w:r>
          </w:p>
          <w:p>
            <w:pPr>
              <w:pStyle w:val="2"/>
              <w:spacing w:line="480" w:lineRule="exact"/>
              <w:ind w:firstLine="0"/>
              <w:jc w:val="center"/>
            </w:pPr>
            <w:r>
              <w:rPr>
                <w:sz w:val="24"/>
                <w:szCs w:val="24"/>
              </w:rPr>
              <w:t>析</w:t>
            </w:r>
          </w:p>
        </w:tc>
        <w:tc>
          <w:tcPr>
            <w:tcW w:w="13122" w:type="dxa"/>
          </w:tcPr>
          <w:p>
            <w:pPr>
              <w:spacing w:line="480" w:lineRule="exact"/>
              <w:jc w:val="center"/>
              <w:rPr>
                <w:b/>
                <w:bCs/>
                <w:color w:val="auto"/>
                <w:sz w:val="24"/>
                <w:lang w:val="zh-CN"/>
              </w:rPr>
            </w:pPr>
            <w:r>
              <w:rPr>
                <w:b/>
                <w:bCs/>
                <w:color w:val="auto"/>
                <w:sz w:val="24"/>
                <w:lang w:val="zh-CN"/>
              </w:rPr>
              <w:t>表</w:t>
            </w:r>
            <w:r>
              <w:rPr>
                <w:rFonts w:hint="eastAsia"/>
                <w:b/>
                <w:bCs/>
                <w:color w:val="auto"/>
                <w:sz w:val="24"/>
              </w:rPr>
              <w:t>1</w:t>
            </w:r>
            <w:r>
              <w:rPr>
                <w:b/>
                <w:bCs/>
                <w:color w:val="auto"/>
                <w:sz w:val="24"/>
              </w:rPr>
              <w:t xml:space="preserve">   </w:t>
            </w:r>
            <w:r>
              <w:rPr>
                <w:b/>
                <w:bCs/>
                <w:color w:val="auto"/>
                <w:sz w:val="24"/>
                <w:lang w:val="zh-CN"/>
              </w:rPr>
              <w:t xml:space="preserve"> 河北省“三线一单”分类管控要求符合性</w:t>
            </w:r>
          </w:p>
          <w:tbl>
            <w:tblPr>
              <w:tblStyle w:val="32"/>
              <w:tblW w:w="1278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138"/>
              <w:gridCol w:w="7232"/>
              <w:gridCol w:w="3282"/>
              <w:gridCol w:w="6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序号</w:t>
                  </w:r>
                </w:p>
              </w:tc>
              <w:tc>
                <w:tcPr>
                  <w:tcW w:w="1138" w:type="dxa"/>
                  <w:tcBorders>
                    <w:tl2br w:val="nil"/>
                    <w:tr2bl w:val="nil"/>
                  </w:tcBorders>
                  <w:noWrap w:val="0"/>
                  <w:vAlign w:val="center"/>
                </w:tcPr>
                <w:p>
                  <w:pPr>
                    <w:spacing w:line="240" w:lineRule="auto"/>
                    <w:jc w:val="center"/>
                    <w:rPr>
                      <w:color w:val="auto"/>
                      <w:szCs w:val="21"/>
                    </w:rPr>
                  </w:pPr>
                  <w:r>
                    <w:rPr>
                      <w:color w:val="auto"/>
                      <w:szCs w:val="21"/>
                    </w:rPr>
                    <w:t>分类管控要求</w:t>
                  </w:r>
                </w:p>
              </w:tc>
              <w:tc>
                <w:tcPr>
                  <w:tcW w:w="7232" w:type="dxa"/>
                  <w:tcBorders>
                    <w:tl2br w:val="nil"/>
                    <w:tr2bl w:val="nil"/>
                  </w:tcBorders>
                  <w:noWrap w:val="0"/>
                  <w:vAlign w:val="center"/>
                </w:tcPr>
                <w:p>
                  <w:pPr>
                    <w:spacing w:line="240" w:lineRule="auto"/>
                    <w:jc w:val="center"/>
                    <w:rPr>
                      <w:color w:val="auto"/>
                      <w:szCs w:val="21"/>
                    </w:rPr>
                  </w:pPr>
                  <w:r>
                    <w:rPr>
                      <w:color w:val="auto"/>
                      <w:szCs w:val="21"/>
                    </w:rPr>
                    <w:t>政策要求</w:t>
                  </w:r>
                </w:p>
              </w:tc>
              <w:tc>
                <w:tcPr>
                  <w:tcW w:w="3282" w:type="dxa"/>
                  <w:tcBorders>
                    <w:tl2br w:val="nil"/>
                    <w:tr2bl w:val="nil"/>
                  </w:tcBorders>
                  <w:noWrap w:val="0"/>
                  <w:vAlign w:val="center"/>
                </w:tcPr>
                <w:p>
                  <w:pPr>
                    <w:spacing w:line="240" w:lineRule="auto"/>
                    <w:jc w:val="center"/>
                    <w:rPr>
                      <w:color w:val="auto"/>
                      <w:szCs w:val="21"/>
                    </w:rPr>
                  </w:pPr>
                  <w:r>
                    <w:rPr>
                      <w:color w:val="auto"/>
                      <w:szCs w:val="21"/>
                    </w:rPr>
                    <w:t>本项目实际</w:t>
                  </w:r>
                </w:p>
              </w:tc>
              <w:tc>
                <w:tcPr>
                  <w:tcW w:w="676" w:type="dxa"/>
                  <w:tcBorders>
                    <w:tl2br w:val="nil"/>
                    <w:tr2bl w:val="nil"/>
                  </w:tcBorders>
                  <w:noWrap w:val="0"/>
                  <w:vAlign w:val="center"/>
                </w:tcPr>
                <w:p>
                  <w:pPr>
                    <w:spacing w:line="240" w:lineRule="auto"/>
                    <w:jc w:val="center"/>
                    <w:rPr>
                      <w:color w:val="auto"/>
                      <w:szCs w:val="21"/>
                    </w:rPr>
                  </w:pPr>
                  <w:r>
                    <w:rPr>
                      <w:rFonts w:hint="eastAsia"/>
                      <w:color w:val="auto"/>
                      <w:szCs w:val="21"/>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1</w:t>
                  </w:r>
                </w:p>
              </w:tc>
              <w:tc>
                <w:tcPr>
                  <w:tcW w:w="1138" w:type="dxa"/>
                  <w:tcBorders>
                    <w:tl2br w:val="nil"/>
                    <w:tr2bl w:val="nil"/>
                  </w:tcBorders>
                  <w:noWrap w:val="0"/>
                  <w:vAlign w:val="center"/>
                </w:tcPr>
                <w:p>
                  <w:pPr>
                    <w:spacing w:line="240" w:lineRule="auto"/>
                    <w:jc w:val="center"/>
                    <w:rPr>
                      <w:color w:val="auto"/>
                      <w:szCs w:val="21"/>
                    </w:rPr>
                  </w:pPr>
                  <w:r>
                    <w:rPr>
                      <w:color w:val="auto"/>
                      <w:szCs w:val="21"/>
                    </w:rPr>
                    <w:t>优先保护单元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严格落实生态保护红线管理要求，除有限人为活动外，依法依规禁止其他城镇和建设活动。一般生态空间突出生态保护，严禁不符合主体功能定位的各类开发活动，严禁任意改变用途。</w:t>
                  </w:r>
                </w:p>
              </w:tc>
              <w:tc>
                <w:tcPr>
                  <w:tcW w:w="3282" w:type="dxa"/>
                  <w:tcBorders>
                    <w:tl2br w:val="nil"/>
                    <w:tr2bl w:val="nil"/>
                  </w:tcBorders>
                  <w:noWrap w:val="0"/>
                  <w:vAlign w:val="center"/>
                </w:tcPr>
                <w:p>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eastAsia"/>
                      <w:color w:val="FF0000"/>
                      <w:szCs w:val="21"/>
                    </w:rPr>
                    <w:t>本项目不涉及</w:t>
                  </w:r>
                  <w:r>
                    <w:rPr>
                      <w:rFonts w:hint="eastAsia"/>
                      <w:color w:val="FF0000"/>
                      <w:szCs w:val="21"/>
                      <w:lang w:val="en-US" w:eastAsia="zh-CN"/>
                    </w:rPr>
                    <w:t>生态保护红线，项目符合区域总体规划及发展定位</w:t>
                  </w:r>
                </w:p>
              </w:tc>
              <w:tc>
                <w:tcPr>
                  <w:tcW w:w="676" w:type="dxa"/>
                  <w:tcBorders>
                    <w:tl2br w:val="nil"/>
                    <w:tr2bl w:val="nil"/>
                  </w:tcBorders>
                  <w:noWrap w:val="0"/>
                  <w:vAlign w:val="center"/>
                </w:tcPr>
                <w:p>
                  <w:pPr>
                    <w:spacing w:line="240" w:lineRule="auto"/>
                    <w:jc w:val="center"/>
                    <w:rPr>
                      <w:rFonts w:hint="default" w:ascii="Times New Roman" w:hAnsi="Times New Roman" w:eastAsia="宋体" w:cs="Times New Roman"/>
                      <w:color w:val="FF0000"/>
                      <w:kern w:val="2"/>
                      <w:sz w:val="21"/>
                      <w:szCs w:val="21"/>
                      <w:lang w:val="en-US" w:eastAsia="zh-CN" w:bidi="ar-SA"/>
                    </w:rPr>
                  </w:pPr>
                  <w:r>
                    <w:rPr>
                      <w:rFonts w:hint="eastAsia" w:cs="Times New Roman"/>
                      <w:color w:val="FF0000"/>
                      <w:kern w:val="2"/>
                      <w:sz w:val="21"/>
                      <w:szCs w:val="21"/>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2</w:t>
                  </w:r>
                </w:p>
              </w:tc>
              <w:tc>
                <w:tcPr>
                  <w:tcW w:w="1138" w:type="dxa"/>
                  <w:tcBorders>
                    <w:tl2br w:val="nil"/>
                    <w:tr2bl w:val="nil"/>
                  </w:tcBorders>
                  <w:noWrap w:val="0"/>
                  <w:vAlign w:val="center"/>
                </w:tcPr>
                <w:p>
                  <w:pPr>
                    <w:spacing w:line="240" w:lineRule="auto"/>
                    <w:jc w:val="center"/>
                    <w:rPr>
                      <w:color w:val="auto"/>
                      <w:szCs w:val="21"/>
                    </w:rPr>
                  </w:pPr>
                  <w:r>
                    <w:rPr>
                      <w:color w:val="auto"/>
                      <w:szCs w:val="21"/>
                    </w:rPr>
                    <w:t>重点管控单元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城镇重点管控单元。优化工业布局，有序实施高污染、高排放工业企业整改或搬迁退出；强化交通污染源管控；完善污水治理设施；加快城镇河流水系环境整治；加强工业污染场地环境风险防控和开发再利用监管。工业园区（工业集聚区）重点管控单元。严格项目准入，优化产业布局；完善园区设施建设，推动设施提标改造；实施污染物总量控制，落实排污许可证制度；强化资源利用效率和地下水开采管控。农业农村重点管控单元。优化规模化畜禽养殖布局，加快农村生态环境综合整治，逐步推进农村污水和生活垃圾治理；减少化肥农药施用量，优化农业种植结构，推动秸秆综合利用；控制地下水超采区农业地下水开采。近岸海域重点管控单元。严格海洋岸线开发；强化船舶、港区污染物控制；加强近岸海域及港口码头环境污染风险防控。</w:t>
                  </w:r>
                </w:p>
              </w:tc>
              <w:tc>
                <w:tcPr>
                  <w:tcW w:w="3282" w:type="dxa"/>
                  <w:tcBorders>
                    <w:tl2br w:val="nil"/>
                    <w:tr2bl w:val="nil"/>
                  </w:tcBorders>
                  <w:noWrap w:val="0"/>
                  <w:vAlign w:val="center"/>
                </w:tcPr>
                <w:p>
                  <w:pPr>
                    <w:spacing w:line="240" w:lineRule="auto"/>
                    <w:jc w:val="center"/>
                    <w:rPr>
                      <w:rFonts w:hint="eastAsia"/>
                      <w:color w:val="auto"/>
                      <w:kern w:val="2"/>
                      <w:sz w:val="21"/>
                      <w:szCs w:val="21"/>
                      <w:lang w:val="en-US" w:eastAsia="zh-CN" w:bidi="ar-SA"/>
                    </w:rPr>
                  </w:pPr>
                  <w:r>
                    <w:rPr>
                      <w:rFonts w:hint="eastAsia"/>
                      <w:color w:val="auto"/>
                      <w:szCs w:val="21"/>
                    </w:rPr>
                    <w:t>本项目不涉及</w:t>
                  </w:r>
                </w:p>
              </w:tc>
              <w:tc>
                <w:tcPr>
                  <w:tcW w:w="676" w:type="dxa"/>
                  <w:tcBorders>
                    <w:tl2br w:val="nil"/>
                    <w:tr2bl w:val="nil"/>
                  </w:tcBorders>
                  <w:noWrap w:val="0"/>
                  <w:vAlign w:val="center"/>
                </w:tcPr>
                <w:p>
                  <w:pPr>
                    <w:spacing w:line="240" w:lineRule="auto"/>
                    <w:jc w:val="center"/>
                    <w:rPr>
                      <w:rFonts w:hint="eastAsia"/>
                      <w:color w:val="auto"/>
                      <w:kern w:val="2"/>
                      <w:sz w:val="21"/>
                      <w:szCs w:val="21"/>
                      <w:lang w:val="en-US" w:eastAsia="zh-CN" w:bidi="ar-SA"/>
                    </w:rPr>
                  </w:pPr>
                  <w:r>
                    <w:rPr>
                      <w:rFonts w:hint="eastAsia"/>
                      <w:color w:val="auto"/>
                      <w:szCs w:val="21"/>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rPr>
                  </w:pPr>
                  <w:r>
                    <w:rPr>
                      <w:color w:val="auto"/>
                      <w:szCs w:val="21"/>
                    </w:rPr>
                    <w:t>3</w:t>
                  </w:r>
                </w:p>
              </w:tc>
              <w:tc>
                <w:tcPr>
                  <w:tcW w:w="1138" w:type="dxa"/>
                  <w:tcBorders>
                    <w:tl2br w:val="nil"/>
                    <w:tr2bl w:val="nil"/>
                  </w:tcBorders>
                  <w:noWrap w:val="0"/>
                  <w:vAlign w:val="center"/>
                </w:tcPr>
                <w:p>
                  <w:pPr>
                    <w:spacing w:line="240" w:lineRule="auto"/>
                    <w:jc w:val="center"/>
                    <w:rPr>
                      <w:color w:val="auto"/>
                      <w:szCs w:val="21"/>
                    </w:rPr>
                  </w:pPr>
                  <w:r>
                    <w:rPr>
                      <w:color w:val="auto"/>
                      <w:szCs w:val="21"/>
                    </w:rPr>
                    <w:t>一般管控单元</w:t>
                  </w:r>
                </w:p>
              </w:tc>
              <w:tc>
                <w:tcPr>
                  <w:tcW w:w="7232" w:type="dxa"/>
                  <w:tcBorders>
                    <w:tl2br w:val="nil"/>
                    <w:tr2bl w:val="nil"/>
                  </w:tcBorders>
                  <w:noWrap w:val="0"/>
                  <w:vAlign w:val="center"/>
                </w:tcPr>
                <w:p>
                  <w:pPr>
                    <w:spacing w:line="240" w:lineRule="auto"/>
                    <w:jc w:val="center"/>
                    <w:rPr>
                      <w:color w:val="auto"/>
                      <w:szCs w:val="21"/>
                    </w:rPr>
                  </w:pPr>
                  <w:r>
                    <w:rPr>
                      <w:color w:val="auto"/>
                      <w:szCs w:val="21"/>
                    </w:rPr>
                    <w:t>严格执行国家和省关于产业准入、总量控制和污染物排放标准等管控要求</w:t>
                  </w:r>
                </w:p>
              </w:tc>
              <w:tc>
                <w:tcPr>
                  <w:tcW w:w="3282" w:type="dxa"/>
                  <w:tcBorders>
                    <w:tl2br w:val="nil"/>
                    <w:tr2bl w:val="nil"/>
                  </w:tcBorders>
                  <w:noWrap w:val="0"/>
                  <w:vAlign w:val="center"/>
                </w:tcPr>
                <w:p>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本项目不涉及</w:t>
                  </w:r>
                </w:p>
              </w:tc>
              <w:tc>
                <w:tcPr>
                  <w:tcW w:w="6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w:t>
                  </w:r>
                </w:p>
              </w:tc>
            </w:tr>
          </w:tbl>
          <w:p>
            <w:pPr>
              <w:spacing w:line="480" w:lineRule="exact"/>
              <w:jc w:val="center"/>
              <w:rPr>
                <w:rFonts w:hint="eastAsia" w:ascii="Times New Roman" w:hAnsi="Times New Roman" w:eastAsia="宋体" w:cs="Times New Roman"/>
                <w:b/>
                <w:color w:val="auto"/>
                <w:sz w:val="24"/>
                <w:szCs w:val="24"/>
                <w:lang w:val="zh-CN" w:eastAsia="zh-CN"/>
              </w:rPr>
            </w:pPr>
            <w:r>
              <w:rPr>
                <w:b/>
                <w:bCs/>
                <w:color w:val="auto"/>
                <w:sz w:val="24"/>
                <w:szCs w:val="24"/>
                <w:lang w:val="zh-CN"/>
              </w:rPr>
              <w:t>表</w:t>
            </w:r>
            <w:r>
              <w:rPr>
                <w:rFonts w:hint="eastAsia"/>
                <w:b/>
                <w:bCs/>
                <w:color w:val="auto"/>
                <w:sz w:val="24"/>
                <w:szCs w:val="24"/>
                <w:lang w:val="en-US" w:eastAsia="zh-CN"/>
              </w:rPr>
              <w:t xml:space="preserve">2  </w:t>
            </w:r>
            <w:r>
              <w:rPr>
                <w:rFonts w:hint="eastAsia"/>
                <w:b/>
                <w:bCs/>
                <w:color w:val="auto"/>
                <w:sz w:val="24"/>
                <w:szCs w:val="24"/>
                <w:lang w:val="zh-CN"/>
              </w:rPr>
              <w:t xml:space="preserve"> </w:t>
            </w:r>
            <w:r>
              <w:rPr>
                <w:rFonts w:hint="default" w:ascii="Times New Roman" w:hAnsi="Times New Roman" w:eastAsia="宋体" w:cs="Times New Roman"/>
                <w:b/>
                <w:color w:val="auto"/>
                <w:sz w:val="24"/>
                <w:szCs w:val="24"/>
              </w:rPr>
              <w:t xml:space="preserve">与 </w:t>
            </w:r>
            <w:r>
              <w:rPr>
                <w:rFonts w:hint="eastAsia" w:ascii="Times New Roman" w:hAnsi="Times New Roman" w:eastAsia="宋体" w:cs="Times New Roman"/>
                <w:b/>
                <w:color w:val="auto"/>
                <w:sz w:val="24"/>
                <w:szCs w:val="24"/>
                <w:lang w:val="zh-CN" w:eastAsia="zh-CN"/>
              </w:rPr>
              <w:t>《</w:t>
            </w:r>
            <w:r>
              <w:rPr>
                <w:rFonts w:hint="default" w:ascii="Times New Roman" w:hAnsi="Times New Roman" w:eastAsia="宋体" w:cs="Times New Roman"/>
                <w:b/>
                <w:color w:val="auto"/>
                <w:sz w:val="24"/>
                <w:szCs w:val="24"/>
                <w:lang w:val="zh-CN" w:eastAsia="zh-CN"/>
              </w:rPr>
              <w:t>唐山市生态环境准入清单</w:t>
            </w:r>
            <w:r>
              <w:rPr>
                <w:rFonts w:hint="eastAsia" w:ascii="Times New Roman" w:hAnsi="Times New Roman" w:eastAsia="宋体" w:cs="Times New Roman"/>
                <w:b/>
                <w:color w:val="auto"/>
                <w:sz w:val="24"/>
                <w:szCs w:val="24"/>
                <w:lang w:val="zh-CN" w:eastAsia="zh-CN"/>
              </w:rPr>
              <w:t>》</w:t>
            </w:r>
            <w:r>
              <w:rPr>
                <w:rFonts w:hint="default" w:ascii="Times New Roman" w:hAnsi="Times New Roman" w:eastAsia="宋体" w:cs="Times New Roman"/>
                <w:b/>
                <w:color w:val="auto"/>
                <w:sz w:val="24"/>
                <w:szCs w:val="24"/>
                <w:lang w:val="zh-CN" w:eastAsia="zh-CN"/>
              </w:rPr>
              <w:t>（2023年版）</w:t>
            </w:r>
            <w:r>
              <w:rPr>
                <w:rFonts w:hint="eastAsia" w:ascii="Times New Roman" w:hAnsi="Times New Roman" w:eastAsia="宋体" w:cs="Times New Roman"/>
                <w:b/>
                <w:color w:val="auto"/>
                <w:sz w:val="24"/>
                <w:szCs w:val="24"/>
                <w:lang w:val="zh-CN" w:eastAsia="zh-CN"/>
              </w:rPr>
              <w:t>符合性分析</w:t>
            </w:r>
          </w:p>
          <w:tbl>
            <w:tblPr>
              <w:tblStyle w:val="32"/>
              <w:tblW w:w="1292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708"/>
              <w:gridCol w:w="7617"/>
              <w:gridCol w:w="3079"/>
              <w:gridCol w:w="6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要素属性</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类别</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本项目实际</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lang w:val="en-US" w:eastAsia="zh-CN"/>
                    </w:rPr>
                    <w:t>大气环境</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rPr>
                    <w:t>染防控目标</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2025年，全市细颗粒物（PM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）平均浓度达到40微克/立方米左右，空气质量优良天数比率达到70%以上</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单位地区生产总值二氧化碳排放下降比例达河北省要求。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本项目颗粒物经处理后可达标排放，</w:t>
                  </w:r>
                  <w:r>
                    <w:rPr>
                      <w:rFonts w:hint="default" w:ascii="Times New Roman" w:hAnsi="Times New Roman" w:eastAsia="宋体" w:cs="Times New Roman"/>
                      <w:color w:val="auto"/>
                      <w:sz w:val="21"/>
                      <w:szCs w:val="21"/>
                      <w:highlight w:val="none"/>
                      <w:lang w:val="en-US" w:eastAsia="zh-CN"/>
                    </w:rPr>
                    <w:t>本项目严格执行倍量削减方案</w:t>
                  </w:r>
                  <w:r>
                    <w:rPr>
                      <w:rFonts w:hint="eastAsia" w:cs="Times New Roman"/>
                      <w:color w:val="auto"/>
                      <w:sz w:val="21"/>
                      <w:szCs w:val="21"/>
                      <w:highlight w:val="none"/>
                      <w:lang w:val="en-US" w:eastAsia="zh-CN"/>
                    </w:rPr>
                    <w:t>，经“倍量削减”后可优化区域大气环境质量；项目能源、物料消耗较低，碳排放较低</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空间布局约束</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9"/>
                      <w:sz w:val="21"/>
                      <w:szCs w:val="21"/>
                    </w:rPr>
                    <w:t>1</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9"/>
                      <w:sz w:val="21"/>
                      <w:szCs w:val="21"/>
                    </w:rPr>
                    <w:t>、全面推进沿海、迁安、滦州、迁西（遵化）4 大片区规</w:t>
                  </w:r>
                  <w:r>
                    <w:rPr>
                      <w:rFonts w:hint="default" w:ascii="Times New Roman" w:hAnsi="Times New Roman" w:eastAsia="宋体" w:cs="Times New Roman"/>
                      <w:color w:val="auto"/>
                      <w:spacing w:val="8"/>
                      <w:sz w:val="21"/>
                      <w:szCs w:val="21"/>
                    </w:rPr>
                    <w:t>划建设，加快推进钢铁企业整合搬</w:t>
                  </w:r>
                  <w:r>
                    <w:rPr>
                      <w:rFonts w:hint="default" w:ascii="Times New Roman" w:hAnsi="Times New Roman" w:eastAsia="宋体" w:cs="Times New Roman"/>
                      <w:color w:val="auto"/>
                      <w:spacing w:val="10"/>
                      <w:sz w:val="21"/>
                      <w:szCs w:val="21"/>
                    </w:rPr>
                    <w:t>迁项目建设，推进“公转铁</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10"/>
                      <w:sz w:val="21"/>
                      <w:szCs w:val="21"/>
                    </w:rPr>
                    <w:t>”、“公转水</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10"/>
                      <w:sz w:val="21"/>
                      <w:szCs w:val="21"/>
                    </w:rPr>
                    <w:t>”和物料集中输送管廊项目建设，形成“沿海</w:t>
                  </w:r>
                  <w:r>
                    <w:rPr>
                      <w:rFonts w:hint="default" w:ascii="Times New Roman" w:hAnsi="Times New Roman" w:eastAsia="宋体" w:cs="Times New Roman"/>
                      <w:color w:val="auto"/>
                      <w:spacing w:val="9"/>
                      <w:sz w:val="21"/>
                      <w:szCs w:val="21"/>
                    </w:rPr>
                    <w:t>临港、铁</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5"/>
                      <w:sz w:val="21"/>
                      <w:szCs w:val="21"/>
                    </w:rPr>
                    <w:t>路沿线</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5"/>
                      <w:sz w:val="21"/>
                      <w:szCs w:val="21"/>
                    </w:rPr>
                    <w:t>”产业新布局</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本项目不属于钢铁企业，不属于“</w:t>
                  </w:r>
                  <w:r>
                    <w:rPr>
                      <w:rFonts w:hint="default" w:ascii="Times New Roman" w:hAnsi="Times New Roman" w:eastAsia="宋体" w:cs="Times New Roman"/>
                      <w:color w:val="auto"/>
                      <w:spacing w:val="0"/>
                      <w:w w:val="100"/>
                      <w:position w:val="0"/>
                      <w:sz w:val="21"/>
                      <w:szCs w:val="21"/>
                      <w:highlight w:val="none"/>
                      <w:lang w:val="zh-CN" w:eastAsia="zh-CN" w:bidi="zh-CN"/>
                    </w:rPr>
                    <w:t>公转</w:t>
                  </w:r>
                  <w:r>
                    <w:rPr>
                      <w:rFonts w:hint="default" w:ascii="Times New Roman" w:hAnsi="Times New Roman" w:eastAsia="宋体" w:cs="Times New Roman"/>
                      <w:color w:val="auto"/>
                      <w:spacing w:val="0"/>
                      <w:w w:val="100"/>
                      <w:position w:val="0"/>
                      <w:sz w:val="21"/>
                      <w:szCs w:val="21"/>
                      <w:highlight w:val="none"/>
                    </w:rPr>
                    <w:t>铁</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spacing w:val="0"/>
                      <w:w w:val="100"/>
                      <w:position w:val="0"/>
                      <w:sz w:val="21"/>
                      <w:szCs w:val="21"/>
                      <w:highlight w:val="none"/>
                    </w:rPr>
                    <w:t>、</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公</w:t>
                  </w:r>
                  <w:r>
                    <w:rPr>
                      <w:rFonts w:hint="default" w:ascii="Times New Roman" w:hAnsi="Times New Roman" w:eastAsia="宋体" w:cs="Times New Roman"/>
                      <w:color w:val="auto"/>
                      <w:spacing w:val="0"/>
                      <w:w w:val="100"/>
                      <w:position w:val="0"/>
                      <w:sz w:val="21"/>
                      <w:szCs w:val="21"/>
                      <w:highlight w:val="none"/>
                    </w:rPr>
                    <w:t>转水</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和物</w:t>
                  </w:r>
                  <w:r>
                    <w:rPr>
                      <w:rFonts w:hint="default" w:ascii="Times New Roman" w:hAnsi="Times New Roman" w:eastAsia="宋体" w:cs="Times New Roman"/>
                      <w:color w:val="auto"/>
                      <w:spacing w:val="0"/>
                      <w:w w:val="100"/>
                      <w:position w:val="0"/>
                      <w:sz w:val="21"/>
                      <w:szCs w:val="21"/>
                      <w:highlight w:val="none"/>
                    </w:rPr>
                    <w:t>料集中输送管廊项目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2</w:t>
                  </w:r>
                  <w:r>
                    <w:rPr>
                      <w:rFonts w:hint="default" w:ascii="Times New Roman" w:hAnsi="Times New Roman" w:eastAsia="宋体" w:cs="Times New Roman"/>
                      <w:color w:val="auto"/>
                      <w:spacing w:val="-21"/>
                      <w:sz w:val="21"/>
                      <w:szCs w:val="21"/>
                    </w:rPr>
                    <w:t xml:space="preserve"> </w:t>
                  </w:r>
                  <w:r>
                    <w:rPr>
                      <w:rFonts w:hint="default" w:ascii="Times New Roman" w:hAnsi="Times New Roman" w:eastAsia="宋体" w:cs="Times New Roman"/>
                      <w:color w:val="auto"/>
                      <w:spacing w:val="8"/>
                      <w:sz w:val="21"/>
                      <w:szCs w:val="21"/>
                    </w:rPr>
                    <w:t>、严禁违规新增钢铁、焦化、水泥、平板玻璃等产能，依法推动独立焦化、独立石灰、独立</w:t>
                  </w:r>
                  <w:r>
                    <w:rPr>
                      <w:rFonts w:hint="default" w:ascii="Times New Roman" w:hAnsi="Times New Roman" w:eastAsia="宋体" w:cs="Times New Roman"/>
                      <w:color w:val="auto"/>
                      <w:spacing w:val="7"/>
                      <w:sz w:val="21"/>
                      <w:szCs w:val="21"/>
                    </w:rPr>
                    <w:t>球团逐步退出</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项目不新增钢铁、焦化、平板玻璃、水泥、陶瓷产能，本项目</w:t>
                  </w:r>
                  <w:r>
                    <w:rPr>
                      <w:rFonts w:hint="eastAsia" w:eastAsia="宋体" w:cs="Times New Roman"/>
                      <w:color w:val="auto"/>
                      <w:spacing w:val="0"/>
                      <w:w w:val="100"/>
                      <w:kern w:val="2"/>
                      <w:position w:val="0"/>
                      <w:sz w:val="21"/>
                      <w:szCs w:val="21"/>
                      <w:highlight w:val="none"/>
                      <w:u w:val="none"/>
                      <w:shd w:val="clear" w:color="auto" w:fill="auto"/>
                      <w:lang w:val="en-US" w:eastAsia="zh-CN" w:bidi="zh-TW"/>
                    </w:rPr>
                    <w:t>不</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属于</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《产业结构调整指导目录》（20</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24</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年本）鼓励类</w:t>
                  </w:r>
                  <w:r>
                    <w:rPr>
                      <w:rFonts w:hint="eastAsia" w:eastAsia="宋体" w:cs="Times New Roman"/>
                      <w:color w:val="auto"/>
                      <w:spacing w:val="0"/>
                      <w:w w:val="100"/>
                      <w:kern w:val="2"/>
                      <w:position w:val="0"/>
                      <w:sz w:val="21"/>
                      <w:szCs w:val="21"/>
                      <w:highlight w:val="none"/>
                      <w:u w:val="none"/>
                      <w:shd w:val="clear" w:color="auto" w:fill="auto"/>
                      <w:lang w:val="en-US" w:eastAsia="zh-CN" w:bidi="zh-TW"/>
                    </w:rPr>
                    <w:t>、限制类、淘汰类，属允许类项目</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。项目符合国家产业政策。</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3</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、新（改、扩）建项目严格执行产能置换、煤炭替代和污染物倍量削减替代制度，当地有相</w:t>
                  </w:r>
                  <w:r>
                    <w:rPr>
                      <w:rFonts w:hint="default" w:ascii="Times New Roman" w:hAnsi="Times New Roman" w:eastAsia="宋体" w:cs="Times New Roman"/>
                      <w:color w:val="auto"/>
                      <w:spacing w:val="11"/>
                      <w:sz w:val="21"/>
                      <w:szCs w:val="21"/>
                    </w:rPr>
                    <w:t>关园区规划的，原则上要进入园区并配套建设高效环保治理设施，符合园区规划环评、建设项目</w:t>
                  </w:r>
                  <w:r>
                    <w:rPr>
                      <w:rFonts w:hint="default" w:ascii="Times New Roman" w:hAnsi="Times New Roman" w:eastAsia="宋体" w:cs="Times New Roman"/>
                      <w:color w:val="auto"/>
                      <w:spacing w:val="5"/>
                      <w:sz w:val="21"/>
                      <w:szCs w:val="21"/>
                    </w:rPr>
                    <w:t>环评要求。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本项目严格执行倍量削减方案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0"/>
                      <w:sz w:val="21"/>
                      <w:szCs w:val="21"/>
                    </w:rPr>
                    <w:t xml:space="preserve"> </w:t>
                  </w:r>
                  <w:r>
                    <w:rPr>
                      <w:rFonts w:hint="default" w:ascii="Times New Roman" w:hAnsi="Times New Roman" w:eastAsia="宋体" w:cs="Times New Roman"/>
                      <w:color w:val="auto"/>
                      <w:spacing w:val="8"/>
                      <w:sz w:val="21"/>
                      <w:szCs w:val="21"/>
                    </w:rPr>
                    <w:t>、基本取缔燃煤热风炉和钢铁行业燃煤供热锅炉，基本淘汰热电联产供热管网覆盖范围内的</w:t>
                  </w:r>
                  <w:r>
                    <w:rPr>
                      <w:rFonts w:hint="default" w:ascii="Times New Roman" w:hAnsi="Times New Roman" w:eastAsia="宋体" w:cs="Times New Roman"/>
                      <w:color w:val="auto"/>
                      <w:spacing w:val="7"/>
                      <w:sz w:val="21"/>
                      <w:szCs w:val="21"/>
                    </w:rPr>
                    <w:t>燃煤加热、烘干炉（窑）</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本项目不涉及燃</w:t>
                  </w:r>
                  <w:r>
                    <w:rPr>
                      <w:rFonts w:hint="default" w:ascii="Times New Roman" w:hAnsi="Times New Roman" w:eastAsia="宋体" w:cs="Times New Roman"/>
                      <w:color w:val="auto"/>
                      <w:spacing w:val="0"/>
                      <w:w w:val="100"/>
                      <w:position w:val="0"/>
                      <w:sz w:val="21"/>
                      <w:szCs w:val="21"/>
                      <w:highlight w:val="none"/>
                      <w:lang w:val="en-US" w:eastAsia="zh-CN"/>
                    </w:rPr>
                    <w:t>煤热风炉和钢铁行业燃煤供热锅炉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5</w:t>
                  </w:r>
                  <w:r>
                    <w:rPr>
                      <w:rFonts w:hint="default" w:ascii="Times New Roman" w:hAnsi="Times New Roman" w:eastAsia="宋体" w:cs="Times New Roman"/>
                      <w:color w:val="auto"/>
                      <w:spacing w:val="-19"/>
                      <w:sz w:val="21"/>
                      <w:szCs w:val="21"/>
                    </w:rPr>
                    <w:t xml:space="preserve"> </w:t>
                  </w:r>
                  <w:r>
                    <w:rPr>
                      <w:rFonts w:hint="default" w:ascii="Times New Roman" w:hAnsi="Times New Roman" w:eastAsia="宋体" w:cs="Times New Roman"/>
                      <w:color w:val="auto"/>
                      <w:spacing w:val="8"/>
                      <w:sz w:val="21"/>
                      <w:szCs w:val="21"/>
                    </w:rPr>
                    <w:t>、企业事业单位和其他生产经营者应当在规定期限内，淘汰列入河北省淘汰落后生产工艺、设备和产品名录的生产工艺、设备和产品</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本项目无落后工艺、设备和产品</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9"/>
                      <w:sz w:val="21"/>
                      <w:szCs w:val="21"/>
                    </w:rPr>
                    <w:t>6</w:t>
                  </w:r>
                  <w:r>
                    <w:rPr>
                      <w:rFonts w:hint="default" w:ascii="Times New Roman" w:hAnsi="Times New Roman" w:eastAsia="宋体" w:cs="Times New Roman"/>
                      <w:color w:val="auto"/>
                      <w:spacing w:val="-22"/>
                      <w:sz w:val="21"/>
                      <w:szCs w:val="21"/>
                    </w:rPr>
                    <w:t xml:space="preserve"> </w:t>
                  </w:r>
                  <w:r>
                    <w:rPr>
                      <w:rFonts w:hint="default" w:ascii="Times New Roman" w:hAnsi="Times New Roman" w:eastAsia="宋体" w:cs="Times New Roman"/>
                      <w:color w:val="auto"/>
                      <w:spacing w:val="9"/>
                      <w:sz w:val="21"/>
                      <w:szCs w:val="21"/>
                    </w:rPr>
                    <w:t>、全面取缔</w:t>
                  </w:r>
                  <w:r>
                    <w:rPr>
                      <w:rFonts w:hint="default" w:ascii="Times New Roman" w:hAnsi="Times New Roman" w:eastAsia="宋体" w:cs="Times New Roman"/>
                      <w:color w:val="auto"/>
                      <w:spacing w:val="-36"/>
                      <w:sz w:val="21"/>
                      <w:szCs w:val="21"/>
                    </w:rPr>
                    <w:t xml:space="preserve"> </w:t>
                  </w:r>
                  <w:r>
                    <w:rPr>
                      <w:rFonts w:hint="default" w:ascii="Times New Roman" w:hAnsi="Times New Roman" w:eastAsia="宋体" w:cs="Times New Roman"/>
                      <w:color w:val="auto"/>
                      <w:spacing w:val="9"/>
                      <w:sz w:val="21"/>
                      <w:szCs w:val="21"/>
                    </w:rPr>
                    <w:t>35蒸吨及以下燃煤锅炉，发现一台，拆除一台，确保实现动态“清零</w:t>
                  </w:r>
                  <w:r>
                    <w:rPr>
                      <w:rFonts w:hint="default" w:ascii="Times New Roman" w:hAnsi="Times New Roman" w:eastAsia="宋体" w:cs="Times New Roman"/>
                      <w:color w:val="auto"/>
                      <w:spacing w:val="-68"/>
                      <w:sz w:val="21"/>
                      <w:szCs w:val="21"/>
                    </w:rPr>
                    <w:t xml:space="preserve"> </w:t>
                  </w:r>
                  <w:r>
                    <w:rPr>
                      <w:rFonts w:hint="default" w:ascii="Times New Roman" w:hAnsi="Times New Roman" w:eastAsia="宋体" w:cs="Times New Roman"/>
                      <w:color w:val="auto"/>
                      <w:spacing w:val="9"/>
                      <w:sz w:val="21"/>
                      <w:szCs w:val="21"/>
                    </w:rPr>
                    <w:t>”；严禁</w:t>
                  </w:r>
                  <w:r>
                    <w:rPr>
                      <w:rFonts w:hint="default" w:ascii="Times New Roman" w:hAnsi="Times New Roman" w:eastAsia="宋体" w:cs="Times New Roman"/>
                      <w:color w:val="auto"/>
                      <w:spacing w:val="8"/>
                      <w:sz w:val="21"/>
                      <w:szCs w:val="21"/>
                    </w:rPr>
                    <w:t>新增</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8"/>
                      <w:sz w:val="21"/>
                      <w:szCs w:val="21"/>
                    </w:rPr>
                    <w:t>35蒸吨及以下燃煤锅炉。路南区、路北区、高新区、开平区、古冶区、丰润区、丰南区、曹</w:t>
                  </w:r>
                  <w:r>
                    <w:rPr>
                      <w:rFonts w:hint="default" w:ascii="Times New Roman" w:hAnsi="Times New Roman" w:eastAsia="宋体" w:cs="Times New Roman"/>
                      <w:color w:val="auto"/>
                      <w:spacing w:val="11"/>
                      <w:sz w:val="21"/>
                      <w:szCs w:val="21"/>
                    </w:rPr>
                    <w:t>妃甸区全面取缔燃生物质燃料、燃油（醇基燃料）锅炉，建成区范围内改为电锅炉，其他区域改为燃气锅炉或电锅炉。其他县（市）、开发区（管理区）全面取缔燃用生物质燃料非专用锅炉，</w:t>
                  </w:r>
                  <w:r>
                    <w:rPr>
                      <w:rFonts w:hint="default" w:ascii="Times New Roman" w:hAnsi="Times New Roman" w:eastAsia="宋体" w:cs="Times New Roman"/>
                      <w:color w:val="auto"/>
                      <w:spacing w:val="8"/>
                      <w:sz w:val="21"/>
                      <w:szCs w:val="21"/>
                    </w:rPr>
                    <w:t>改为燃气锅炉或电锅炉</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污染物排放管控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5"/>
                      <w:sz w:val="21"/>
                      <w:szCs w:val="21"/>
                    </w:rPr>
                    <w:t>1</w:t>
                  </w:r>
                  <w:r>
                    <w:rPr>
                      <w:rFonts w:hint="default" w:ascii="Times New Roman" w:hAnsi="Times New Roman" w:eastAsia="宋体" w:cs="Times New Roman"/>
                      <w:color w:val="auto"/>
                      <w:spacing w:val="-10"/>
                      <w:sz w:val="21"/>
                      <w:szCs w:val="21"/>
                    </w:rPr>
                    <w:t xml:space="preserve"> </w:t>
                  </w:r>
                  <w:r>
                    <w:rPr>
                      <w:rFonts w:hint="default" w:ascii="Times New Roman" w:hAnsi="Times New Roman" w:eastAsia="宋体" w:cs="Times New Roman"/>
                      <w:color w:val="auto"/>
                      <w:spacing w:val="5"/>
                      <w:sz w:val="21"/>
                      <w:szCs w:val="21"/>
                    </w:rPr>
                    <w:t>、细颗粒物（</w:t>
                  </w: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pacing w:val="5"/>
                      <w:position w:val="-1"/>
                      <w:sz w:val="21"/>
                      <w:szCs w:val="21"/>
                      <w:vertAlign w:val="subscript"/>
                    </w:rPr>
                    <w:t>2.5</w:t>
                  </w:r>
                  <w:r>
                    <w:rPr>
                      <w:rFonts w:hint="default" w:ascii="Times New Roman" w:hAnsi="Times New Roman" w:eastAsia="宋体" w:cs="Times New Roman"/>
                      <w:color w:val="auto"/>
                      <w:spacing w:val="5"/>
                      <w:sz w:val="21"/>
                      <w:szCs w:val="21"/>
                    </w:rPr>
                    <w:t>）年平均浓度不达标的城市，二氧化硫、氮氧化物、烟粉尘、挥发性有机</w:t>
                  </w:r>
                  <w:r>
                    <w:rPr>
                      <w:rFonts w:hint="default" w:ascii="Times New Roman" w:hAnsi="Times New Roman" w:eastAsia="宋体" w:cs="Times New Roman"/>
                      <w:color w:val="auto"/>
                      <w:spacing w:val="11"/>
                      <w:sz w:val="21"/>
                      <w:szCs w:val="21"/>
                    </w:rPr>
                    <w:t>物四项污染物均需进行</w:t>
                  </w:r>
                  <w:r>
                    <w:rPr>
                      <w:rFonts w:hint="default" w:ascii="Times New Roman" w:hAnsi="Times New Roman" w:eastAsia="宋体" w:cs="Times New Roman"/>
                      <w:color w:val="auto"/>
                      <w:spacing w:val="-38"/>
                      <w:sz w:val="21"/>
                      <w:szCs w:val="21"/>
                    </w:rPr>
                    <w:t xml:space="preserve"> </w:t>
                  </w:r>
                  <w:r>
                    <w:rPr>
                      <w:rFonts w:hint="default" w:ascii="Times New Roman" w:hAnsi="Times New Roman" w:eastAsia="宋体" w:cs="Times New Roman"/>
                      <w:color w:val="auto"/>
                      <w:spacing w:val="11"/>
                      <w:sz w:val="21"/>
                      <w:szCs w:val="21"/>
                    </w:rPr>
                    <w:t>2倍削减替代（燃煤发电机组大气污染物排放浓度</w:t>
                  </w:r>
                  <w:r>
                    <w:rPr>
                      <w:rFonts w:hint="default" w:ascii="Times New Roman" w:hAnsi="Times New Roman" w:eastAsia="宋体" w:cs="Times New Roman"/>
                      <w:color w:val="auto"/>
                      <w:spacing w:val="10"/>
                      <w:sz w:val="21"/>
                      <w:szCs w:val="21"/>
                    </w:rPr>
                    <w:t>基本达到燃气轮机组排</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放限值的除外）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本项目严格执行倍量削减方案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7"/>
                      <w:sz w:val="21"/>
                      <w:szCs w:val="21"/>
                    </w:rPr>
                    <w:t>、35 蒸吨以上燃煤锅炉、燃油（醇基燃料）锅炉、</w:t>
                  </w:r>
                  <w:r>
                    <w:rPr>
                      <w:rFonts w:hint="default" w:ascii="Times New Roman" w:hAnsi="Times New Roman" w:eastAsia="宋体" w:cs="Times New Roman"/>
                      <w:color w:val="auto"/>
                      <w:spacing w:val="6"/>
                      <w:sz w:val="21"/>
                      <w:szCs w:val="21"/>
                    </w:rPr>
                    <w:t>燃用生物质专用锅炉各污染物排放浓度达</w:t>
                  </w:r>
                  <w:r>
                    <w:rPr>
                      <w:rFonts w:hint="default" w:ascii="Times New Roman" w:hAnsi="Times New Roman" w:eastAsia="宋体" w:cs="Times New Roman"/>
                      <w:color w:val="auto"/>
                      <w:spacing w:val="8"/>
                      <w:sz w:val="21"/>
                      <w:szCs w:val="21"/>
                    </w:rPr>
                    <w:t>到《河北省锅炉大气污染物排放标准（</w:t>
                  </w:r>
                  <w:r>
                    <w:rPr>
                      <w:rFonts w:hint="default" w:ascii="Times New Roman" w:hAnsi="Times New Roman" w:eastAsia="宋体" w:cs="Times New Roman"/>
                      <w:color w:val="auto"/>
                      <w:sz w:val="21"/>
                      <w:szCs w:val="21"/>
                    </w:rPr>
                    <w:t>DB</w:t>
                  </w:r>
                  <w:r>
                    <w:rPr>
                      <w:rFonts w:hint="default" w:ascii="Times New Roman" w:hAnsi="Times New Roman" w:eastAsia="宋体" w:cs="Times New Roman"/>
                      <w:color w:val="auto"/>
                      <w:spacing w:val="8"/>
                      <w:sz w:val="21"/>
                      <w:szCs w:val="21"/>
                    </w:rPr>
                    <w:t>13/5161）</w:t>
                  </w:r>
                  <w:r>
                    <w:rPr>
                      <w:rFonts w:hint="default" w:ascii="Times New Roman" w:hAnsi="Times New Roman" w:eastAsia="宋体" w:cs="Times New Roman"/>
                      <w:color w:val="auto"/>
                      <w:spacing w:val="7"/>
                      <w:sz w:val="21"/>
                      <w:szCs w:val="21"/>
                    </w:rPr>
                    <w:t>》要求；燃煤气、天然气锅炉各污染物排放浓</w:t>
                  </w:r>
                  <w:r>
                    <w:rPr>
                      <w:rFonts w:hint="default" w:ascii="Times New Roman" w:hAnsi="Times New Roman" w:eastAsia="宋体" w:cs="Times New Roman"/>
                      <w:color w:val="auto"/>
                      <w:spacing w:val="8"/>
                      <w:sz w:val="21"/>
                      <w:szCs w:val="21"/>
                    </w:rPr>
                    <w:t>度达到《唐山市锅炉治理专项实施方案》（唐气领办〔2019〕10 号）要求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3</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、加强农村燃煤污染治理</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59"/>
                      <w:sz w:val="21"/>
                      <w:szCs w:val="21"/>
                    </w:rPr>
                    <w:t xml:space="preserve"> </w:t>
                  </w:r>
                  <w:r>
                    <w:rPr>
                      <w:rFonts w:hint="default" w:ascii="Times New Roman" w:hAnsi="Times New Roman" w:eastAsia="宋体" w:cs="Times New Roman"/>
                      <w:color w:val="auto"/>
                      <w:spacing w:val="8"/>
                      <w:sz w:val="21"/>
                      <w:szCs w:val="21"/>
                    </w:rPr>
                    <w:t>一）推广使用民用清洁燃烧炉具，加快淘汰低效直燃式高污染</w:t>
                  </w:r>
                  <w:r>
                    <w:rPr>
                      <w:rFonts w:hint="default" w:ascii="Times New Roman" w:hAnsi="Times New Roman" w:eastAsia="宋体" w:cs="Times New Roman"/>
                      <w:color w:val="auto"/>
                      <w:spacing w:val="12"/>
                      <w:sz w:val="21"/>
                      <w:szCs w:val="21"/>
                    </w:rPr>
                    <w:t>炉具，严禁生产、销售、使用不符合环保要求的炉具</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79"/>
                      <w:sz w:val="21"/>
                      <w:szCs w:val="21"/>
                    </w:rPr>
                    <w:t xml:space="preserve"> </w:t>
                  </w:r>
                  <w:r>
                    <w:rPr>
                      <w:rFonts w:hint="default" w:ascii="Times New Roman" w:hAnsi="Times New Roman" w:eastAsia="宋体" w:cs="Times New Roman"/>
                      <w:color w:val="auto"/>
                      <w:spacing w:val="-13"/>
                      <w:sz w:val="21"/>
                      <w:szCs w:val="21"/>
                    </w:rPr>
                    <w:t>（</w:t>
                  </w:r>
                  <w:r>
                    <w:rPr>
                      <w:rFonts w:hint="default" w:ascii="Times New Roman" w:hAnsi="Times New Roman" w:eastAsia="宋体" w:cs="Times New Roman"/>
                      <w:color w:val="auto"/>
                      <w:spacing w:val="12"/>
                      <w:sz w:val="21"/>
                      <w:szCs w:val="21"/>
                    </w:rPr>
                    <w:t>二）加强洁净型煤、优质煤炭的</w:t>
                  </w:r>
                  <w:r>
                    <w:rPr>
                      <w:rFonts w:hint="default" w:ascii="Times New Roman" w:hAnsi="Times New Roman" w:eastAsia="宋体" w:cs="Times New Roman"/>
                      <w:color w:val="auto"/>
                      <w:spacing w:val="11"/>
                      <w:sz w:val="21"/>
                      <w:szCs w:val="21"/>
                    </w:rPr>
                    <w:t>推广使</w:t>
                  </w:r>
                  <w:r>
                    <w:rPr>
                      <w:rFonts w:hint="default" w:ascii="Times New Roman" w:hAnsi="Times New Roman" w:eastAsia="宋体" w:cs="Times New Roman"/>
                      <w:color w:val="auto"/>
                      <w:spacing w:val="12"/>
                      <w:sz w:val="21"/>
                      <w:szCs w:val="21"/>
                    </w:rPr>
                    <w:t>用，实现农村地区洁净型煤配送网点建设全覆盖，严禁使用高硫分和劣质煤炭</w:t>
                  </w:r>
                  <w:r>
                    <w:rPr>
                      <w:rFonts w:hint="default" w:ascii="Times New Roman" w:hAnsi="Times New Roman" w:eastAsia="宋体" w:cs="Times New Roman"/>
                      <w:color w:val="auto"/>
                      <w:spacing w:val="-4"/>
                      <w:sz w:val="21"/>
                      <w:szCs w:val="21"/>
                    </w:rPr>
                    <w:t>；（</w:t>
                  </w:r>
                  <w:r>
                    <w:rPr>
                      <w:rFonts w:hint="default" w:ascii="Times New Roman" w:hAnsi="Times New Roman" w:eastAsia="宋体" w:cs="Times New Roman"/>
                      <w:color w:val="auto"/>
                      <w:spacing w:val="12"/>
                      <w:sz w:val="21"/>
                      <w:szCs w:val="21"/>
                    </w:rPr>
                    <w:t>三）推广太阳</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能、</w:t>
                  </w:r>
                  <w:r>
                    <w:rPr>
                      <w:rFonts w:hint="default" w:ascii="Times New Roman" w:hAnsi="Times New Roman" w:eastAsia="宋体" w:cs="Times New Roman"/>
                      <w:color w:val="auto"/>
                      <w:spacing w:val="-48"/>
                      <w:sz w:val="21"/>
                      <w:szCs w:val="21"/>
                    </w:rPr>
                    <w:t xml:space="preserve"> </w:t>
                  </w:r>
                  <w:r>
                    <w:rPr>
                      <w:rFonts w:hint="default" w:ascii="Times New Roman" w:hAnsi="Times New Roman" w:eastAsia="宋体" w:cs="Times New Roman"/>
                      <w:color w:val="auto"/>
                      <w:spacing w:val="10"/>
                      <w:sz w:val="21"/>
                      <w:szCs w:val="21"/>
                    </w:rPr>
                    <w:t>电能、燃气、沼气、地热等使用，加强农作物秸秆能源化，推进农村清洁能源的替代和开发</w:t>
                  </w:r>
                  <w:r>
                    <w:rPr>
                      <w:rFonts w:hint="default" w:ascii="Times New Roman" w:hAnsi="Times New Roman" w:eastAsia="宋体" w:cs="Times New Roman"/>
                      <w:color w:val="auto"/>
                      <w:spacing w:val="2"/>
                      <w:sz w:val="21"/>
                      <w:szCs w:val="21"/>
                    </w:rPr>
                    <w:t>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、对保留的工业炉窑开展环保提标改造，配套建设高效脱硫脱硝除尘</w:t>
                  </w:r>
                  <w:r>
                    <w:rPr>
                      <w:rFonts w:hint="default" w:ascii="Times New Roman" w:hAnsi="Times New Roman" w:eastAsia="宋体" w:cs="Times New Roman"/>
                      <w:color w:val="auto"/>
                      <w:spacing w:val="7"/>
                      <w:sz w:val="21"/>
                      <w:szCs w:val="21"/>
                    </w:rPr>
                    <w:t>设施，确保稳定达标排</w:t>
                  </w:r>
                  <w:r>
                    <w:rPr>
                      <w:rFonts w:hint="default" w:ascii="Times New Roman" w:hAnsi="Times New Roman" w:eastAsia="宋体" w:cs="Times New Roman"/>
                      <w:color w:val="auto"/>
                      <w:spacing w:val="11"/>
                      <w:sz w:val="21"/>
                      <w:szCs w:val="21"/>
                    </w:rPr>
                    <w:t>放。加快推进钢铁行业超低排放改造，积极推进平板玻璃行业和水泥行业污染治</w:t>
                  </w:r>
                  <w:r>
                    <w:rPr>
                      <w:rFonts w:hint="default" w:ascii="Times New Roman" w:hAnsi="Times New Roman" w:eastAsia="宋体" w:cs="Times New Roman"/>
                      <w:color w:val="auto"/>
                      <w:spacing w:val="10"/>
                      <w:sz w:val="21"/>
                      <w:szCs w:val="21"/>
                    </w:rPr>
                    <w:t>理升级改造。鼓</w:t>
                  </w:r>
                  <w:r>
                    <w:rPr>
                      <w:rFonts w:hint="default" w:ascii="Times New Roman" w:hAnsi="Times New Roman" w:eastAsia="宋体" w:cs="Times New Roman"/>
                      <w:color w:val="auto"/>
                      <w:spacing w:val="11"/>
                      <w:sz w:val="21"/>
                      <w:szCs w:val="21"/>
                    </w:rPr>
                    <w:t>励具备条件的陶瓷企业陶瓷窑、喷雾干燥塔开展超低排放改造。平板玻璃、建筑</w:t>
                  </w:r>
                  <w:r>
                    <w:rPr>
                      <w:rFonts w:hint="default" w:ascii="Times New Roman" w:hAnsi="Times New Roman" w:eastAsia="宋体" w:cs="Times New Roman"/>
                      <w:color w:val="auto"/>
                      <w:spacing w:val="10"/>
                      <w:sz w:val="21"/>
                      <w:szCs w:val="21"/>
                    </w:rPr>
                    <w:t>陶瓷企业逐步取</w:t>
                  </w:r>
                  <w:r>
                    <w:rPr>
                      <w:rFonts w:hint="default" w:ascii="Times New Roman" w:hAnsi="Times New Roman" w:eastAsia="宋体" w:cs="Times New Roman"/>
                      <w:color w:val="auto"/>
                      <w:spacing w:val="11"/>
                      <w:sz w:val="21"/>
                      <w:szCs w:val="21"/>
                    </w:rPr>
                    <w:t>消脱硫脱硝烟气旁路或设置备用脱硫脱硝等设施，鼓励水泥企业实施全流程污染</w:t>
                  </w:r>
                  <w:r>
                    <w:rPr>
                      <w:rFonts w:hint="default" w:ascii="Times New Roman" w:hAnsi="Times New Roman" w:eastAsia="宋体" w:cs="Times New Roman"/>
                      <w:color w:val="auto"/>
                      <w:spacing w:val="10"/>
                      <w:sz w:val="21"/>
                      <w:szCs w:val="21"/>
                    </w:rPr>
                    <w:t>深度治理。推进</w:t>
                  </w:r>
                  <w:r>
                    <w:rPr>
                      <w:rFonts w:hint="default" w:ascii="Times New Roman" w:hAnsi="Times New Roman" w:eastAsia="宋体" w:cs="Times New Roman"/>
                      <w:color w:val="auto"/>
                      <w:spacing w:val="8"/>
                      <w:sz w:val="21"/>
                      <w:szCs w:val="21"/>
                    </w:rPr>
                    <w:t>具备条件的焦化企业实施干熄焦改造。在保证生产安全前提下，钢铁烧结（球团）、高炉、转炉、</w:t>
                  </w:r>
                  <w:r>
                    <w:rPr>
                      <w:rFonts w:hint="default" w:ascii="Times New Roman" w:hAnsi="Times New Roman" w:eastAsia="宋体" w:cs="Times New Roman"/>
                      <w:color w:val="auto"/>
                      <w:spacing w:val="9"/>
                      <w:sz w:val="21"/>
                      <w:szCs w:val="21"/>
                    </w:rPr>
                    <w:t>轧钢工序实施车间封闭生产。对标行业先进，持续推动污染物排放总量降低</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本项目不涉及燃料燃烧</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8"/>
                      <w:sz w:val="21"/>
                      <w:szCs w:val="21"/>
                    </w:rPr>
                    <w:t>5</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、推广新能源机动车，建设相应的充电站（桩）、加气站等基础设施，新建居民住宅小区停</w:t>
                  </w:r>
                  <w:r>
                    <w:rPr>
                      <w:rFonts w:hint="default" w:ascii="Times New Roman" w:hAnsi="Times New Roman" w:eastAsia="宋体" w:cs="Times New Roman"/>
                      <w:color w:val="auto"/>
                      <w:spacing w:val="11"/>
                      <w:sz w:val="21"/>
                      <w:szCs w:val="21"/>
                    </w:rPr>
                    <w:t>车位应当建设相应的充电设施；鼓励和支持公共交通、出租车、环境卫生、邮政、快递等行业用车和公务用车率先使用新能源机动车。加强城市步行和自行车交通系统建设，引导公众绿色、低</w:t>
                  </w:r>
                  <w:r>
                    <w:rPr>
                      <w:rFonts w:hint="default" w:ascii="Times New Roman" w:hAnsi="Times New Roman" w:eastAsia="宋体" w:cs="Times New Roman"/>
                      <w:color w:val="auto"/>
                      <w:spacing w:val="10"/>
                      <w:sz w:val="21"/>
                      <w:szCs w:val="21"/>
                    </w:rPr>
                    <w:t>碳出行。船舶靠港后应当优先使用岸电。新建码头应当规划、设计和建设岸基供电设施；</w:t>
                  </w:r>
                  <w:r>
                    <w:rPr>
                      <w:rFonts w:hint="default" w:ascii="Times New Roman" w:hAnsi="Times New Roman" w:eastAsia="宋体" w:cs="Times New Roman"/>
                      <w:color w:val="auto"/>
                      <w:spacing w:val="-48"/>
                      <w:sz w:val="21"/>
                      <w:szCs w:val="21"/>
                    </w:rPr>
                    <w:t xml:space="preserve"> </w:t>
                  </w:r>
                  <w:r>
                    <w:rPr>
                      <w:rFonts w:hint="default" w:ascii="Times New Roman" w:hAnsi="Times New Roman" w:eastAsia="宋体" w:cs="Times New Roman"/>
                      <w:color w:val="auto"/>
                      <w:spacing w:val="10"/>
                      <w:sz w:val="21"/>
                      <w:szCs w:val="21"/>
                    </w:rPr>
                    <w:t>已建成</w:t>
                  </w:r>
                  <w:r>
                    <w:rPr>
                      <w:rFonts w:hint="default" w:ascii="Times New Roman" w:hAnsi="Times New Roman" w:eastAsia="宋体" w:cs="Times New Roman"/>
                      <w:color w:val="auto"/>
                      <w:spacing w:val="8"/>
                      <w:sz w:val="21"/>
                      <w:szCs w:val="21"/>
                    </w:rPr>
                    <w:t>的码头应当逐步实施岸基供电设施改造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原料、</w:t>
                  </w:r>
                  <w:r>
                    <w:rPr>
                      <w:rFonts w:hint="default" w:ascii="Times New Roman" w:hAnsi="Times New Roman" w:eastAsia="宋体" w:cs="Times New Roman"/>
                      <w:color w:val="auto"/>
                      <w:sz w:val="21"/>
                      <w:szCs w:val="21"/>
                      <w:highlight w:val="none"/>
                      <w:lang w:val="en-US" w:eastAsia="zh-CN"/>
                    </w:rPr>
                    <w:t>成品主要为公路运输，</w:t>
                  </w:r>
                  <w:r>
                    <w:rPr>
                      <w:rFonts w:hint="default" w:ascii="Times New Roman" w:hAnsi="Times New Roman" w:eastAsia="宋体" w:cs="Times New Roman"/>
                      <w:color w:val="auto"/>
                      <w:sz w:val="21"/>
                      <w:szCs w:val="21"/>
                      <w:highlight w:val="none"/>
                    </w:rPr>
                    <w:t>运输均采用新能源汽车或达到国六排放标准的汽车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6</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、加快油品质量升级。停止销售低于国Ⅵ标准的汽柴油，实现车用柴油</w:t>
                  </w:r>
                  <w:r>
                    <w:rPr>
                      <w:rFonts w:hint="default" w:ascii="Times New Roman" w:hAnsi="Times New Roman" w:eastAsia="宋体" w:cs="Times New Roman"/>
                      <w:color w:val="auto"/>
                      <w:spacing w:val="7"/>
                      <w:sz w:val="21"/>
                      <w:szCs w:val="21"/>
                    </w:rPr>
                    <w:t>、普通柴油、部分船舶用油“三油并轨</w:t>
                  </w:r>
                  <w:r>
                    <w:rPr>
                      <w:rFonts w:hint="default" w:ascii="Times New Roman" w:hAnsi="Times New Roman" w:eastAsia="宋体" w:cs="Times New Roman"/>
                      <w:color w:val="auto"/>
                      <w:spacing w:val="-62"/>
                      <w:sz w:val="21"/>
                      <w:szCs w:val="21"/>
                    </w:rPr>
                    <w:t xml:space="preserve"> </w:t>
                  </w:r>
                  <w:r>
                    <w:rPr>
                      <w:rFonts w:hint="default" w:ascii="Times New Roman" w:hAnsi="Times New Roman" w:eastAsia="宋体" w:cs="Times New Roman"/>
                      <w:color w:val="auto"/>
                      <w:spacing w:val="7"/>
                      <w:sz w:val="21"/>
                      <w:szCs w:val="21"/>
                    </w:rPr>
                    <w:t>”</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7</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、推进矿山综合整治。按照“能关则关、应合</w:t>
                  </w:r>
                  <w:r>
                    <w:rPr>
                      <w:rFonts w:hint="default" w:ascii="Times New Roman" w:hAnsi="Times New Roman" w:eastAsia="宋体" w:cs="Times New Roman"/>
                      <w:color w:val="auto"/>
                      <w:spacing w:val="7"/>
                      <w:sz w:val="21"/>
                      <w:szCs w:val="21"/>
                    </w:rPr>
                    <w:t>尽合、能转则转</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7"/>
                      <w:sz w:val="21"/>
                      <w:szCs w:val="21"/>
                    </w:rPr>
                    <w:t>”的原则，对违反法律法规、</w:t>
                  </w:r>
                  <w:r>
                    <w:rPr>
                      <w:rFonts w:hint="default" w:ascii="Times New Roman" w:hAnsi="Times New Roman" w:eastAsia="宋体" w:cs="Times New Roman"/>
                      <w:color w:val="auto"/>
                      <w:spacing w:val="9"/>
                      <w:sz w:val="21"/>
                      <w:szCs w:val="21"/>
                    </w:rPr>
                    <w:t>列入关闭计划、整改不达标、乱采滥挖的矿山，依法依规坚决关闭取缔</w:t>
                  </w:r>
                </w:p>
              </w:tc>
              <w:tc>
                <w:tcPr>
                  <w:tcW w:w="1190"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本项目不涉及</w:t>
                  </w:r>
                </w:p>
              </w:tc>
              <w:tc>
                <w:tcPr>
                  <w:tcW w:w="254"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8</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8"/>
                      <w:sz w:val="21"/>
                      <w:szCs w:val="21"/>
                    </w:rPr>
                    <w:t>、强化建筑施工扬尘污染防治，严格落实《河北省扬尘污染防治办法》，对城市建成区、县</w:t>
                  </w:r>
                  <w:r>
                    <w:rPr>
                      <w:rFonts w:hint="default" w:ascii="Times New Roman" w:hAnsi="Times New Roman" w:eastAsia="宋体" w:cs="Times New Roman"/>
                      <w:color w:val="auto"/>
                      <w:spacing w:val="11"/>
                      <w:sz w:val="21"/>
                      <w:szCs w:val="21"/>
                    </w:rPr>
                    <w:t>城建筑施工工地实施全面监管。强化道路扬尘综合治理，按照《河北省城市精细化管理标准》有</w:t>
                  </w:r>
                  <w:r>
                    <w:rPr>
                      <w:rFonts w:hint="default" w:ascii="Times New Roman" w:hAnsi="Times New Roman" w:eastAsia="宋体" w:cs="Times New Roman"/>
                      <w:color w:val="auto"/>
                      <w:spacing w:val="8"/>
                      <w:sz w:val="21"/>
                      <w:szCs w:val="21"/>
                    </w:rPr>
                    <w:t>关要求，全面巩固洁净城市创建成果</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本</w:t>
                  </w:r>
                  <w:r>
                    <w:rPr>
                      <w:rFonts w:hint="default" w:ascii="Times New Roman" w:hAnsi="Times New Roman" w:eastAsia="宋体" w:cs="Times New Roman"/>
                      <w:bCs/>
                      <w:color w:val="auto"/>
                      <w:sz w:val="21"/>
                      <w:szCs w:val="21"/>
                      <w:highlight w:val="none"/>
                      <w:lang w:eastAsia="zh-CN"/>
                    </w:rPr>
                    <w:t>项目</w:t>
                  </w:r>
                  <w:r>
                    <w:rPr>
                      <w:rFonts w:hint="default" w:ascii="Times New Roman" w:hAnsi="Times New Roman" w:eastAsia="宋体" w:cs="Times New Roman"/>
                      <w:bCs/>
                      <w:color w:val="auto"/>
                      <w:sz w:val="21"/>
                      <w:szCs w:val="21"/>
                      <w:highlight w:val="none"/>
                      <w:lang w:val="en-US" w:eastAsia="zh-CN"/>
                    </w:rPr>
                    <w:t>施工期</w:t>
                  </w:r>
                  <w:r>
                    <w:rPr>
                      <w:rFonts w:hint="default" w:ascii="Times New Roman" w:hAnsi="Times New Roman" w:eastAsia="宋体" w:cs="Times New Roman"/>
                      <w:color w:val="auto"/>
                      <w:spacing w:val="8"/>
                      <w:sz w:val="21"/>
                      <w:szCs w:val="21"/>
                    </w:rPr>
                    <w:t>严格落实《河北省扬尘污染防治办法》</w:t>
                  </w:r>
                  <w:r>
                    <w:rPr>
                      <w:rFonts w:hint="eastAsia" w:ascii="Times New Roman" w:hAnsi="Times New Roman" w:eastAsia="宋体" w:cs="Times New Roman"/>
                      <w:color w:val="auto"/>
                      <w:spacing w:val="8"/>
                      <w:sz w:val="21"/>
                      <w:szCs w:val="21"/>
                      <w:lang w:eastAsia="zh-CN"/>
                    </w:rPr>
                    <w:t>、</w:t>
                  </w:r>
                  <w:r>
                    <w:rPr>
                      <w:rFonts w:hint="default" w:ascii="Times New Roman" w:hAnsi="Times New Roman" w:eastAsia="宋体" w:cs="Times New Roman"/>
                      <w:color w:val="auto"/>
                      <w:spacing w:val="11"/>
                      <w:sz w:val="21"/>
                      <w:szCs w:val="21"/>
                    </w:rPr>
                    <w:t>《河北省城市精细化管理标准》</w:t>
                  </w:r>
                  <w:r>
                    <w:rPr>
                      <w:rFonts w:hint="eastAsia" w:ascii="Times New Roman" w:hAnsi="Times New Roman" w:eastAsia="宋体" w:cs="Times New Roman"/>
                      <w:color w:val="auto"/>
                      <w:spacing w:val="11"/>
                      <w:sz w:val="21"/>
                      <w:szCs w:val="21"/>
                      <w:lang w:val="en-US" w:eastAsia="zh-CN"/>
                    </w:rPr>
                    <w:t>相关要求进行</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9</w:t>
                  </w:r>
                  <w:r>
                    <w:rPr>
                      <w:rFonts w:hint="default" w:ascii="Times New Roman" w:hAnsi="Times New Roman" w:eastAsia="宋体" w:cs="Times New Roman"/>
                      <w:color w:val="auto"/>
                      <w:spacing w:val="-25"/>
                      <w:sz w:val="21"/>
                      <w:szCs w:val="21"/>
                    </w:rPr>
                    <w:t xml:space="preserve"> </w:t>
                  </w:r>
                  <w:r>
                    <w:rPr>
                      <w:rFonts w:hint="default" w:ascii="Times New Roman" w:hAnsi="Times New Roman" w:eastAsia="宋体" w:cs="Times New Roman"/>
                      <w:color w:val="auto"/>
                      <w:spacing w:val="8"/>
                      <w:sz w:val="21"/>
                      <w:szCs w:val="21"/>
                    </w:rPr>
                    <w:t>、深化重点行业深度治理。巩固钢铁、焦化、煤电、水泥、平板玻璃等重点行业超低排放改</w:t>
                  </w:r>
                  <w:r>
                    <w:rPr>
                      <w:rFonts w:hint="default" w:ascii="Times New Roman" w:hAnsi="Times New Roman" w:eastAsia="宋体" w:cs="Times New Roman"/>
                      <w:color w:val="auto"/>
                      <w:spacing w:val="9"/>
                      <w:sz w:val="21"/>
                      <w:szCs w:val="21"/>
                    </w:rPr>
                    <w:t>造成效，实施工艺全流程深度治理，推进全过程无组织排放管控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本项目不属于</w:t>
                  </w:r>
                  <w:r>
                    <w:rPr>
                      <w:rFonts w:hint="default" w:ascii="Times New Roman" w:hAnsi="Times New Roman" w:eastAsia="宋体" w:cs="Times New Roman"/>
                      <w:color w:val="auto"/>
                      <w:spacing w:val="8"/>
                      <w:sz w:val="21"/>
                      <w:szCs w:val="21"/>
                    </w:rPr>
                    <w:t>钢铁、焦化、煤电、水泥、平板玻璃等重点行业</w:t>
                  </w:r>
                  <w:r>
                    <w:rPr>
                      <w:rFonts w:hint="eastAsia" w:cs="Times New Roman"/>
                      <w:color w:val="auto"/>
                      <w:spacing w:val="8"/>
                      <w:sz w:val="21"/>
                      <w:szCs w:val="21"/>
                      <w:lang w:eastAsia="zh-CN"/>
                    </w:rPr>
                    <w:t>；</w:t>
                  </w:r>
                  <w:r>
                    <w:rPr>
                      <w:rFonts w:hint="eastAsia" w:cs="Times New Roman"/>
                      <w:color w:val="auto"/>
                      <w:spacing w:val="8"/>
                      <w:sz w:val="21"/>
                      <w:szCs w:val="21"/>
                      <w:lang w:val="en-US" w:eastAsia="zh-CN"/>
                    </w:rPr>
                    <w:t>项目采取车间封闭、喷雾抑尘等措施降低无组织颗粒物排放</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10"/>
                      <w:sz w:val="21"/>
                      <w:szCs w:val="21"/>
                    </w:rPr>
                    <w:t>10</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、加强重污染天气应急联动。加强污染气象条件和空气污染监测、预报预警和评估能力建</w:t>
                  </w:r>
                  <w:r>
                    <w:rPr>
                      <w:rFonts w:hint="default" w:ascii="Times New Roman" w:hAnsi="Times New Roman" w:eastAsia="宋体" w:cs="Times New Roman"/>
                      <w:color w:val="auto"/>
                      <w:spacing w:val="11"/>
                      <w:sz w:val="21"/>
                      <w:szCs w:val="21"/>
                    </w:rPr>
                    <w:t>设，建成全市区域传输监控预警系统，提高重污染天气预报预警的准确度。加大秋冬季工业企业生产调控力度，按照基本抵消新增污染物排放量的原则，对钢铁、建材、焦化、铸造、化工等高</w:t>
                  </w:r>
                  <w:r>
                    <w:rPr>
                      <w:rFonts w:hint="default" w:ascii="Times New Roman" w:hAnsi="Times New Roman" w:eastAsia="宋体" w:cs="Times New Roman"/>
                      <w:color w:val="auto"/>
                      <w:spacing w:val="8"/>
                      <w:sz w:val="21"/>
                      <w:szCs w:val="21"/>
                    </w:rPr>
                    <w:t>排放行业实行强化管控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严格执行重污染天气停限产规定</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10"/>
                      <w:sz w:val="21"/>
                      <w:szCs w:val="21"/>
                    </w:rPr>
                    <w:t>11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、强化柴油货车污染防治。加快柴油货车治理，推动货运经营整合升级、提质增效，加快</w:t>
                  </w:r>
                  <w:r>
                    <w:rPr>
                      <w:rFonts w:hint="default" w:ascii="Times New Roman" w:hAnsi="Times New Roman" w:eastAsia="宋体" w:cs="Times New Roman"/>
                      <w:color w:val="auto"/>
                      <w:spacing w:val="9"/>
                      <w:sz w:val="21"/>
                      <w:szCs w:val="21"/>
                    </w:rPr>
                    <w:t>规模化发展、连锁化经营。实施清洁柴油车、清洁运输和清洁油品行动，降低污染排放总量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7"/>
                      <w:sz w:val="21"/>
                      <w:szCs w:val="21"/>
                    </w:rPr>
                    <w:t>12</w:t>
                  </w:r>
                  <w:r>
                    <w:rPr>
                      <w:rFonts w:hint="default" w:ascii="Times New Roman" w:hAnsi="Times New Roman" w:eastAsia="宋体" w:cs="Times New Roman"/>
                      <w:color w:val="auto"/>
                      <w:spacing w:val="-27"/>
                      <w:sz w:val="21"/>
                      <w:szCs w:val="21"/>
                    </w:rPr>
                    <w:t xml:space="preserve"> </w:t>
                  </w:r>
                  <w:r>
                    <w:rPr>
                      <w:rFonts w:hint="default" w:ascii="Times New Roman" w:hAnsi="Times New Roman" w:eastAsia="宋体" w:cs="Times New Roman"/>
                      <w:color w:val="auto"/>
                      <w:spacing w:val="7"/>
                      <w:sz w:val="21"/>
                      <w:szCs w:val="21"/>
                    </w:rPr>
                    <w:t>、禁止露天焚烧秸秆、落叶、枯草等产生烟尘污染的物质，以及电子</w:t>
                  </w:r>
                  <w:r>
                    <w:rPr>
                      <w:rFonts w:hint="default" w:ascii="Times New Roman" w:hAnsi="Times New Roman" w:eastAsia="宋体" w:cs="Times New Roman"/>
                      <w:color w:val="auto"/>
                      <w:spacing w:val="6"/>
                      <w:sz w:val="21"/>
                      <w:szCs w:val="21"/>
                    </w:rPr>
                    <w:t>废弃物、油毡、橡胶、</w:t>
                  </w:r>
                  <w:r>
                    <w:rPr>
                      <w:rFonts w:hint="default" w:ascii="Times New Roman" w:hAnsi="Times New Roman" w:eastAsia="宋体" w:cs="Times New Roman"/>
                      <w:color w:val="auto"/>
                      <w:spacing w:val="9"/>
                      <w:sz w:val="21"/>
                      <w:szCs w:val="21"/>
                    </w:rPr>
                    <w:t>塑料、皮革、沥青、垃圾等产生有毒有害、恶臭或者强烈异味气体的物质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13</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、以化工、工业涂装、包装印刷、油品储运销等行业领域为重点，安全高效推进挥发性有</w:t>
                  </w:r>
                  <w:r>
                    <w:rPr>
                      <w:rFonts w:hint="default" w:ascii="Times New Roman" w:hAnsi="Times New Roman" w:eastAsia="宋体" w:cs="Times New Roman"/>
                      <w:color w:val="auto"/>
                      <w:spacing w:val="9"/>
                      <w:sz w:val="21"/>
                      <w:szCs w:val="21"/>
                    </w:rPr>
                    <w:t>机物综合治理，无组织排放和末端深度治理等提升改造工程</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14</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10"/>
                      <w:sz w:val="21"/>
                      <w:szCs w:val="21"/>
                    </w:rPr>
                    <w:t>、推动大气氨排放控制。加强烟气脱硝和氨法脱硫氨逃逸控制。推进种植业、养殖业大气</w:t>
                  </w:r>
                  <w:r>
                    <w:rPr>
                      <w:rFonts w:hint="default" w:ascii="Times New Roman" w:hAnsi="Times New Roman" w:eastAsia="宋体" w:cs="Times New Roman"/>
                      <w:color w:val="auto"/>
                      <w:spacing w:val="9"/>
                      <w:sz w:val="21"/>
                      <w:szCs w:val="21"/>
                    </w:rPr>
                    <w:t>氨减排，加强源头防控，优化肥料、饲料结构</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15</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、严格控制二氧化碳排放强度。加强甲烷等非二氧化碳温室</w:t>
                  </w:r>
                  <w:r>
                    <w:rPr>
                      <w:rFonts w:hint="default" w:ascii="Times New Roman" w:hAnsi="Times New Roman" w:eastAsia="宋体" w:cs="Times New Roman"/>
                      <w:color w:val="auto"/>
                      <w:spacing w:val="7"/>
                      <w:sz w:val="21"/>
                      <w:szCs w:val="21"/>
                    </w:rPr>
                    <w:t>气体管控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1"/>
                      <w:sz w:val="21"/>
                      <w:szCs w:val="21"/>
                    </w:rPr>
                    <w:t>完善市、县、乡、村网格化环境监管体系，建立信息全面、要素齐全、处置高效、决策科学的市级大气环境监管大数据平台，实现对各级网格和各类污染源的集中在线监测、全程监控和监</w:t>
                  </w:r>
                  <w:r>
                    <w:rPr>
                      <w:rFonts w:hint="default" w:ascii="Times New Roman" w:hAnsi="Times New Roman" w:eastAsia="宋体" w:cs="Times New Roman"/>
                      <w:color w:val="auto"/>
                      <w:spacing w:val="3"/>
                      <w:sz w:val="21"/>
                      <w:szCs w:val="21"/>
                    </w:rPr>
                    <w:t>管指挥</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本项目建成后采取相应的风险防范措施</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资源开发利用</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1</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、国家大气污染防治重点区域内新建、改建、扩建用煤项</w:t>
                  </w:r>
                  <w:r>
                    <w:rPr>
                      <w:rFonts w:hint="default" w:ascii="Times New Roman" w:hAnsi="Times New Roman" w:eastAsia="宋体" w:cs="Times New Roman"/>
                      <w:color w:val="auto"/>
                      <w:spacing w:val="7"/>
                      <w:sz w:val="21"/>
                      <w:szCs w:val="21"/>
                    </w:rPr>
                    <w:t>目的，应当实行煤炭的等量或者减</w:t>
                  </w:r>
                  <w:r>
                    <w:rPr>
                      <w:rFonts w:hint="default" w:ascii="Times New Roman" w:hAnsi="Times New Roman" w:eastAsia="宋体" w:cs="Times New Roman"/>
                      <w:color w:val="auto"/>
                      <w:spacing w:val="5"/>
                      <w:sz w:val="21"/>
                      <w:szCs w:val="21"/>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本项目不用煤炭</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8"/>
                      <w:sz w:val="21"/>
                      <w:szCs w:val="21"/>
                    </w:rPr>
                    <w:t>2</w:t>
                  </w:r>
                  <w:r>
                    <w:rPr>
                      <w:rFonts w:hint="default" w:ascii="Times New Roman" w:hAnsi="Times New Roman" w:eastAsia="宋体" w:cs="Times New Roman"/>
                      <w:color w:val="auto"/>
                      <w:spacing w:val="-19"/>
                      <w:sz w:val="21"/>
                      <w:szCs w:val="21"/>
                    </w:rPr>
                    <w:t xml:space="preserve"> </w:t>
                  </w:r>
                  <w:r>
                    <w:rPr>
                      <w:rFonts w:hint="default" w:ascii="Times New Roman" w:hAnsi="Times New Roman" w:eastAsia="宋体" w:cs="Times New Roman"/>
                      <w:color w:val="auto"/>
                      <w:spacing w:val="8"/>
                      <w:sz w:val="21"/>
                      <w:szCs w:val="21"/>
                    </w:rPr>
                    <w:t>、实施能源消耗总量和强度双控行动。健全节能标准体系，大力开发、推广节能高效技术和</w:t>
                  </w:r>
                  <w:r>
                    <w:rPr>
                      <w:rFonts w:hint="default" w:ascii="Times New Roman" w:hAnsi="Times New Roman" w:eastAsia="宋体" w:cs="Times New Roman"/>
                      <w:color w:val="auto"/>
                      <w:spacing w:val="9"/>
                      <w:sz w:val="21"/>
                      <w:szCs w:val="21"/>
                    </w:rPr>
                    <w:t>产品，实现重点用能行业、设备节能标准全覆盖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4"/>
                      <w:sz w:val="21"/>
                      <w:szCs w:val="21"/>
                    </w:rPr>
                    <w:t>3</w:t>
                  </w:r>
                  <w:r>
                    <w:rPr>
                      <w:rFonts w:hint="default" w:ascii="Times New Roman" w:hAnsi="Times New Roman" w:eastAsia="宋体" w:cs="Times New Roman"/>
                      <w:color w:val="auto"/>
                      <w:spacing w:val="-11"/>
                      <w:sz w:val="21"/>
                      <w:szCs w:val="21"/>
                    </w:rPr>
                    <w:t xml:space="preserve"> </w:t>
                  </w:r>
                  <w:r>
                    <w:rPr>
                      <w:rFonts w:hint="default" w:ascii="Times New Roman" w:hAnsi="Times New Roman" w:eastAsia="宋体" w:cs="Times New Roman"/>
                      <w:color w:val="auto"/>
                      <w:spacing w:val="4"/>
                      <w:sz w:val="21"/>
                      <w:szCs w:val="21"/>
                    </w:rPr>
                    <w:t>、新（改、扩）建项目能耗达到《河北省主要产品能耗限额和设备能效限定值》准入值要求，</w:t>
                  </w:r>
                  <w:r>
                    <w:rPr>
                      <w:rFonts w:hint="default" w:ascii="Times New Roman" w:hAnsi="Times New Roman" w:eastAsia="宋体" w:cs="Times New Roman"/>
                      <w:color w:val="auto"/>
                      <w:spacing w:val="11"/>
                      <w:sz w:val="21"/>
                      <w:szCs w:val="21"/>
                    </w:rPr>
                    <w:t>鼓励达到先进值。对能效不达标的企业限期进行节能提升改造，现有企业单位产品能耗达到《河北省主要产品能耗限额和设备能效限定值》限定值要求，鼓励已达标企业通过节能改造达到先进值。国家或省对重点行业单位产品能源消耗限额进行修订的，行业限定值、准入值、先进值按新</w:t>
                  </w:r>
                  <w:r>
                    <w:rPr>
                      <w:rFonts w:hint="default" w:ascii="Times New Roman" w:hAnsi="Times New Roman" w:eastAsia="宋体" w:cs="Times New Roman"/>
                      <w:color w:val="auto"/>
                      <w:spacing w:val="5"/>
                      <w:sz w:val="21"/>
                      <w:szCs w:val="21"/>
                    </w:rPr>
                    <w:t>标准执行</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本项目能耗可达到</w:t>
                  </w:r>
                  <w:r>
                    <w:rPr>
                      <w:rFonts w:hint="default" w:ascii="Times New Roman" w:hAnsi="Times New Roman" w:eastAsia="宋体" w:cs="Times New Roman"/>
                      <w:color w:val="auto"/>
                      <w:spacing w:val="4"/>
                      <w:sz w:val="21"/>
                      <w:szCs w:val="21"/>
                    </w:rPr>
                    <w:t>《河北省主要产品能耗限额和设备能效限定值》准入值要求</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rPr>
                    <w:t>地表水环</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z w:val="21"/>
                      <w:szCs w:val="21"/>
                    </w:rPr>
                    <w:t>境</w:t>
                  </w: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rPr>
                    <w:t>污染防控目标</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到</w:t>
                  </w:r>
                  <w:r>
                    <w:rPr>
                      <w:rFonts w:hint="default" w:ascii="Times New Roman" w:hAnsi="Times New Roman" w:eastAsia="宋体" w:cs="Times New Roman"/>
                      <w:color w:val="auto"/>
                      <w:spacing w:val="-43"/>
                      <w:sz w:val="21"/>
                      <w:szCs w:val="21"/>
                    </w:rPr>
                    <w:t xml:space="preserve"> </w:t>
                  </w:r>
                  <w:r>
                    <w:rPr>
                      <w:rFonts w:hint="default" w:ascii="Times New Roman" w:hAnsi="Times New Roman" w:eastAsia="宋体" w:cs="Times New Roman"/>
                      <w:color w:val="auto"/>
                      <w:spacing w:val="7"/>
                      <w:sz w:val="21"/>
                      <w:szCs w:val="21"/>
                    </w:rPr>
                    <w:t>2025年全市水生态环境质量持续改善，地表水国家</w:t>
                  </w:r>
                  <w:r>
                    <w:rPr>
                      <w:rFonts w:hint="default" w:ascii="Times New Roman" w:hAnsi="Times New Roman" w:eastAsia="宋体" w:cs="Times New Roman"/>
                      <w:color w:val="auto"/>
                      <w:spacing w:val="6"/>
                      <w:sz w:val="21"/>
                      <w:szCs w:val="21"/>
                    </w:rPr>
                    <w:t>和河北省考核断面，达到或优于Ⅲ类水</w:t>
                  </w:r>
                  <w:r>
                    <w:rPr>
                      <w:rFonts w:hint="default" w:ascii="Times New Roman" w:hAnsi="Times New Roman" w:eastAsia="宋体" w:cs="Times New Roman"/>
                      <w:color w:val="auto"/>
                      <w:spacing w:val="8"/>
                      <w:sz w:val="21"/>
                      <w:szCs w:val="21"/>
                    </w:rPr>
                    <w:t>体断面比例达到</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8"/>
                      <w:sz w:val="21"/>
                      <w:szCs w:val="21"/>
                    </w:rPr>
                    <w:t>85.71%</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8"/>
                      <w:sz w:val="21"/>
                      <w:szCs w:val="21"/>
                    </w:rPr>
                    <w:t>，劣Ⅴ类水体比例全部消除；城市集中式饮用水水源水质达到或优于Ⅲ类</w:t>
                  </w:r>
                  <w:r>
                    <w:rPr>
                      <w:rFonts w:hint="default" w:ascii="Times New Roman" w:hAnsi="Times New Roman" w:eastAsia="宋体" w:cs="Times New Roman"/>
                      <w:color w:val="auto"/>
                      <w:spacing w:val="2"/>
                      <w:sz w:val="21"/>
                      <w:szCs w:val="21"/>
                    </w:rPr>
                    <w:t>比例为</w:t>
                  </w:r>
                  <w:r>
                    <w:rPr>
                      <w:rFonts w:hint="default" w:ascii="Times New Roman" w:hAnsi="Times New Roman" w:eastAsia="宋体" w:cs="Times New Roman"/>
                      <w:color w:val="auto"/>
                      <w:spacing w:val="-22"/>
                      <w:sz w:val="21"/>
                      <w:szCs w:val="21"/>
                    </w:rPr>
                    <w:t xml:space="preserve"> </w:t>
                  </w:r>
                  <w:r>
                    <w:rPr>
                      <w:rFonts w:hint="default" w:ascii="Times New Roman" w:hAnsi="Times New Roman" w:eastAsia="宋体" w:cs="Times New Roman"/>
                      <w:color w:val="auto"/>
                      <w:spacing w:val="2"/>
                      <w:sz w:val="21"/>
                      <w:szCs w:val="21"/>
                    </w:rPr>
                    <w:t>100%</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本项目对地表水无影响</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空间布局约束</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1、涉地表水自然保护区、湿地公园、饮用水水源保护区管</w:t>
                  </w:r>
                  <w:r>
                    <w:rPr>
                      <w:rFonts w:hint="default" w:ascii="Times New Roman" w:hAnsi="Times New Roman" w:eastAsia="宋体" w:cs="Times New Roman"/>
                      <w:color w:val="auto"/>
                      <w:spacing w:val="6"/>
                      <w:sz w:val="21"/>
                      <w:szCs w:val="21"/>
                    </w:rPr>
                    <w:t>控参照生态环境空间总体管控要求中各类保护地总体管控要求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2、鼓励发展节水高效现代农业、低耗水高新技术产业以及生态保护型旅游业，严格控制缺水</w:t>
                  </w:r>
                  <w:r>
                    <w:rPr>
                      <w:rFonts w:hint="default" w:ascii="Times New Roman" w:hAnsi="Times New Roman" w:eastAsia="宋体" w:cs="Times New Roman"/>
                      <w:color w:val="auto"/>
                      <w:spacing w:val="9"/>
                      <w:sz w:val="21"/>
                      <w:szCs w:val="21"/>
                    </w:rPr>
                    <w:t>地区、水污染严重地区和敏感区域高耗水、高污染行业发展</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3</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、全市重点河流沿岸、重要饮用水水源地补</w:t>
                  </w:r>
                  <w:r>
                    <w:rPr>
                      <w:rFonts w:hint="default" w:ascii="Times New Roman" w:hAnsi="Times New Roman" w:eastAsia="宋体" w:cs="Times New Roman"/>
                      <w:color w:val="auto"/>
                      <w:spacing w:val="6"/>
                      <w:sz w:val="21"/>
                      <w:szCs w:val="21"/>
                    </w:rPr>
                    <w:t>给区，严格控制化学原料和化学制品制造、医药</w:t>
                  </w:r>
                  <w:r>
                    <w:rPr>
                      <w:rFonts w:hint="default" w:ascii="Times New Roman" w:hAnsi="Times New Roman" w:eastAsia="宋体" w:cs="Times New Roman"/>
                      <w:color w:val="auto"/>
                      <w:spacing w:val="10"/>
                      <w:sz w:val="21"/>
                      <w:szCs w:val="21"/>
                    </w:rPr>
                    <w:t>制造、制革、造纸、焦化、化学纤维制造、石油加工、纺织印染等项目环境</w:t>
                  </w:r>
                  <w:r>
                    <w:rPr>
                      <w:rFonts w:hint="default" w:ascii="Times New Roman" w:hAnsi="Times New Roman" w:eastAsia="宋体" w:cs="Times New Roman"/>
                      <w:color w:val="auto"/>
                      <w:spacing w:val="9"/>
                      <w:sz w:val="21"/>
                      <w:szCs w:val="21"/>
                    </w:rPr>
                    <w:t>风险，合理布局生产</w:t>
                  </w:r>
                  <w:r>
                    <w:rPr>
                      <w:rFonts w:hint="default" w:ascii="Times New Roman" w:hAnsi="Times New Roman" w:eastAsia="宋体" w:cs="Times New Roman"/>
                      <w:color w:val="auto"/>
                      <w:spacing w:val="10"/>
                      <w:sz w:val="21"/>
                      <w:szCs w:val="21"/>
                    </w:rPr>
                    <w:t>装置及危险化学品仓储等设施。重大项目原则上布局在优化开发区和重点开</w:t>
                  </w:r>
                  <w:r>
                    <w:rPr>
                      <w:rFonts w:hint="default" w:ascii="Times New Roman" w:hAnsi="Times New Roman" w:eastAsia="宋体" w:cs="Times New Roman"/>
                      <w:color w:val="auto"/>
                      <w:spacing w:val="9"/>
                      <w:sz w:val="21"/>
                      <w:szCs w:val="21"/>
                    </w:rPr>
                    <w:t>发区，并符合城乡规</w:t>
                  </w:r>
                  <w:r>
                    <w:rPr>
                      <w:rFonts w:hint="default" w:ascii="Times New Roman" w:hAnsi="Times New Roman" w:eastAsia="宋体" w:cs="Times New Roman"/>
                      <w:color w:val="auto"/>
                      <w:spacing w:val="8"/>
                      <w:sz w:val="21"/>
                      <w:szCs w:val="21"/>
                    </w:rPr>
                    <w:t>划和土地利用总体规划</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、未按照规定完成污水集中处理设施以及管网建设的工业园区（工业集聚区</w:t>
                  </w:r>
                  <w:r>
                    <w:rPr>
                      <w:rFonts w:hint="default" w:ascii="Times New Roman" w:hAnsi="Times New Roman" w:eastAsia="宋体" w:cs="Times New Roman"/>
                      <w:color w:val="auto"/>
                      <w:spacing w:val="-1"/>
                      <w:sz w:val="21"/>
                      <w:szCs w:val="21"/>
                    </w:rPr>
                    <w:t>），</w:t>
                  </w:r>
                  <w:r>
                    <w:rPr>
                      <w:rFonts w:hint="default" w:ascii="Times New Roman" w:hAnsi="Times New Roman" w:eastAsia="宋体" w:cs="Times New Roman"/>
                      <w:color w:val="auto"/>
                      <w:spacing w:val="7"/>
                      <w:sz w:val="21"/>
                      <w:szCs w:val="21"/>
                    </w:rPr>
                    <w:t>暂停审批和</w:t>
                  </w:r>
                  <w:r>
                    <w:rPr>
                      <w:rFonts w:hint="default" w:ascii="Times New Roman" w:hAnsi="Times New Roman" w:eastAsia="宋体" w:cs="Times New Roman"/>
                      <w:color w:val="auto"/>
                      <w:spacing w:val="10"/>
                      <w:sz w:val="21"/>
                      <w:szCs w:val="21"/>
                    </w:rPr>
                    <w:t>核准其增加水污染物排放的建设项目。向污水集中处理设施排放工业废</w:t>
                  </w:r>
                  <w:r>
                    <w:rPr>
                      <w:rFonts w:hint="default" w:ascii="Times New Roman" w:hAnsi="Times New Roman" w:eastAsia="宋体" w:cs="Times New Roman"/>
                      <w:color w:val="auto"/>
                      <w:spacing w:val="9"/>
                      <w:sz w:val="21"/>
                      <w:szCs w:val="21"/>
                    </w:rPr>
                    <w:t>水的，应当按照国家有关规定进行预处理，达到集中处理设施处理工艺要求后方可排放</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项目无废水外排</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5</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、推进现有企业向依法合规设立、环保设</w:t>
                  </w:r>
                  <w:r>
                    <w:rPr>
                      <w:rFonts w:hint="default" w:ascii="Times New Roman" w:hAnsi="Times New Roman" w:eastAsia="宋体" w:cs="Times New Roman"/>
                      <w:color w:val="auto"/>
                      <w:spacing w:val="6"/>
                      <w:sz w:val="21"/>
                      <w:szCs w:val="21"/>
                    </w:rPr>
                    <w:t>施齐全、符合规划环评要求、满足水法律法规规定</w:t>
                  </w:r>
                  <w:r>
                    <w:rPr>
                      <w:rFonts w:hint="default" w:ascii="Times New Roman" w:hAnsi="Times New Roman" w:eastAsia="宋体" w:cs="Times New Roman"/>
                      <w:color w:val="auto"/>
                      <w:spacing w:val="10"/>
                      <w:sz w:val="21"/>
                      <w:szCs w:val="21"/>
                    </w:rPr>
                    <w:t>的工业集聚区集中，明确涉水工业企业入园时间表；确因不具备入</w:t>
                  </w:r>
                  <w:r>
                    <w:rPr>
                      <w:rFonts w:hint="default" w:ascii="Times New Roman" w:hAnsi="Times New Roman" w:eastAsia="宋体" w:cs="Times New Roman"/>
                      <w:color w:val="auto"/>
                      <w:spacing w:val="9"/>
                      <w:sz w:val="21"/>
                      <w:szCs w:val="21"/>
                    </w:rPr>
                    <w:t>园条件需原地保留的涉水工业企业，明确保留条件，其中直排环境企业应达到排入水体功能区标准</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项目无废水外排</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污染物排放管控</w:t>
                  </w: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、严格控制高污染、高耗水行业新增产能。产能过剩产业实行新增产能等量替代、涉水主要</w:t>
                  </w:r>
                  <w:r>
                    <w:rPr>
                      <w:rFonts w:hint="default" w:ascii="Times New Roman" w:hAnsi="Times New Roman" w:eastAsia="宋体" w:cs="Times New Roman"/>
                      <w:color w:val="auto"/>
                      <w:spacing w:val="10"/>
                      <w:sz w:val="21"/>
                      <w:szCs w:val="21"/>
                    </w:rPr>
                    <w:t>污染物排放同行业倍量替代。对造纸、焦化、氮肥、石油化工、印染、农副</w:t>
                  </w:r>
                  <w:r>
                    <w:rPr>
                      <w:rFonts w:hint="default" w:ascii="Times New Roman" w:hAnsi="Times New Roman" w:eastAsia="宋体" w:cs="Times New Roman"/>
                      <w:color w:val="auto"/>
                      <w:spacing w:val="9"/>
                      <w:sz w:val="21"/>
                      <w:szCs w:val="21"/>
                    </w:rPr>
                    <w:t>食品加工、原料药制造、制革、农药、电镀等“十大</w:t>
                  </w:r>
                  <w:r>
                    <w:rPr>
                      <w:rFonts w:hint="default" w:ascii="Times New Roman" w:hAnsi="Times New Roman" w:eastAsia="宋体" w:cs="Times New Roman"/>
                      <w:color w:val="auto"/>
                      <w:spacing w:val="-69"/>
                      <w:sz w:val="21"/>
                      <w:szCs w:val="21"/>
                    </w:rPr>
                    <w:t xml:space="preserve"> </w:t>
                  </w:r>
                  <w:r>
                    <w:rPr>
                      <w:rFonts w:hint="default" w:ascii="Times New Roman" w:hAnsi="Times New Roman" w:eastAsia="宋体" w:cs="Times New Roman"/>
                      <w:color w:val="auto"/>
                      <w:spacing w:val="9"/>
                      <w:sz w:val="21"/>
                      <w:szCs w:val="21"/>
                    </w:rPr>
                    <w:t>”重点行业，新建、改建、扩建项目实行新增主要污染物排放倍</w:t>
                  </w:r>
                  <w:r>
                    <w:rPr>
                      <w:rFonts w:hint="default" w:ascii="Times New Roman" w:hAnsi="Times New Roman" w:eastAsia="宋体" w:cs="Times New Roman"/>
                      <w:color w:val="auto"/>
                      <w:spacing w:val="5"/>
                      <w:sz w:val="21"/>
                      <w:szCs w:val="21"/>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pacing w:val="-1"/>
                      <w:sz w:val="21"/>
                      <w:szCs w:val="21"/>
                    </w:rPr>
                    <w:t>车辆冲洗废水</w:t>
                  </w:r>
                  <w:r>
                    <w:rPr>
                      <w:rFonts w:hint="default" w:ascii="Times New Roman" w:hAnsi="Times New Roman" w:eastAsia="宋体" w:cs="Times New Roman"/>
                      <w:color w:val="auto"/>
                      <w:spacing w:val="-1"/>
                      <w:sz w:val="21"/>
                      <w:szCs w:val="21"/>
                      <w:lang w:val="en-US" w:eastAsia="zh-CN"/>
                    </w:rPr>
                    <w:t>经沉淀后</w:t>
                  </w:r>
                  <w:r>
                    <w:rPr>
                      <w:rFonts w:hint="default" w:ascii="Times New Roman" w:hAnsi="Times New Roman" w:eastAsia="宋体" w:cs="Times New Roman"/>
                      <w:color w:val="auto"/>
                      <w:sz w:val="21"/>
                      <w:szCs w:val="21"/>
                      <w:highlight w:val="none"/>
                      <w:lang w:val="en-US" w:eastAsia="zh-CN"/>
                    </w:rPr>
                    <w:t>循环利用，减少新水用量</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、全面加强城镇污水管网建设，提升污水收集能力。</w:t>
                  </w:r>
                  <w:r>
                    <w:rPr>
                      <w:rFonts w:hint="default" w:ascii="Times New Roman" w:hAnsi="Times New Roman" w:eastAsia="宋体" w:cs="Times New Roman"/>
                      <w:color w:val="auto"/>
                      <w:spacing w:val="6"/>
                      <w:sz w:val="21"/>
                      <w:szCs w:val="21"/>
                    </w:rPr>
                    <w:t>扩大城镇污水管网覆盖范围，推进新建</w:t>
                  </w:r>
                  <w:r>
                    <w:rPr>
                      <w:rFonts w:hint="default" w:ascii="Times New Roman" w:hAnsi="Times New Roman" w:eastAsia="宋体" w:cs="Times New Roman"/>
                      <w:color w:val="auto"/>
                      <w:spacing w:val="10"/>
                      <w:sz w:val="21"/>
                      <w:szCs w:val="21"/>
                    </w:rPr>
                    <w:t>城区、扩建新区以及城乡结合部等污水截留、收集纳管；进一步加强城区支</w:t>
                  </w:r>
                  <w:r>
                    <w:rPr>
                      <w:rFonts w:hint="default" w:ascii="Times New Roman" w:hAnsi="Times New Roman" w:eastAsia="宋体" w:cs="Times New Roman"/>
                      <w:color w:val="auto"/>
                      <w:spacing w:val="9"/>
                      <w:sz w:val="21"/>
                      <w:szCs w:val="21"/>
                    </w:rPr>
                    <w:t>管、毛细管等管网建</w:t>
                  </w:r>
                  <w:r>
                    <w:rPr>
                      <w:rFonts w:hint="default" w:ascii="Times New Roman" w:hAnsi="Times New Roman" w:eastAsia="宋体" w:cs="Times New Roman"/>
                      <w:color w:val="auto"/>
                      <w:spacing w:val="10"/>
                      <w:sz w:val="21"/>
                      <w:szCs w:val="21"/>
                    </w:rPr>
                    <w:t>设，提高污水收集率。推进城镇排水系统雨污分流建设，新建城区、扩建新</w:t>
                  </w:r>
                  <w:r>
                    <w:rPr>
                      <w:rFonts w:hint="default" w:ascii="Times New Roman" w:hAnsi="Times New Roman" w:eastAsia="宋体" w:cs="Times New Roman"/>
                      <w:color w:val="auto"/>
                      <w:spacing w:val="9"/>
                      <w:sz w:val="21"/>
                      <w:szCs w:val="21"/>
                    </w:rPr>
                    <w:t>区、新开发区建设排</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水管网一律实行雨污分流；强化各县（市、区）城区和重点城镇污水管网建</w:t>
                  </w:r>
                  <w:r>
                    <w:rPr>
                      <w:rFonts w:hint="default" w:ascii="Times New Roman" w:hAnsi="Times New Roman" w:eastAsia="宋体" w:cs="Times New Roman"/>
                      <w:color w:val="auto"/>
                      <w:spacing w:val="9"/>
                      <w:sz w:val="21"/>
                      <w:szCs w:val="21"/>
                    </w:rPr>
                    <w:t>设，新建污水处理设</w:t>
                  </w:r>
                  <w:r>
                    <w:rPr>
                      <w:rFonts w:hint="default" w:ascii="Times New Roman" w:hAnsi="Times New Roman" w:eastAsia="宋体" w:cs="Times New Roman"/>
                      <w:color w:val="auto"/>
                      <w:spacing w:val="10"/>
                      <w:sz w:val="21"/>
                      <w:szCs w:val="21"/>
                    </w:rPr>
                    <w:t>施应与配套管网同步设计、同步建设、同步投</w:t>
                  </w:r>
                  <w:r>
                    <w:rPr>
                      <w:rFonts w:hint="default" w:ascii="Times New Roman" w:hAnsi="Times New Roman" w:eastAsia="宋体" w:cs="Times New Roman"/>
                      <w:color w:val="auto"/>
                      <w:spacing w:val="9"/>
                      <w:sz w:val="21"/>
                      <w:szCs w:val="21"/>
                    </w:rPr>
                    <w:t>运。推进初期雨水收集、处理与资源化利用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3、强化工业污水限期达标整治。推进废水直排外环境的工业企业全面达标排放。强化入河排</w:t>
                  </w:r>
                  <w:r>
                    <w:rPr>
                      <w:rFonts w:hint="default" w:ascii="Times New Roman" w:hAnsi="Times New Roman" w:eastAsia="宋体" w:cs="Times New Roman"/>
                      <w:color w:val="auto"/>
                      <w:spacing w:val="10"/>
                      <w:sz w:val="21"/>
                      <w:szCs w:val="21"/>
                    </w:rPr>
                    <w:t>污口监督管理，推动入河排污口规范化建设，取缔非法入河排污口。加大超</w:t>
                  </w:r>
                  <w:r>
                    <w:rPr>
                      <w:rFonts w:hint="default" w:ascii="Times New Roman" w:hAnsi="Times New Roman" w:eastAsia="宋体" w:cs="Times New Roman"/>
                      <w:color w:val="auto"/>
                      <w:spacing w:val="9"/>
                      <w:sz w:val="21"/>
                      <w:szCs w:val="21"/>
                    </w:rPr>
                    <w:t>标排放整治力度，对</w:t>
                  </w:r>
                  <w:r>
                    <w:rPr>
                      <w:rFonts w:hint="default" w:ascii="Times New Roman" w:hAnsi="Times New Roman" w:eastAsia="宋体" w:cs="Times New Roman"/>
                      <w:color w:val="auto"/>
                      <w:spacing w:val="10"/>
                      <w:sz w:val="21"/>
                      <w:szCs w:val="21"/>
                    </w:rPr>
                    <w:t>超标和超总量的企业依法查处，对企业超标现象普遍、超标企业集中地区政</w:t>
                  </w:r>
                  <w:r>
                    <w:rPr>
                      <w:rFonts w:hint="default" w:ascii="Times New Roman" w:hAnsi="Times New Roman" w:eastAsia="宋体" w:cs="Times New Roman"/>
                      <w:color w:val="auto"/>
                      <w:spacing w:val="9"/>
                      <w:sz w:val="21"/>
                      <w:szCs w:val="21"/>
                    </w:rPr>
                    <w:t>府采取挂牌督办、公</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8"/>
                      <w:sz w:val="21"/>
                      <w:szCs w:val="21"/>
                    </w:rPr>
                    <w:t>开约谈等措施。对整治仍不能达到要求且情节严重的企业，</w:t>
                  </w:r>
                  <w:r>
                    <w:rPr>
                      <w:rFonts w:hint="default" w:ascii="Times New Roman" w:hAnsi="Times New Roman" w:eastAsia="宋体" w:cs="Times New Roman"/>
                      <w:color w:val="auto"/>
                      <w:spacing w:val="-39"/>
                      <w:sz w:val="21"/>
                      <w:szCs w:val="21"/>
                    </w:rPr>
                    <w:t xml:space="preserve"> </w:t>
                  </w:r>
                  <w:r>
                    <w:rPr>
                      <w:rFonts w:hint="default" w:ascii="Times New Roman" w:hAnsi="Times New Roman" w:eastAsia="宋体" w:cs="Times New Roman"/>
                      <w:color w:val="auto"/>
                      <w:spacing w:val="8"/>
                      <w:sz w:val="21"/>
                      <w:szCs w:val="21"/>
                    </w:rPr>
                    <w:t>由所在地政府依法责令限期关闭。</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、推进农业面源污染治理。减少化肥农药使用量，严格</w:t>
                  </w:r>
                  <w:r>
                    <w:rPr>
                      <w:rFonts w:hint="default" w:ascii="Times New Roman" w:hAnsi="Times New Roman" w:eastAsia="宋体" w:cs="Times New Roman"/>
                      <w:color w:val="auto"/>
                      <w:spacing w:val="6"/>
                      <w:sz w:val="21"/>
                      <w:szCs w:val="21"/>
                    </w:rPr>
                    <w:t>控制高毒高风险农药使用，推进有机</w:t>
                  </w:r>
                  <w:r>
                    <w:rPr>
                      <w:rFonts w:hint="default" w:ascii="Times New Roman" w:hAnsi="Times New Roman" w:eastAsia="宋体" w:cs="Times New Roman"/>
                      <w:color w:val="auto"/>
                      <w:spacing w:val="10"/>
                      <w:sz w:val="21"/>
                      <w:szCs w:val="21"/>
                    </w:rPr>
                    <w:t>肥替代化肥、病虫害绿色防控替代化学防治，积极推进废旧农膜回收，完</w:t>
                  </w:r>
                  <w:r>
                    <w:rPr>
                      <w:rFonts w:hint="default" w:ascii="Times New Roman" w:hAnsi="Times New Roman" w:eastAsia="宋体" w:cs="Times New Roman"/>
                      <w:color w:val="auto"/>
                      <w:spacing w:val="9"/>
                      <w:sz w:val="21"/>
                      <w:szCs w:val="21"/>
                    </w:rPr>
                    <w:t>善废旧地膜和包装废弃</w:t>
                  </w:r>
                  <w:r>
                    <w:rPr>
                      <w:rFonts w:hint="default" w:ascii="Times New Roman" w:hAnsi="Times New Roman" w:eastAsia="宋体" w:cs="Times New Roman"/>
                      <w:color w:val="auto"/>
                      <w:spacing w:val="7"/>
                      <w:sz w:val="21"/>
                      <w:szCs w:val="21"/>
                    </w:rPr>
                    <w:t>物等回收处理制度。</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5、推进养殖废弃物资源化利用。坚持种植和养殖相结合，就地就近消</w:t>
                  </w:r>
                  <w:r>
                    <w:rPr>
                      <w:rFonts w:hint="default" w:ascii="Times New Roman" w:hAnsi="Times New Roman" w:eastAsia="宋体" w:cs="Times New Roman"/>
                      <w:color w:val="auto"/>
                      <w:spacing w:val="3"/>
                      <w:sz w:val="21"/>
                      <w:szCs w:val="21"/>
                    </w:rPr>
                    <w:t>纳利用畜禽养殖废弃物。</w:t>
                  </w:r>
                  <w:r>
                    <w:rPr>
                      <w:rFonts w:hint="default" w:ascii="Times New Roman" w:hAnsi="Times New Roman" w:eastAsia="宋体" w:cs="Times New Roman"/>
                      <w:color w:val="auto"/>
                      <w:spacing w:val="9"/>
                      <w:sz w:val="21"/>
                      <w:szCs w:val="21"/>
                    </w:rPr>
                    <w:t>合理布局水产养殖空间，深入推进生态健康养殖，开展重点河流湖库及近岸海域破坏生态环境的</w:t>
                  </w:r>
                  <w:r>
                    <w:rPr>
                      <w:rFonts w:hint="default" w:ascii="Times New Roman" w:hAnsi="Times New Roman" w:eastAsia="宋体" w:cs="Times New Roman"/>
                      <w:color w:val="auto"/>
                      <w:spacing w:val="7"/>
                      <w:sz w:val="21"/>
                      <w:szCs w:val="21"/>
                    </w:rPr>
                    <w:t>养殖方式综合整治。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6</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、实施总氮排放总量控制，新建、改建、扩</w:t>
                  </w:r>
                  <w:r>
                    <w:rPr>
                      <w:rFonts w:hint="default" w:ascii="Times New Roman" w:hAnsi="Times New Roman" w:eastAsia="宋体" w:cs="Times New Roman"/>
                      <w:color w:val="auto"/>
                      <w:spacing w:val="6"/>
                      <w:sz w:val="21"/>
                      <w:szCs w:val="21"/>
                    </w:rPr>
                    <w:t>建涉及总氮排放的建设项目，实施总氮排放总量</w:t>
                  </w:r>
                  <w:r>
                    <w:rPr>
                      <w:rFonts w:hint="default" w:ascii="Times New Roman" w:hAnsi="Times New Roman" w:eastAsia="宋体" w:cs="Times New Roman"/>
                      <w:color w:val="auto"/>
                      <w:spacing w:val="9"/>
                      <w:sz w:val="21"/>
                      <w:szCs w:val="21"/>
                    </w:rPr>
                    <w:t>指标减量替代，并在相关单位排污许可证中予以明确、严格落实，严控新增总氮排放量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10"/>
                      <w:sz w:val="21"/>
                      <w:szCs w:val="21"/>
                    </w:rPr>
                    <w:t>有效防控水源地环境风险。每年对集中式饮用水水源保护区开展基</w:t>
                  </w:r>
                  <w:r>
                    <w:rPr>
                      <w:rFonts w:hint="default" w:ascii="Times New Roman" w:hAnsi="Times New Roman" w:eastAsia="宋体" w:cs="Times New Roman"/>
                      <w:color w:val="auto"/>
                      <w:spacing w:val="9"/>
                      <w:sz w:val="21"/>
                      <w:szCs w:val="21"/>
                    </w:rPr>
                    <w:t>础调查与评估，将可能影</w:t>
                  </w:r>
                  <w:r>
                    <w:rPr>
                      <w:rFonts w:hint="default" w:ascii="Times New Roman" w:hAnsi="Times New Roman" w:eastAsia="宋体" w:cs="Times New Roman"/>
                      <w:color w:val="auto"/>
                      <w:spacing w:val="10"/>
                      <w:sz w:val="21"/>
                      <w:szCs w:val="21"/>
                    </w:rPr>
                    <w:t>响水源水质安全的风险源全部列入档案，加强风险应急防控，建立联</w:t>
                  </w:r>
                  <w:r>
                    <w:rPr>
                      <w:rFonts w:hint="default" w:ascii="Times New Roman" w:hAnsi="Times New Roman" w:eastAsia="宋体" w:cs="Times New Roman"/>
                      <w:color w:val="auto"/>
                      <w:spacing w:val="9"/>
                      <w:sz w:val="21"/>
                      <w:szCs w:val="21"/>
                    </w:rPr>
                    <w:t>防联控应急机制。推广供水</w:t>
                  </w:r>
                  <w:r>
                    <w:rPr>
                      <w:rFonts w:hint="default" w:ascii="Times New Roman" w:hAnsi="Times New Roman" w:eastAsia="宋体" w:cs="Times New Roman"/>
                      <w:color w:val="auto"/>
                      <w:spacing w:val="10"/>
                      <w:sz w:val="21"/>
                      <w:szCs w:val="21"/>
                    </w:rPr>
                    <w:t>水厂应急净化技术，储备应急供水专项物资，配置移动式应急净水设</w:t>
                  </w:r>
                  <w:r>
                    <w:rPr>
                      <w:rFonts w:hint="default" w:ascii="Times New Roman" w:hAnsi="Times New Roman" w:eastAsia="宋体" w:cs="Times New Roman"/>
                      <w:color w:val="auto"/>
                      <w:spacing w:val="9"/>
                      <w:sz w:val="21"/>
                      <w:szCs w:val="21"/>
                    </w:rPr>
                    <w:t>备，加强应急抢险专业队伍</w:t>
                  </w:r>
                  <w:r>
                    <w:rPr>
                      <w:rFonts w:hint="default" w:ascii="Times New Roman" w:hAnsi="Times New Roman" w:eastAsia="宋体" w:cs="Times New Roman"/>
                      <w:color w:val="auto"/>
                      <w:spacing w:val="8"/>
                      <w:sz w:val="21"/>
                      <w:szCs w:val="21"/>
                    </w:rPr>
                    <w:t>建设，及时有效处置饮用水水源突发环境事件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rPr>
                    <w:t>资源开发利用</w:t>
                  </w: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1、开展用水效率评估，建立万元工业增加值水耗指标等用</w:t>
                  </w:r>
                  <w:r>
                    <w:rPr>
                      <w:rFonts w:hint="default" w:ascii="Times New Roman" w:hAnsi="Times New Roman" w:eastAsia="宋体" w:cs="Times New Roman"/>
                      <w:color w:val="auto"/>
                      <w:spacing w:val="6"/>
                      <w:sz w:val="21"/>
                      <w:szCs w:val="21"/>
                    </w:rPr>
                    <w:t>水效率评估体系，把节水目标任务</w:t>
                  </w:r>
                  <w:r>
                    <w:rPr>
                      <w:rFonts w:hint="default" w:ascii="Times New Roman" w:hAnsi="Times New Roman" w:eastAsia="宋体" w:cs="Times New Roman"/>
                      <w:color w:val="auto"/>
                      <w:spacing w:val="10"/>
                      <w:sz w:val="21"/>
                      <w:szCs w:val="21"/>
                    </w:rPr>
                    <w:t>完成情况纳入地方政府政绩考核。将再生水</w:t>
                  </w:r>
                  <w:r>
                    <w:rPr>
                      <w:rFonts w:hint="default" w:ascii="Times New Roman" w:hAnsi="Times New Roman" w:eastAsia="宋体" w:cs="Times New Roman"/>
                      <w:color w:val="auto"/>
                      <w:spacing w:val="9"/>
                      <w:sz w:val="21"/>
                      <w:szCs w:val="21"/>
                    </w:rPr>
                    <w:t>、雨水和微咸水等非常规水源纳入水资源统一配置。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、发展农业节水。调整农业种植结构，发展旱作节水</w:t>
                  </w:r>
                  <w:r>
                    <w:rPr>
                      <w:rFonts w:hint="default" w:ascii="Times New Roman" w:hAnsi="Times New Roman" w:eastAsia="宋体" w:cs="Times New Roman"/>
                      <w:color w:val="auto"/>
                      <w:spacing w:val="6"/>
                      <w:sz w:val="21"/>
                      <w:szCs w:val="21"/>
                    </w:rPr>
                    <w:t>农业，推进田间节水设施建设，大力推</w:t>
                  </w:r>
                  <w:r>
                    <w:rPr>
                      <w:rFonts w:hint="default" w:ascii="Times New Roman" w:hAnsi="Times New Roman" w:eastAsia="宋体" w:cs="Times New Roman"/>
                      <w:color w:val="auto"/>
                      <w:spacing w:val="10"/>
                      <w:sz w:val="21"/>
                      <w:szCs w:val="21"/>
                    </w:rPr>
                    <w:t>广耐旱节水品种、耕作保墒、地膜覆盖、秸秆还田、水肥一体化等农业综合</w:t>
                  </w:r>
                  <w:r>
                    <w:rPr>
                      <w:rFonts w:hint="default" w:ascii="Times New Roman" w:hAnsi="Times New Roman" w:eastAsia="宋体" w:cs="Times New Roman"/>
                      <w:color w:val="auto"/>
                      <w:spacing w:val="9"/>
                      <w:sz w:val="21"/>
                      <w:szCs w:val="21"/>
                    </w:rPr>
                    <w:t>节水技术。推广渠道</w:t>
                  </w:r>
                  <w:r>
                    <w:rPr>
                      <w:rFonts w:hint="default" w:ascii="Times New Roman" w:hAnsi="Times New Roman" w:eastAsia="宋体" w:cs="Times New Roman"/>
                      <w:color w:val="auto"/>
                      <w:spacing w:val="10"/>
                      <w:sz w:val="21"/>
                      <w:szCs w:val="21"/>
                    </w:rPr>
                    <w:t>防渗、管道输水、喷灌、微灌、农作物节水抗旱等技术，完善灌溉用水计量</w:t>
                  </w:r>
                  <w:r>
                    <w:rPr>
                      <w:rFonts w:hint="default" w:ascii="Times New Roman" w:hAnsi="Times New Roman" w:eastAsia="宋体" w:cs="Times New Roman"/>
                      <w:color w:val="auto"/>
                      <w:spacing w:val="9"/>
                      <w:sz w:val="21"/>
                      <w:szCs w:val="21"/>
                    </w:rPr>
                    <w:t>设施，推进规模化高</w:t>
                  </w:r>
                  <w:r>
                    <w:rPr>
                      <w:rFonts w:hint="default" w:ascii="Times New Roman" w:hAnsi="Times New Roman" w:eastAsia="宋体" w:cs="Times New Roman"/>
                      <w:color w:val="auto"/>
                      <w:spacing w:val="10"/>
                      <w:sz w:val="21"/>
                      <w:szCs w:val="21"/>
                    </w:rPr>
                    <w:t>效节水灌溉。加快高效节水灌溉示范项目建设，粮食主产区大力推广以高标</w:t>
                  </w:r>
                  <w:r>
                    <w:rPr>
                      <w:rFonts w:hint="default" w:ascii="Times New Roman" w:hAnsi="Times New Roman" w:eastAsia="宋体" w:cs="Times New Roman"/>
                      <w:color w:val="auto"/>
                      <w:spacing w:val="9"/>
                      <w:sz w:val="21"/>
                      <w:szCs w:val="21"/>
                    </w:rPr>
                    <w:t>准管灌为主的节水灌</w:t>
                  </w:r>
                  <w:r>
                    <w:rPr>
                      <w:rFonts w:hint="default" w:ascii="Times New Roman" w:hAnsi="Times New Roman" w:eastAsia="宋体" w:cs="Times New Roman"/>
                      <w:color w:val="auto"/>
                      <w:spacing w:val="10"/>
                      <w:sz w:val="21"/>
                      <w:szCs w:val="21"/>
                    </w:rPr>
                    <w:t>溉工程，蔬菜、果品和经济种植区大力推广微滴灌技术，规模化农场、承包</w:t>
                  </w:r>
                  <w:r>
                    <w:rPr>
                      <w:rFonts w:hint="default" w:ascii="Times New Roman" w:hAnsi="Times New Roman" w:eastAsia="宋体" w:cs="Times New Roman"/>
                      <w:color w:val="auto"/>
                      <w:spacing w:val="9"/>
                      <w:sz w:val="21"/>
                      <w:szCs w:val="21"/>
                    </w:rPr>
                    <w:t>大户积极推广喷灌技</w:t>
                  </w:r>
                  <w:r>
                    <w:rPr>
                      <w:rFonts w:hint="default" w:ascii="Times New Roman" w:hAnsi="Times New Roman" w:eastAsia="宋体" w:cs="Times New Roman"/>
                      <w:color w:val="auto"/>
                      <w:spacing w:val="8"/>
                      <w:sz w:val="21"/>
                      <w:szCs w:val="21"/>
                    </w:rPr>
                    <w:t>术。地上水灌区实施续建配套与节水改造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334"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rPr>
                    <w:t>土壤及地</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6"/>
                      <w:sz w:val="21"/>
                      <w:szCs w:val="21"/>
                    </w:rPr>
                    <w:t>下水环境</w:t>
                  </w: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rPr>
                    <w:t>污染防控目标</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18"/>
                      <w:sz w:val="21"/>
                      <w:szCs w:val="21"/>
                    </w:rPr>
                    <w:t>2025年底前，受污染耕地安全利用率完成河北省下达任务，受污染耕地管控措施覆盖率</w:t>
                  </w:r>
                  <w:r>
                    <w:rPr>
                      <w:rFonts w:hint="default" w:ascii="Times New Roman" w:hAnsi="Times New Roman" w:eastAsia="宋体" w:cs="Times New Roman"/>
                      <w:color w:val="auto"/>
                      <w:spacing w:val="8"/>
                      <w:sz w:val="21"/>
                      <w:szCs w:val="21"/>
                    </w:rPr>
                    <w:t>100%；重点建设用地安全利用得到有效保障，拟开发利用污染地块治</w:t>
                  </w:r>
                  <w:r>
                    <w:rPr>
                      <w:rFonts w:hint="default" w:ascii="Times New Roman" w:hAnsi="Times New Roman" w:eastAsia="宋体" w:cs="Times New Roman"/>
                      <w:color w:val="auto"/>
                      <w:spacing w:val="7"/>
                      <w:sz w:val="21"/>
                      <w:szCs w:val="21"/>
                    </w:rPr>
                    <w:t>理修复或风险管控目标达标率100%</w:t>
                  </w:r>
                  <w:r>
                    <w:rPr>
                      <w:rFonts w:hint="default" w:ascii="Times New Roman" w:hAnsi="Times New Roman" w:eastAsia="宋体" w:cs="Times New Roman"/>
                      <w:color w:val="auto"/>
                      <w:spacing w:val="-26"/>
                      <w:sz w:val="21"/>
                      <w:szCs w:val="21"/>
                    </w:rPr>
                    <w:t xml:space="preserve"> </w:t>
                  </w:r>
                  <w:r>
                    <w:rPr>
                      <w:rFonts w:hint="default" w:ascii="Times New Roman" w:hAnsi="Times New Roman" w:eastAsia="宋体" w:cs="Times New Roman"/>
                      <w:color w:val="auto"/>
                      <w:spacing w:val="7"/>
                      <w:sz w:val="21"/>
                      <w:szCs w:val="21"/>
                    </w:rPr>
                    <w:t>，暂不开发利用污染地块管控措施覆盖率100%；</w:t>
                  </w:r>
                  <w:r>
                    <w:rPr>
                      <w:rFonts w:hint="default" w:ascii="Times New Roman" w:hAnsi="Times New Roman" w:eastAsia="宋体" w:cs="Times New Roman"/>
                      <w:color w:val="auto"/>
                      <w:spacing w:val="-59"/>
                      <w:sz w:val="21"/>
                      <w:szCs w:val="21"/>
                    </w:rPr>
                    <w:t xml:space="preserve"> </w:t>
                  </w:r>
                  <w:r>
                    <w:rPr>
                      <w:rFonts w:hint="default" w:ascii="Times New Roman" w:hAnsi="Times New Roman" w:eastAsia="宋体" w:cs="Times New Roman"/>
                      <w:color w:val="auto"/>
                      <w:spacing w:val="7"/>
                      <w:sz w:val="21"/>
                      <w:szCs w:val="21"/>
                    </w:rPr>
                    <w:t>国家地下水环境质量</w:t>
                  </w:r>
                  <w:r>
                    <w:rPr>
                      <w:rFonts w:hint="default" w:ascii="Times New Roman" w:hAnsi="Times New Roman" w:eastAsia="宋体" w:cs="Times New Roman"/>
                      <w:color w:val="auto"/>
                      <w:spacing w:val="6"/>
                      <w:sz w:val="21"/>
                      <w:szCs w:val="21"/>
                    </w:rPr>
                    <w:t>区域考核点位Ⅴ类</w:t>
                  </w:r>
                  <w:r>
                    <w:rPr>
                      <w:rFonts w:hint="default" w:ascii="Times New Roman" w:hAnsi="Times New Roman" w:eastAsia="宋体" w:cs="Times New Roman"/>
                      <w:color w:val="auto"/>
                      <w:spacing w:val="7"/>
                      <w:sz w:val="21"/>
                      <w:szCs w:val="21"/>
                    </w:rPr>
                    <w:t>水比例控制在</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20%以下，“双源</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7"/>
                      <w:sz w:val="21"/>
                      <w:szCs w:val="21"/>
                    </w:rPr>
                    <w:t>”考核点位水质总体保持稳定</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7"/>
                      <w:sz w:val="21"/>
                      <w:szCs w:val="21"/>
                    </w:rPr>
                    <w:t>空间布局约束</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、严格执行相关行业企业布局选址要求，禁止在居民区和学校、医院、疗养院、养老院等单</w:t>
                  </w:r>
                  <w:r>
                    <w:rPr>
                      <w:rFonts w:hint="default" w:ascii="Times New Roman" w:hAnsi="Times New Roman" w:eastAsia="宋体" w:cs="Times New Roman"/>
                      <w:color w:val="auto"/>
                      <w:spacing w:val="9"/>
                      <w:sz w:val="21"/>
                      <w:szCs w:val="21"/>
                    </w:rPr>
                    <w:t>位周边新建、改建、扩建可能造成土壤污染的建设项目</w:t>
                  </w:r>
                </w:p>
              </w:tc>
              <w:tc>
                <w:tcPr>
                  <w:tcW w:w="1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eastAsia="zh-CN"/>
                    </w:rPr>
                    <w:t>不涉及</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rPr>
                  </w:pPr>
                  <w:r>
                    <w:rPr>
                      <w:rFonts w:hint="default" w:ascii="Times New Roman" w:hAnsi="Times New Roman" w:eastAsia="宋体" w:cs="Times New Roman"/>
                      <w:color w:val="auto"/>
                      <w:spacing w:val="7"/>
                      <w:sz w:val="21"/>
                      <w:szCs w:val="21"/>
                    </w:rPr>
                    <w:t>2、禁止在集中式地下水饮用水水源地建设需要取水的地热能开发利用项目。禁止抽取难以更</w:t>
                  </w:r>
                  <w:r>
                    <w:rPr>
                      <w:rFonts w:hint="default" w:ascii="Times New Roman" w:hAnsi="Times New Roman" w:eastAsia="宋体" w:cs="Times New Roman"/>
                      <w:color w:val="auto"/>
                      <w:spacing w:val="9"/>
                      <w:sz w:val="21"/>
                      <w:szCs w:val="21"/>
                    </w:rPr>
                    <w:t>新的地下水用于需要取水的地热能开发利用项目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3、地下水饮用水水源地优先保护区管控参照生态环境空间总体管控要求中地下水饮用水水源</w:t>
                  </w:r>
                  <w:r>
                    <w:rPr>
                      <w:rFonts w:hint="default" w:ascii="Times New Roman" w:hAnsi="Times New Roman" w:eastAsia="宋体" w:cs="Times New Roman"/>
                      <w:color w:val="auto"/>
                      <w:spacing w:val="1"/>
                      <w:sz w:val="21"/>
                      <w:szCs w:val="21"/>
                    </w:rPr>
                    <w:t xml:space="preserve"> </w:t>
                  </w:r>
                  <w:r>
                    <w:rPr>
                      <w:rFonts w:hint="default" w:ascii="Times New Roman" w:hAnsi="Times New Roman" w:eastAsia="宋体" w:cs="Times New Roman"/>
                      <w:color w:val="auto"/>
                      <w:spacing w:val="8"/>
                      <w:sz w:val="21"/>
                      <w:szCs w:val="21"/>
                    </w:rPr>
                    <w:t>地保护区总体管控要求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8"/>
                      <w:sz w:val="21"/>
                      <w:szCs w:val="21"/>
                    </w:rPr>
                    <w:t>污染排放管控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6"/>
                      <w:sz w:val="21"/>
                      <w:szCs w:val="21"/>
                    </w:rPr>
                    <w:t>1</w:t>
                  </w:r>
                  <w:r>
                    <w:rPr>
                      <w:rFonts w:hint="default" w:ascii="Times New Roman" w:hAnsi="Times New Roman" w:eastAsia="宋体" w:cs="Times New Roman"/>
                      <w:color w:val="auto"/>
                      <w:spacing w:val="-24"/>
                      <w:sz w:val="21"/>
                      <w:szCs w:val="21"/>
                    </w:rPr>
                    <w:t xml:space="preserve"> </w:t>
                  </w:r>
                  <w:r>
                    <w:rPr>
                      <w:rFonts w:hint="default" w:ascii="Times New Roman" w:hAnsi="Times New Roman" w:eastAsia="宋体" w:cs="Times New Roman"/>
                      <w:color w:val="auto"/>
                      <w:spacing w:val="6"/>
                      <w:sz w:val="21"/>
                      <w:szCs w:val="21"/>
                    </w:rPr>
                    <w:t>、严禁将污泥直接用作肥料，禁止不达标污泥就地堆放，结合污泥处理设施升级改造，逐步</w:t>
                  </w:r>
                  <w:r>
                    <w:rPr>
                      <w:rFonts w:hint="default" w:ascii="Times New Roman" w:hAnsi="Times New Roman" w:eastAsia="宋体" w:cs="Times New Roman"/>
                      <w:color w:val="auto"/>
                      <w:spacing w:val="10"/>
                      <w:sz w:val="21"/>
                      <w:szCs w:val="21"/>
                    </w:rPr>
                    <w:t>取消原生污泥简易填埋等不符合环保要求的处置方式。鼓励利用水泥</w:t>
                  </w:r>
                  <w:r>
                    <w:rPr>
                      <w:rFonts w:hint="default" w:ascii="Times New Roman" w:hAnsi="Times New Roman" w:eastAsia="宋体" w:cs="Times New Roman"/>
                      <w:color w:val="auto"/>
                      <w:spacing w:val="9"/>
                      <w:sz w:val="21"/>
                      <w:szCs w:val="21"/>
                    </w:rPr>
                    <w:t>厂等工业窑炉，开展污泥协</w:t>
                  </w:r>
                  <w:r>
                    <w:rPr>
                      <w:rFonts w:hint="default" w:ascii="Times New Roman" w:hAnsi="Times New Roman" w:eastAsia="宋体" w:cs="Times New Roman"/>
                      <w:color w:val="auto"/>
                      <w:spacing w:val="6"/>
                      <w:sz w:val="21"/>
                      <w:szCs w:val="21"/>
                    </w:rPr>
                    <w:t>同焚烧处置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、严格落实总量控制制度，减少重金属污染物排放。</w:t>
                  </w:r>
                  <w:r>
                    <w:rPr>
                      <w:rFonts w:hint="default" w:ascii="Times New Roman" w:hAnsi="Times New Roman" w:eastAsia="宋体" w:cs="Times New Roman"/>
                      <w:color w:val="auto"/>
                      <w:spacing w:val="6"/>
                      <w:sz w:val="21"/>
                      <w:szCs w:val="21"/>
                    </w:rPr>
                    <w:t>新、改、扩建涉重金属重点行业建设项</w:t>
                  </w:r>
                  <w:r>
                    <w:rPr>
                      <w:rFonts w:hint="default" w:ascii="Times New Roman" w:hAnsi="Times New Roman" w:eastAsia="宋体" w:cs="Times New Roman"/>
                      <w:color w:val="auto"/>
                      <w:spacing w:val="10"/>
                      <w:sz w:val="21"/>
                      <w:szCs w:val="21"/>
                    </w:rPr>
                    <w:t>目，污染物排放实施等量或倍量替换，对重金属排放量继续上升的</w:t>
                  </w:r>
                  <w:r>
                    <w:rPr>
                      <w:rFonts w:hint="default" w:ascii="Times New Roman" w:hAnsi="Times New Roman" w:eastAsia="宋体" w:cs="Times New Roman"/>
                      <w:color w:val="auto"/>
                      <w:spacing w:val="9"/>
                      <w:sz w:val="21"/>
                      <w:szCs w:val="21"/>
                    </w:rPr>
                    <w:t>地区，暂停审批新增重金属污染物排放的建设项目。加大减排项目督导力度，确保项目按期实施。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3、严格危险废物经营许可审批，加强危险废物处置单位规范化管理核查。统筹推进危险废物</w:t>
                  </w:r>
                  <w:r>
                    <w:rPr>
                      <w:rFonts w:hint="default" w:ascii="Times New Roman" w:hAnsi="Times New Roman" w:eastAsia="宋体" w:cs="Times New Roman"/>
                      <w:color w:val="auto"/>
                      <w:spacing w:val="10"/>
                      <w:sz w:val="21"/>
                      <w:szCs w:val="21"/>
                    </w:rPr>
                    <w:t>利用处置能力建设，加快补齐利用处置设施短板。积极推进重点监管源</w:t>
                  </w:r>
                  <w:r>
                    <w:rPr>
                      <w:rFonts w:hint="default" w:ascii="Times New Roman" w:hAnsi="Times New Roman" w:eastAsia="宋体" w:cs="Times New Roman"/>
                      <w:color w:val="auto"/>
                      <w:spacing w:val="9"/>
                      <w:sz w:val="21"/>
                      <w:szCs w:val="21"/>
                    </w:rPr>
                    <w:t>智能监控体系建设，加大</w:t>
                  </w:r>
                  <w:r>
                    <w:rPr>
                      <w:rFonts w:hint="default" w:ascii="Times New Roman" w:hAnsi="Times New Roman" w:eastAsia="宋体" w:cs="Times New Roman"/>
                      <w:color w:val="auto"/>
                      <w:spacing w:val="10"/>
                      <w:sz w:val="21"/>
                      <w:szCs w:val="21"/>
                    </w:rPr>
                    <w:t>危险废物产生、贮存、转运、利用、处置全流程监管力度。规范和完善</w:t>
                  </w:r>
                  <w:r>
                    <w:rPr>
                      <w:rFonts w:hint="default" w:ascii="Times New Roman" w:hAnsi="Times New Roman" w:eastAsia="宋体" w:cs="Times New Roman"/>
                      <w:color w:val="auto"/>
                      <w:spacing w:val="9"/>
                      <w:sz w:val="21"/>
                      <w:szCs w:val="21"/>
                    </w:rPr>
                    <w:t>医疗废物分类收集处置体</w:t>
                  </w:r>
                  <w:r>
                    <w:rPr>
                      <w:rFonts w:hint="default" w:ascii="Times New Roman" w:hAnsi="Times New Roman" w:eastAsia="宋体" w:cs="Times New Roman"/>
                      <w:color w:val="auto"/>
                      <w:sz w:val="21"/>
                      <w:szCs w:val="21"/>
                    </w:rPr>
                    <w:t>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4</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、建设和运行固体废物处置设施，应当采取防扬散、防</w:t>
                  </w:r>
                  <w:r>
                    <w:rPr>
                      <w:rFonts w:hint="default" w:ascii="Times New Roman" w:hAnsi="Times New Roman" w:eastAsia="宋体" w:cs="Times New Roman"/>
                      <w:color w:val="auto"/>
                      <w:spacing w:val="6"/>
                      <w:sz w:val="21"/>
                      <w:szCs w:val="21"/>
                    </w:rPr>
                    <w:t>流失、防渗漏等措施，依法贮存、利</w:t>
                  </w:r>
                  <w:r>
                    <w:rPr>
                      <w:rFonts w:hint="default" w:ascii="Times New Roman" w:hAnsi="Times New Roman" w:eastAsia="宋体" w:cs="Times New Roman"/>
                      <w:color w:val="auto"/>
                      <w:spacing w:val="10"/>
                      <w:sz w:val="21"/>
                      <w:szCs w:val="21"/>
                    </w:rPr>
                    <w:t>用、处置固体废物。处置生活垃圾，应当优先采用焚烧处理技术，</w:t>
                  </w:r>
                  <w:r>
                    <w:rPr>
                      <w:rFonts w:hint="default" w:ascii="Times New Roman" w:hAnsi="Times New Roman" w:eastAsia="宋体" w:cs="Times New Roman"/>
                      <w:color w:val="auto"/>
                      <w:spacing w:val="9"/>
                      <w:sz w:val="21"/>
                      <w:szCs w:val="21"/>
                    </w:rPr>
                    <w:t>有计划地实现垃圾零填埋，已</w:t>
                  </w:r>
                  <w:r>
                    <w:rPr>
                      <w:rFonts w:hint="default" w:ascii="Times New Roman" w:hAnsi="Times New Roman" w:eastAsia="宋体" w:cs="Times New Roman"/>
                      <w:color w:val="auto"/>
                      <w:spacing w:val="10"/>
                      <w:sz w:val="21"/>
                      <w:szCs w:val="21"/>
                    </w:rPr>
                    <w:t>有的垃圾填埋处置设施应当建设渗滤液收集和</w:t>
                  </w:r>
                  <w:r>
                    <w:rPr>
                      <w:rFonts w:hint="default" w:ascii="Times New Roman" w:hAnsi="Times New Roman" w:eastAsia="宋体" w:cs="Times New Roman"/>
                      <w:color w:val="auto"/>
                      <w:spacing w:val="9"/>
                      <w:sz w:val="21"/>
                      <w:szCs w:val="21"/>
                    </w:rPr>
                    <w:t>处理、处置设施，并采取相应措施防止土壤污染。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设置一般固废储存区及危险废物暂存间，按照相关要求依法贮存固体废物；员工生活垃圾委托环卫部门处置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3"/>
                      <w:sz w:val="21"/>
                      <w:szCs w:val="21"/>
                    </w:rPr>
                    <w:t>5、严格危险废物源头管控，优化利用处置结构布局，提高应急保障能力。发展生态循环农业，</w:t>
                  </w:r>
                  <w:r>
                    <w:rPr>
                      <w:rFonts w:hint="default" w:ascii="Times New Roman" w:hAnsi="Times New Roman" w:eastAsia="宋体" w:cs="Times New Roman"/>
                      <w:color w:val="auto"/>
                      <w:spacing w:val="10"/>
                      <w:sz w:val="21"/>
                      <w:szCs w:val="21"/>
                    </w:rPr>
                    <w:t>提升农业废弃物综合利用率。健全完善制度、技术、市场、监管四大政</w:t>
                  </w:r>
                  <w:r>
                    <w:rPr>
                      <w:rFonts w:hint="default" w:ascii="Times New Roman" w:hAnsi="Times New Roman" w:eastAsia="宋体" w:cs="Times New Roman"/>
                      <w:color w:val="auto"/>
                      <w:spacing w:val="9"/>
                      <w:sz w:val="21"/>
                      <w:szCs w:val="21"/>
                    </w:rPr>
                    <w:t>策体系，实现固体废物和</w:t>
                  </w:r>
                  <w:r>
                    <w:rPr>
                      <w:rFonts w:hint="default" w:ascii="Times New Roman" w:hAnsi="Times New Roman" w:eastAsia="宋体" w:cs="Times New Roman"/>
                      <w:color w:val="auto"/>
                      <w:spacing w:val="7"/>
                      <w:sz w:val="21"/>
                      <w:szCs w:val="21"/>
                    </w:rPr>
                    <w:t>危险废物全链条监管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r>
                    <w:rPr>
                      <w:rFonts w:hint="default" w:ascii="Times New Roman" w:hAnsi="Times New Roman" w:eastAsia="宋体" w:cs="Times New Roman"/>
                      <w:color w:val="auto"/>
                      <w:spacing w:val="9"/>
                      <w:sz w:val="21"/>
                      <w:szCs w:val="21"/>
                    </w:rPr>
                    <w:t>环境风险防控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1、每年对集中式饮用水水源保护区开展基础调查与评估，</w:t>
                  </w:r>
                  <w:r>
                    <w:rPr>
                      <w:rFonts w:hint="default" w:ascii="Times New Roman" w:hAnsi="Times New Roman" w:eastAsia="宋体" w:cs="Times New Roman"/>
                      <w:color w:val="auto"/>
                      <w:spacing w:val="6"/>
                      <w:sz w:val="21"/>
                      <w:szCs w:val="21"/>
                    </w:rPr>
                    <w:t>将可能影响水源水质安全的风险源</w:t>
                  </w:r>
                  <w:r>
                    <w:rPr>
                      <w:rFonts w:hint="default" w:ascii="Times New Roman" w:hAnsi="Times New Roman" w:eastAsia="宋体" w:cs="Times New Roman"/>
                      <w:color w:val="auto"/>
                      <w:spacing w:val="9"/>
                      <w:sz w:val="21"/>
                      <w:szCs w:val="21"/>
                    </w:rPr>
                    <w:t>全部列入档案，实行“一源一案</w:t>
                  </w:r>
                  <w:r>
                    <w:rPr>
                      <w:rFonts w:hint="default" w:ascii="Times New Roman" w:hAnsi="Times New Roman" w:eastAsia="宋体" w:cs="Times New Roman"/>
                      <w:color w:val="auto"/>
                      <w:spacing w:val="-70"/>
                      <w:sz w:val="21"/>
                      <w:szCs w:val="21"/>
                    </w:rPr>
                    <w:t xml:space="preserve"> </w:t>
                  </w:r>
                  <w:r>
                    <w:rPr>
                      <w:rFonts w:hint="default" w:ascii="Times New Roman" w:hAnsi="Times New Roman" w:eastAsia="宋体" w:cs="Times New Roman"/>
                      <w:color w:val="auto"/>
                      <w:spacing w:val="9"/>
                      <w:sz w:val="21"/>
                      <w:szCs w:val="21"/>
                    </w:rPr>
                    <w:t>”，对每个风险源开展隐患排查、整改，编制风险应急方案，建</w:t>
                  </w:r>
                  <w:r>
                    <w:rPr>
                      <w:rFonts w:hint="default" w:ascii="Times New Roman" w:hAnsi="Times New Roman" w:eastAsia="宋体" w:cs="Times New Roman"/>
                      <w:color w:val="auto"/>
                      <w:spacing w:val="8"/>
                      <w:sz w:val="21"/>
                      <w:szCs w:val="21"/>
                    </w:rPr>
                    <w:t>立联防联控应急机制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top"/>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7"/>
                      <w:sz w:val="21"/>
                      <w:szCs w:val="21"/>
                    </w:rPr>
                    <w:t>2</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、尾矿库运营、管理单位应当按照规定加强尾矿库的</w:t>
                  </w:r>
                  <w:r>
                    <w:rPr>
                      <w:rFonts w:hint="default" w:ascii="Times New Roman" w:hAnsi="Times New Roman" w:eastAsia="宋体" w:cs="Times New Roman"/>
                      <w:color w:val="auto"/>
                      <w:spacing w:val="6"/>
                      <w:sz w:val="21"/>
                      <w:szCs w:val="21"/>
                    </w:rPr>
                    <w:t>安全管理，采取措施防止土壤污染。危</w:t>
                  </w:r>
                  <w:r>
                    <w:rPr>
                      <w:rFonts w:hint="default" w:ascii="Times New Roman" w:hAnsi="Times New Roman" w:eastAsia="宋体" w:cs="Times New Roman"/>
                      <w:color w:val="auto"/>
                      <w:spacing w:val="10"/>
                      <w:sz w:val="21"/>
                      <w:szCs w:val="21"/>
                    </w:rPr>
                    <w:t>库、险库、病库以及其他需要重点监管的尾矿库运营、管理单位应当按</w:t>
                  </w:r>
                  <w:r>
                    <w:rPr>
                      <w:rFonts w:hint="default" w:ascii="Times New Roman" w:hAnsi="Times New Roman" w:eastAsia="宋体" w:cs="Times New Roman"/>
                      <w:color w:val="auto"/>
                      <w:spacing w:val="9"/>
                      <w:sz w:val="21"/>
                      <w:szCs w:val="21"/>
                    </w:rPr>
                    <w:t>照规定进行土壤污染状况</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7"/>
                      <w:sz w:val="21"/>
                      <w:szCs w:val="21"/>
                    </w:rPr>
                    <w:t>监测和定期评估。</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7"/>
                      <w:sz w:val="21"/>
                      <w:szCs w:val="21"/>
                    </w:rPr>
                    <w:t>3</w:t>
                  </w:r>
                  <w:r>
                    <w:rPr>
                      <w:rFonts w:hint="default" w:ascii="Times New Roman" w:hAnsi="Times New Roman" w:eastAsia="宋体" w:cs="Times New Roman"/>
                      <w:color w:val="auto"/>
                      <w:spacing w:val="-28"/>
                      <w:sz w:val="21"/>
                      <w:szCs w:val="21"/>
                    </w:rPr>
                    <w:t xml:space="preserve"> </w:t>
                  </w:r>
                  <w:r>
                    <w:rPr>
                      <w:rFonts w:hint="default" w:ascii="Times New Roman" w:hAnsi="Times New Roman" w:eastAsia="宋体" w:cs="Times New Roman"/>
                      <w:color w:val="auto"/>
                      <w:spacing w:val="7"/>
                      <w:sz w:val="21"/>
                      <w:szCs w:val="21"/>
                    </w:rPr>
                    <w:t>、产生、收集、贮存、运输、利用、处置危</w:t>
                  </w:r>
                  <w:r>
                    <w:rPr>
                      <w:rFonts w:hint="default" w:ascii="Times New Roman" w:hAnsi="Times New Roman" w:eastAsia="宋体" w:cs="Times New Roman"/>
                      <w:color w:val="auto"/>
                      <w:spacing w:val="6"/>
                      <w:sz w:val="21"/>
                      <w:szCs w:val="21"/>
                    </w:rPr>
                    <w:t>险废物的单位，应当依法制定意外事故的防范措</w:t>
                  </w:r>
                  <w:r>
                    <w:rPr>
                      <w:rFonts w:hint="default" w:ascii="Times New Roman" w:hAnsi="Times New Roman" w:eastAsia="宋体" w:cs="Times New Roman"/>
                      <w:color w:val="auto"/>
                      <w:spacing w:val="10"/>
                      <w:sz w:val="21"/>
                      <w:szCs w:val="21"/>
                    </w:rPr>
                    <w:t>施和应急预案，并向所在地生态环境主管部门和其他负有固体废物污染环境</w:t>
                  </w:r>
                  <w:r>
                    <w:rPr>
                      <w:rFonts w:hint="default" w:ascii="Times New Roman" w:hAnsi="Times New Roman" w:eastAsia="宋体" w:cs="Times New Roman"/>
                      <w:color w:val="auto"/>
                      <w:spacing w:val="9"/>
                      <w:sz w:val="21"/>
                      <w:szCs w:val="21"/>
                    </w:rPr>
                    <w:t>防治监督管理职责的</w:t>
                  </w:r>
                  <w:r>
                    <w:rPr>
                      <w:rFonts w:hint="default" w:ascii="Times New Roman" w:hAnsi="Times New Roman" w:eastAsia="宋体" w:cs="Times New Roman"/>
                      <w:color w:val="auto"/>
                      <w:spacing w:val="6"/>
                      <w:sz w:val="21"/>
                      <w:szCs w:val="21"/>
                    </w:rPr>
                    <w:t>部门备案。</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项目厂区危险废物安装要求转移、暂存、系统填报，企业制定有严格的危险废物及固体废物管理制度；项目按照要求组织应急预案编制及修订并报管理部门备案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top"/>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en-US" w:bidi="ar-SA"/>
                    </w:rPr>
                  </w:pPr>
                  <w:r>
                    <w:rPr>
                      <w:rFonts w:hint="default" w:ascii="Times New Roman" w:hAnsi="Times New Roman" w:eastAsia="宋体" w:cs="Times New Roman"/>
                      <w:color w:val="auto"/>
                      <w:spacing w:val="8"/>
                      <w:sz w:val="21"/>
                      <w:szCs w:val="21"/>
                    </w:rPr>
                    <w:t>4</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8"/>
                      <w:sz w:val="21"/>
                      <w:szCs w:val="21"/>
                    </w:rPr>
                    <w:t>、严格落实耕地风险防范措施。对安全利用类耕地，应结合当地主要作物品种和种植习</w:t>
                  </w:r>
                  <w:r>
                    <w:rPr>
                      <w:rFonts w:hint="default" w:ascii="Times New Roman" w:hAnsi="Times New Roman" w:eastAsia="宋体" w:cs="Times New Roman"/>
                      <w:color w:val="auto"/>
                      <w:spacing w:val="7"/>
                      <w:sz w:val="21"/>
                      <w:szCs w:val="21"/>
                    </w:rPr>
                    <w:t>惯，</w:t>
                  </w:r>
                  <w:r>
                    <w:rPr>
                      <w:rFonts w:hint="default" w:ascii="Times New Roman" w:hAnsi="Times New Roman" w:eastAsia="宋体" w:cs="Times New Roman"/>
                      <w:color w:val="auto"/>
                      <w:spacing w:val="10"/>
                      <w:sz w:val="21"/>
                      <w:szCs w:val="21"/>
                    </w:rPr>
                    <w:t>采取农艺调控、低积累品种替代、轮作间作等措施，降低农产品超标风险；对严格管控类耕地，依法划定特定农产品禁止生产区域，鼓励采取调整种植结构、退耕还林还草</w:t>
                  </w:r>
                  <w:r>
                    <w:rPr>
                      <w:rFonts w:hint="default" w:ascii="Times New Roman" w:hAnsi="Times New Roman" w:eastAsia="宋体" w:cs="Times New Roman"/>
                      <w:color w:val="auto"/>
                      <w:spacing w:val="9"/>
                      <w:sz w:val="21"/>
                      <w:szCs w:val="21"/>
                    </w:rPr>
                    <w:t>、退耕还湿、轮作休</w:t>
                  </w:r>
                  <w:r>
                    <w:rPr>
                      <w:rFonts w:hint="default" w:ascii="Times New Roman" w:hAnsi="Times New Roman" w:eastAsia="宋体" w:cs="Times New Roman"/>
                      <w:color w:val="auto"/>
                      <w:spacing w:val="7"/>
                      <w:sz w:val="21"/>
                      <w:szCs w:val="21"/>
                    </w:rPr>
                    <w:t>耕等风险管控措施。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5、强化污染地块土壤环境联动监管。抓好退城搬迁工业企业工矿用地土壤环境监督管理，土</w:t>
                  </w:r>
                  <w:r>
                    <w:rPr>
                      <w:rFonts w:hint="default" w:ascii="Times New Roman" w:hAnsi="Times New Roman" w:eastAsia="宋体" w:cs="Times New Roman"/>
                      <w:color w:val="auto"/>
                      <w:spacing w:val="10"/>
                      <w:sz w:val="21"/>
                      <w:szCs w:val="21"/>
                    </w:rPr>
                    <w:t>壤污染重点监管单位拆除设施、设备或者建筑物、构筑物，要制定土</w:t>
                  </w:r>
                  <w:r>
                    <w:rPr>
                      <w:rFonts w:hint="default" w:ascii="Times New Roman" w:hAnsi="Times New Roman" w:eastAsia="宋体" w:cs="Times New Roman"/>
                      <w:color w:val="auto"/>
                      <w:spacing w:val="9"/>
                      <w:sz w:val="21"/>
                      <w:szCs w:val="21"/>
                    </w:rPr>
                    <w:t>壤污染防治工作方案并按要求备案，防范拆除活动造成土壤和地下水污染，切实保障生态环境安全。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6</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7"/>
                      <w:sz w:val="21"/>
                      <w:szCs w:val="21"/>
                    </w:rPr>
                    <w:t>、严格建设用地准入管理。加强对土地征收</w:t>
                  </w:r>
                  <w:r>
                    <w:rPr>
                      <w:rFonts w:hint="default" w:ascii="Times New Roman" w:hAnsi="Times New Roman" w:eastAsia="宋体" w:cs="Times New Roman"/>
                      <w:color w:val="auto"/>
                      <w:spacing w:val="6"/>
                      <w:sz w:val="21"/>
                      <w:szCs w:val="21"/>
                    </w:rPr>
                    <w:t>、收回、收购的监督管理，对应当开展土壤污染</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10"/>
                      <w:sz w:val="21"/>
                      <w:szCs w:val="21"/>
                    </w:rPr>
                    <w:t>状况调查而未进行调查的地块，以及列入疑似污染地块名单、污染地块名录</w:t>
                  </w:r>
                  <w:r>
                    <w:rPr>
                      <w:rFonts w:hint="default" w:ascii="Times New Roman" w:hAnsi="Times New Roman" w:eastAsia="宋体" w:cs="Times New Roman"/>
                      <w:color w:val="auto"/>
                      <w:spacing w:val="9"/>
                      <w:sz w:val="21"/>
                      <w:szCs w:val="21"/>
                    </w:rPr>
                    <w:t>、建设用地土壤污染</w:t>
                  </w:r>
                  <w:r>
                    <w:rPr>
                      <w:rFonts w:hint="default" w:ascii="Times New Roman" w:hAnsi="Times New Roman" w:eastAsia="宋体" w:cs="Times New Roman"/>
                      <w:color w:val="auto"/>
                      <w:spacing w:val="10"/>
                      <w:sz w:val="21"/>
                      <w:szCs w:val="21"/>
                    </w:rPr>
                    <w:t>风险管控和修复名录且未达到规划用途土壤环境质量要求的地块，不得进入</w:t>
                  </w:r>
                  <w:r>
                    <w:rPr>
                      <w:rFonts w:hint="default" w:ascii="Times New Roman" w:hAnsi="Times New Roman" w:eastAsia="宋体" w:cs="Times New Roman"/>
                      <w:color w:val="auto"/>
                      <w:spacing w:val="9"/>
                      <w:sz w:val="21"/>
                      <w:szCs w:val="21"/>
                    </w:rPr>
                    <w:t>供地程序进行再开发</w:t>
                  </w:r>
                  <w:r>
                    <w:rPr>
                      <w:rFonts w:hint="default" w:ascii="Times New Roman" w:hAnsi="Times New Roman" w:eastAsia="宋体" w:cs="Times New Roman"/>
                      <w:color w:val="auto"/>
                      <w:spacing w:val="10"/>
                      <w:sz w:val="21"/>
                      <w:szCs w:val="21"/>
                    </w:rPr>
                    <w:t>利用，未达到土壤污染风险管控、修复目标的地块，禁止开工建设任何与风</w:t>
                  </w:r>
                  <w:r>
                    <w:rPr>
                      <w:rFonts w:hint="default" w:ascii="Times New Roman" w:hAnsi="Times New Roman" w:eastAsia="宋体" w:cs="Times New Roman"/>
                      <w:color w:val="auto"/>
                      <w:spacing w:val="9"/>
                      <w:sz w:val="21"/>
                      <w:szCs w:val="21"/>
                    </w:rPr>
                    <w:t>险管控、修复无关的</w:t>
                  </w:r>
                  <w:r>
                    <w:rPr>
                      <w:rFonts w:hint="default" w:ascii="Times New Roman" w:hAnsi="Times New Roman" w:eastAsia="宋体" w:cs="Times New Roman"/>
                      <w:color w:val="auto"/>
                      <w:spacing w:val="10"/>
                      <w:sz w:val="21"/>
                      <w:szCs w:val="21"/>
                    </w:rPr>
                    <w:t>项目，不得批准环境影响评价技术文件、建设工程规划许可证等事项。涉及</w:t>
                  </w:r>
                  <w:r>
                    <w:rPr>
                      <w:rFonts w:hint="default" w:ascii="Times New Roman" w:hAnsi="Times New Roman" w:eastAsia="宋体" w:cs="Times New Roman"/>
                      <w:color w:val="auto"/>
                      <w:spacing w:val="9"/>
                      <w:sz w:val="21"/>
                      <w:szCs w:val="21"/>
                    </w:rPr>
                    <w:t>成片污染地块分期分</w:t>
                  </w:r>
                  <w:r>
                    <w:rPr>
                      <w:rFonts w:hint="default" w:ascii="Times New Roman" w:hAnsi="Times New Roman" w:eastAsia="宋体" w:cs="Times New Roman"/>
                      <w:color w:val="auto"/>
                      <w:spacing w:val="10"/>
                      <w:sz w:val="21"/>
                      <w:szCs w:val="21"/>
                    </w:rPr>
                    <w:t>批开发或周边土地开发的，要科学设定开发时序，防止受污染土壤及其后续</w:t>
                  </w:r>
                  <w:r>
                    <w:rPr>
                      <w:rFonts w:hint="default" w:ascii="Times New Roman" w:hAnsi="Times New Roman" w:eastAsia="宋体" w:cs="Times New Roman"/>
                      <w:color w:val="auto"/>
                      <w:spacing w:val="9"/>
                      <w:sz w:val="21"/>
                      <w:szCs w:val="21"/>
                    </w:rPr>
                    <w:t>风险管控和修复措施</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pacing w:val="8"/>
                      <w:sz w:val="21"/>
                      <w:szCs w:val="21"/>
                    </w:rPr>
                    <w:t>对周边人群产生影响。</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7、加强污染地块风险管控及修复。对暂不开发利用的污染地块，实施以防止污染扩散为目的</w:t>
                  </w:r>
                  <w:r>
                    <w:rPr>
                      <w:rFonts w:hint="default" w:ascii="Times New Roman" w:hAnsi="Times New Roman" w:eastAsia="宋体" w:cs="Times New Roman"/>
                      <w:color w:val="auto"/>
                      <w:spacing w:val="10"/>
                      <w:sz w:val="21"/>
                      <w:szCs w:val="21"/>
                    </w:rPr>
                    <w:t>的风险管控，设立标识、发布公告，并组织开展土壤、地表水</w:t>
                  </w:r>
                  <w:r>
                    <w:rPr>
                      <w:rFonts w:hint="default" w:ascii="Times New Roman" w:hAnsi="Times New Roman" w:eastAsia="宋体" w:cs="Times New Roman"/>
                      <w:color w:val="auto"/>
                      <w:spacing w:val="9"/>
                      <w:sz w:val="21"/>
                      <w:szCs w:val="21"/>
                    </w:rPr>
                    <w:t>、地下水、空气环境监测。对需要</w:t>
                  </w:r>
                  <w:r>
                    <w:rPr>
                      <w:rFonts w:hint="default" w:ascii="Times New Roman" w:hAnsi="Times New Roman" w:eastAsia="宋体" w:cs="Times New Roman"/>
                      <w:color w:val="auto"/>
                      <w:spacing w:val="10"/>
                      <w:sz w:val="21"/>
                      <w:szCs w:val="21"/>
                    </w:rPr>
                    <w:t>实施治理与修复的污染地块，应结合土地利用总体规划和城乡</w:t>
                  </w:r>
                  <w:r>
                    <w:rPr>
                      <w:rFonts w:hint="default" w:ascii="Times New Roman" w:hAnsi="Times New Roman" w:eastAsia="宋体" w:cs="Times New Roman"/>
                      <w:color w:val="auto"/>
                      <w:spacing w:val="9"/>
                      <w:sz w:val="21"/>
                      <w:szCs w:val="21"/>
                    </w:rPr>
                    <w:t>规划编制修复方案并组织实施。加强治理与修复施工的环境监理，并严防治理与修复过程中产生废水、废气和固体废物二次污染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8、县级以上地方人民政府应当根据地下水水源条件和需要，建设应急备用饮用水水源</w:t>
                  </w:r>
                  <w:r>
                    <w:rPr>
                      <w:rFonts w:hint="default" w:ascii="Times New Roman" w:hAnsi="Times New Roman" w:eastAsia="宋体" w:cs="Times New Roman"/>
                      <w:color w:val="auto"/>
                      <w:spacing w:val="6"/>
                      <w:sz w:val="21"/>
                      <w:szCs w:val="21"/>
                    </w:rPr>
                    <w:t>，制定</w:t>
                  </w:r>
                  <w:r>
                    <w:rPr>
                      <w:rFonts w:hint="default" w:ascii="Times New Roman" w:hAnsi="Times New Roman" w:eastAsia="宋体" w:cs="Times New Roman"/>
                      <w:color w:val="auto"/>
                      <w:spacing w:val="10"/>
                      <w:sz w:val="21"/>
                      <w:szCs w:val="21"/>
                    </w:rPr>
                    <w:t>应急预案，确保需要时正常使用。应急备用</w:t>
                  </w:r>
                  <w:r>
                    <w:rPr>
                      <w:rFonts w:hint="default" w:ascii="Times New Roman" w:hAnsi="Times New Roman" w:eastAsia="宋体" w:cs="Times New Roman"/>
                      <w:color w:val="auto"/>
                      <w:spacing w:val="9"/>
                      <w:sz w:val="21"/>
                      <w:szCs w:val="21"/>
                    </w:rPr>
                    <w:t>地下水水源结束应急使用后，应当立即停止取水</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7"/>
                      <w:sz w:val="21"/>
                      <w:szCs w:val="21"/>
                    </w:rPr>
                    <w:t>9、针对存在地下水污染的化工园区、危险废物处置场和生活垃圾填埋场等，实施地下水污染</w:t>
                  </w:r>
                  <w:r>
                    <w:rPr>
                      <w:rFonts w:hint="default" w:ascii="Times New Roman" w:hAnsi="Times New Roman" w:eastAsia="宋体" w:cs="Times New Roman"/>
                      <w:color w:val="auto"/>
                      <w:spacing w:val="10"/>
                      <w:sz w:val="21"/>
                      <w:szCs w:val="21"/>
                    </w:rPr>
                    <w:t>风险管控，因地制宜选择阻隔、制度控制、渗透反应格栅等技术，阻止</w:t>
                  </w:r>
                  <w:r>
                    <w:rPr>
                      <w:rFonts w:hint="default" w:ascii="Times New Roman" w:hAnsi="Times New Roman" w:eastAsia="宋体" w:cs="Times New Roman"/>
                      <w:color w:val="auto"/>
                      <w:spacing w:val="9"/>
                      <w:sz w:val="21"/>
                      <w:szCs w:val="21"/>
                    </w:rPr>
                    <w:t>污染扩散，加强风险管控</w:t>
                  </w:r>
                  <w:r>
                    <w:rPr>
                      <w:rFonts w:hint="default" w:ascii="Times New Roman" w:hAnsi="Times New Roman" w:eastAsia="宋体" w:cs="Times New Roman"/>
                      <w:color w:val="auto"/>
                      <w:spacing w:val="7"/>
                      <w:sz w:val="21"/>
                      <w:szCs w:val="21"/>
                    </w:rPr>
                    <w:t>后期地下水环境监管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rPr>
                  </w:pPr>
                  <w:r>
                    <w:rPr>
                      <w:rFonts w:hint="default" w:ascii="Times New Roman" w:hAnsi="Times New Roman" w:eastAsia="宋体" w:cs="Times New Roman"/>
                      <w:color w:val="auto"/>
                      <w:spacing w:val="9"/>
                      <w:sz w:val="21"/>
                      <w:szCs w:val="21"/>
                    </w:rPr>
                    <w:t>10</w:t>
                  </w:r>
                  <w:r>
                    <w:rPr>
                      <w:rFonts w:hint="default" w:ascii="Times New Roman" w:hAnsi="Times New Roman" w:eastAsia="宋体" w:cs="Times New Roman"/>
                      <w:color w:val="auto"/>
                      <w:spacing w:val="-29"/>
                      <w:sz w:val="21"/>
                      <w:szCs w:val="21"/>
                    </w:rPr>
                    <w:t xml:space="preserve"> </w:t>
                  </w:r>
                  <w:r>
                    <w:rPr>
                      <w:rFonts w:hint="default" w:ascii="Times New Roman" w:hAnsi="Times New Roman" w:eastAsia="宋体" w:cs="Times New Roman"/>
                      <w:color w:val="auto"/>
                      <w:spacing w:val="9"/>
                      <w:sz w:val="21"/>
                      <w:szCs w:val="21"/>
                    </w:rPr>
                    <w:t>、地下水污染风险重点管控区执行《唐山市地下水污</w:t>
                  </w:r>
                  <w:r>
                    <w:rPr>
                      <w:rFonts w:hint="default" w:ascii="Times New Roman" w:hAnsi="Times New Roman" w:eastAsia="宋体" w:cs="Times New Roman"/>
                      <w:color w:val="auto"/>
                      <w:spacing w:val="8"/>
                      <w:sz w:val="21"/>
                      <w:szCs w:val="21"/>
                    </w:rPr>
                    <w:t>染防治重点区划定方案（试行）》中</w:t>
                  </w:r>
                  <w:r>
                    <w:rPr>
                      <w:rFonts w:hint="default" w:ascii="Times New Roman" w:hAnsi="Times New Roman" w:eastAsia="宋体" w:cs="Times New Roman"/>
                      <w:color w:val="auto"/>
                      <w:spacing w:val="7"/>
                      <w:sz w:val="21"/>
                      <w:szCs w:val="21"/>
                    </w:rPr>
                    <w:t>管控类区域管理要求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bl>
          <w:p>
            <w:pPr>
              <w:pStyle w:val="68"/>
              <w:keepNext w:val="0"/>
              <w:keepLines w:val="0"/>
              <w:pageBreakBefore w:val="0"/>
              <w:widowControl w:val="0"/>
              <w:kinsoku/>
              <w:wordWrap/>
              <w:overflowPunct/>
              <w:topLinePunct w:val="0"/>
              <w:autoSpaceDE/>
              <w:autoSpaceDN/>
              <w:bidi w:val="0"/>
              <w:adjustRightInd w:val="0"/>
              <w:snapToGrid/>
              <w:spacing w:line="480" w:lineRule="exact"/>
              <w:ind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 xml:space="preserve">3   </w:t>
            </w:r>
            <w:r>
              <w:rPr>
                <w:rFonts w:hint="default" w:ascii="Times New Roman" w:hAnsi="Times New Roman" w:eastAsia="宋体" w:cs="Times New Roman"/>
                <w:b/>
                <w:color w:val="auto"/>
                <w:sz w:val="24"/>
                <w:szCs w:val="24"/>
                <w:highlight w:val="none"/>
              </w:rPr>
              <w:t>与 “</w:t>
            </w:r>
            <w:r>
              <w:rPr>
                <w:rFonts w:hint="eastAsia" w:ascii="Times New Roman" w:hAnsi="Times New Roman" w:eastAsia="宋体" w:cs="Times New Roman"/>
                <w:b/>
                <w:color w:val="auto"/>
                <w:sz w:val="24"/>
                <w:szCs w:val="24"/>
                <w:highlight w:val="none"/>
                <w:lang w:val="en-US" w:eastAsia="zh-CN"/>
              </w:rPr>
              <w:t>遵化市</w:t>
            </w:r>
            <w:r>
              <w:rPr>
                <w:rFonts w:hint="eastAsia" w:ascii="Times New Roman" w:hAnsi="Times New Roman" w:eastAsia="宋体" w:cs="Times New Roman"/>
                <w:b/>
                <w:color w:val="auto"/>
                <w:sz w:val="24"/>
                <w:szCs w:val="24"/>
                <w:highlight w:val="none"/>
                <w:lang w:eastAsia="zh-CN"/>
              </w:rPr>
              <w:t>生态</w:t>
            </w:r>
            <w:r>
              <w:rPr>
                <w:rFonts w:hint="default" w:ascii="Times New Roman" w:hAnsi="Times New Roman" w:eastAsia="宋体" w:cs="Times New Roman"/>
                <w:b/>
                <w:color w:val="auto"/>
                <w:sz w:val="24"/>
                <w:szCs w:val="24"/>
                <w:highlight w:val="none"/>
              </w:rPr>
              <w:t>环境准入负面清单”符合性分析判定表</w:t>
            </w:r>
          </w:p>
          <w:tbl>
            <w:tblPr>
              <w:tblStyle w:val="32"/>
              <w:tblW w:w="1302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4"/>
              <w:gridCol w:w="518"/>
              <w:gridCol w:w="1988"/>
              <w:gridCol w:w="771"/>
              <w:gridCol w:w="1683"/>
              <w:gridCol w:w="664"/>
              <w:gridCol w:w="2593"/>
              <w:gridCol w:w="3406"/>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9"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编号</w:t>
                  </w:r>
                </w:p>
              </w:tc>
              <w:tc>
                <w:tcPr>
                  <w:tcW w:w="198"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区县</w:t>
                  </w:r>
                </w:p>
              </w:tc>
              <w:tc>
                <w:tcPr>
                  <w:tcW w:w="763"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9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64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254"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维度</w:t>
                  </w:r>
                </w:p>
              </w:tc>
              <w:tc>
                <w:tcPr>
                  <w:tcW w:w="995"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307" w:type="pct"/>
                  <w:tcBorders>
                    <w:tl2br w:val="nil"/>
                    <w:tr2bl w:val="nil"/>
                  </w:tcBorders>
                  <w:noWrap w:val="0"/>
                  <w:vAlign w:val="center"/>
                </w:tcPr>
                <w:p>
                  <w:pPr>
                    <w:pStyle w:val="1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本项目情况</w:t>
                  </w:r>
                </w:p>
              </w:tc>
              <w:tc>
                <w:tcPr>
                  <w:tcW w:w="248" w:type="pct"/>
                  <w:tcBorders>
                    <w:tl2br w:val="nil"/>
                    <w:tr2bl w:val="nil"/>
                  </w:tcBorders>
                  <w:noWrap w:val="0"/>
                  <w:vAlign w:val="center"/>
                </w:tcPr>
                <w:p>
                  <w:pPr>
                    <w:pStyle w:val="1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289"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ZH130281100010</w:t>
                  </w:r>
                </w:p>
              </w:tc>
              <w:tc>
                <w:tcPr>
                  <w:tcW w:w="198"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遵化市</w:t>
                  </w:r>
                </w:p>
              </w:tc>
              <w:tc>
                <w:tcPr>
                  <w:tcW w:w="763"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崔家庄镇、东旧寨镇、东新庄镇、建明镇、刘备寨乡、娘娘庄镇、铁厂镇、团瓢庄镇、小厂</w:t>
                  </w:r>
                </w:p>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乡、新店子镇</w:t>
                  </w:r>
                </w:p>
              </w:tc>
              <w:tc>
                <w:tcPr>
                  <w:tcW w:w="29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优先保护单元</w:t>
                  </w:r>
                </w:p>
              </w:tc>
              <w:tc>
                <w:tcPr>
                  <w:tcW w:w="64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水环境优先保护区：黎河遵化市控制单元、还乡河遵化市邱庄水库控制单元</w:t>
                  </w:r>
                </w:p>
              </w:tc>
              <w:tc>
                <w:tcPr>
                  <w:tcW w:w="254"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default" w:ascii="Times New Roman" w:hAnsi="Times New Roman" w:eastAsia="宋体" w:cs="Times New Roman"/>
                      <w:color w:val="auto"/>
                      <w:sz w:val="21"/>
                      <w:szCs w:val="21"/>
                      <w:highlight w:val="none"/>
                      <w:lang w:val="en-US" w:eastAsia="zh-CN"/>
                    </w:rPr>
                    <w:t>空间布局约束</w:t>
                  </w:r>
                </w:p>
              </w:tc>
              <w:tc>
                <w:tcPr>
                  <w:tcW w:w="995"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黎河遵化市控制单元、还乡河遵化市邱庄水库控制单元</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严格控制化学原料和化学制品制造、医药制造、制革、造纸、焦化、化学纤维制造、石油加工、纺织印染等项目环境风险，合理布局生产装置及危险化学品仓储等设施</w:t>
                  </w:r>
                  <w:r>
                    <w:rPr>
                      <w:rFonts w:hint="eastAsia" w:ascii="Times New Roman" w:hAnsi="Times New Roman" w:eastAsia="宋体" w:cs="Times New Roman"/>
                      <w:color w:val="auto"/>
                      <w:sz w:val="21"/>
                      <w:szCs w:val="21"/>
                      <w:highlight w:val="none"/>
                      <w:lang w:val="en-US" w:eastAsia="zh-CN"/>
                    </w:rPr>
                    <w:t>。</w:t>
                  </w:r>
                </w:p>
              </w:tc>
              <w:tc>
                <w:tcPr>
                  <w:tcW w:w="1307"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本项目位于遵化市铁厂镇铁厂村，不属于</w:t>
                  </w:r>
                  <w:r>
                    <w:rPr>
                      <w:rFonts w:hint="default" w:ascii="Times New Roman" w:hAnsi="Times New Roman" w:eastAsia="宋体" w:cs="Times New Roman"/>
                      <w:color w:val="auto"/>
                      <w:sz w:val="21"/>
                      <w:szCs w:val="21"/>
                      <w:highlight w:val="none"/>
                      <w:lang w:val="en-US" w:eastAsia="zh-CN"/>
                    </w:rPr>
                    <w:t>黎河遵化市控制单元、还乡河遵化市邱庄水库控制单元</w:t>
                  </w:r>
                  <w:r>
                    <w:rPr>
                      <w:rFonts w:hint="eastAsia" w:ascii="Times New Roman" w:hAnsi="Times New Roman" w:eastAsia="宋体" w:cs="Times New Roman"/>
                      <w:color w:val="auto"/>
                      <w:sz w:val="21"/>
                      <w:szCs w:val="21"/>
                      <w:highlight w:val="none"/>
                      <w:lang w:val="en-US" w:eastAsia="zh-CN"/>
                    </w:rPr>
                    <w:t>，本项目为钢渣处理项目，不属于化学原料和化学制品制造、</w:t>
                  </w:r>
                  <w:r>
                    <w:rPr>
                      <w:rFonts w:hint="default" w:ascii="Times New Roman" w:hAnsi="Times New Roman" w:eastAsia="宋体" w:cs="Times New Roman"/>
                      <w:color w:val="auto"/>
                      <w:sz w:val="21"/>
                      <w:szCs w:val="21"/>
                      <w:highlight w:val="none"/>
                      <w:lang w:val="en-US" w:eastAsia="zh-CN"/>
                    </w:rPr>
                    <w:t>医药制造、制革、造纸、焦化、化学纤维制造、石油加工、纺织印染等项目</w:t>
                  </w:r>
                  <w:r>
                    <w:rPr>
                      <w:rFonts w:hint="eastAsia" w:ascii="Times New Roman" w:hAnsi="Times New Roman" w:eastAsia="宋体" w:cs="Times New Roman"/>
                      <w:color w:val="auto"/>
                      <w:sz w:val="21"/>
                      <w:szCs w:val="21"/>
                      <w:highlight w:val="none"/>
                      <w:lang w:val="en-US" w:eastAsia="zh-CN"/>
                    </w:rPr>
                    <w:t>；项目布置合理，选址符合当地规划要求</w:t>
                  </w:r>
                </w:p>
              </w:tc>
              <w:tc>
                <w:tcPr>
                  <w:tcW w:w="248" w:type="pct"/>
                  <w:tcBorders>
                    <w:tl2br w:val="nil"/>
                    <w:tr2bl w:val="nil"/>
                  </w:tcBorders>
                  <w:noWrap w:val="0"/>
                  <w:vAlign w:val="center"/>
                </w:tcPr>
                <w:p>
                  <w:pPr>
                    <w:pStyle w:val="1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符合</w:t>
                  </w:r>
                </w:p>
              </w:tc>
            </w:tr>
          </w:tbl>
          <w:p>
            <w:pPr>
              <w:pStyle w:val="68"/>
              <w:widowControl w:val="0"/>
              <w:overflowPunct/>
              <w:autoSpaceDE/>
              <w:autoSpaceDN/>
              <w:spacing w:line="480" w:lineRule="exact"/>
              <w:ind w:firstLine="480" w:firstLineChars="200"/>
              <w:jc w:val="both"/>
              <w:rPr>
                <w:rFonts w:ascii="宋体" w:hAnsi="宋体" w:eastAsia="宋体" w:cs="宋体"/>
                <w:szCs w:val="24"/>
              </w:rPr>
            </w:pPr>
            <w:r>
              <w:rPr>
                <w:rFonts w:hint="eastAsia" w:ascii="宋体" w:hAnsi="宋体" w:eastAsia="宋体" w:cs="宋体"/>
                <w:szCs w:val="24"/>
              </w:rPr>
              <w:t>综上所述，本项目满足“三线一单”及</w:t>
            </w:r>
            <w:r>
              <w:rPr>
                <w:rFonts w:hint="default" w:ascii="宋体" w:hAnsi="宋体" w:eastAsia="宋体" w:cs="宋体"/>
                <w:szCs w:val="24"/>
              </w:rPr>
              <w:t>《</w:t>
            </w:r>
            <w:r>
              <w:rPr>
                <w:rFonts w:hint="eastAsia" w:ascii="宋体" w:hAnsi="宋体" w:eastAsia="宋体" w:cs="宋体"/>
                <w:szCs w:val="24"/>
                <w:lang w:val="en-US" w:eastAsia="zh-CN"/>
              </w:rPr>
              <w:t>唐山市生态环境准入</w:t>
            </w:r>
            <w:r>
              <w:rPr>
                <w:rFonts w:hint="default" w:ascii="Times New Roman" w:hAnsi="Times New Roman" w:eastAsia="宋体" w:cs="Times New Roman"/>
                <w:szCs w:val="24"/>
                <w:lang w:val="en-US" w:eastAsia="zh-CN"/>
              </w:rPr>
              <w:t>清单</w:t>
            </w:r>
            <w:r>
              <w:rPr>
                <w:rFonts w:hint="default" w:ascii="Times New Roman" w:hAnsi="Times New Roman" w:eastAsia="宋体" w:cs="Times New Roman"/>
                <w:szCs w:val="24"/>
              </w:rPr>
              <w:t>》（</w:t>
            </w:r>
            <w:r>
              <w:rPr>
                <w:rFonts w:hint="default" w:ascii="Times New Roman" w:hAnsi="Times New Roman" w:eastAsia="宋体" w:cs="Times New Roman"/>
                <w:szCs w:val="24"/>
                <w:lang w:val="en-US" w:eastAsia="zh-CN"/>
              </w:rPr>
              <w:t>2023年版</w:t>
            </w:r>
            <w:r>
              <w:rPr>
                <w:rFonts w:hint="default" w:ascii="Times New Roman" w:hAnsi="Times New Roman" w:eastAsia="宋体" w:cs="Times New Roman"/>
                <w:szCs w:val="24"/>
              </w:rPr>
              <w:t>）要</w:t>
            </w:r>
            <w:r>
              <w:rPr>
                <w:rFonts w:hint="eastAsia" w:ascii="宋体" w:hAnsi="宋体" w:eastAsia="宋体" w:cs="宋体"/>
                <w:szCs w:val="24"/>
              </w:rPr>
              <w:t>求。</w:t>
            </w:r>
          </w:p>
          <w:p>
            <w:pPr>
              <w:pStyle w:val="68"/>
              <w:widowControl w:val="0"/>
              <w:overflowPunct/>
              <w:autoSpaceDE/>
              <w:autoSpaceDN/>
              <w:spacing w:line="480" w:lineRule="exact"/>
              <w:ind w:firstLine="0" w:firstLineChars="0"/>
              <w:jc w:val="center"/>
              <w:rPr>
                <w:rFonts w:ascii="宋体" w:hAnsi="宋体" w:eastAsia="宋体" w:cs="宋体"/>
                <w:szCs w:val="24"/>
              </w:rPr>
            </w:pPr>
          </w:p>
          <w:p>
            <w:pPr>
              <w:pStyle w:val="68"/>
              <w:widowControl w:val="0"/>
              <w:overflowPunct/>
              <w:autoSpaceDE/>
              <w:autoSpaceDN/>
              <w:spacing w:line="480" w:lineRule="exact"/>
              <w:ind w:firstLine="0" w:firstLineChars="0"/>
              <w:jc w:val="center"/>
              <w:rPr>
                <w:rFonts w:ascii="宋体" w:hAnsi="宋体" w:eastAsia="宋体" w:cs="宋体"/>
                <w:szCs w:val="24"/>
              </w:rPr>
            </w:pPr>
          </w:p>
          <w:p>
            <w:pPr>
              <w:pStyle w:val="68"/>
              <w:widowControl w:val="0"/>
              <w:overflowPunct/>
              <w:autoSpaceDE/>
              <w:autoSpaceDN/>
              <w:spacing w:line="480" w:lineRule="exact"/>
              <w:ind w:firstLine="0" w:firstLineChars="0"/>
              <w:jc w:val="center"/>
              <w:rPr>
                <w:rFonts w:ascii="Times New Roman" w:hAnsi="Times New Roman" w:eastAsia="宋体"/>
                <w:b/>
                <w:szCs w:val="24"/>
              </w:rPr>
            </w:pPr>
          </w:p>
          <w:p>
            <w:pPr>
              <w:spacing w:line="480" w:lineRule="exact"/>
            </w:pPr>
          </w:p>
        </w:tc>
      </w:tr>
    </w:tbl>
    <w:p>
      <w:pPr>
        <w:pStyle w:val="28"/>
        <w:keepNext/>
        <w:widowControl w:val="0"/>
        <w:jc w:val="center"/>
        <w:rPr>
          <w:rFonts w:ascii="Times New Roman" w:hAnsi="Times New Roman" w:eastAsia="黑体"/>
          <w:snapToGrid w:val="0"/>
          <w:sz w:val="30"/>
          <w:szCs w:val="30"/>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507" w:type="dxa"/>
            <w:vAlign w:val="center"/>
          </w:tcPr>
          <w:p>
            <w:pPr>
              <w:pStyle w:val="2"/>
              <w:spacing w:line="480" w:lineRule="exact"/>
              <w:ind w:firstLine="0"/>
              <w:jc w:val="center"/>
              <w:rPr>
                <w:rFonts w:ascii="Times New Roman" w:hAnsi="Times New Roman"/>
                <w:sz w:val="24"/>
                <w:szCs w:val="24"/>
              </w:rPr>
            </w:pPr>
            <w:r>
              <w:rPr>
                <w:rFonts w:ascii="Times New Roman" w:hAnsi="Times New Roman"/>
                <w:sz w:val="24"/>
                <w:szCs w:val="24"/>
              </w:rPr>
              <w:t>其</w:t>
            </w:r>
          </w:p>
          <w:p>
            <w:pPr>
              <w:pStyle w:val="2"/>
              <w:spacing w:line="480" w:lineRule="exact"/>
              <w:ind w:firstLine="0"/>
              <w:jc w:val="center"/>
              <w:rPr>
                <w:rFonts w:ascii="Times New Roman" w:hAnsi="Times New Roman"/>
                <w:sz w:val="24"/>
                <w:szCs w:val="24"/>
              </w:rPr>
            </w:pPr>
            <w:r>
              <w:rPr>
                <w:rFonts w:ascii="Times New Roman" w:hAnsi="Times New Roman"/>
                <w:sz w:val="24"/>
                <w:szCs w:val="24"/>
              </w:rPr>
              <w:t>他</w:t>
            </w:r>
          </w:p>
          <w:p>
            <w:pPr>
              <w:pStyle w:val="2"/>
              <w:spacing w:line="480" w:lineRule="exact"/>
              <w:ind w:firstLine="0"/>
              <w:jc w:val="center"/>
              <w:rPr>
                <w:rFonts w:ascii="Times New Roman" w:hAnsi="Times New Roman"/>
                <w:sz w:val="24"/>
                <w:szCs w:val="24"/>
              </w:rPr>
            </w:pPr>
            <w:r>
              <w:rPr>
                <w:rFonts w:ascii="Times New Roman" w:hAnsi="Times New Roman"/>
                <w:sz w:val="24"/>
                <w:szCs w:val="24"/>
              </w:rPr>
              <w:t>符</w:t>
            </w:r>
          </w:p>
          <w:p>
            <w:pPr>
              <w:pStyle w:val="2"/>
              <w:spacing w:line="480" w:lineRule="exact"/>
              <w:ind w:firstLine="0"/>
              <w:jc w:val="center"/>
              <w:rPr>
                <w:rFonts w:ascii="Times New Roman" w:hAnsi="Times New Roman"/>
                <w:sz w:val="24"/>
                <w:szCs w:val="24"/>
              </w:rPr>
            </w:pPr>
            <w:r>
              <w:rPr>
                <w:rFonts w:ascii="Times New Roman" w:hAnsi="Times New Roman"/>
                <w:sz w:val="24"/>
                <w:szCs w:val="24"/>
              </w:rPr>
              <w:t>合</w:t>
            </w:r>
          </w:p>
          <w:p>
            <w:pPr>
              <w:pStyle w:val="2"/>
              <w:spacing w:line="480" w:lineRule="exact"/>
              <w:ind w:firstLine="0"/>
              <w:jc w:val="center"/>
              <w:rPr>
                <w:rFonts w:ascii="Times New Roman" w:hAnsi="Times New Roman"/>
                <w:sz w:val="24"/>
                <w:szCs w:val="24"/>
              </w:rPr>
            </w:pPr>
            <w:r>
              <w:rPr>
                <w:rFonts w:ascii="Times New Roman" w:hAnsi="Times New Roman"/>
                <w:sz w:val="24"/>
                <w:szCs w:val="24"/>
              </w:rPr>
              <w:t>性</w:t>
            </w:r>
          </w:p>
          <w:p>
            <w:pPr>
              <w:pStyle w:val="2"/>
              <w:spacing w:line="480" w:lineRule="exact"/>
              <w:ind w:firstLine="0"/>
              <w:jc w:val="center"/>
              <w:rPr>
                <w:rFonts w:ascii="Times New Roman" w:hAnsi="Times New Roman"/>
                <w:sz w:val="24"/>
                <w:szCs w:val="24"/>
              </w:rPr>
            </w:pPr>
            <w:r>
              <w:rPr>
                <w:rFonts w:ascii="Times New Roman" w:hAnsi="Times New Roman"/>
                <w:sz w:val="24"/>
                <w:szCs w:val="24"/>
              </w:rPr>
              <w:t>分</w:t>
            </w:r>
          </w:p>
          <w:p>
            <w:pPr>
              <w:pStyle w:val="2"/>
              <w:spacing w:line="480" w:lineRule="exact"/>
              <w:ind w:firstLine="0"/>
              <w:jc w:val="center"/>
              <w:rPr>
                <w:rFonts w:ascii="Times New Roman" w:hAnsi="Times New Roman" w:eastAsia="黑体"/>
                <w:snapToGrid w:val="0"/>
                <w:sz w:val="30"/>
                <w:szCs w:val="30"/>
              </w:rPr>
            </w:pPr>
            <w:r>
              <w:rPr>
                <w:rFonts w:ascii="Times New Roman" w:hAnsi="Times New Roman"/>
                <w:sz w:val="24"/>
                <w:szCs w:val="24"/>
              </w:rPr>
              <w:t>析</w:t>
            </w:r>
          </w:p>
        </w:tc>
        <w:tc>
          <w:tcPr>
            <w:tcW w:w="8487" w:type="dxa"/>
          </w:tcPr>
          <w:p>
            <w:pPr>
              <w:pStyle w:val="83"/>
              <w:spacing w:line="480" w:lineRule="exact"/>
              <w:ind w:firstLine="0" w:firstLineChars="0"/>
              <w:jc w:val="left"/>
              <w:rPr>
                <w:b/>
                <w:sz w:val="24"/>
              </w:rPr>
            </w:pPr>
            <w:r>
              <w:rPr>
                <w:rFonts w:hint="eastAsia"/>
                <w:b/>
                <w:sz w:val="24"/>
              </w:rPr>
              <w:t>2、</w:t>
            </w:r>
            <w:r>
              <w:rPr>
                <w:b/>
                <w:sz w:val="24"/>
              </w:rPr>
              <w:t>相关政策符合性</w:t>
            </w:r>
          </w:p>
          <w:p>
            <w:pPr>
              <w:pStyle w:val="83"/>
              <w:spacing w:line="480" w:lineRule="exact"/>
              <w:ind w:firstLine="480"/>
              <w:jc w:val="left"/>
              <w:rPr>
                <w:sz w:val="24"/>
              </w:rPr>
            </w:pPr>
            <w:r>
              <w:rPr>
                <w:rFonts w:hint="eastAsia"/>
                <w:sz w:val="24"/>
              </w:rPr>
              <w:t>2.1产业政策符合性</w:t>
            </w:r>
          </w:p>
          <w:p>
            <w:pPr>
              <w:pStyle w:val="83"/>
              <w:spacing w:line="480" w:lineRule="exact"/>
              <w:ind w:firstLine="480"/>
              <w:jc w:val="left"/>
              <w:rPr>
                <w:sz w:val="24"/>
              </w:rPr>
            </w:pPr>
            <w:r>
              <w:rPr>
                <w:sz w:val="24"/>
              </w:rPr>
              <w:t>本项目</w:t>
            </w:r>
            <w:r>
              <w:rPr>
                <w:rFonts w:hint="eastAsia"/>
                <w:sz w:val="24"/>
              </w:rPr>
              <w:t>不属于</w:t>
            </w:r>
            <w:r>
              <w:rPr>
                <w:sz w:val="24"/>
              </w:rPr>
              <w:t>《产业结构调整指导目录》（2</w:t>
            </w:r>
            <w:r>
              <w:rPr>
                <w:rFonts w:hint="eastAsia"/>
                <w:sz w:val="24"/>
              </w:rPr>
              <w:t>024</w:t>
            </w:r>
            <w:r>
              <w:rPr>
                <w:sz w:val="24"/>
              </w:rPr>
              <w:t>年本）中的鼓励类</w:t>
            </w:r>
            <w:r>
              <w:rPr>
                <w:rFonts w:hint="eastAsia"/>
                <w:sz w:val="24"/>
              </w:rPr>
              <w:t>、限制类、淘汰类项目，项目为允许类项目</w:t>
            </w:r>
            <w:r>
              <w:rPr>
                <w:sz w:val="24"/>
              </w:rPr>
              <w:t>。项目已取得</w:t>
            </w:r>
            <w:r>
              <w:rPr>
                <w:rFonts w:hint="eastAsia"/>
                <w:sz w:val="24"/>
              </w:rPr>
              <w:t>遵化市行政审批局</w:t>
            </w:r>
            <w:r>
              <w:rPr>
                <w:sz w:val="24"/>
              </w:rPr>
              <w:t>出具的企业投资项目备</w:t>
            </w:r>
            <w:r>
              <w:rPr>
                <w:sz w:val="24"/>
                <w:highlight w:val="none"/>
              </w:rPr>
              <w:t>案信息（</w:t>
            </w:r>
            <w:r>
              <w:rPr>
                <w:rFonts w:hint="eastAsia"/>
                <w:sz w:val="24"/>
                <w:highlight w:val="none"/>
                <w:lang w:eastAsia="zh-CN"/>
              </w:rPr>
              <w:t>遵审投资备字【2024】59号</w:t>
            </w:r>
            <w:r>
              <w:rPr>
                <w:sz w:val="24"/>
                <w:highlight w:val="none"/>
              </w:rPr>
              <w:t>）</w:t>
            </w:r>
            <w:r>
              <w:rPr>
                <w:rFonts w:hint="eastAsia"/>
                <w:sz w:val="24"/>
                <w:highlight w:val="none"/>
              </w:rPr>
              <w:t>；综述</w:t>
            </w:r>
            <w:r>
              <w:rPr>
                <w:rFonts w:hint="eastAsia"/>
                <w:sz w:val="24"/>
              </w:rPr>
              <w:t>，</w:t>
            </w:r>
            <w:r>
              <w:rPr>
                <w:sz w:val="24"/>
              </w:rPr>
              <w:t>项目符合国家有关法律、法规和政策规定</w:t>
            </w:r>
            <w:r>
              <w:rPr>
                <w:rFonts w:hint="eastAsia"/>
                <w:sz w:val="24"/>
              </w:rPr>
              <w:t>。</w:t>
            </w:r>
          </w:p>
          <w:p>
            <w:pPr>
              <w:pStyle w:val="83"/>
              <w:spacing w:line="480" w:lineRule="exact"/>
              <w:ind w:firstLine="480"/>
              <w:jc w:val="left"/>
              <w:rPr>
                <w:color w:val="auto"/>
                <w:sz w:val="24"/>
              </w:rPr>
            </w:pPr>
            <w:r>
              <w:rPr>
                <w:rFonts w:hint="eastAsia"/>
                <w:sz w:val="24"/>
              </w:rPr>
              <w:t>2.2</w:t>
            </w:r>
            <w:r>
              <w:rPr>
                <w:rFonts w:hint="eastAsia"/>
                <w:color w:val="auto"/>
                <w:sz w:val="24"/>
              </w:rPr>
              <w:t>其他政策符合性分析</w:t>
            </w:r>
          </w:p>
          <w:p>
            <w:pPr>
              <w:pStyle w:val="83"/>
              <w:spacing w:line="480" w:lineRule="exact"/>
              <w:ind w:firstLine="500"/>
              <w:jc w:val="left"/>
              <w:rPr>
                <w:color w:val="auto"/>
                <w:spacing w:val="5"/>
                <w:sz w:val="24"/>
              </w:rPr>
            </w:pPr>
            <w:r>
              <w:rPr>
                <w:rFonts w:hint="eastAsia"/>
                <w:color w:val="auto"/>
                <w:spacing w:val="5"/>
                <w:sz w:val="24"/>
              </w:rPr>
              <w:t>2.2.1与《唐山市钢铁行业整治提升工作方案》（</w:t>
            </w:r>
            <w:r>
              <w:rPr>
                <w:rFonts w:hint="eastAsia"/>
                <w:color w:val="auto"/>
                <w:spacing w:val="5"/>
                <w:sz w:val="24"/>
                <w:lang w:val="zh-TW"/>
              </w:rPr>
              <w:t>唐气领办〔2021〕15号</w:t>
            </w:r>
            <w:r>
              <w:rPr>
                <w:rFonts w:hint="eastAsia"/>
                <w:color w:val="auto"/>
                <w:spacing w:val="5"/>
                <w:sz w:val="24"/>
              </w:rPr>
              <w:t>）</w:t>
            </w:r>
            <w:r>
              <w:rPr>
                <w:color w:val="auto"/>
                <w:spacing w:val="5"/>
                <w:sz w:val="24"/>
              </w:rPr>
              <w:t>符合性分析</w:t>
            </w:r>
          </w:p>
          <w:p>
            <w:pPr>
              <w:pStyle w:val="83"/>
              <w:spacing w:line="480" w:lineRule="exact"/>
              <w:ind w:firstLine="0" w:firstLineChars="0"/>
              <w:jc w:val="center"/>
              <w:rPr>
                <w:b/>
                <w:bCs/>
                <w:color w:val="FF0000"/>
                <w:spacing w:val="5"/>
                <w:sz w:val="24"/>
              </w:rPr>
            </w:pPr>
            <w:r>
              <w:rPr>
                <w:rFonts w:hint="eastAsia"/>
                <w:b/>
                <w:bCs/>
                <w:color w:val="FF0000"/>
                <w:spacing w:val="5"/>
                <w:sz w:val="24"/>
              </w:rPr>
              <w:t>表</w:t>
            </w:r>
            <w:r>
              <w:rPr>
                <w:rFonts w:hint="eastAsia"/>
                <w:b/>
                <w:bCs/>
                <w:color w:val="FF0000"/>
                <w:spacing w:val="5"/>
                <w:sz w:val="24"/>
                <w:lang w:val="en-US" w:eastAsia="zh-CN"/>
              </w:rPr>
              <w:t>4</w:t>
            </w:r>
            <w:r>
              <w:rPr>
                <w:rFonts w:hint="eastAsia"/>
                <w:b/>
                <w:bCs/>
                <w:color w:val="FF0000"/>
                <w:spacing w:val="5"/>
                <w:sz w:val="24"/>
              </w:rPr>
              <w:t xml:space="preserve"> 本项目与《唐山市钢铁行业整治提升工作方案》（唐气领办〔2021〕15号）符合性分析</w:t>
            </w:r>
          </w:p>
          <w:tbl>
            <w:tblPr>
              <w:tblStyle w:val="32"/>
              <w:tblW w:w="8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9"/>
              <w:gridCol w:w="3266"/>
              <w:gridCol w:w="3451"/>
              <w:gridCol w:w="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序号</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相关规定</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本</w:t>
                  </w:r>
                  <w:r>
                    <w:rPr>
                      <w:rFonts w:hint="eastAsia" w:ascii="Times New Roman" w:hAnsi="Times New Roman"/>
                      <w:color w:val="FF0000"/>
                      <w:sz w:val="21"/>
                      <w:szCs w:val="21"/>
                    </w:rPr>
                    <w:t>项目</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32"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1</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熔炼工序进行封闭处理，内部加装集气装置，形成负压集中收集废气，将出铁口及钢包覆盖在内，烟气集中收集后经过高效袋式除尘设施进行一次除尘，由排气筒排放，颗粒物排放浓度不高于10mg/Nm</w:t>
                  </w:r>
                  <w:r>
                    <w:rPr>
                      <w:rFonts w:hint="eastAsia" w:ascii="Times New Roman" w:hAnsi="Times New Roman"/>
                      <w:color w:val="FF0000"/>
                      <w:sz w:val="21"/>
                      <w:szCs w:val="21"/>
                      <w:vertAlign w:val="superscript"/>
                    </w:rPr>
                    <w:t>3</w:t>
                  </w:r>
                  <w:r>
                    <w:rPr>
                      <w:rFonts w:hint="eastAsia" w:ascii="Times New Roman" w:hAnsi="Times New Roman"/>
                      <w:color w:val="FF0000"/>
                      <w:sz w:val="21"/>
                      <w:szCs w:val="21"/>
                    </w:rPr>
                    <w:t>。集气装置和除尘设施的风量和风压应充分满足生产需要，保证无烟尘外溢。</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本项目熔炼工序进行了封闭处理，内部加装集气罩，将出铁口及钢包覆盖在内，烟气负压集中收集后经过高效袋式除尘设施进行一次除尘，由排气筒排放，颗粒物排放浓度不高于10mg/Nm</w:t>
                  </w:r>
                  <w:r>
                    <w:rPr>
                      <w:rFonts w:hint="eastAsia" w:ascii="Times New Roman" w:hAnsi="Times New Roman"/>
                      <w:color w:val="FF0000"/>
                      <w:sz w:val="21"/>
                      <w:szCs w:val="21"/>
                      <w:vertAlign w:val="superscript"/>
                    </w:rPr>
                    <w:t>3</w:t>
                  </w:r>
                  <w:r>
                    <w:rPr>
                      <w:rFonts w:hint="eastAsia" w:ascii="Times New Roman" w:hAnsi="Times New Roman"/>
                      <w:color w:val="FF0000"/>
                      <w:sz w:val="21"/>
                      <w:szCs w:val="21"/>
                    </w:rPr>
                    <w:t>。集气装置和除尘设施的风量和风压满足生产需要，无烟尘外溢。</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2</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熔炼车间内顶部安装集气罩，配套除尘设施进行二次除尘。</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本项目熔炼车间内顶部安装集气罩，配套了二次除尘设施。</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3</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浇注工序设置浇注区或浇注段。浇注和冷却工序采取固定式或移动式集气设备，并配备废气处理设施，待砂型冷却至无可见烟尘外逸时，环保设备方可停止运行。颗粒物排放浓度不高于10mg/Nm</w:t>
                  </w:r>
                  <w:r>
                    <w:rPr>
                      <w:rFonts w:hint="eastAsia" w:ascii="Times New Roman" w:hAnsi="Times New Roman"/>
                      <w:color w:val="FF0000"/>
                      <w:sz w:val="21"/>
                      <w:szCs w:val="21"/>
                      <w:vertAlign w:val="superscript"/>
                    </w:rPr>
                    <w:t>3</w:t>
                  </w:r>
                  <w:r>
                    <w:rPr>
                      <w:rFonts w:hint="eastAsia" w:ascii="Times New Roman" w:hAnsi="Times New Roman"/>
                      <w:color w:val="FF0000"/>
                      <w:sz w:val="21"/>
                      <w:szCs w:val="21"/>
                    </w:rPr>
                    <w:t>。</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本项目设有专门的浇注工位，工位上方设集气罩，废气引入相应处理设施，无可见烟尘外逸，颗粒物排放浓度不高于10mg/Nm</w:t>
                  </w:r>
                  <w:r>
                    <w:rPr>
                      <w:rFonts w:hint="eastAsia" w:ascii="Times New Roman" w:hAnsi="Times New Roman"/>
                      <w:color w:val="FF0000"/>
                      <w:sz w:val="21"/>
                      <w:szCs w:val="21"/>
                      <w:vertAlign w:val="superscript"/>
                    </w:rPr>
                    <w:t>3</w:t>
                  </w:r>
                  <w:r>
                    <w:rPr>
                      <w:rFonts w:hint="eastAsia" w:ascii="Times New Roman" w:hAnsi="Times New Roman"/>
                      <w:color w:val="FF0000"/>
                      <w:sz w:val="21"/>
                      <w:szCs w:val="21"/>
                    </w:rPr>
                    <w:t>。</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4</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落砂、抛丸清理、砂处理工序应在密闭设备内操作，废气收集至除尘设施；车间不得有可见烟粉尘外逸。</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w:t>
                  </w:r>
                  <w:r>
                    <w:rPr>
                      <w:rFonts w:hint="eastAsia" w:ascii="Times New Roman" w:hAnsi="Times New Roman" w:eastAsia="宋体" w:cs="Times New Roman"/>
                      <w:color w:val="FF0000"/>
                      <w:sz w:val="21"/>
                      <w:szCs w:val="21"/>
                      <w:highlight w:val="none"/>
                      <w:lang w:val="en-US" w:eastAsia="zh-CN"/>
                    </w:rPr>
                    <w:t>砂处理生产线</w:t>
                  </w:r>
                  <w:r>
                    <w:rPr>
                      <w:rFonts w:hint="eastAsia" w:ascii="Times New Roman" w:hAnsi="Times New Roman"/>
                      <w:snapToGrid w:val="0"/>
                      <w:color w:val="FF0000"/>
                      <w:kern w:val="0"/>
                      <w:sz w:val="21"/>
                      <w:szCs w:val="21"/>
                      <w:highlight w:val="none"/>
                      <w:lang w:val="en-US" w:eastAsia="zh-CN" w:bidi="ar-SA"/>
                    </w:rPr>
                    <w:t>落砂区设集气罩，砂冷却系统、筛砂机、混砂机、提升机、砂仓密闭设引风管</w:t>
                  </w:r>
                  <w:r>
                    <w:rPr>
                      <w:rFonts w:ascii="Times New Roman" w:hAnsi="Times New Roman"/>
                      <w:color w:val="FF0000"/>
                      <w:sz w:val="21"/>
                      <w:szCs w:val="21"/>
                    </w:rPr>
                    <w:t>，废气收集至除尘设施</w:t>
                  </w:r>
                  <w:r>
                    <w:rPr>
                      <w:rFonts w:hint="eastAsia" w:ascii="Times New Roman" w:hAnsi="Times New Roman"/>
                      <w:color w:val="FF0000"/>
                      <w:sz w:val="21"/>
                      <w:szCs w:val="21"/>
                    </w:rPr>
                    <w:t>处理后达标排放</w:t>
                  </w:r>
                  <w:r>
                    <w:rPr>
                      <w:rFonts w:ascii="Times New Roman" w:hAnsi="Times New Roman"/>
                      <w:color w:val="FF0000"/>
                      <w:sz w:val="21"/>
                      <w:szCs w:val="21"/>
                    </w:rPr>
                    <w:t>；车间</w:t>
                  </w:r>
                  <w:r>
                    <w:rPr>
                      <w:rFonts w:hint="eastAsia" w:ascii="Times New Roman" w:hAnsi="Times New Roman"/>
                      <w:color w:val="FF0000"/>
                      <w:sz w:val="21"/>
                      <w:szCs w:val="21"/>
                    </w:rPr>
                    <w:t>设有二次除尘设施，无</w:t>
                  </w:r>
                  <w:r>
                    <w:rPr>
                      <w:rFonts w:ascii="Times New Roman" w:hAnsi="Times New Roman"/>
                      <w:color w:val="FF0000"/>
                      <w:sz w:val="21"/>
                      <w:szCs w:val="21"/>
                    </w:rPr>
                    <w:t>可见烟粉尘外逸。</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5</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制芯（热芯盒）、覆膜砂（壳型）工序 VOCs 采用活性炭吸附或更高效的处理措施；制芯（冷芯盒）工序 VOCs 采用吸收法或更高效处理措施</w:t>
                  </w:r>
                  <w:r>
                    <w:rPr>
                      <w:rFonts w:hint="eastAsia" w:ascii="Times New Roman" w:hAnsi="Times New Roman"/>
                      <w:color w:val="FF0000"/>
                      <w:sz w:val="21"/>
                      <w:szCs w:val="21"/>
                    </w:rPr>
                    <w:t>；消失模、实型铸造工艺的浇注工序采用吸附脱附+蓄热燃烧、吸附脱附+催化燃烧、焚烧法等高效处理设施。VOCs排放浓度执行河北省《工业企业挥发性有机物排放控制标准》（DB13/2322-2016）中其他行业要求。</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本项目不涉及VOCs排放。</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6</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热处理炉应使用电或天然气等清洁燃料，颗粒物排放浓度不高于10mg/Nm</w:t>
                  </w:r>
                  <w:r>
                    <w:rPr>
                      <w:rFonts w:hint="eastAsia" w:ascii="Times New Roman" w:hAnsi="Times New Roman"/>
                      <w:color w:val="FF0000"/>
                      <w:sz w:val="21"/>
                      <w:szCs w:val="21"/>
                      <w:vertAlign w:val="superscript"/>
                    </w:rPr>
                    <w:t>3</w:t>
                  </w:r>
                  <w:r>
                    <w:rPr>
                      <w:rFonts w:hint="eastAsia" w:ascii="Times New Roman" w:hAnsi="Times New Roman"/>
                      <w:color w:val="FF0000"/>
                      <w:sz w:val="21"/>
                      <w:szCs w:val="21"/>
                    </w:rPr>
                    <w:t>。</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本项目热处理炉使用电能。</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7</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煤粉、膨润土、</w:t>
                  </w:r>
                  <w:r>
                    <w:rPr>
                      <w:rFonts w:hint="eastAsia" w:ascii="Times New Roman" w:hAnsi="Times New Roman"/>
                      <w:color w:val="FF0000"/>
                      <w:sz w:val="21"/>
                      <w:szCs w:val="21"/>
                    </w:rPr>
                    <w:t>石英砂</w:t>
                  </w:r>
                  <w:r>
                    <w:rPr>
                      <w:rFonts w:ascii="Times New Roman" w:hAnsi="Times New Roman"/>
                      <w:color w:val="FF0000"/>
                      <w:sz w:val="21"/>
                      <w:szCs w:val="21"/>
                    </w:rPr>
                    <w:t>等粉状物料应袋装或罐装，并储存于封闭空间。生铁、废钢、焦炭和铁合金等粒状、块状散装物料应储存于半封闭储库，半封闭储库应至少两面有围墙（围挡）及屋顶，并对物料采取覆盖或喷淋（雾）等抑尘措施；熔模制造淋砂工序在半封闭空间内操作，配备除尘设施。</w:t>
                  </w:r>
                </w:p>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废钢、回炉料等金属物料切割破碎等原料加工工序应设置封闭操作间，并配套集气和除尘设施；禁止生产车间内散放原料，需采用全封闭式或地下料仓，生产环节必须在封闭车间内运行。</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本项目所用石英砂</w:t>
                  </w:r>
                  <w:r>
                    <w:rPr>
                      <w:rFonts w:ascii="Times New Roman" w:hAnsi="Times New Roman"/>
                      <w:color w:val="FF0000"/>
                      <w:sz w:val="21"/>
                      <w:szCs w:val="21"/>
                    </w:rPr>
                    <w:t>等粉状物料</w:t>
                  </w:r>
                  <w:r>
                    <w:rPr>
                      <w:rFonts w:hint="eastAsia" w:ascii="Times New Roman" w:hAnsi="Times New Roman"/>
                      <w:color w:val="FF0000"/>
                      <w:sz w:val="21"/>
                      <w:szCs w:val="21"/>
                    </w:rPr>
                    <w:t>均采用</w:t>
                  </w:r>
                  <w:r>
                    <w:rPr>
                      <w:rFonts w:ascii="Times New Roman" w:hAnsi="Times New Roman"/>
                      <w:color w:val="FF0000"/>
                      <w:sz w:val="21"/>
                      <w:szCs w:val="21"/>
                    </w:rPr>
                    <w:t>袋装储存于封闭</w:t>
                  </w:r>
                  <w:r>
                    <w:rPr>
                      <w:rFonts w:hint="eastAsia" w:ascii="Times New Roman" w:hAnsi="Times New Roman"/>
                      <w:color w:val="FF0000"/>
                      <w:sz w:val="21"/>
                      <w:szCs w:val="21"/>
                    </w:rPr>
                    <w:t>生产车间内</w:t>
                  </w:r>
                  <w:r>
                    <w:rPr>
                      <w:rFonts w:ascii="Times New Roman" w:hAnsi="Times New Roman"/>
                      <w:color w:val="FF0000"/>
                      <w:sz w:val="21"/>
                      <w:szCs w:val="21"/>
                    </w:rPr>
                    <w:t>。</w:t>
                  </w:r>
                  <w:r>
                    <w:rPr>
                      <w:rFonts w:hint="eastAsia" w:ascii="Times New Roman" w:hAnsi="Times New Roman"/>
                      <w:color w:val="FF0000"/>
                      <w:sz w:val="21"/>
                      <w:szCs w:val="21"/>
                    </w:rPr>
                    <w:t>废钢、高锰砂</w:t>
                  </w:r>
                  <w:r>
                    <w:rPr>
                      <w:rFonts w:ascii="Times New Roman" w:hAnsi="Times New Roman"/>
                      <w:color w:val="FF0000"/>
                      <w:sz w:val="21"/>
                      <w:szCs w:val="21"/>
                    </w:rPr>
                    <w:t>等块状散装物料储存于</w:t>
                  </w:r>
                  <w:r>
                    <w:rPr>
                      <w:rFonts w:hint="eastAsia" w:ascii="Times New Roman" w:hAnsi="Times New Roman"/>
                      <w:color w:val="FF0000"/>
                      <w:sz w:val="21"/>
                      <w:szCs w:val="21"/>
                    </w:rPr>
                    <w:t>全</w:t>
                  </w:r>
                  <w:r>
                    <w:rPr>
                      <w:rFonts w:ascii="Times New Roman" w:hAnsi="Times New Roman"/>
                      <w:color w:val="FF0000"/>
                      <w:sz w:val="21"/>
                      <w:szCs w:val="21"/>
                    </w:rPr>
                    <w:t>封闭</w:t>
                  </w:r>
                  <w:r>
                    <w:rPr>
                      <w:rFonts w:hint="eastAsia" w:ascii="Times New Roman" w:hAnsi="Times New Roman"/>
                      <w:color w:val="FF0000"/>
                      <w:sz w:val="21"/>
                      <w:szCs w:val="21"/>
                      <w:lang w:eastAsia="zh-CN"/>
                    </w:rPr>
                    <w:t>生产车间内</w:t>
                  </w:r>
                  <w:r>
                    <w:rPr>
                      <w:rFonts w:hint="eastAsia" w:ascii="Times New Roman" w:hAnsi="Times New Roman"/>
                      <w:color w:val="FF0000"/>
                      <w:sz w:val="21"/>
                      <w:szCs w:val="21"/>
                    </w:rPr>
                    <w:t>无</w:t>
                  </w:r>
                  <w:r>
                    <w:rPr>
                      <w:rFonts w:ascii="Times New Roman" w:hAnsi="Times New Roman"/>
                      <w:color w:val="FF0000"/>
                      <w:sz w:val="21"/>
                      <w:szCs w:val="21"/>
                    </w:rPr>
                    <w:t>散放</w:t>
                  </w:r>
                  <w:r>
                    <w:rPr>
                      <w:rFonts w:hint="eastAsia" w:ascii="Times New Roman" w:hAnsi="Times New Roman"/>
                      <w:color w:val="FF0000"/>
                      <w:sz w:val="21"/>
                      <w:szCs w:val="21"/>
                    </w:rPr>
                    <w:t>粉状</w:t>
                  </w:r>
                  <w:r>
                    <w:rPr>
                      <w:rFonts w:ascii="Times New Roman" w:hAnsi="Times New Roman"/>
                      <w:color w:val="FF0000"/>
                      <w:sz w:val="21"/>
                      <w:szCs w:val="21"/>
                    </w:rPr>
                    <w:t>原料，生产环节在封闭车间内运行。</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8</w:t>
                  </w:r>
                </w:p>
              </w:tc>
              <w:tc>
                <w:tcPr>
                  <w:tcW w:w="198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粉状、粒状等易散发粉尘的物料厂内转移、输送时，应采取密闭或覆盖等抑尘措施；转移、输送、装卸过程中应采取集气除尘措施，或喷淋（雾）等抑尘措施。除尘器卸灰口应采取密闭措施，除尘灰不得直接卸落到地面。除尘灰采取袋装、罐装等密闭措施收集、存放和运输</w:t>
                  </w:r>
                </w:p>
              </w:tc>
              <w:tc>
                <w:tcPr>
                  <w:tcW w:w="210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针对粉状料转移输送采取抑尘措施，同时车间设有二次除尘设施，</w:t>
                  </w:r>
                  <w:r>
                    <w:rPr>
                      <w:rFonts w:ascii="Times New Roman" w:hAnsi="Times New Roman"/>
                      <w:color w:val="FF0000"/>
                      <w:sz w:val="21"/>
                      <w:szCs w:val="21"/>
                    </w:rPr>
                    <w:t>除尘器卸灰口采取密闭措施，除尘灰不得直接卸落到地面。除尘灰采取袋装收集、存放和运输</w:t>
                  </w:r>
                </w:p>
              </w:tc>
              <w:tc>
                <w:tcPr>
                  <w:tcW w:w="461"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bl>
          <w:p>
            <w:pPr>
              <w:spacing w:line="480" w:lineRule="exact"/>
              <w:ind w:firstLine="500" w:firstLineChars="200"/>
              <w:rPr>
                <w:color w:val="auto"/>
                <w:sz w:val="24"/>
              </w:rPr>
            </w:pPr>
            <w:r>
              <w:rPr>
                <w:rFonts w:hint="eastAsia"/>
                <w:color w:val="auto"/>
                <w:spacing w:val="5"/>
                <w:sz w:val="24"/>
              </w:rPr>
              <w:t>经以上分析，本项目符合《</w:t>
            </w:r>
            <w:r>
              <w:rPr>
                <w:rFonts w:hint="eastAsia"/>
                <w:color w:val="auto"/>
                <w:sz w:val="24"/>
              </w:rPr>
              <w:t>唐山市钢铁行业整治提升工作方案》（</w:t>
            </w:r>
            <w:r>
              <w:rPr>
                <w:rFonts w:hint="eastAsia"/>
                <w:color w:val="auto"/>
                <w:sz w:val="24"/>
                <w:lang w:val="zh-TW"/>
              </w:rPr>
              <w:t>唐气领办〔2021〕15号</w:t>
            </w:r>
            <w:r>
              <w:rPr>
                <w:rFonts w:hint="eastAsia"/>
                <w:color w:val="auto"/>
                <w:sz w:val="24"/>
              </w:rPr>
              <w:t>）的相关要求。</w:t>
            </w:r>
          </w:p>
          <w:p>
            <w:pPr>
              <w:spacing w:line="480" w:lineRule="exact"/>
              <w:ind w:firstLine="500" w:firstLineChars="200"/>
              <w:rPr>
                <w:spacing w:val="5"/>
                <w:sz w:val="24"/>
              </w:rPr>
            </w:pPr>
            <w:r>
              <w:rPr>
                <w:rFonts w:hint="eastAsia"/>
                <w:spacing w:val="5"/>
                <w:sz w:val="24"/>
              </w:rPr>
              <w:t>2.2.2与《</w:t>
            </w:r>
            <w:r>
              <w:rPr>
                <w:spacing w:val="5"/>
                <w:sz w:val="24"/>
              </w:rPr>
              <w:t>工业和信息化部 国家发展和改革委员会 生态环境部关于推动铸造和锻压行业高质量发展的指导意见</w:t>
            </w:r>
            <w:r>
              <w:rPr>
                <w:rFonts w:hint="eastAsia"/>
                <w:spacing w:val="5"/>
                <w:sz w:val="24"/>
              </w:rPr>
              <w:t>》（工信部联通装[2023]40号）符合性分析</w:t>
            </w:r>
          </w:p>
          <w:p>
            <w:pPr>
              <w:spacing w:line="480" w:lineRule="exact"/>
              <w:jc w:val="center"/>
              <w:rPr>
                <w:b/>
                <w:bCs/>
                <w:color w:val="FF0000"/>
                <w:spacing w:val="5"/>
                <w:sz w:val="24"/>
              </w:rPr>
            </w:pPr>
            <w:r>
              <w:rPr>
                <w:rFonts w:hint="eastAsia"/>
                <w:b/>
                <w:bCs/>
                <w:color w:val="FF0000"/>
                <w:spacing w:val="5"/>
                <w:sz w:val="24"/>
              </w:rPr>
              <w:t>表</w:t>
            </w:r>
            <w:r>
              <w:rPr>
                <w:rFonts w:hint="eastAsia"/>
                <w:b/>
                <w:bCs/>
                <w:color w:val="FF0000"/>
                <w:spacing w:val="5"/>
                <w:sz w:val="24"/>
                <w:lang w:val="en-US" w:eastAsia="zh-CN"/>
              </w:rPr>
              <w:t>5</w:t>
            </w:r>
            <w:r>
              <w:rPr>
                <w:rFonts w:hint="eastAsia"/>
                <w:b/>
                <w:bCs/>
                <w:color w:val="FF0000"/>
                <w:spacing w:val="5"/>
                <w:sz w:val="24"/>
              </w:rPr>
              <w:t xml:space="preserve">   本项目与工信部联通装[2023]40号符合性分析结果一览表</w:t>
            </w:r>
          </w:p>
          <w:tbl>
            <w:tblPr>
              <w:tblStyle w:val="32"/>
              <w:tblW w:w="829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4"/>
              <w:gridCol w:w="4427"/>
              <w:gridCol w:w="2540"/>
              <w:gridCol w:w="6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序号</w:t>
                  </w:r>
                </w:p>
              </w:tc>
              <w:tc>
                <w:tcPr>
                  <w:tcW w:w="266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相关规定</w:t>
                  </w:r>
                </w:p>
              </w:tc>
              <w:tc>
                <w:tcPr>
                  <w:tcW w:w="153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本</w:t>
                  </w:r>
                  <w:r>
                    <w:rPr>
                      <w:rFonts w:hint="eastAsia" w:ascii="Times New Roman" w:hAnsi="Times New Roman"/>
                      <w:color w:val="FF0000"/>
                      <w:sz w:val="21"/>
                      <w:szCs w:val="21"/>
                    </w:rPr>
                    <w:t>项目</w:t>
                  </w:r>
                </w:p>
              </w:tc>
              <w:tc>
                <w:tcPr>
                  <w:tcW w:w="383"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90"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1</w:t>
                  </w:r>
                </w:p>
              </w:tc>
              <w:tc>
                <w:tcPr>
                  <w:tcW w:w="266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ascii="Times New Roman" w:hAnsi="Times New Roman"/>
                      <w:color w:val="FF0000"/>
                      <w:sz w:val="21"/>
                      <w:szCs w:val="21"/>
                    </w:rPr>
                    <w:t>重点发展高紧实度粘土砂自动化造型、高效自硬砂铸造、精密组芯造型、壳型铸造、离心铸造、金属型铸造、铁模覆砂、消失模/V法/实型铸造、轻合金高压/挤压/差压，低压/半固态/调压铸造、硅溶胶熔模铸造、短流程铸造、砂型3D打印等先进铸造工艺与装备。</w:t>
                  </w:r>
                </w:p>
              </w:tc>
              <w:tc>
                <w:tcPr>
                  <w:tcW w:w="153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本项目采用</w:t>
                  </w:r>
                  <w:r>
                    <w:rPr>
                      <w:rFonts w:ascii="Times New Roman" w:hAnsi="Times New Roman"/>
                      <w:color w:val="FF0000"/>
                      <w:sz w:val="21"/>
                      <w:szCs w:val="21"/>
                    </w:rPr>
                    <w:t>高效自硬砂铸造</w:t>
                  </w:r>
                  <w:r>
                    <w:rPr>
                      <w:rFonts w:hint="eastAsia" w:ascii="Times New Roman" w:hAnsi="Times New Roman"/>
                      <w:color w:val="FF0000"/>
                      <w:sz w:val="21"/>
                      <w:szCs w:val="21"/>
                    </w:rPr>
                    <w:t>工艺。</w:t>
                  </w:r>
                </w:p>
              </w:tc>
              <w:tc>
                <w:tcPr>
                  <w:tcW w:w="383"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2</w:t>
                  </w:r>
                </w:p>
              </w:tc>
              <w:tc>
                <w:tcPr>
                  <w:tcW w:w="266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铸造企业不得采用无芯工频感应电炉、无磁轭（≥0.25吨）铝壳中频感应电炉、水玻璃熔模精密铸造氯化铵硬化模壳、铝合金六氯乙烷精炼等淘汰类工艺和装备。加快存量项目升级改造，推进企业合理选择低污染、低能耗、经济高效的先进工艺技术，提升行业竞争能力。</w:t>
                  </w:r>
                </w:p>
              </w:tc>
              <w:tc>
                <w:tcPr>
                  <w:tcW w:w="153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本项目不涉及上述淘汰类装备与工艺。</w:t>
                  </w:r>
                </w:p>
              </w:tc>
              <w:tc>
                <w:tcPr>
                  <w:tcW w:w="383"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3</w:t>
                  </w:r>
                </w:p>
              </w:tc>
              <w:tc>
                <w:tcPr>
                  <w:tcW w:w="266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依法申领排污许可证，严格持证排污、按证排污并按排污许可证规定落实自行监测、台账记录、执行报告、信息公开等要求。铸造企业严格执行《铸造工业大气污染物排放标准》（GB 39726）及地方排放标准，加强无组织排放控制，不能稳定达标排放的，限期完成设施升级改造，不具备改造条件及改造后仍不能达标的，依法依规进行淘汰。</w:t>
                  </w:r>
                </w:p>
              </w:tc>
              <w:tc>
                <w:tcPr>
                  <w:tcW w:w="153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本项目建设完成后实际排污前依法申领排污许可证，按照</w:t>
                  </w:r>
                  <w:r>
                    <w:rPr>
                      <w:rFonts w:ascii="Times New Roman" w:hAnsi="Times New Roman"/>
                      <w:color w:val="FF0000"/>
                      <w:sz w:val="21"/>
                      <w:szCs w:val="21"/>
                    </w:rPr>
                    <w:t>《排污许可证申请与核发技术规范</w:t>
                  </w:r>
                  <w:r>
                    <w:rPr>
                      <w:rFonts w:hint="eastAsia" w:ascii="Times New Roman" w:hAnsi="Times New Roman"/>
                      <w:color w:val="FF0000"/>
                      <w:sz w:val="21"/>
                      <w:szCs w:val="21"/>
                    </w:rPr>
                    <w:t>金属铸造工业（</w:t>
                  </w:r>
                  <w:r>
                    <w:rPr>
                      <w:rFonts w:ascii="Times New Roman" w:hAnsi="Times New Roman"/>
                      <w:color w:val="FF0000"/>
                      <w:sz w:val="21"/>
                      <w:szCs w:val="21"/>
                    </w:rPr>
                    <w:t>HJ11</w:t>
                  </w:r>
                  <w:r>
                    <w:rPr>
                      <w:rFonts w:hint="eastAsia" w:ascii="Times New Roman" w:hAnsi="Times New Roman"/>
                      <w:color w:val="FF0000"/>
                      <w:sz w:val="21"/>
                      <w:szCs w:val="21"/>
                    </w:rPr>
                    <w:t>15</w:t>
                  </w:r>
                  <w:r>
                    <w:rPr>
                      <w:rFonts w:ascii="Times New Roman" w:hAnsi="Times New Roman"/>
                      <w:color w:val="FF0000"/>
                      <w:sz w:val="21"/>
                      <w:szCs w:val="21"/>
                    </w:rPr>
                    <w:t>—2020</w:t>
                  </w:r>
                  <w:r>
                    <w:rPr>
                      <w:rFonts w:hint="eastAsia" w:ascii="Times New Roman" w:hAnsi="Times New Roman"/>
                      <w:color w:val="FF0000"/>
                      <w:sz w:val="21"/>
                      <w:szCs w:val="21"/>
                    </w:rPr>
                    <w:t>）、《排污单位自行监测技术指南金属铸造工业》（</w:t>
                  </w:r>
                  <w:r>
                    <w:rPr>
                      <w:rFonts w:ascii="Times New Roman" w:hAnsi="Times New Roman"/>
                      <w:color w:val="FF0000"/>
                      <w:sz w:val="21"/>
                      <w:szCs w:val="21"/>
                    </w:rPr>
                    <w:t>HJ1</w:t>
                  </w:r>
                  <w:r>
                    <w:rPr>
                      <w:rFonts w:hint="eastAsia" w:ascii="Times New Roman" w:hAnsi="Times New Roman"/>
                      <w:color w:val="FF0000"/>
                      <w:sz w:val="21"/>
                      <w:szCs w:val="21"/>
                    </w:rPr>
                    <w:t>251</w:t>
                  </w:r>
                  <w:r>
                    <w:rPr>
                      <w:rFonts w:ascii="Times New Roman" w:hAnsi="Times New Roman"/>
                      <w:color w:val="FF0000"/>
                      <w:sz w:val="21"/>
                      <w:szCs w:val="21"/>
                    </w:rPr>
                    <w:t>—202</w:t>
                  </w:r>
                  <w:r>
                    <w:rPr>
                      <w:rFonts w:hint="eastAsia" w:ascii="Times New Roman" w:hAnsi="Times New Roman"/>
                      <w:color w:val="FF0000"/>
                      <w:sz w:val="21"/>
                      <w:szCs w:val="21"/>
                    </w:rPr>
                    <w:t xml:space="preserve">2）的规定落实自行监测、台账记录、执行报告、信息公开等要求。各项污染物能够满足相应的排放标准。 </w:t>
                  </w:r>
                </w:p>
              </w:tc>
              <w:tc>
                <w:tcPr>
                  <w:tcW w:w="383"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4</w:t>
                  </w:r>
                </w:p>
              </w:tc>
              <w:tc>
                <w:tcPr>
                  <w:tcW w:w="2667"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推广短流程铸造，鼓励铸造行业冲天炉（10吨/小时及以下）改为电炉。推进铸造废砂再生处理技术应用、废旧金属循环再生与利用。</w:t>
                  </w:r>
                </w:p>
              </w:tc>
              <w:tc>
                <w:tcPr>
                  <w:tcW w:w="1530"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本项目不涉及冲天炉使用，配有自动化程度较高的废砂处理生产线。</w:t>
                  </w:r>
                </w:p>
              </w:tc>
              <w:tc>
                <w:tcPr>
                  <w:tcW w:w="383"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color w:val="FF0000"/>
                      <w:sz w:val="21"/>
                      <w:szCs w:val="21"/>
                    </w:rPr>
                    <w:t>符合</w:t>
                  </w:r>
                </w:p>
              </w:tc>
            </w:tr>
          </w:tbl>
          <w:p>
            <w:pPr>
              <w:spacing w:line="480" w:lineRule="exact"/>
              <w:ind w:firstLine="500" w:firstLineChars="200"/>
              <w:rPr>
                <w:spacing w:val="5"/>
                <w:sz w:val="24"/>
              </w:rPr>
            </w:pPr>
            <w:r>
              <w:rPr>
                <w:rFonts w:hint="eastAsia"/>
                <w:spacing w:val="5"/>
                <w:sz w:val="24"/>
              </w:rPr>
              <w:t>2.2.3与《</w:t>
            </w:r>
            <w:r>
              <w:rPr>
                <w:spacing w:val="5"/>
                <w:sz w:val="24"/>
              </w:rPr>
              <w:t>重污染天气重点行业应急减排措施制定</w:t>
            </w:r>
            <w:r>
              <w:rPr>
                <w:rFonts w:hint="eastAsia"/>
                <w:spacing w:val="5"/>
                <w:sz w:val="24"/>
              </w:rPr>
              <w:t>技术指南》符合性分析</w:t>
            </w:r>
          </w:p>
          <w:p>
            <w:pPr>
              <w:spacing w:line="480" w:lineRule="exact"/>
              <w:ind w:firstLine="500" w:firstLineChars="200"/>
              <w:rPr>
                <w:spacing w:val="5"/>
                <w:sz w:val="24"/>
              </w:rPr>
            </w:pPr>
            <w:r>
              <w:rPr>
                <w:rFonts w:hint="eastAsia"/>
                <w:spacing w:val="5"/>
                <w:sz w:val="24"/>
              </w:rPr>
              <w:t>本项目采用电炉熔炼设备，与铸件企业绩效分级指标对比如下。</w:t>
            </w:r>
          </w:p>
          <w:p>
            <w:pPr>
              <w:spacing w:line="480" w:lineRule="exact"/>
              <w:jc w:val="center"/>
              <w:rPr>
                <w:b/>
                <w:bCs/>
                <w:spacing w:val="5"/>
                <w:sz w:val="24"/>
              </w:rPr>
            </w:pPr>
            <w:r>
              <w:rPr>
                <w:rFonts w:hint="eastAsia"/>
                <w:b/>
                <w:bCs/>
                <w:spacing w:val="5"/>
                <w:sz w:val="24"/>
              </w:rPr>
              <w:t>表</w:t>
            </w:r>
            <w:r>
              <w:rPr>
                <w:rFonts w:hint="eastAsia"/>
                <w:b/>
                <w:bCs/>
                <w:spacing w:val="5"/>
                <w:sz w:val="24"/>
                <w:lang w:val="en-US" w:eastAsia="zh-CN"/>
              </w:rPr>
              <w:t>6</w:t>
            </w:r>
            <w:r>
              <w:rPr>
                <w:rFonts w:hint="eastAsia"/>
                <w:b/>
                <w:bCs/>
                <w:spacing w:val="5"/>
                <w:sz w:val="24"/>
              </w:rPr>
              <w:t xml:space="preserve"> 本项目与《</w:t>
            </w:r>
            <w:r>
              <w:rPr>
                <w:b/>
                <w:bCs/>
                <w:spacing w:val="5"/>
                <w:sz w:val="24"/>
              </w:rPr>
              <w:t>重污染天气重点行业应急减排措施制定</w:t>
            </w:r>
            <w:r>
              <w:rPr>
                <w:rFonts w:hint="eastAsia"/>
                <w:b/>
                <w:bCs/>
                <w:spacing w:val="5"/>
                <w:sz w:val="24"/>
              </w:rPr>
              <w:t>技术指南》符合性分析结果一览表</w:t>
            </w:r>
          </w:p>
          <w:tbl>
            <w:tblPr>
              <w:tblStyle w:val="32"/>
              <w:tblW w:w="830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4448"/>
              <w:gridCol w:w="2511"/>
              <w:gridCol w:w="6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项目</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A级企业</w:t>
                  </w:r>
                  <w:r>
                    <w:rPr>
                      <w:rFonts w:ascii="Times New Roman" w:hAnsi="Times New Roman"/>
                      <w:sz w:val="21"/>
                      <w:szCs w:val="21"/>
                    </w:rPr>
                    <w:t>相关规定</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项目情况</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评级结果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48" w:hRule="atLeast"/>
                <w:jc w:val="center"/>
              </w:trPr>
              <w:tc>
                <w:tcPr>
                  <w:tcW w:w="41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装备水平及生产工艺</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粘土砂工艺采用水平或垂直自动化造型线；2消失模工艺采用消失模自动化造型线；3、熔模铸造工艺采用硅溶胶铸造工艺、采用自动制壳线；4、压铸等其他铸造工艺暂不考虑装备水平差异，依据其污染治理水平确定绩效。</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本项目采用</w:t>
                  </w:r>
                  <w:r>
                    <w:rPr>
                      <w:rFonts w:ascii="Times New Roman" w:hAnsi="Times New Roman"/>
                      <w:sz w:val="21"/>
                      <w:szCs w:val="21"/>
                    </w:rPr>
                    <w:t>高效自硬砂铸造</w:t>
                  </w:r>
                  <w:r>
                    <w:rPr>
                      <w:rFonts w:hint="eastAsia" w:ascii="Times New Roman" w:hAnsi="Times New Roman"/>
                      <w:sz w:val="21"/>
                      <w:szCs w:val="21"/>
                    </w:rPr>
                    <w:t>工艺，无粘土砂工艺、熔模铸造工艺、消失模铸造工艺。</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restar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污染治理技术</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1、所使用的生产设备具有高密闭性或具有配套的良好除尘设施的工序可不设二次捕集措施</w:t>
                  </w:r>
                  <w:r>
                    <w:rPr>
                      <w:rFonts w:hint="eastAsia" w:ascii="Times New Roman" w:hAnsi="Times New Roman"/>
                      <w:sz w:val="21"/>
                      <w:szCs w:val="21"/>
                    </w:rPr>
                    <w:t>；</w:t>
                  </w:r>
                  <w:r>
                    <w:rPr>
                      <w:rFonts w:ascii="Times New Roman" w:hAnsi="Times New Roman"/>
                      <w:sz w:val="21"/>
                      <w:szCs w:val="21"/>
                    </w:rPr>
                    <w:t>PM有逸散工序采取二次捕集措施，捕集排风罩应符合《排风罩的分类及技术条件》 (GB/T 16758) 的要求</w:t>
                  </w:r>
                  <w:r>
                    <w:rPr>
                      <w:rFonts w:hint="eastAsia" w:ascii="Times New Roman" w:hAnsi="Times New Roman"/>
                      <w:sz w:val="21"/>
                      <w:szCs w:val="21"/>
                    </w:rPr>
                    <w:t>；2、采用袋式除尘、滤筒除尘等高效除尘工艺</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本项目各产尘工序在按照</w:t>
                  </w:r>
                  <w:r>
                    <w:rPr>
                      <w:rFonts w:ascii="Times New Roman" w:hAnsi="Times New Roman"/>
                      <w:sz w:val="21"/>
                      <w:szCs w:val="21"/>
                    </w:rPr>
                    <w:t>《排风罩的分类及技术条件》(GB/T 16758)的要求</w:t>
                  </w:r>
                  <w:r>
                    <w:rPr>
                      <w:rFonts w:hint="eastAsia" w:ascii="Times New Roman" w:hAnsi="Times New Roman"/>
                      <w:sz w:val="21"/>
                      <w:szCs w:val="21"/>
                    </w:rPr>
                    <w:t>安装集气罩，烟气集中收集后经过高效袋式除尘设施进行一次除尘，由排气筒排放。熔炼车间内顶部安装集气罩，配套除尘设施进行二次除尘。</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sz w:val="21"/>
                      <w:szCs w:val="21"/>
                    </w:rPr>
                  </w:pP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1、制芯(热芯盒)、覆膜砂(壳型) 工序 VOCs 采用活性炭吸附或更高效的处理措施</w:t>
                  </w:r>
                  <w:r>
                    <w:rPr>
                      <w:rFonts w:hint="eastAsia" w:ascii="Times New Roman" w:hAnsi="Times New Roman"/>
                      <w:sz w:val="21"/>
                      <w:szCs w:val="21"/>
                    </w:rPr>
                    <w:t>；</w:t>
                  </w:r>
                  <w:r>
                    <w:rPr>
                      <w:rFonts w:ascii="Times New Roman" w:hAnsi="Times New Roman"/>
                      <w:sz w:val="21"/>
                      <w:szCs w:val="21"/>
                    </w:rPr>
                    <w:t>制芯(冷芯盒) 工序VOCs 采用吸收法或更高效处理措施</w:t>
                  </w:r>
                  <w:r>
                    <w:rPr>
                      <w:rFonts w:hint="eastAsia" w:ascii="Times New Roman" w:hAnsi="Times New Roman"/>
                      <w:sz w:val="21"/>
                      <w:szCs w:val="21"/>
                    </w:rPr>
                    <w:t>；</w:t>
                  </w:r>
                  <w:r>
                    <w:rPr>
                      <w:rFonts w:ascii="Times New Roman" w:hAnsi="Times New Roman"/>
                      <w:sz w:val="21"/>
                      <w:szCs w:val="21"/>
                    </w:rPr>
                    <w:t xml:space="preserve"> 浇注(树脂砂)VOCs 工序采用活性炭吸附、吸收法或更高效的处理措</w:t>
                  </w:r>
                  <w:r>
                    <w:rPr>
                      <w:rFonts w:hint="eastAsia" w:ascii="Times New Roman" w:hAnsi="Times New Roman"/>
                      <w:sz w:val="21"/>
                      <w:szCs w:val="21"/>
                    </w:rPr>
                    <w:t>；</w:t>
                  </w:r>
                  <w:r>
                    <w:rPr>
                      <w:rFonts w:ascii="Times New Roman" w:hAnsi="Times New Roman"/>
                      <w:sz w:val="21"/>
                      <w:szCs w:val="21"/>
                    </w:rPr>
                    <w:t>2、消失模、实型铸造工艺的浇注工序采用吸附脱附+蓄热燃烧、吸附脱附+催化燃烧、焚烧法等高效处理设施。3、涂装工序采用吸附脱附+蓄热燃烧、吸附脱附+催化燃烧、焚烧法等高效处理设施:如使用水性、粉末、高固体分、无溶剂、辐射固化等低 VOCs 含量的涂料或采用辊涂、静电喷涂、高压无气喷涂、空气辅助无气喷涂热喷涂等涂装技术的涂装工序可采用活性 炭吸附等处理措施</w:t>
                  </w:r>
                  <w:r>
                    <w:rPr>
                      <w:rFonts w:hint="eastAsia" w:ascii="Times New Roman" w:hAnsi="Times New Roman"/>
                      <w:sz w:val="21"/>
                      <w:szCs w:val="21"/>
                    </w:rPr>
                    <w:t>；</w:t>
                  </w:r>
                  <w:r>
                    <w:rPr>
                      <w:rFonts w:ascii="Times New Roman" w:hAnsi="Times New Roman"/>
                      <w:sz w:val="21"/>
                      <w:szCs w:val="21"/>
                    </w:rPr>
                    <w:t>使用纯无机涂料的热喷涂工艺，可采用布袋除尘等粉尘处理措施</w:t>
                  </w:r>
                  <w:r>
                    <w:rPr>
                      <w:rFonts w:hint="eastAsia" w:ascii="Times New Roman" w:hAnsi="Times New Roman"/>
                      <w:sz w:val="21"/>
                      <w:szCs w:val="21"/>
                    </w:rPr>
                    <w:t>。</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本项目不涉及</w:t>
                  </w:r>
                  <w:r>
                    <w:rPr>
                      <w:rFonts w:ascii="Times New Roman" w:hAnsi="Times New Roman"/>
                      <w:sz w:val="21"/>
                      <w:szCs w:val="21"/>
                    </w:rPr>
                    <w:t>VOCs</w:t>
                  </w:r>
                  <w:r>
                    <w:rPr>
                      <w:rFonts w:hint="eastAsia" w:ascii="Times New Roman" w:hAnsi="Times New Roman"/>
                      <w:sz w:val="21"/>
                      <w:szCs w:val="21"/>
                    </w:rPr>
                    <w:t>排放；</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排放限值</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1、PM、SO</w:t>
                  </w:r>
                  <w:r>
                    <w:rPr>
                      <w:rFonts w:hint="eastAsia" w:ascii="Times New Roman" w:hAnsi="Times New Roman"/>
                      <w:sz w:val="21"/>
                      <w:szCs w:val="21"/>
                      <w:vertAlign w:val="subscript"/>
                    </w:rPr>
                    <w:t>2</w:t>
                  </w:r>
                  <w:r>
                    <w:rPr>
                      <w:rFonts w:hint="eastAsia" w:ascii="Times New Roman" w:hAnsi="Times New Roman"/>
                      <w:sz w:val="21"/>
                      <w:szCs w:val="21"/>
                    </w:rPr>
                    <w:t>、NOx放浓度分别不高于15、50、150 mg/m</w:t>
                  </w:r>
                  <w:r>
                    <w:rPr>
                      <w:rFonts w:hint="eastAsia" w:ascii="Times New Roman" w:hAnsi="Times New Roman"/>
                      <w:sz w:val="21"/>
                      <w:szCs w:val="21"/>
                      <w:vertAlign w:val="superscript"/>
                    </w:rPr>
                    <w:t>3</w:t>
                  </w:r>
                  <w:r>
                    <w:rPr>
                      <w:rFonts w:hint="eastAsia" w:ascii="Times New Roman" w:hAnsi="Times New Roman"/>
                      <w:sz w:val="21"/>
                      <w:szCs w:val="21"/>
                    </w:rPr>
                    <w:t>；2、在连续一年的监测数据中，车间或生产设施排气简排放的NMHC为20-30 mg/m</w:t>
                  </w:r>
                  <w:r>
                    <w:rPr>
                      <w:rFonts w:hint="eastAsia" w:ascii="Times New Roman" w:hAnsi="Times New Roman"/>
                      <w:sz w:val="21"/>
                      <w:szCs w:val="21"/>
                      <w:vertAlign w:val="superscript"/>
                    </w:rPr>
                    <w:t>3</w:t>
                  </w:r>
                  <w:r>
                    <w:rPr>
                      <w:rFonts w:hint="eastAsia" w:ascii="Times New Roman" w:hAnsi="Times New Roman"/>
                      <w:sz w:val="21"/>
                      <w:szCs w:val="21"/>
                    </w:rPr>
                    <w:t>、TVOC为40-50 mg/m</w:t>
                  </w:r>
                  <w:r>
                    <w:rPr>
                      <w:rFonts w:hint="eastAsia" w:ascii="Times New Roman" w:hAnsi="Times New Roman"/>
                      <w:sz w:val="21"/>
                      <w:szCs w:val="21"/>
                      <w:vertAlign w:val="superscript"/>
                    </w:rPr>
                    <w:t>3</w:t>
                  </w:r>
                  <w:r>
                    <w:rPr>
                      <w:rFonts w:hint="eastAsia" w:ascii="Times New Roman" w:hAnsi="Times New Roman"/>
                      <w:sz w:val="21"/>
                      <w:szCs w:val="21"/>
                    </w:rPr>
                    <w:t>；3、厂区内无组织排放监控点NMHC的小时平均浓度值不超过6 mg/m</w:t>
                  </w:r>
                  <w:r>
                    <w:rPr>
                      <w:rFonts w:hint="eastAsia" w:ascii="Times New Roman" w:hAnsi="Times New Roman"/>
                      <w:sz w:val="21"/>
                      <w:szCs w:val="21"/>
                      <w:vertAlign w:val="superscript"/>
                    </w:rPr>
                    <w:t>3</w:t>
                  </w:r>
                  <w:r>
                    <w:rPr>
                      <w:rFonts w:hint="eastAsia" w:ascii="Times New Roman" w:hAnsi="Times New Roman"/>
                      <w:sz w:val="21"/>
                      <w:szCs w:val="21"/>
                    </w:rPr>
                    <w:t>、任意一次浓度值不超过20 mg/m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各工序含尘废气排放浓度不高于10mg/m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417" w:type="pct"/>
                  <w:vMerge w:val="restar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无组织排放</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1、物料储存</w:t>
                  </w:r>
                </w:p>
                <w:p>
                  <w:pPr>
                    <w:pStyle w:val="69"/>
                    <w:ind w:firstLine="0" w:firstLineChars="0"/>
                    <w:jc w:val="center"/>
                    <w:rPr>
                      <w:rFonts w:ascii="Times New Roman" w:hAnsi="Times New Roman"/>
                      <w:sz w:val="21"/>
                      <w:szCs w:val="21"/>
                    </w:rPr>
                  </w:pPr>
                  <w:r>
                    <w:rPr>
                      <w:rFonts w:hint="eastAsia" w:ascii="Times New Roman" w:hAnsi="Times New Roman"/>
                      <w:sz w:val="21"/>
                      <w:szCs w:val="21"/>
                    </w:rPr>
                    <w:t>(1)煤粉、膨润土、石英砂等粉状物料应袋装或罐装并储存于封闭储库中；</w:t>
                  </w:r>
                </w:p>
                <w:p>
                  <w:pPr>
                    <w:pStyle w:val="69"/>
                    <w:ind w:firstLine="0" w:firstLineChars="0"/>
                    <w:jc w:val="center"/>
                    <w:rPr>
                      <w:rFonts w:ascii="Times New Roman" w:hAnsi="Times New Roman"/>
                      <w:sz w:val="21"/>
                      <w:szCs w:val="21"/>
                    </w:rPr>
                  </w:pPr>
                  <w:r>
                    <w:rPr>
                      <w:rFonts w:hint="eastAsia" w:ascii="Times New Roman" w:hAnsi="Times New Roman"/>
                      <w:sz w:val="21"/>
                      <w:szCs w:val="21"/>
                    </w:rPr>
                    <w:t>(2)生铁、废钢、焦炭、铁合金及其他原辅材料等粒状、块状散装物料应储存于封闭储库中。</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rPr>
                  </w:pPr>
                  <w:r>
                    <w:rPr>
                      <w:rFonts w:hint="eastAsia" w:ascii="Times New Roman" w:hAnsi="Times New Roman"/>
                      <w:color w:val="auto"/>
                      <w:sz w:val="21"/>
                      <w:szCs w:val="21"/>
                    </w:rPr>
                    <w:t>本项目粉状物料袋装存储于全封闭生产车间内</w:t>
                  </w:r>
                </w:p>
              </w:tc>
              <w:tc>
                <w:tcPr>
                  <w:tcW w:w="393" w:type="pct"/>
                  <w:vMerge w:val="restar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46" w:hRule="atLeast"/>
                <w:jc w:val="center"/>
              </w:trPr>
              <w:tc>
                <w:tcPr>
                  <w:tcW w:w="417" w:type="pct"/>
                  <w:vMerge w:val="continue"/>
                  <w:tcBorders>
                    <w:tl2br w:val="nil"/>
                    <w:tr2bl w:val="nil"/>
                  </w:tcBorders>
                  <w:vAlign w:val="center"/>
                </w:tcPr>
                <w:p>
                  <w:pPr>
                    <w:pStyle w:val="69"/>
                    <w:ind w:firstLine="0" w:firstLineChars="0"/>
                    <w:jc w:val="center"/>
                  </w:pP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2、物料转移和输送</w:t>
                  </w:r>
                </w:p>
                <w:p>
                  <w:pPr>
                    <w:pStyle w:val="69"/>
                    <w:ind w:firstLine="0" w:firstLineChars="0"/>
                    <w:jc w:val="center"/>
                    <w:rPr>
                      <w:rFonts w:ascii="Times New Roman" w:hAnsi="Times New Roman"/>
                      <w:sz w:val="21"/>
                      <w:szCs w:val="21"/>
                    </w:rPr>
                  </w:pPr>
                  <w:r>
                    <w:rPr>
                      <w:rFonts w:hint="eastAsia" w:ascii="Times New Roman" w:hAnsi="Times New Roman"/>
                      <w:sz w:val="21"/>
                      <w:szCs w:val="21"/>
                    </w:rPr>
                    <w:t>(1)粉状、粒状等易散发粉尘的物料厂内转移、输送时，应采取密闭或覆盖等抑尘措施；转移、输送、装卸过程中应采取集气除尘措施，或喷淋(雾) 等抑尘措施；(2)除尘器卸灰口应采取密闭措施，除尘灰不得直接卸落到地面。除尘灰采取袋装、罐装等密闭措施收集存放和运输;</w:t>
                  </w:r>
                </w:p>
                <w:p>
                  <w:pPr>
                    <w:pStyle w:val="69"/>
                    <w:ind w:firstLine="0" w:firstLineChars="0"/>
                    <w:jc w:val="center"/>
                    <w:rPr>
                      <w:rFonts w:ascii="Times New Roman" w:hAnsi="Times New Roman"/>
                      <w:sz w:val="21"/>
                      <w:szCs w:val="21"/>
                    </w:rPr>
                  </w:pPr>
                  <w:r>
                    <w:rPr>
                      <w:rFonts w:hint="eastAsia" w:ascii="Times New Roman" w:hAnsi="Times New Roman"/>
                      <w:sz w:val="21"/>
                      <w:szCs w:val="21"/>
                    </w:rPr>
                    <w:t>(3)厂区道路硬化，并采取清扫、洒水等措施，保持清洁。</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rPr>
                  </w:pPr>
                  <w:r>
                    <w:rPr>
                      <w:rFonts w:hint="eastAsia" w:ascii="Times New Roman" w:hAnsi="Times New Roman"/>
                      <w:color w:val="auto"/>
                      <w:sz w:val="21"/>
                      <w:szCs w:val="21"/>
                    </w:rPr>
                    <w:t>物料转运输送过程产生的粉尘经二次除尘装置捕集处理后排放，除尘器密闭卸灰袋装收集存放；厂区道路硬化，并采取清扫、洒水等措施，保持清洁；</w:t>
                  </w:r>
                </w:p>
              </w:tc>
              <w:tc>
                <w:tcPr>
                  <w:tcW w:w="393" w:type="pct"/>
                  <w:vMerge w:val="continue"/>
                  <w:tcBorders>
                    <w:tl2br w:val="nil"/>
                    <w:tr2bl w:val="nil"/>
                  </w:tcBorders>
                  <w:vAlign w:val="center"/>
                </w:tcPr>
                <w:p>
                  <w:pPr>
                    <w:pStyle w:val="69"/>
                    <w:ind w:firstLine="0" w:firstLineChars="0"/>
                    <w:jc w:val="center"/>
                    <w:rPr>
                      <w:rFonts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sz w:val="21"/>
                      <w:szCs w:val="21"/>
                    </w:rPr>
                  </w:pP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3、铸造</w:t>
                  </w:r>
                </w:p>
                <w:p>
                  <w:pPr>
                    <w:pStyle w:val="69"/>
                    <w:ind w:firstLine="0" w:firstLineChars="0"/>
                    <w:jc w:val="center"/>
                    <w:rPr>
                      <w:rFonts w:ascii="Times New Roman" w:hAnsi="Times New Roman"/>
                      <w:sz w:val="21"/>
                      <w:szCs w:val="21"/>
                    </w:rPr>
                  </w:pPr>
                  <w:r>
                    <w:rPr>
                      <w:rFonts w:hint="eastAsia" w:ascii="Times New Roman" w:hAnsi="Times New Roman"/>
                      <w:sz w:val="21"/>
                      <w:szCs w:val="21"/>
                    </w:rPr>
                    <w:t>(1)孕育、变质、炉外精炼、除气等金属液预处理工序PM排放环节应安装半封闭空间，并配备除尘设施；(2)浇注工序设置浇注区或浇注段，采用外部罩的罩口应尽可能接近污染源并覆盖污染源；落砂、抛丸清理、砂处理工序应在封闭空间内操作，废气收集至除尘设施。制芯工序在封闭或半封闭空间内操作；(3)对于树脂砂、水玻璃砂等工艺生产特殊尺寸(特大等)铸件或使用地坑造型的，浇注和泠却工序在密闭车间或密闭空间内进行并配备废气处理设施，待砂型冷却至无可见烟尘外逸时，环保设备方可停止运行；落砂工序应采取有效集气除尘或抑尘措施；(4)清理(去除浇冒口、铲飞边毛刺等) 和浇包、渣包的维修等工序宜在封闭空间内操作，废气收集至除尘设施；(5)车间不得有可见烟粉尘外逸</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rPr>
                  </w:pPr>
                  <w:r>
                    <w:rPr>
                      <w:rFonts w:hint="eastAsia" w:ascii="Times New Roman" w:hAnsi="Times New Roman"/>
                      <w:color w:val="auto"/>
                      <w:sz w:val="21"/>
                      <w:szCs w:val="21"/>
                    </w:rPr>
                    <w:t>铸造各生产工艺产尘点均设有废气收集处置设施。浇注工序设置浇注段，</w:t>
                  </w:r>
                  <w:r>
                    <w:rPr>
                      <w:rFonts w:hint="eastAsia" w:ascii="Times New Roman" w:hAnsi="Times New Roman" w:eastAsia="宋体" w:cs="Times New Roman"/>
                      <w:color w:val="FF0000"/>
                      <w:sz w:val="21"/>
                      <w:szCs w:val="21"/>
                      <w:highlight w:val="none"/>
                      <w:lang w:val="en-US" w:eastAsia="zh-CN"/>
                    </w:rPr>
                    <w:t>砂处理生产线</w:t>
                  </w:r>
                  <w:r>
                    <w:rPr>
                      <w:rFonts w:hint="eastAsia" w:ascii="Times New Roman" w:hAnsi="Times New Roman"/>
                      <w:snapToGrid w:val="0"/>
                      <w:color w:val="FF0000"/>
                      <w:kern w:val="0"/>
                      <w:sz w:val="21"/>
                      <w:szCs w:val="21"/>
                      <w:highlight w:val="none"/>
                      <w:lang w:val="en-US" w:eastAsia="zh-CN" w:bidi="ar-SA"/>
                    </w:rPr>
                    <w:t>落砂区设集气罩，砂冷却系统、筛砂机、混砂机、提升机、砂仓密闭设引风管</w:t>
                  </w:r>
                  <w:r>
                    <w:rPr>
                      <w:rFonts w:hint="eastAsia" w:ascii="Times New Roman" w:hAnsi="Times New Roman"/>
                      <w:color w:val="auto"/>
                      <w:sz w:val="21"/>
                      <w:szCs w:val="21"/>
                    </w:rPr>
                    <w:t>，配套设置脉冲布袋除尘器</w:t>
                  </w:r>
                  <w:r>
                    <w:rPr>
                      <w:rFonts w:hint="eastAsia" w:ascii="Times New Roman" w:hAnsi="Times New Roman"/>
                      <w:color w:val="auto"/>
                      <w:sz w:val="21"/>
                      <w:szCs w:val="21"/>
                      <w:lang w:eastAsia="zh-CN"/>
                    </w:rPr>
                    <w:t>，</w:t>
                  </w:r>
                  <w:r>
                    <w:rPr>
                      <w:rFonts w:hint="eastAsia" w:ascii="Times New Roman" w:hAnsi="Times New Roman"/>
                      <w:color w:val="auto"/>
                      <w:sz w:val="21"/>
                      <w:szCs w:val="21"/>
                    </w:rPr>
                    <w:t>车间顶部设有二次除尘设施，车间内无可见烟尘。</w:t>
                  </w:r>
                </w:p>
              </w:tc>
              <w:tc>
                <w:tcPr>
                  <w:tcW w:w="393" w:type="pct"/>
                  <w:vMerge w:val="continue"/>
                  <w:tcBorders>
                    <w:tl2br w:val="nil"/>
                    <w:tr2bl w:val="nil"/>
                  </w:tcBorders>
                  <w:vAlign w:val="center"/>
                </w:tcPr>
                <w:p>
                  <w:pPr>
                    <w:pStyle w:val="69"/>
                    <w:ind w:firstLine="0" w:firstLineChars="0"/>
                    <w:jc w:val="center"/>
                    <w:rPr>
                      <w:rFonts w:ascii="Times New Roman" w:hAnsi="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监测监控水平</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1、料场出入口等易产生 PM排放环节，安装高清视频监控设施。视频监控数据保存六个月以上；2、主要生产设施与污染防治设施分表计电。</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生产车间主要出入口等易产生PM排放环节，项目建设完成后安装高清视频监控设施。视频监控数据保存六个月以上主要生产设施与污染防治设施分表计电。</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restar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环境管理水平</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环保档案齐全：1、环评批复文件，2、排污许可证及季度、年度执行报告，3、竣工验收文件，4、废气治理设施运行管理规程；5一年内第三方废气监测报告</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按照前述要求，项目建设完成后保证公司环保档案齐全</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sz w:val="21"/>
                      <w:szCs w:val="21"/>
                    </w:rPr>
                  </w:pP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台账记录：1、完整生产管理台账；生产设备运行台账原辅材料、燃料使用量，产品产量；2、设备维护记录；3、废气治理设备清单：主要污染治理设备、设计说明书、运行记录、CEMS 小时数据等(如需) ；4、耗材记录：包括草酸、磷酸、活性炭等耗材使用量，除尘器滤料更换记录等，5、运输管理电子台账(包括出入厂记录、车牌号、VIN号、发动机编号和排放阶段等) ；6、固废、危废处理记录；7、废气治理设施运行管理规程。</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按照</w:t>
                  </w:r>
                  <w:r>
                    <w:rPr>
                      <w:rFonts w:ascii="Times New Roman" w:hAnsi="Times New Roman"/>
                      <w:sz w:val="21"/>
                      <w:szCs w:val="21"/>
                    </w:rPr>
                    <w:t xml:space="preserve">《排污许可证申请与核发技术规范 </w:t>
                  </w:r>
                  <w:r>
                    <w:rPr>
                      <w:rFonts w:hint="eastAsia" w:ascii="Times New Roman" w:hAnsi="Times New Roman"/>
                      <w:sz w:val="21"/>
                      <w:szCs w:val="21"/>
                    </w:rPr>
                    <w:t>金属铸造工业</w:t>
                  </w:r>
                  <w:r>
                    <w:rPr>
                      <w:rFonts w:ascii="Times New Roman" w:hAnsi="Times New Roman"/>
                      <w:sz w:val="21"/>
                      <w:szCs w:val="21"/>
                    </w:rPr>
                    <w:t>》</w:t>
                  </w:r>
                  <w:r>
                    <w:rPr>
                      <w:rFonts w:hint="eastAsia" w:ascii="Times New Roman" w:hAnsi="Times New Roman"/>
                      <w:sz w:val="21"/>
                      <w:szCs w:val="21"/>
                    </w:rPr>
                    <w:t>（</w:t>
                  </w:r>
                  <w:r>
                    <w:rPr>
                      <w:rFonts w:ascii="Times New Roman" w:hAnsi="Times New Roman"/>
                      <w:sz w:val="21"/>
                      <w:szCs w:val="21"/>
                    </w:rPr>
                    <w:t>HJ11</w:t>
                  </w:r>
                  <w:r>
                    <w:rPr>
                      <w:rFonts w:hint="eastAsia" w:ascii="Times New Roman" w:hAnsi="Times New Roman"/>
                      <w:sz w:val="21"/>
                      <w:szCs w:val="21"/>
                    </w:rPr>
                    <w:t>15</w:t>
                  </w:r>
                  <w:r>
                    <w:rPr>
                      <w:rFonts w:ascii="Times New Roman" w:hAnsi="Times New Roman"/>
                      <w:sz w:val="21"/>
                      <w:szCs w:val="21"/>
                    </w:rPr>
                    <w:t>—2020</w:t>
                  </w:r>
                  <w:r>
                    <w:rPr>
                      <w:rFonts w:hint="eastAsia" w:ascii="Times New Roman" w:hAnsi="Times New Roman"/>
                      <w:sz w:val="21"/>
                      <w:szCs w:val="21"/>
                    </w:rPr>
                    <w:t>）相关要求进行了台账记录</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sz w:val="21"/>
                      <w:szCs w:val="21"/>
                    </w:rPr>
                  </w:pP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人员配置：设置环保部门，配备专职环保人员，并具备相应的环境管理能力</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公司拟设环保部门，并配备专职环保人员，具备相应的环境管理能力</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运输方式</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1、物料公路运输全部使用达到国五及以上排放标准重型载货车辆(含燃气)或新能源车辆；2、厂内运输车辆全部达到国五及以上排放标准(含燃气) 或使用新能源车辆；3、危废运输全部使用国五及以上或新能源车辆；4、厂内非道路移动机械全部达到国三及以上排放标准或使用新能源机械</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本项目所涉及的运输车辆环保等级均采用满足国五及以上排放标准，厂内非道路移动机械全部达到国三及以上排放标准或使用新能源机械。</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运输监管</w:t>
                  </w:r>
                </w:p>
              </w:tc>
              <w:tc>
                <w:tcPr>
                  <w:tcW w:w="2676"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参照《重污染天气重点行业移动源应急管理技术指南》建立门禁系统和电子台账</w:t>
                  </w:r>
                </w:p>
              </w:tc>
              <w:tc>
                <w:tcPr>
                  <w:tcW w:w="151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公司参照《重污染天气重点行业移动源应急管理技术指南》建立了门禁系统和电子台账。</w:t>
                  </w:r>
                </w:p>
              </w:tc>
              <w:tc>
                <w:tcPr>
                  <w:tcW w:w="39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A</w:t>
                  </w:r>
                </w:p>
              </w:tc>
            </w:tr>
          </w:tbl>
          <w:p>
            <w:pPr>
              <w:spacing w:line="480" w:lineRule="exact"/>
              <w:ind w:firstLine="500" w:firstLineChars="200"/>
              <w:rPr>
                <w:spacing w:val="5"/>
                <w:sz w:val="24"/>
              </w:rPr>
            </w:pPr>
            <w:r>
              <w:rPr>
                <w:rFonts w:hint="eastAsia"/>
                <w:spacing w:val="5"/>
                <w:sz w:val="24"/>
              </w:rPr>
              <w:t>综上对比分析，公司污染治理技术水平达到A级标准，应按照A级企业标准严格落实减排措施。</w:t>
            </w:r>
          </w:p>
          <w:p>
            <w:pPr>
              <w:spacing w:line="480" w:lineRule="exact"/>
              <w:ind w:firstLine="500" w:firstLineChars="200"/>
              <w:rPr>
                <w:spacing w:val="5"/>
                <w:sz w:val="24"/>
              </w:rPr>
            </w:pPr>
            <w:r>
              <w:rPr>
                <w:rFonts w:hint="eastAsia"/>
                <w:spacing w:val="5"/>
                <w:sz w:val="24"/>
              </w:rPr>
              <w:t>2.2.4与《</w:t>
            </w:r>
            <w:r>
              <w:rPr>
                <w:spacing w:val="5"/>
                <w:sz w:val="24"/>
              </w:rPr>
              <w:t>铸造工业大气污染防治可行技术指南</w:t>
            </w:r>
            <w:r>
              <w:rPr>
                <w:rFonts w:hint="eastAsia"/>
                <w:spacing w:val="5"/>
                <w:sz w:val="24"/>
              </w:rPr>
              <w:t>》（</w:t>
            </w:r>
            <w:r>
              <w:rPr>
                <w:spacing w:val="5"/>
                <w:sz w:val="24"/>
              </w:rPr>
              <w:t>HJ 1292—2023</w:t>
            </w:r>
            <w:r>
              <w:rPr>
                <w:rFonts w:hint="eastAsia"/>
                <w:spacing w:val="5"/>
                <w:sz w:val="24"/>
              </w:rPr>
              <w:t>）符合性分析</w:t>
            </w:r>
          </w:p>
          <w:p>
            <w:pPr>
              <w:spacing w:line="480" w:lineRule="exact"/>
              <w:jc w:val="center"/>
              <w:rPr>
                <w:b/>
                <w:bCs/>
                <w:spacing w:val="5"/>
                <w:sz w:val="24"/>
              </w:rPr>
            </w:pPr>
          </w:p>
          <w:p>
            <w:pPr>
              <w:spacing w:line="480" w:lineRule="exact"/>
              <w:jc w:val="center"/>
              <w:rPr>
                <w:b/>
                <w:bCs/>
                <w:spacing w:val="5"/>
                <w:sz w:val="24"/>
              </w:rPr>
            </w:pPr>
            <w:r>
              <w:rPr>
                <w:rFonts w:hint="eastAsia"/>
                <w:b/>
                <w:bCs/>
                <w:spacing w:val="5"/>
                <w:sz w:val="24"/>
              </w:rPr>
              <w:t>表</w:t>
            </w:r>
            <w:r>
              <w:rPr>
                <w:rFonts w:hint="eastAsia"/>
                <w:b/>
                <w:bCs/>
                <w:spacing w:val="5"/>
                <w:sz w:val="24"/>
                <w:lang w:val="en-US" w:eastAsia="zh-CN"/>
              </w:rPr>
              <w:t>7</w:t>
            </w:r>
            <w:r>
              <w:rPr>
                <w:rFonts w:hint="eastAsia"/>
                <w:b/>
                <w:bCs/>
                <w:spacing w:val="5"/>
                <w:sz w:val="24"/>
              </w:rPr>
              <w:t xml:space="preserve">    本项目与（</w:t>
            </w:r>
            <w:r>
              <w:rPr>
                <w:b/>
                <w:bCs/>
                <w:spacing w:val="5"/>
                <w:sz w:val="24"/>
              </w:rPr>
              <w:t>HJ 1292—2023</w:t>
            </w:r>
            <w:r>
              <w:rPr>
                <w:rFonts w:hint="eastAsia"/>
                <w:b/>
                <w:bCs/>
                <w:spacing w:val="5"/>
                <w:sz w:val="24"/>
              </w:rPr>
              <w:t>）符合性分析结果一览表</w:t>
            </w:r>
          </w:p>
          <w:tbl>
            <w:tblPr>
              <w:tblStyle w:val="32"/>
              <w:tblW w:w="83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4063"/>
              <w:gridCol w:w="2990"/>
              <w:gridCol w:w="6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工序</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相关规定</w:t>
                  </w:r>
                </w:p>
              </w:tc>
              <w:tc>
                <w:tcPr>
                  <w:tcW w:w="1779"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项目</w:t>
                  </w:r>
                </w:p>
              </w:tc>
              <w:tc>
                <w:tcPr>
                  <w:tcW w:w="388"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1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金属熔炼</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炉盖与除尘一体化技术：①旋风除尘技术（可选）</w:t>
                  </w:r>
                  <w:r>
                    <w:rPr>
                      <w:rFonts w:ascii="Times New Roman" w:hAnsi="Times New Roman"/>
                      <w:sz w:val="21"/>
                      <w:szCs w:val="21"/>
                    </w:rPr>
                    <w:t xml:space="preserve">+ </w:t>
                  </w:r>
                  <w:r>
                    <w:rPr>
                      <w:rFonts w:hint="eastAsia" w:ascii="Times New Roman" w:hAnsi="Times New Roman"/>
                      <w:sz w:val="21"/>
                      <w:szCs w:val="21"/>
                    </w:rPr>
                    <w:t>②袋式除尘技术</w:t>
                  </w:r>
                  <w:r>
                    <w:rPr>
                      <w:rFonts w:ascii="Times New Roman" w:hAnsi="Times New Roman"/>
                      <w:sz w:val="21"/>
                      <w:szCs w:val="21"/>
                    </w:rPr>
                    <w:t>/</w:t>
                  </w:r>
                  <w:r>
                    <w:rPr>
                      <w:rFonts w:hint="eastAsia" w:ascii="Times New Roman" w:hAnsi="Times New Roman"/>
                      <w:sz w:val="21"/>
                      <w:szCs w:val="21"/>
                    </w:rPr>
                    <w:t>滤筒除尘技术</w:t>
                  </w:r>
                </w:p>
              </w:tc>
              <w:tc>
                <w:tcPr>
                  <w:tcW w:w="177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本项目熔炼工序采用炉盖与除尘一体化脉冲袋式除尘技术。</w:t>
                  </w:r>
                </w:p>
              </w:tc>
              <w:tc>
                <w:tcPr>
                  <w:tcW w:w="38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90" w:hRule="atLeast"/>
                <w:jc w:val="center"/>
              </w:trPr>
              <w:tc>
                <w:tcPr>
                  <w:tcW w:w="41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造型制芯</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①旋风除尘技术（可选）</w:t>
                  </w:r>
                  <w:r>
                    <w:rPr>
                      <w:rFonts w:ascii="Times New Roman" w:hAnsi="Times New Roman"/>
                      <w:sz w:val="21"/>
                      <w:szCs w:val="21"/>
                    </w:rPr>
                    <w:t>+</w:t>
                  </w:r>
                  <w:r>
                    <w:rPr>
                      <w:rFonts w:hint="eastAsia" w:ascii="Times New Roman" w:hAnsi="Times New Roman"/>
                      <w:sz w:val="21"/>
                      <w:szCs w:val="21"/>
                    </w:rPr>
                    <w:t>②袋式除尘技术</w:t>
                  </w:r>
                  <w:r>
                    <w:rPr>
                      <w:rFonts w:ascii="Times New Roman" w:hAnsi="Times New Roman"/>
                      <w:sz w:val="21"/>
                      <w:szCs w:val="21"/>
                    </w:rPr>
                    <w:t>/</w:t>
                  </w:r>
                  <w:r>
                    <w:rPr>
                      <w:rFonts w:hint="eastAsia" w:ascii="Times New Roman" w:hAnsi="Times New Roman"/>
                      <w:sz w:val="21"/>
                      <w:szCs w:val="21"/>
                    </w:rPr>
                    <w:t>滤筒除尘技术</w:t>
                  </w:r>
                </w:p>
              </w:tc>
              <w:tc>
                <w:tcPr>
                  <w:tcW w:w="177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本项目该工序采用脉冲袋式除尘技术。</w:t>
                  </w:r>
                </w:p>
              </w:tc>
              <w:tc>
                <w:tcPr>
                  <w:tcW w:w="38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浇注</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①旋风除尘技术（可选）</w:t>
                  </w:r>
                  <w:r>
                    <w:rPr>
                      <w:rFonts w:ascii="Times New Roman" w:hAnsi="Times New Roman"/>
                      <w:sz w:val="21"/>
                      <w:szCs w:val="21"/>
                    </w:rPr>
                    <w:t>+</w:t>
                  </w:r>
                  <w:r>
                    <w:rPr>
                      <w:rFonts w:hint="eastAsia" w:ascii="Times New Roman" w:hAnsi="Times New Roman"/>
                      <w:sz w:val="21"/>
                      <w:szCs w:val="21"/>
                    </w:rPr>
                    <w:t>②袋式除尘技术</w:t>
                  </w:r>
                  <w:r>
                    <w:rPr>
                      <w:rFonts w:ascii="Times New Roman" w:hAnsi="Times New Roman"/>
                      <w:sz w:val="21"/>
                      <w:szCs w:val="21"/>
                    </w:rPr>
                    <w:t>/</w:t>
                  </w:r>
                  <w:r>
                    <w:rPr>
                      <w:rFonts w:hint="eastAsia" w:ascii="Times New Roman" w:hAnsi="Times New Roman"/>
                      <w:sz w:val="21"/>
                      <w:szCs w:val="21"/>
                    </w:rPr>
                    <w:t>滤筒除尘技术</w:t>
                  </w:r>
                </w:p>
              </w:tc>
              <w:tc>
                <w:tcPr>
                  <w:tcW w:w="177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本项目该工序采用脉冲袋式除尘技术。</w:t>
                  </w:r>
                </w:p>
              </w:tc>
              <w:tc>
                <w:tcPr>
                  <w:tcW w:w="38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砂处理</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①旋风除尘技术（可选）</w:t>
                  </w:r>
                  <w:r>
                    <w:rPr>
                      <w:rFonts w:ascii="Times New Roman" w:hAnsi="Times New Roman"/>
                      <w:sz w:val="21"/>
                      <w:szCs w:val="21"/>
                    </w:rPr>
                    <w:t>+</w:t>
                  </w:r>
                  <w:r>
                    <w:rPr>
                      <w:rFonts w:hint="eastAsia" w:ascii="Times New Roman" w:hAnsi="Times New Roman"/>
                      <w:sz w:val="21"/>
                      <w:szCs w:val="21"/>
                    </w:rPr>
                    <w:t>②袋式除尘技术</w:t>
                  </w:r>
                  <w:r>
                    <w:rPr>
                      <w:rFonts w:ascii="Times New Roman" w:hAnsi="Times New Roman"/>
                      <w:sz w:val="21"/>
                      <w:szCs w:val="21"/>
                    </w:rPr>
                    <w:t>/</w:t>
                  </w:r>
                  <w:r>
                    <w:rPr>
                      <w:rFonts w:hint="eastAsia" w:ascii="Times New Roman" w:hAnsi="Times New Roman"/>
                      <w:sz w:val="21"/>
                      <w:szCs w:val="21"/>
                    </w:rPr>
                    <w:t>滤筒除尘技术</w:t>
                  </w:r>
                </w:p>
              </w:tc>
              <w:tc>
                <w:tcPr>
                  <w:tcW w:w="1779" w:type="pct"/>
                  <w:tcBorders>
                    <w:tl2br w:val="nil"/>
                    <w:tr2bl w:val="nil"/>
                  </w:tcBorders>
                  <w:vAlign w:val="center"/>
                </w:tcPr>
                <w:p>
                  <w:pPr>
                    <w:pStyle w:val="69"/>
                    <w:ind w:firstLine="0" w:firstLineChars="0"/>
                    <w:jc w:val="center"/>
                    <w:rPr>
                      <w:rFonts w:ascii="Times New Roman" w:hAnsi="Times New Roman"/>
                      <w:color w:val="FF0000"/>
                      <w:sz w:val="21"/>
                      <w:szCs w:val="21"/>
                    </w:rPr>
                  </w:pPr>
                  <w:r>
                    <w:rPr>
                      <w:rFonts w:hint="eastAsia" w:ascii="Times New Roman" w:hAnsi="Times New Roman"/>
                      <w:sz w:val="21"/>
                      <w:szCs w:val="21"/>
                    </w:rPr>
                    <w:t>本项目该工序采用脉冲袋式除尘技术。</w:t>
                  </w:r>
                </w:p>
              </w:tc>
              <w:tc>
                <w:tcPr>
                  <w:tcW w:w="38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可行</w:t>
                  </w:r>
                </w:p>
              </w:tc>
            </w:tr>
          </w:tbl>
          <w:p>
            <w:pPr>
              <w:spacing w:line="480" w:lineRule="exact"/>
              <w:ind w:firstLine="500" w:firstLineChars="200"/>
              <w:rPr>
                <w:spacing w:val="5"/>
                <w:sz w:val="24"/>
              </w:rPr>
            </w:pPr>
            <w:r>
              <w:rPr>
                <w:rFonts w:hint="eastAsia"/>
                <w:spacing w:val="5"/>
                <w:sz w:val="24"/>
              </w:rPr>
              <w:t>2.2.5与《唐山市铸造行业烟气达标治理工作方案》符合性分析见表1-6。</w:t>
            </w:r>
          </w:p>
          <w:p>
            <w:pPr>
              <w:spacing w:line="480" w:lineRule="exact"/>
              <w:jc w:val="center"/>
              <w:rPr>
                <w:b/>
                <w:bCs/>
                <w:spacing w:val="5"/>
                <w:sz w:val="24"/>
              </w:rPr>
            </w:pPr>
            <w:r>
              <w:rPr>
                <w:rFonts w:hint="eastAsia"/>
                <w:b/>
                <w:bCs/>
                <w:spacing w:val="5"/>
                <w:sz w:val="24"/>
              </w:rPr>
              <w:t>表</w:t>
            </w:r>
            <w:r>
              <w:rPr>
                <w:rFonts w:hint="eastAsia"/>
                <w:b/>
                <w:bCs/>
                <w:spacing w:val="5"/>
                <w:sz w:val="24"/>
                <w:lang w:val="en-US" w:eastAsia="zh-CN"/>
              </w:rPr>
              <w:t>8</w:t>
            </w:r>
            <w:r>
              <w:rPr>
                <w:rFonts w:hint="eastAsia"/>
                <w:b/>
                <w:bCs/>
                <w:spacing w:val="5"/>
                <w:sz w:val="24"/>
              </w:rPr>
              <w:t xml:space="preserve"> 本项目与《唐山市铸造行业烟气达标治理工作方案》符合性分析结果一览表</w:t>
            </w:r>
          </w:p>
          <w:tbl>
            <w:tblPr>
              <w:tblStyle w:val="32"/>
              <w:tblW w:w="831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2"/>
              <w:gridCol w:w="4229"/>
              <w:gridCol w:w="2753"/>
              <w:gridCol w:w="6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序号</w:t>
                  </w:r>
                </w:p>
              </w:tc>
              <w:tc>
                <w:tcPr>
                  <w:tcW w:w="2543"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相关规定</w:t>
                  </w:r>
                </w:p>
              </w:tc>
              <w:tc>
                <w:tcPr>
                  <w:tcW w:w="1655"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项目</w:t>
                  </w:r>
                </w:p>
              </w:tc>
              <w:tc>
                <w:tcPr>
                  <w:tcW w:w="401"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39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w:t>
                  </w:r>
                </w:p>
              </w:tc>
              <w:tc>
                <w:tcPr>
                  <w:tcW w:w="254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熔炼工序在炉口上方或两侧安装集气罩，集气罩面积应将出铁口覆盖在内，烟气集中收集后经过高效袋式除尘设施进行一次除尘，由排气筒排放，颗粒物排放浓度不高于10mg/Nm</w:t>
                  </w:r>
                  <w:r>
                    <w:rPr>
                      <w:rFonts w:hint="eastAsia" w:ascii="Times New Roman" w:hAnsi="Times New Roman"/>
                      <w:sz w:val="21"/>
                      <w:szCs w:val="21"/>
                      <w:vertAlign w:val="superscript"/>
                    </w:rPr>
                    <w:t>3</w:t>
                  </w:r>
                  <w:r>
                    <w:rPr>
                      <w:rFonts w:hint="eastAsia" w:ascii="Times New Roman" w:hAnsi="Times New Roman"/>
                      <w:sz w:val="21"/>
                      <w:szCs w:val="21"/>
                    </w:rPr>
                    <w:t>。鼓励将熔炼工序进行封闭处理，内部加装集气装置，形成负压集中收集废气。</w:t>
                  </w:r>
                </w:p>
              </w:tc>
              <w:tc>
                <w:tcPr>
                  <w:tcW w:w="165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本项目熔炼工序在炉口上方安装集气罩，集气罩面积将出铁口覆盖在内，烟气集中收集后经过高效袋式除尘设施进行一次除尘，由排气筒排放，颗粒物排放浓度不高10mg/Nm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40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2</w:t>
                  </w:r>
                </w:p>
              </w:tc>
              <w:tc>
                <w:tcPr>
                  <w:tcW w:w="254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熔炼车间内顶部安装集气罩，配套除尘设施进行二次除尘。车间内不得有可视烟尘逸出，设置24小时视频监控，视频资料自行保存半年以上，备查。</w:t>
                  </w:r>
                </w:p>
              </w:tc>
              <w:tc>
                <w:tcPr>
                  <w:tcW w:w="165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熔炼车间内顶部安装集气罩，配套除尘设施进行二次除尘。设置24小时视频监控，视频资料自行保存半年以上。</w:t>
                  </w:r>
                </w:p>
              </w:tc>
              <w:tc>
                <w:tcPr>
                  <w:tcW w:w="40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39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3</w:t>
                  </w:r>
                </w:p>
              </w:tc>
              <w:tc>
                <w:tcPr>
                  <w:tcW w:w="254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浇注及冷却区需安装配套集气罩，烟气集中收集后经过除尘设施理，颗粒物排放浓度不高10mg/Nm</w:t>
                  </w:r>
                  <w:r>
                    <w:rPr>
                      <w:rFonts w:hint="eastAsia" w:ascii="Times New Roman" w:hAnsi="Times New Roman"/>
                      <w:sz w:val="21"/>
                      <w:szCs w:val="21"/>
                      <w:vertAlign w:val="superscript"/>
                    </w:rPr>
                    <w:t>3</w:t>
                  </w:r>
                  <w:r>
                    <w:rPr>
                      <w:rFonts w:hint="eastAsia" w:ascii="Times New Roman" w:hAnsi="Times New Roman"/>
                      <w:sz w:val="21"/>
                      <w:szCs w:val="21"/>
                    </w:rPr>
                    <w:t xml:space="preserve"> ；使用树脂砂、覆膜砂、真空消失模等有机物料造型的，烟气经过除尘后，需再经过VOCs治理设施处理，由排气筒排放，VOCs排放浓度执行河北省《工业企业挥发性有机物排放控制标准》（DB13/2322-2016）中其他行业要求</w:t>
                  </w:r>
                </w:p>
              </w:tc>
              <w:tc>
                <w:tcPr>
                  <w:tcW w:w="165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浇注及冷却区安装配套集气罩，烟气集中收集后经过除尘设施理，颗粒物排放浓度不高10mg/Nm</w:t>
                  </w:r>
                  <w:r>
                    <w:rPr>
                      <w:rFonts w:hint="eastAsia" w:ascii="Times New Roman" w:hAnsi="Times New Roman"/>
                      <w:sz w:val="21"/>
                      <w:szCs w:val="21"/>
                      <w:vertAlign w:val="superscript"/>
                    </w:rPr>
                    <w:t>3</w:t>
                  </w:r>
                  <w:r>
                    <w:rPr>
                      <w:rFonts w:hint="eastAsia" w:ascii="Times New Roman" w:hAnsi="Times New Roman"/>
                      <w:sz w:val="21"/>
                      <w:szCs w:val="21"/>
                    </w:rPr>
                    <w:t>；不涉及VOCs排放。</w:t>
                  </w:r>
                </w:p>
              </w:tc>
              <w:tc>
                <w:tcPr>
                  <w:tcW w:w="40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39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4</w:t>
                  </w:r>
                </w:p>
              </w:tc>
              <w:tc>
                <w:tcPr>
                  <w:tcW w:w="254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造型、制芯设备出砂口上方安装集气装置和除尘设施；落砂、磁选、清理（去除浇冒口、铲飞边毛刺等）、旧砂回用、废砂再生工序应设置固定工位，采取封闭措施，并安装集气装置和除尘设施，颗粒物排放浓度不高于10mg/N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165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造型、制芯设备出砂口上方安装集气装置和除尘设施；</w:t>
                  </w:r>
                  <w:r>
                    <w:rPr>
                      <w:rFonts w:hint="eastAsia" w:ascii="Times New Roman" w:hAnsi="Times New Roman" w:eastAsia="宋体" w:cs="Times New Roman"/>
                      <w:color w:val="FF0000"/>
                      <w:sz w:val="21"/>
                      <w:szCs w:val="21"/>
                      <w:highlight w:val="none"/>
                      <w:lang w:val="en-US" w:eastAsia="zh-CN"/>
                    </w:rPr>
                    <w:t>砂处理生产线</w:t>
                  </w:r>
                  <w:r>
                    <w:rPr>
                      <w:rFonts w:hint="eastAsia" w:ascii="Times New Roman" w:hAnsi="Times New Roman"/>
                      <w:snapToGrid w:val="0"/>
                      <w:color w:val="FF0000"/>
                      <w:kern w:val="0"/>
                      <w:sz w:val="21"/>
                      <w:szCs w:val="21"/>
                      <w:highlight w:val="none"/>
                      <w:lang w:val="en-US" w:eastAsia="zh-CN" w:bidi="ar-SA"/>
                    </w:rPr>
                    <w:t>落砂区设集气罩，砂冷却系统、筛砂机、混砂机、提升机、砂仓密闭设引风管</w:t>
                  </w:r>
                  <w:r>
                    <w:rPr>
                      <w:rFonts w:hint="eastAsia" w:ascii="Times New Roman" w:hAnsi="Times New Roman"/>
                      <w:sz w:val="21"/>
                      <w:szCs w:val="21"/>
                    </w:rPr>
                    <w:t>，颗粒物排放浓度不高于10mg/Nm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40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39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5</w:t>
                  </w:r>
                </w:p>
              </w:tc>
              <w:tc>
                <w:tcPr>
                  <w:tcW w:w="2543"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抛丸工序全密闭，并安装集气装置，经过除尘设施处理，颗粒物排放浓度不高于10mg/Nm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165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打磨工序全密闭，并安装集气装置，经过除尘设施处理，颗粒物排放浓度不高于10mg/Nm</w:t>
                  </w:r>
                  <w:r>
                    <w:rPr>
                      <w:rFonts w:hint="eastAsia" w:ascii="Times New Roman" w:hAnsi="Times New Roman"/>
                      <w:sz w:val="21"/>
                      <w:szCs w:val="21"/>
                      <w:vertAlign w:val="superscript"/>
                    </w:rPr>
                    <w:t>3</w:t>
                  </w:r>
                  <w:r>
                    <w:rPr>
                      <w:rFonts w:hint="eastAsia" w:ascii="Times New Roman" w:hAnsi="Times New Roman"/>
                      <w:sz w:val="21"/>
                      <w:szCs w:val="21"/>
                    </w:rPr>
                    <w:t>。</w:t>
                  </w:r>
                </w:p>
              </w:tc>
              <w:tc>
                <w:tcPr>
                  <w:tcW w:w="401"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bl>
          <w:p>
            <w:pPr>
              <w:spacing w:line="480" w:lineRule="exact"/>
              <w:ind w:firstLine="500" w:firstLineChars="200"/>
              <w:rPr>
                <w:spacing w:val="5"/>
                <w:sz w:val="24"/>
              </w:rPr>
            </w:pPr>
            <w:r>
              <w:rPr>
                <w:rFonts w:hint="eastAsia"/>
                <w:spacing w:val="5"/>
                <w:sz w:val="24"/>
              </w:rPr>
              <w:t>根据表</w:t>
            </w:r>
            <w:r>
              <w:rPr>
                <w:rFonts w:hint="eastAsia"/>
                <w:spacing w:val="5"/>
                <w:sz w:val="24"/>
                <w:lang w:val="en-US" w:eastAsia="zh-CN"/>
              </w:rPr>
              <w:t>8</w:t>
            </w:r>
            <w:r>
              <w:rPr>
                <w:rFonts w:hint="eastAsia"/>
                <w:spacing w:val="5"/>
                <w:sz w:val="24"/>
              </w:rPr>
              <w:t>，本项目符合《唐山市铸造行业烟气达标治理工作方案》的相关要求。</w:t>
            </w:r>
          </w:p>
          <w:p>
            <w:pPr>
              <w:spacing w:line="480" w:lineRule="exact"/>
              <w:ind w:firstLine="500" w:firstLineChars="200"/>
              <w:rPr>
                <w:spacing w:val="5"/>
                <w:sz w:val="24"/>
              </w:rPr>
            </w:pPr>
            <w:r>
              <w:rPr>
                <w:rFonts w:hint="eastAsia"/>
                <w:spacing w:val="5"/>
                <w:sz w:val="24"/>
              </w:rPr>
              <w:t>2.2.6与《铸造企业规范条件》（T/CFA0310021-</w:t>
            </w:r>
            <w:r>
              <w:rPr>
                <w:spacing w:val="5"/>
                <w:sz w:val="24"/>
              </w:rPr>
              <w:t>2023</w:t>
            </w:r>
            <w:r>
              <w:rPr>
                <w:rFonts w:hint="eastAsia"/>
                <w:spacing w:val="5"/>
                <w:sz w:val="24"/>
              </w:rPr>
              <w:t>）符合性分析</w:t>
            </w:r>
          </w:p>
          <w:p>
            <w:pPr>
              <w:spacing w:line="480" w:lineRule="exact"/>
              <w:jc w:val="center"/>
              <w:rPr>
                <w:b/>
                <w:bCs/>
                <w:spacing w:val="5"/>
                <w:sz w:val="24"/>
              </w:rPr>
            </w:pPr>
            <w:r>
              <w:rPr>
                <w:rFonts w:hint="eastAsia"/>
                <w:b/>
                <w:bCs/>
                <w:spacing w:val="5"/>
                <w:sz w:val="24"/>
              </w:rPr>
              <w:t>表</w:t>
            </w:r>
            <w:r>
              <w:rPr>
                <w:rFonts w:hint="eastAsia"/>
                <w:b/>
                <w:bCs/>
                <w:spacing w:val="5"/>
                <w:sz w:val="24"/>
                <w:lang w:val="en-US" w:eastAsia="zh-CN"/>
              </w:rPr>
              <w:t>9</w:t>
            </w:r>
            <w:r>
              <w:rPr>
                <w:rFonts w:hint="eastAsia"/>
                <w:b/>
                <w:bCs/>
                <w:spacing w:val="5"/>
                <w:sz w:val="24"/>
              </w:rPr>
              <w:t xml:space="preserve"> 本项目与《铸造企业规范条件》（T/CFA0310021-</w:t>
            </w:r>
            <w:r>
              <w:rPr>
                <w:b/>
                <w:bCs/>
                <w:spacing w:val="5"/>
                <w:sz w:val="24"/>
              </w:rPr>
              <w:t>2023</w:t>
            </w:r>
            <w:r>
              <w:rPr>
                <w:rFonts w:hint="eastAsia"/>
                <w:b/>
                <w:bCs/>
                <w:spacing w:val="5"/>
                <w:sz w:val="24"/>
              </w:rPr>
              <w:t>）符合性分析结果一览表</w:t>
            </w:r>
          </w:p>
          <w:tbl>
            <w:tblPr>
              <w:tblStyle w:val="32"/>
              <w:tblW w:w="835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48"/>
              <w:gridCol w:w="4038"/>
              <w:gridCol w:w="2664"/>
              <w:gridCol w:w="7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项目</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相关规定</w:t>
                  </w:r>
                </w:p>
              </w:tc>
              <w:tc>
                <w:tcPr>
                  <w:tcW w:w="1595"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本</w:t>
                  </w:r>
                  <w:r>
                    <w:rPr>
                      <w:rFonts w:hint="eastAsia" w:ascii="Times New Roman" w:hAnsi="Times New Roman"/>
                      <w:sz w:val="21"/>
                      <w:szCs w:val="21"/>
                    </w:rPr>
                    <w:t>项目</w:t>
                  </w:r>
                </w:p>
              </w:tc>
              <w:tc>
                <w:tcPr>
                  <w:tcW w:w="419" w:type="pct"/>
                  <w:tcBorders>
                    <w:tl2br w:val="nil"/>
                    <w:tr2bl w:val="nil"/>
                  </w:tcBorders>
                  <w:vAlign w:val="center"/>
                </w:tcPr>
                <w:p>
                  <w:pPr>
                    <w:pStyle w:val="69"/>
                    <w:ind w:firstLine="0" w:firstLineChars="0"/>
                    <w:jc w:val="center"/>
                    <w:rPr>
                      <w:rFonts w:ascii="Times New Roman" w:hAnsi="Times New Roman"/>
                      <w:sz w:val="21"/>
                      <w:szCs w:val="21"/>
                    </w:rPr>
                  </w:pPr>
                  <w:r>
                    <w:rPr>
                      <w:rFonts w:ascii="Times New Roman" w:hAnsi="Times New Roman"/>
                      <w:sz w:val="21"/>
                      <w:szCs w:val="21"/>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56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生产</w:t>
                  </w:r>
                </w:p>
                <w:p>
                  <w:pPr>
                    <w:pStyle w:val="69"/>
                    <w:ind w:firstLine="0" w:firstLineChars="0"/>
                    <w:jc w:val="center"/>
                    <w:rPr>
                      <w:rFonts w:ascii="Times New Roman" w:hAnsi="Times New Roman"/>
                      <w:sz w:val="21"/>
                      <w:szCs w:val="21"/>
                    </w:rPr>
                  </w:pPr>
                  <w:r>
                    <w:rPr>
                      <w:rFonts w:hint="eastAsia" w:ascii="Times New Roman" w:hAnsi="Times New Roman"/>
                      <w:sz w:val="21"/>
                      <w:szCs w:val="21"/>
                    </w:rPr>
                    <w:t>工艺</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1、企业不应使用国家明令淘汰的生产工艺，不应采用粘土砂干型/芯、油砂制芯、七O砂制型/芯等落后铸造工艺；粘土砂工艺批量生产铸件不应采用手工造型；水玻璃模精密铸造模亮硬化不应采用氯化铵硬化工艺；铝合金精炼不应采用六氯乙烷等有毒有害的精炼剂。2、新（改、扩）建粘土砂型铸造项目应采用自动化造型；新(改、扩)建模精密铸造项目不应采用水玻璃熔模精密铸造工艺。</w:t>
                  </w:r>
                </w:p>
              </w:tc>
              <w:tc>
                <w:tcPr>
                  <w:tcW w:w="159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本项目不涉及国家明令淘汰的生产工艺，不应采用粘土砂干型/芯、油砂制芯、七O砂制型/芯等落后铸造工艺，不使用粘土砂型工艺。</w:t>
                  </w:r>
                </w:p>
              </w:tc>
              <w:tc>
                <w:tcPr>
                  <w:tcW w:w="41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生产</w:t>
                  </w:r>
                </w:p>
                <w:p>
                  <w:pPr>
                    <w:pStyle w:val="69"/>
                    <w:ind w:firstLine="0" w:firstLineChars="0"/>
                    <w:jc w:val="center"/>
                    <w:rPr>
                      <w:rFonts w:ascii="Times New Roman" w:hAnsi="Times New Roman"/>
                      <w:sz w:val="21"/>
                      <w:szCs w:val="21"/>
                    </w:rPr>
                  </w:pPr>
                  <w:r>
                    <w:rPr>
                      <w:rFonts w:hint="eastAsia" w:ascii="Times New Roman" w:hAnsi="Times New Roman"/>
                      <w:sz w:val="21"/>
                      <w:szCs w:val="21"/>
                    </w:rPr>
                    <w:t>装备</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铸造企业不得采用无芯工频感应电炉、无磁轭（≥0.25吨）铝壳中频感应电炉。</w:t>
                  </w:r>
                </w:p>
              </w:tc>
              <w:tc>
                <w:tcPr>
                  <w:tcW w:w="159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本项目不涉及上述淘汰类装备。</w:t>
                  </w:r>
                </w:p>
              </w:tc>
              <w:tc>
                <w:tcPr>
                  <w:tcW w:w="41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56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成型设备</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企业应配备与产品及生产能力相匹配的造型、制芯及其他成型设备，如粘土砂造型机（线）、树脂混砂机、壳型(芯)机、铁模砂生产线、水玻璃砂生产线，消失模、V法、实型铸造设备、离心铸造设备、压铸设备、低压铸造设备、重力铸造设备、挤压铸造设备、差压铸造设备、熔模铸造设备、制芯设备、快速成型设备等</w:t>
                  </w:r>
                </w:p>
              </w:tc>
              <w:tc>
                <w:tcPr>
                  <w:tcW w:w="159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公司配备了与产品及生产能力相匹配的造型、制芯及其他成型设备。</w:t>
                  </w:r>
                </w:p>
              </w:tc>
              <w:tc>
                <w:tcPr>
                  <w:tcW w:w="41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567"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砂处理及再生设备</w:t>
                  </w:r>
                </w:p>
              </w:tc>
              <w:tc>
                <w:tcPr>
                  <w:tcW w:w="2418"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采用树脂自硬砂、水玻璃砂铸造工艺的企业应配备完善的砂处理及砂再生设备。</w:t>
                  </w:r>
                </w:p>
              </w:tc>
              <w:tc>
                <w:tcPr>
                  <w:tcW w:w="1595"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 xml:space="preserve">公司水玻璃砂铸造工艺配备了相应的砂处理及再生设备，旧砂回用率大于80%。 </w:t>
                  </w:r>
                </w:p>
              </w:tc>
              <w:tc>
                <w:tcPr>
                  <w:tcW w:w="419" w:type="pct"/>
                  <w:tcBorders>
                    <w:tl2br w:val="nil"/>
                    <w:tr2bl w:val="nil"/>
                  </w:tcBorders>
                  <w:vAlign w:val="center"/>
                </w:tcPr>
                <w:p>
                  <w:pPr>
                    <w:pStyle w:val="69"/>
                    <w:ind w:firstLine="0" w:firstLineChars="0"/>
                    <w:jc w:val="center"/>
                    <w:rPr>
                      <w:rFonts w:ascii="Times New Roman" w:hAnsi="Times New Roman"/>
                      <w:sz w:val="21"/>
                      <w:szCs w:val="21"/>
                    </w:rPr>
                  </w:pPr>
                  <w:r>
                    <w:rPr>
                      <w:rFonts w:hint="eastAsia" w:ascii="Times New Roman" w:hAnsi="Times New Roman"/>
                      <w:sz w:val="21"/>
                      <w:szCs w:val="21"/>
                    </w:rPr>
                    <w:t>符合</w:t>
                  </w:r>
                </w:p>
              </w:tc>
            </w:tr>
          </w:tbl>
          <w:p>
            <w:pPr>
              <w:autoSpaceDE w:val="0"/>
              <w:autoSpaceDN w:val="0"/>
              <w:adjustRightInd w:val="0"/>
              <w:snapToGrid w:val="0"/>
              <w:spacing w:line="480" w:lineRule="exact"/>
              <w:ind w:firstLine="488" w:firstLineChars="200"/>
              <w:jc w:val="left"/>
              <w:rPr>
                <w:spacing w:val="2"/>
                <w:kern w:val="0"/>
                <w:sz w:val="24"/>
              </w:rPr>
            </w:pPr>
            <w:r>
              <w:rPr>
                <w:spacing w:val="2"/>
                <w:kern w:val="0"/>
                <w:sz w:val="24"/>
              </w:rPr>
              <w:t>综上所述，本项目的建设符合国家</w:t>
            </w:r>
            <w:r>
              <w:rPr>
                <w:rFonts w:hint="eastAsia"/>
                <w:spacing w:val="2"/>
                <w:kern w:val="0"/>
                <w:sz w:val="24"/>
              </w:rPr>
              <w:t>及地方</w:t>
            </w:r>
            <w:r>
              <w:rPr>
                <w:spacing w:val="2"/>
                <w:kern w:val="0"/>
                <w:sz w:val="24"/>
              </w:rPr>
              <w:t>产业政策</w:t>
            </w:r>
            <w:r>
              <w:rPr>
                <w:rFonts w:hint="eastAsia"/>
                <w:spacing w:val="2"/>
                <w:kern w:val="0"/>
                <w:sz w:val="24"/>
              </w:rPr>
              <w:t>。</w:t>
            </w:r>
          </w:p>
          <w:p>
            <w:pPr>
              <w:autoSpaceDE w:val="0"/>
              <w:autoSpaceDN w:val="0"/>
              <w:adjustRightInd w:val="0"/>
              <w:snapToGrid w:val="0"/>
              <w:spacing w:line="480" w:lineRule="exact"/>
              <w:ind w:firstLine="480" w:firstLineChars="200"/>
              <w:rPr>
                <w:kern w:val="0"/>
                <w:sz w:val="24"/>
              </w:rPr>
            </w:pPr>
            <w:r>
              <w:rPr>
                <w:rFonts w:hint="eastAsia"/>
                <w:kern w:val="0"/>
                <w:sz w:val="24"/>
              </w:rPr>
              <w:t>2.3项目选址合理性分析</w:t>
            </w:r>
          </w:p>
          <w:p>
            <w:pPr>
              <w:autoSpaceDE w:val="0"/>
              <w:autoSpaceDN w:val="0"/>
              <w:adjustRightInd w:val="0"/>
              <w:snapToGrid w:val="0"/>
              <w:spacing w:line="480" w:lineRule="exact"/>
              <w:ind w:firstLine="480" w:firstLineChars="200"/>
              <w:rPr>
                <w:kern w:val="0"/>
                <w:sz w:val="24"/>
              </w:rPr>
            </w:pPr>
            <w:r>
              <w:rPr>
                <w:rFonts w:hint="eastAsia"/>
                <w:kern w:val="0"/>
                <w:sz w:val="24"/>
              </w:rPr>
              <w:t>2.3.1相关规划符合性</w:t>
            </w:r>
          </w:p>
          <w:p>
            <w:pPr>
              <w:autoSpaceDE w:val="0"/>
              <w:autoSpaceDN w:val="0"/>
              <w:adjustRightInd w:val="0"/>
              <w:snapToGrid w:val="0"/>
              <w:spacing w:line="480" w:lineRule="exact"/>
              <w:ind w:firstLine="480" w:firstLineChars="200"/>
              <w:rPr>
                <w:kern w:val="0"/>
                <w:sz w:val="24"/>
              </w:rPr>
            </w:pPr>
            <w:r>
              <w:rPr>
                <w:rFonts w:hint="eastAsia"/>
                <w:kern w:val="0"/>
                <w:sz w:val="24"/>
              </w:rPr>
              <w:t>项目位于</w:t>
            </w:r>
            <w:r>
              <w:rPr>
                <w:rFonts w:hint="eastAsia"/>
                <w:snapToGrid w:val="0"/>
                <w:kern w:val="0"/>
                <w:sz w:val="24"/>
                <w:szCs w:val="22"/>
                <w:lang w:eastAsia="zh-CN"/>
              </w:rPr>
              <w:t>河北省遵化市铁厂镇铁厂村</w:t>
            </w:r>
            <w:r>
              <w:rPr>
                <w:rFonts w:hint="eastAsia"/>
                <w:kern w:val="0"/>
                <w:sz w:val="24"/>
              </w:rPr>
              <w:t>，项目选址不在自然保护区、风景名胜区、世界文化和自然遗产地、饮用水源保护区范围内。</w:t>
            </w:r>
          </w:p>
          <w:p>
            <w:pPr>
              <w:autoSpaceDE w:val="0"/>
              <w:autoSpaceDN w:val="0"/>
              <w:adjustRightInd w:val="0"/>
              <w:snapToGrid w:val="0"/>
              <w:spacing w:line="480" w:lineRule="exact"/>
              <w:ind w:firstLine="480" w:firstLineChars="200"/>
              <w:rPr>
                <w:kern w:val="0"/>
                <w:sz w:val="24"/>
              </w:rPr>
            </w:pPr>
            <w:r>
              <w:rPr>
                <w:rFonts w:hint="eastAsia"/>
                <w:kern w:val="0"/>
                <w:sz w:val="24"/>
              </w:rPr>
              <w:t>因此本厂选址符合区域要求。</w:t>
            </w:r>
          </w:p>
          <w:p>
            <w:pPr>
              <w:autoSpaceDE w:val="0"/>
              <w:autoSpaceDN w:val="0"/>
              <w:adjustRightInd w:val="0"/>
              <w:snapToGrid w:val="0"/>
              <w:spacing w:line="480" w:lineRule="exact"/>
              <w:ind w:firstLine="480" w:firstLineChars="200"/>
              <w:rPr>
                <w:color w:val="auto"/>
                <w:kern w:val="0"/>
                <w:sz w:val="24"/>
              </w:rPr>
            </w:pPr>
            <w:r>
              <w:rPr>
                <w:rFonts w:hint="eastAsia"/>
                <w:kern w:val="0"/>
                <w:sz w:val="24"/>
              </w:rPr>
              <w:t>2.3.2基础设施及交</w:t>
            </w:r>
            <w:r>
              <w:rPr>
                <w:rFonts w:hint="eastAsia"/>
                <w:color w:val="auto"/>
                <w:kern w:val="0"/>
                <w:sz w:val="24"/>
              </w:rPr>
              <w:t>通状况分析</w:t>
            </w:r>
          </w:p>
          <w:p>
            <w:pPr>
              <w:autoSpaceDE w:val="0"/>
              <w:autoSpaceDN w:val="0"/>
              <w:adjustRightInd w:val="0"/>
              <w:snapToGrid w:val="0"/>
              <w:spacing w:line="480" w:lineRule="exact"/>
              <w:ind w:firstLine="480" w:firstLineChars="200"/>
              <w:rPr>
                <w:kern w:val="0"/>
                <w:sz w:val="24"/>
              </w:rPr>
            </w:pPr>
            <w:r>
              <w:rPr>
                <w:color w:val="auto"/>
                <w:sz w:val="24"/>
              </w:rPr>
              <w:t>本项目</w:t>
            </w:r>
            <w:r>
              <w:rPr>
                <w:rFonts w:hint="eastAsia"/>
                <w:color w:val="auto"/>
                <w:sz w:val="24"/>
              </w:rPr>
              <w:t>厂区</w:t>
            </w:r>
            <w:r>
              <w:rPr>
                <w:color w:val="auto"/>
                <w:sz w:val="24"/>
              </w:rPr>
              <w:t>用水</w:t>
            </w:r>
            <w:r>
              <w:rPr>
                <w:rFonts w:hint="eastAsia"/>
                <w:color w:val="auto"/>
                <w:sz w:val="24"/>
              </w:rPr>
              <w:t>由</w:t>
            </w:r>
            <w:r>
              <w:rPr>
                <w:rFonts w:hint="eastAsia"/>
                <w:color w:val="auto"/>
                <w:sz w:val="24"/>
                <w:lang w:eastAsia="zh-CN"/>
              </w:rPr>
              <w:t>铁厂村</w:t>
            </w:r>
            <w:r>
              <w:rPr>
                <w:rFonts w:hint="eastAsia"/>
                <w:color w:val="auto"/>
                <w:sz w:val="24"/>
              </w:rPr>
              <w:t>供水管网供给</w:t>
            </w:r>
            <w:r>
              <w:rPr>
                <w:color w:val="auto"/>
                <w:sz w:val="24"/>
              </w:rPr>
              <w:t>，用电</w:t>
            </w:r>
            <w:r>
              <w:rPr>
                <w:rFonts w:hint="eastAsia"/>
                <w:color w:val="auto"/>
                <w:sz w:val="24"/>
              </w:rPr>
              <w:t>由当</w:t>
            </w:r>
            <w:r>
              <w:rPr>
                <w:rFonts w:hint="eastAsia"/>
                <w:sz w:val="24"/>
              </w:rPr>
              <w:t>地电网引入，生产车间不采暖，办公用房采暖、制冷均采用空调</w:t>
            </w:r>
            <w:r>
              <w:rPr>
                <w:rFonts w:hint="eastAsia"/>
                <w:kern w:val="0"/>
                <w:sz w:val="24"/>
              </w:rPr>
              <w:t>。厂区紧邻道路，交通方便。</w:t>
            </w:r>
          </w:p>
          <w:p>
            <w:pPr>
              <w:autoSpaceDE w:val="0"/>
              <w:autoSpaceDN w:val="0"/>
              <w:adjustRightInd w:val="0"/>
              <w:snapToGrid w:val="0"/>
              <w:spacing w:line="480" w:lineRule="exact"/>
              <w:ind w:firstLine="480" w:firstLineChars="200"/>
              <w:rPr>
                <w:kern w:val="0"/>
                <w:sz w:val="24"/>
              </w:rPr>
            </w:pPr>
            <w:r>
              <w:rPr>
                <w:rFonts w:hint="eastAsia"/>
                <w:kern w:val="0"/>
                <w:sz w:val="24"/>
              </w:rPr>
              <w:t>2.3.3环境影响评价结果分析</w:t>
            </w:r>
          </w:p>
          <w:p>
            <w:pPr>
              <w:autoSpaceDE w:val="0"/>
              <w:autoSpaceDN w:val="0"/>
              <w:adjustRightInd w:val="0"/>
              <w:snapToGrid w:val="0"/>
              <w:spacing w:line="480" w:lineRule="exact"/>
              <w:ind w:firstLine="480" w:firstLineChars="200"/>
              <w:rPr>
                <w:kern w:val="0"/>
                <w:sz w:val="24"/>
              </w:rPr>
            </w:pPr>
            <w:r>
              <w:rPr>
                <w:rFonts w:hint="eastAsia"/>
                <w:kern w:val="0"/>
                <w:sz w:val="24"/>
              </w:rPr>
              <w:t>本项目生产过程中采用了较完善的环保治理措施，大气污染物全部达标排放，对评价范围内环境敏感点影响较小；</w:t>
            </w:r>
            <w:r>
              <w:rPr>
                <w:kern w:val="0"/>
                <w:sz w:val="24"/>
              </w:rPr>
              <w:t>职工生活污水</w:t>
            </w:r>
            <w:r>
              <w:rPr>
                <w:rFonts w:hint="eastAsia"/>
                <w:kern w:val="0"/>
                <w:sz w:val="24"/>
              </w:rPr>
              <w:t>就地泼洒抑尘不外排</w:t>
            </w:r>
            <w:r>
              <w:rPr>
                <w:kern w:val="0"/>
                <w:sz w:val="24"/>
              </w:rPr>
              <w:t>；</w:t>
            </w:r>
            <w:r>
              <w:rPr>
                <w:rFonts w:hint="eastAsia"/>
                <w:sz w:val="24"/>
              </w:rPr>
              <w:t>冷却水经冷却后循环利用不外排</w:t>
            </w:r>
            <w:r>
              <w:rPr>
                <w:rFonts w:hint="eastAsia"/>
                <w:kern w:val="0"/>
                <w:sz w:val="24"/>
              </w:rPr>
              <w:t>；项目生产过程对地下水水质影响较小；固体废物合理处置。本项目对周围环境影响较小。</w:t>
            </w:r>
          </w:p>
          <w:p>
            <w:pPr>
              <w:autoSpaceDE w:val="0"/>
              <w:autoSpaceDN w:val="0"/>
              <w:adjustRightInd w:val="0"/>
              <w:snapToGrid w:val="0"/>
              <w:spacing w:line="480" w:lineRule="exact"/>
              <w:ind w:firstLine="480" w:firstLineChars="200"/>
              <w:rPr>
                <w:kern w:val="0"/>
                <w:sz w:val="24"/>
              </w:rPr>
            </w:pPr>
            <w:r>
              <w:rPr>
                <w:rFonts w:hint="eastAsia"/>
                <w:kern w:val="0"/>
                <w:sz w:val="24"/>
              </w:rPr>
              <w:t>2.3.4环境功能区划符合性分析</w:t>
            </w:r>
          </w:p>
          <w:p>
            <w:pPr>
              <w:autoSpaceDE w:val="0"/>
              <w:autoSpaceDN w:val="0"/>
              <w:adjustRightInd w:val="0"/>
              <w:snapToGrid w:val="0"/>
              <w:spacing w:line="480" w:lineRule="exact"/>
              <w:ind w:firstLine="480" w:firstLineChars="200"/>
              <w:rPr>
                <w:kern w:val="0"/>
                <w:sz w:val="24"/>
              </w:rPr>
            </w:pPr>
            <w:r>
              <w:rPr>
                <w:rFonts w:hint="eastAsia"/>
                <w:kern w:val="0"/>
                <w:sz w:val="24"/>
              </w:rPr>
              <w:t>本项目拟建场地周围没有文物、古迹、自然保护区等环境敏感点，所在区域为环境空气质量二类功能区，声功能区为2类区，本项目各类污染物经防治措施处理后均符合相关标准。本项目建设不会改变功能区现状，因此项目选址符合环境功能区划要求。</w:t>
            </w:r>
          </w:p>
          <w:p>
            <w:pPr>
              <w:autoSpaceDE w:val="0"/>
              <w:autoSpaceDN w:val="0"/>
              <w:adjustRightInd w:val="0"/>
              <w:snapToGrid w:val="0"/>
              <w:spacing w:line="480" w:lineRule="exact"/>
              <w:ind w:firstLine="480" w:firstLineChars="200"/>
              <w:rPr>
                <w:kern w:val="0"/>
                <w:sz w:val="24"/>
              </w:rPr>
            </w:pPr>
            <w:r>
              <w:rPr>
                <w:rFonts w:hint="eastAsia"/>
                <w:kern w:val="0"/>
                <w:sz w:val="24"/>
              </w:rPr>
              <w:t>2.3.5与生态红线关系</w:t>
            </w:r>
          </w:p>
          <w:p>
            <w:pPr>
              <w:autoSpaceDE w:val="0"/>
              <w:autoSpaceDN w:val="0"/>
              <w:adjustRightInd w:val="0"/>
              <w:snapToGrid w:val="0"/>
              <w:spacing w:line="480" w:lineRule="exact"/>
              <w:ind w:firstLine="480" w:firstLineChars="200"/>
              <w:rPr>
                <w:kern w:val="0"/>
                <w:sz w:val="24"/>
              </w:rPr>
            </w:pPr>
            <w:r>
              <w:rPr>
                <w:rFonts w:hint="eastAsia"/>
                <w:kern w:val="0"/>
                <w:sz w:val="24"/>
              </w:rPr>
              <w:t>本项目与生态红线不冲突，符合其保护要求。</w:t>
            </w:r>
          </w:p>
          <w:p>
            <w:pPr>
              <w:autoSpaceDE w:val="0"/>
              <w:autoSpaceDN w:val="0"/>
              <w:adjustRightInd w:val="0"/>
              <w:snapToGrid w:val="0"/>
              <w:spacing w:line="480" w:lineRule="exact"/>
              <w:ind w:firstLine="480" w:firstLineChars="200"/>
              <w:rPr>
                <w:kern w:val="0"/>
                <w:sz w:val="24"/>
              </w:rPr>
            </w:pPr>
            <w:r>
              <w:rPr>
                <w:rFonts w:hint="eastAsia"/>
                <w:kern w:val="0"/>
                <w:sz w:val="24"/>
              </w:rPr>
              <w:t>2.3.6防护距离要求</w:t>
            </w:r>
          </w:p>
          <w:p>
            <w:pPr>
              <w:autoSpaceDE w:val="0"/>
              <w:autoSpaceDN w:val="0"/>
              <w:adjustRightInd w:val="0"/>
              <w:snapToGrid w:val="0"/>
              <w:spacing w:line="480" w:lineRule="exact"/>
              <w:ind w:firstLine="480" w:firstLineChars="200"/>
              <w:rPr>
                <w:kern w:val="0"/>
                <w:sz w:val="24"/>
              </w:rPr>
            </w:pPr>
            <w:r>
              <w:rPr>
                <w:rFonts w:hint="eastAsia"/>
                <w:kern w:val="0"/>
                <w:sz w:val="24"/>
              </w:rPr>
              <w:t>本工程无需设置大气环境防护距离。</w:t>
            </w:r>
          </w:p>
          <w:p>
            <w:pPr>
              <w:autoSpaceDE w:val="0"/>
              <w:autoSpaceDN w:val="0"/>
              <w:adjustRightInd w:val="0"/>
              <w:snapToGrid w:val="0"/>
              <w:spacing w:line="480" w:lineRule="exact"/>
              <w:ind w:firstLine="480" w:firstLineChars="200"/>
              <w:rPr>
                <w:kern w:val="0"/>
                <w:sz w:val="24"/>
              </w:rPr>
            </w:pPr>
            <w:r>
              <w:rPr>
                <w:rFonts w:hint="eastAsia"/>
                <w:kern w:val="0"/>
                <w:sz w:val="24"/>
              </w:rPr>
              <w:t>综上所述，项目选址合理。</w:t>
            </w:r>
          </w:p>
          <w:p>
            <w:pPr>
              <w:autoSpaceDE w:val="0"/>
              <w:autoSpaceDN w:val="0"/>
              <w:adjustRightInd w:val="0"/>
              <w:snapToGrid w:val="0"/>
              <w:spacing w:line="480" w:lineRule="exact"/>
              <w:ind w:firstLine="480" w:firstLineChars="200"/>
              <w:rPr>
                <w:kern w:val="0"/>
                <w:sz w:val="24"/>
              </w:rPr>
            </w:pPr>
          </w:p>
          <w:p>
            <w:pPr>
              <w:autoSpaceDE w:val="0"/>
              <w:autoSpaceDN w:val="0"/>
              <w:adjustRightInd w:val="0"/>
              <w:snapToGrid w:val="0"/>
              <w:spacing w:line="480" w:lineRule="exact"/>
              <w:ind w:firstLine="480" w:firstLineChars="200"/>
              <w:rPr>
                <w:kern w:val="0"/>
                <w:sz w:val="24"/>
              </w:rPr>
            </w:pPr>
          </w:p>
          <w:p>
            <w:pPr>
              <w:autoSpaceDE w:val="0"/>
              <w:autoSpaceDN w:val="0"/>
              <w:adjustRightInd w:val="0"/>
              <w:snapToGrid w:val="0"/>
              <w:spacing w:line="480" w:lineRule="exact"/>
              <w:ind w:firstLine="480" w:firstLineChars="200"/>
              <w:rPr>
                <w:kern w:val="0"/>
                <w:sz w:val="24"/>
              </w:rPr>
            </w:pPr>
          </w:p>
          <w:p>
            <w:pPr>
              <w:autoSpaceDE w:val="0"/>
              <w:autoSpaceDN w:val="0"/>
              <w:adjustRightInd w:val="0"/>
              <w:snapToGrid w:val="0"/>
              <w:spacing w:line="480" w:lineRule="exact"/>
              <w:ind w:firstLine="480" w:firstLineChars="200"/>
              <w:rPr>
                <w:kern w:val="0"/>
                <w:sz w:val="24"/>
              </w:rPr>
            </w:pPr>
          </w:p>
          <w:p>
            <w:pPr>
              <w:autoSpaceDE w:val="0"/>
              <w:autoSpaceDN w:val="0"/>
              <w:adjustRightInd w:val="0"/>
              <w:snapToGrid w:val="0"/>
              <w:spacing w:line="480" w:lineRule="exact"/>
              <w:ind w:firstLine="480" w:firstLineChars="200"/>
              <w:rPr>
                <w:kern w:val="0"/>
                <w:sz w:val="24"/>
              </w:rPr>
            </w:pPr>
          </w:p>
          <w:p>
            <w:pPr>
              <w:pStyle w:val="28"/>
              <w:jc w:val="both"/>
              <w:rPr>
                <w:rFonts w:ascii="Times New Roman" w:hAnsi="Times New Roman" w:eastAsia="黑体"/>
                <w:snapToGrid w:val="0"/>
                <w:sz w:val="30"/>
                <w:szCs w:val="30"/>
              </w:rPr>
            </w:pPr>
          </w:p>
        </w:tc>
      </w:tr>
    </w:tbl>
    <w:p>
      <w:pPr>
        <w:rPr>
          <w:rFonts w:eastAsia="黑体"/>
          <w:snapToGrid w:val="0"/>
          <w:sz w:val="30"/>
          <w:szCs w:val="30"/>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outlineLvl w:val="0"/>
        <w:rPr>
          <w:rFonts w:eastAsia="黑体"/>
          <w:snapToGrid w:val="0"/>
          <w:sz w:val="30"/>
          <w:szCs w:val="30"/>
        </w:rPr>
      </w:pPr>
      <w:bookmarkStart w:id="13" w:name="_Toc26214"/>
      <w:r>
        <w:rPr>
          <w:rFonts w:eastAsia="黑体"/>
          <w:snapToGrid w:val="0"/>
          <w:sz w:val="30"/>
          <w:szCs w:val="30"/>
        </w:rPr>
        <w:t>二、建设项目工程分析</w:t>
      </w:r>
      <w:bookmarkEnd w:id="13"/>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398"/>
        <w:gridCol w:w="82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5" w:type="dxa"/>
            <w:vAlign w:val="center"/>
          </w:tcPr>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建</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设</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内</w:t>
            </w:r>
          </w:p>
          <w:p>
            <w:pPr>
              <w:pStyle w:val="28"/>
              <w:adjustRightInd w:val="0"/>
              <w:snapToGrid w:val="0"/>
              <w:spacing w:before="0" w:beforeAutospacing="0" w:after="0" w:afterAutospacing="0" w:line="480" w:lineRule="exact"/>
              <w:jc w:val="center"/>
              <w:rPr>
                <w:rFonts w:ascii="Times New Roman" w:hAnsi="Times New Roman"/>
                <w:sz w:val="21"/>
                <w:szCs w:val="21"/>
              </w:rPr>
            </w:pPr>
            <w:r>
              <w:rPr>
                <w:rFonts w:ascii="Times New Roman" w:hAnsi="Times New Roman"/>
                <w:szCs w:val="24"/>
              </w:rPr>
              <w:t>容</w:t>
            </w:r>
          </w:p>
        </w:tc>
        <w:tc>
          <w:tcPr>
            <w:tcW w:w="8604" w:type="dxa"/>
            <w:gridSpan w:val="2"/>
          </w:tcPr>
          <w:p>
            <w:pPr>
              <w:spacing w:line="500" w:lineRule="exact"/>
              <w:ind w:firstLine="482" w:firstLineChars="200"/>
              <w:rPr>
                <w:b/>
                <w:bCs/>
                <w:sz w:val="24"/>
              </w:rPr>
            </w:pPr>
            <w:r>
              <w:rPr>
                <w:rFonts w:hint="eastAsia"/>
                <w:b/>
                <w:bCs/>
                <w:sz w:val="24"/>
              </w:rPr>
              <w:t>1</w:t>
            </w:r>
            <w:r>
              <w:rPr>
                <w:b/>
                <w:bCs/>
                <w:sz w:val="24"/>
              </w:rPr>
              <w:t>、</w:t>
            </w:r>
            <w:r>
              <w:rPr>
                <w:rFonts w:hint="eastAsia"/>
                <w:b/>
                <w:bCs/>
                <w:sz w:val="24"/>
              </w:rPr>
              <w:t>项目由来</w:t>
            </w:r>
          </w:p>
          <w:p>
            <w:pPr>
              <w:widowControl/>
              <w:spacing w:line="500" w:lineRule="exact"/>
              <w:ind w:firstLine="480" w:firstLineChars="200"/>
              <w:rPr>
                <w:sz w:val="24"/>
                <w:highlight w:val="none"/>
              </w:rPr>
            </w:pPr>
            <w:r>
              <w:rPr>
                <w:rFonts w:hint="eastAsia"/>
                <w:sz w:val="24"/>
              </w:rPr>
              <w:t>项目由来：</w:t>
            </w:r>
            <w:r>
              <w:rPr>
                <w:rFonts w:hint="eastAsia"/>
                <w:sz w:val="24"/>
                <w:lang w:eastAsia="zh-CN"/>
              </w:rPr>
              <w:t>遵化垣发机械制造有限公司</w:t>
            </w:r>
            <w:r>
              <w:rPr>
                <w:rFonts w:hint="eastAsia"/>
                <w:sz w:val="24"/>
              </w:rPr>
              <w:t>在经济逐步复苏的大环境下，进行了市场调研，发现</w:t>
            </w:r>
            <w:r>
              <w:rPr>
                <w:rFonts w:hint="eastAsia"/>
                <w:sz w:val="24"/>
                <w:lang w:eastAsia="zh-CN"/>
              </w:rPr>
              <w:t>高端数控机床配件铸件</w:t>
            </w:r>
            <w:r>
              <w:rPr>
                <w:rFonts w:hint="eastAsia"/>
                <w:sz w:val="24"/>
              </w:rPr>
              <w:t>产品需求量增加，为了尽快占领市场份额，努力满足市场需求，推动区域经济</w:t>
            </w:r>
            <w:r>
              <w:rPr>
                <w:rFonts w:hint="eastAsia"/>
                <w:sz w:val="24"/>
                <w:highlight w:val="none"/>
              </w:rPr>
              <w:t>发展，</w:t>
            </w:r>
            <w:r>
              <w:rPr>
                <w:rFonts w:hint="eastAsia"/>
                <w:sz w:val="24"/>
                <w:highlight w:val="none"/>
                <w:lang w:eastAsia="zh-CN"/>
              </w:rPr>
              <w:t>遵化垣发机械制造有限公司</w:t>
            </w:r>
            <w:r>
              <w:rPr>
                <w:rFonts w:hint="eastAsia"/>
                <w:sz w:val="24"/>
                <w:highlight w:val="none"/>
              </w:rPr>
              <w:t>拟投资4000万元实施“</w:t>
            </w:r>
            <w:r>
              <w:rPr>
                <w:rFonts w:hint="eastAsia"/>
                <w:sz w:val="24"/>
                <w:highlight w:val="none"/>
                <w:lang w:eastAsia="zh-CN"/>
              </w:rPr>
              <w:t>年产高端数控机床配件7000吨项目</w:t>
            </w:r>
            <w:r>
              <w:rPr>
                <w:rFonts w:hint="eastAsia"/>
                <w:sz w:val="24"/>
                <w:highlight w:val="none"/>
              </w:rPr>
              <w:t>”，项目占地</w:t>
            </w:r>
            <w:r>
              <w:rPr>
                <w:rFonts w:hint="eastAsia"/>
                <w:sz w:val="24"/>
                <w:highlight w:val="none"/>
                <w:lang w:val="en-US" w:eastAsia="zh-CN"/>
              </w:rPr>
              <w:t>6466.66</w:t>
            </w:r>
            <w:r>
              <w:rPr>
                <w:rFonts w:hint="eastAsia"/>
                <w:sz w:val="24"/>
                <w:highlight w:val="none"/>
              </w:rPr>
              <w:t>m</w:t>
            </w:r>
            <w:r>
              <w:rPr>
                <w:rFonts w:hint="eastAsia"/>
                <w:sz w:val="24"/>
                <w:highlight w:val="none"/>
                <w:vertAlign w:val="superscript"/>
              </w:rPr>
              <w:t>2</w:t>
            </w:r>
            <w:r>
              <w:rPr>
                <w:rFonts w:hint="eastAsia"/>
                <w:sz w:val="24"/>
                <w:highlight w:val="none"/>
              </w:rPr>
              <w:t>，总建筑面积3000平方米。主要改新建设的生产车间及配套附属设施。生产工艺采用高效自硬砂铸造和铁模覆砂。项目建成后可年产高端数控机床配件7000吨。</w:t>
            </w:r>
          </w:p>
          <w:p>
            <w:pPr>
              <w:adjustRightInd w:val="0"/>
              <w:snapToGrid w:val="0"/>
              <w:spacing w:line="480" w:lineRule="exact"/>
              <w:ind w:firstLine="480" w:firstLineChars="200"/>
              <w:rPr>
                <w:sz w:val="24"/>
              </w:rPr>
            </w:pPr>
            <w:r>
              <w:rPr>
                <w:color w:val="000000"/>
                <w:sz w:val="24"/>
                <w:highlight w:val="none"/>
              </w:rPr>
              <w:t>按照《中华人民共和国环境保护法》、《中华人</w:t>
            </w:r>
            <w:r>
              <w:rPr>
                <w:color w:val="000000"/>
                <w:sz w:val="24"/>
              </w:rPr>
              <w:t>民共和国环境影响评价法》以及国务院第682号令的要求，该项目应进行环境影响评价；根据《建设项目环境保护管理条例》和《建设项目环境影响评价分类管理名录》（部令第16号）中有关规定要求，本项目黑色金属铸造属于名录三十、金属制品业68.铸造及其他金属制品制造-其他，应编制环境影响报告表。</w:t>
            </w:r>
            <w:r>
              <w:rPr>
                <w:rFonts w:hint="eastAsia"/>
                <w:sz w:val="24"/>
                <w:lang w:eastAsia="zh-CN"/>
              </w:rPr>
              <w:t>遵化垣发机械制造有限公司</w:t>
            </w:r>
            <w:r>
              <w:rPr>
                <w:color w:val="000000"/>
                <w:sz w:val="24"/>
              </w:rPr>
              <w:t>委托我公司对该项目进行环境影响评价。我单位接受委托后，立即开展了现场踏勘，资料收集等工作，并按照《建设项目环境影响报告表编制技术指南（污染影响类）（试行）》等有关环评技术规范要求，编制完成该项目环境影响报告表。</w:t>
            </w:r>
          </w:p>
          <w:p>
            <w:pPr>
              <w:spacing w:line="500" w:lineRule="exact"/>
              <w:ind w:firstLine="482" w:firstLineChars="200"/>
              <w:rPr>
                <w:b/>
                <w:bCs/>
                <w:sz w:val="24"/>
              </w:rPr>
            </w:pPr>
            <w:r>
              <w:rPr>
                <w:b/>
                <w:bCs/>
                <w:sz w:val="24"/>
              </w:rPr>
              <w:t>2、</w:t>
            </w:r>
            <w:r>
              <w:rPr>
                <w:rFonts w:hint="eastAsia"/>
                <w:b/>
                <w:bCs/>
                <w:sz w:val="24"/>
              </w:rPr>
              <w:t>项目</w:t>
            </w:r>
            <w:r>
              <w:rPr>
                <w:b/>
                <w:bCs/>
                <w:sz w:val="24"/>
              </w:rPr>
              <w:t>工程概况</w:t>
            </w:r>
          </w:p>
          <w:p>
            <w:pPr>
              <w:spacing w:line="500" w:lineRule="exact"/>
              <w:ind w:firstLine="480" w:firstLineChars="200"/>
              <w:rPr>
                <w:rFonts w:hint="eastAsia" w:eastAsia="宋体"/>
                <w:sz w:val="24"/>
                <w:lang w:eastAsia="zh-CN"/>
              </w:rPr>
            </w:pPr>
            <w:r>
              <w:rPr>
                <w:rFonts w:hint="eastAsia"/>
                <w:sz w:val="24"/>
              </w:rPr>
              <w:t>（1）</w:t>
            </w:r>
            <w:r>
              <w:rPr>
                <w:sz w:val="24"/>
              </w:rPr>
              <w:t>项目名称：</w:t>
            </w:r>
            <w:r>
              <w:rPr>
                <w:rFonts w:hint="eastAsia"/>
                <w:sz w:val="24"/>
                <w:lang w:eastAsia="zh-CN"/>
              </w:rPr>
              <w:t>遵化垣发机械制造有限公司年产高端数控机床配件7000吨项目</w:t>
            </w:r>
          </w:p>
          <w:p>
            <w:pPr>
              <w:spacing w:line="500" w:lineRule="exact"/>
              <w:ind w:firstLine="480" w:firstLineChars="200"/>
              <w:rPr>
                <w:rFonts w:hint="eastAsia" w:eastAsia="宋体"/>
                <w:sz w:val="24"/>
                <w:lang w:eastAsia="zh-CN"/>
              </w:rPr>
            </w:pPr>
            <w:r>
              <w:rPr>
                <w:rFonts w:hint="eastAsia"/>
                <w:sz w:val="24"/>
              </w:rPr>
              <w:t>（2）</w:t>
            </w:r>
            <w:r>
              <w:rPr>
                <w:sz w:val="24"/>
              </w:rPr>
              <w:t>建设单位：</w:t>
            </w:r>
            <w:r>
              <w:rPr>
                <w:rFonts w:hint="eastAsia"/>
                <w:sz w:val="24"/>
                <w:lang w:eastAsia="zh-CN"/>
              </w:rPr>
              <w:t>遵化垣发机械制造有限公司</w:t>
            </w:r>
          </w:p>
          <w:p>
            <w:pPr>
              <w:spacing w:line="500" w:lineRule="exact"/>
              <w:ind w:firstLine="480" w:firstLineChars="200"/>
              <w:rPr>
                <w:sz w:val="24"/>
              </w:rPr>
            </w:pPr>
            <w:r>
              <w:rPr>
                <w:rFonts w:hint="eastAsia"/>
                <w:sz w:val="24"/>
              </w:rPr>
              <w:t>（3）</w:t>
            </w:r>
            <w:r>
              <w:rPr>
                <w:sz w:val="24"/>
              </w:rPr>
              <w:t>建设性质：</w:t>
            </w:r>
            <w:r>
              <w:rPr>
                <w:rFonts w:hint="eastAsia"/>
                <w:sz w:val="24"/>
              </w:rPr>
              <w:t>新建</w:t>
            </w:r>
          </w:p>
          <w:p>
            <w:pPr>
              <w:spacing w:line="500" w:lineRule="exact"/>
              <w:ind w:firstLine="480" w:firstLineChars="200"/>
              <w:rPr>
                <w:sz w:val="24"/>
                <w:highlight w:val="none"/>
              </w:rPr>
            </w:pPr>
            <w:r>
              <w:rPr>
                <w:rFonts w:hint="eastAsia"/>
                <w:sz w:val="24"/>
              </w:rPr>
              <w:t>（4）主要建设内容及规模：总占地面积9.7亩</w:t>
            </w:r>
            <w:r>
              <w:rPr>
                <w:rFonts w:hint="eastAsia"/>
                <w:sz w:val="24"/>
                <w:highlight w:val="none"/>
              </w:rPr>
              <w:t>，总建筑面积3000平方米。主要改新建设的生产车间及配套附属设施。生产工艺采用高效自硬砂铸造和铁模覆砂。工艺流程</w:t>
            </w:r>
            <w:r>
              <w:rPr>
                <w:rFonts w:hint="eastAsia"/>
                <w:sz w:val="24"/>
                <w:highlight w:val="none"/>
                <w:lang w:eastAsia="zh-CN"/>
              </w:rPr>
              <w:t>：</w:t>
            </w:r>
            <w:r>
              <w:rPr>
                <w:rFonts w:hint="eastAsia"/>
                <w:sz w:val="24"/>
                <w:highlight w:val="none"/>
              </w:rPr>
              <w:t>原料-熔炼-浇铸-成品-打磨-成品外售(生产工艺中不涉及VOC排放)。项目建成后可年产高端数控机床配件7000吨。</w:t>
            </w:r>
          </w:p>
          <w:p>
            <w:pPr>
              <w:spacing w:line="500" w:lineRule="exact"/>
              <w:ind w:firstLine="480" w:firstLineChars="200"/>
              <w:rPr>
                <w:sz w:val="24"/>
                <w:highlight w:val="none"/>
              </w:rPr>
            </w:pPr>
            <w:r>
              <w:rPr>
                <w:rFonts w:hint="eastAsia"/>
                <w:sz w:val="24"/>
                <w:highlight w:val="none"/>
              </w:rPr>
              <w:t>项目建设组成一览表见下表</w:t>
            </w:r>
            <w:r>
              <w:rPr>
                <w:sz w:val="24"/>
                <w:highlight w:val="none"/>
              </w:rPr>
              <w:t>：</w:t>
            </w:r>
          </w:p>
          <w:p>
            <w:pPr>
              <w:spacing w:line="460" w:lineRule="exact"/>
              <w:jc w:val="center"/>
              <w:rPr>
                <w:b/>
                <w:bCs/>
                <w:sz w:val="24"/>
                <w:lang w:val="zh-CN"/>
              </w:rPr>
            </w:pPr>
          </w:p>
          <w:p>
            <w:pPr>
              <w:spacing w:line="460" w:lineRule="exact"/>
              <w:jc w:val="center"/>
              <w:rPr>
                <w:b/>
                <w:bCs/>
                <w:sz w:val="24"/>
                <w:lang w:val="zh-CN"/>
              </w:rPr>
            </w:pPr>
            <w:r>
              <w:rPr>
                <w:b/>
                <w:bCs/>
                <w:sz w:val="24"/>
                <w:lang w:val="zh-CN"/>
              </w:rPr>
              <w:t>表</w:t>
            </w:r>
            <w:r>
              <w:rPr>
                <w:rFonts w:hint="eastAsia"/>
                <w:b/>
                <w:bCs/>
                <w:sz w:val="24"/>
                <w:lang w:val="en-US" w:eastAsia="zh-CN"/>
              </w:rPr>
              <w:t>10</w:t>
            </w:r>
            <w:r>
              <w:rPr>
                <w:b/>
                <w:bCs/>
                <w:sz w:val="24"/>
              </w:rPr>
              <w:t xml:space="preserve">    项目</w:t>
            </w:r>
            <w:r>
              <w:rPr>
                <w:b/>
                <w:bCs/>
                <w:sz w:val="24"/>
                <w:lang w:val="zh-CN"/>
              </w:rPr>
              <w:t>组成一览表</w:t>
            </w:r>
          </w:p>
          <w:tbl>
            <w:tblPr>
              <w:tblStyle w:val="32"/>
              <w:tblW w:w="85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8"/>
              <w:gridCol w:w="1276"/>
              <w:gridCol w:w="61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lang w:val="zh-CN"/>
                    </w:rPr>
                  </w:pPr>
                  <w:r>
                    <w:rPr>
                      <w:bCs/>
                      <w:snapToGrid w:val="0"/>
                      <w:kern w:val="0"/>
                      <w:szCs w:val="21"/>
                      <w:highlight w:val="none"/>
                      <w:lang w:val="zh-CN"/>
                    </w:rPr>
                    <w:t>工程名称</w:t>
                  </w:r>
                </w:p>
              </w:tc>
              <w:tc>
                <w:tcPr>
                  <w:tcW w:w="4355"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lang w:val="zh-CN"/>
                    </w:rPr>
                  </w:pPr>
                  <w:r>
                    <w:rPr>
                      <w:bCs/>
                      <w:snapToGrid w:val="0"/>
                      <w:kern w:val="0"/>
                      <w:szCs w:val="21"/>
                      <w:highlight w:val="none"/>
                      <w:lang w:val="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4"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主体工程</w:t>
                  </w:r>
                </w:p>
              </w:tc>
              <w:tc>
                <w:tcPr>
                  <w:tcW w:w="4355"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r>
                    <w:rPr>
                      <w:color w:val="auto"/>
                      <w:szCs w:val="21"/>
                      <w:highlight w:val="none"/>
                    </w:rPr>
                    <w:t>项目</w:t>
                  </w:r>
                  <w:r>
                    <w:rPr>
                      <w:rFonts w:hint="eastAsia"/>
                      <w:color w:val="auto"/>
                      <w:szCs w:val="21"/>
                      <w:highlight w:val="none"/>
                    </w:rPr>
                    <w:t>主要利旧改新建设的生产车间</w:t>
                  </w:r>
                  <w:r>
                    <w:rPr>
                      <w:color w:val="auto"/>
                      <w:szCs w:val="21"/>
                      <w:highlight w:val="none"/>
                    </w:rPr>
                    <w:t>，建筑面积为</w:t>
                  </w:r>
                  <w:r>
                    <w:rPr>
                      <w:rFonts w:hint="eastAsia"/>
                      <w:color w:val="auto"/>
                      <w:szCs w:val="21"/>
                      <w:highlight w:val="none"/>
                      <w:lang w:val="en-US" w:eastAsia="zh-CN"/>
                    </w:rPr>
                    <w:t>1936</w:t>
                  </w:r>
                  <w:r>
                    <w:rPr>
                      <w:color w:val="auto"/>
                      <w:szCs w:val="21"/>
                      <w:highlight w:val="none"/>
                    </w:rPr>
                    <w:t>m</w:t>
                  </w:r>
                  <w:r>
                    <w:rPr>
                      <w:color w:val="auto"/>
                      <w:szCs w:val="21"/>
                      <w:highlight w:val="none"/>
                      <w:vertAlign w:val="superscript"/>
                    </w:rPr>
                    <w:t>2</w:t>
                  </w:r>
                  <w:r>
                    <w:rPr>
                      <w:color w:val="auto"/>
                      <w:szCs w:val="21"/>
                      <w:highlight w:val="none"/>
                    </w:rPr>
                    <w:t>，</w:t>
                  </w:r>
                  <w:r>
                    <w:rPr>
                      <w:rFonts w:hint="eastAsia"/>
                      <w:color w:val="auto"/>
                      <w:szCs w:val="21"/>
                      <w:highlight w:val="none"/>
                    </w:rPr>
                    <w:t>1.5m高砖混墙体+单层彩钢结构，车间顶部高11m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44" w:type="pct"/>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lang w:val="zh-CN"/>
                    </w:rPr>
                  </w:pPr>
                  <w:r>
                    <w:rPr>
                      <w:color w:val="auto"/>
                      <w:szCs w:val="21"/>
                      <w:highlight w:val="none"/>
                      <w:lang w:val="zh-CN"/>
                    </w:rPr>
                    <w:t>辅助工程</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rFonts w:hint="eastAsia" w:eastAsia="宋体"/>
                      <w:color w:val="auto"/>
                      <w:szCs w:val="21"/>
                      <w:highlight w:val="none"/>
                      <w:lang w:eastAsia="zh-CN"/>
                    </w:rPr>
                  </w:pPr>
                  <w:r>
                    <w:rPr>
                      <w:rFonts w:hint="eastAsia"/>
                      <w:color w:val="auto"/>
                      <w:szCs w:val="21"/>
                      <w:highlight w:val="none"/>
                      <w:lang w:eastAsia="zh-CN"/>
                    </w:rPr>
                    <w:t>办公楼</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r>
                    <w:rPr>
                      <w:rFonts w:hint="eastAsia"/>
                      <w:color w:val="auto"/>
                      <w:szCs w:val="21"/>
                      <w:highlight w:val="none"/>
                      <w:lang w:val="en-US" w:eastAsia="zh-CN"/>
                    </w:rPr>
                    <w:t>2层建筑，钢筋混凝土结构</w:t>
                  </w:r>
                  <w:r>
                    <w:rPr>
                      <w:color w:val="auto"/>
                      <w:szCs w:val="21"/>
                      <w:highlight w:val="none"/>
                    </w:rPr>
                    <w:t>，用于办公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lang w:val="zh-CN"/>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r>
                    <w:rPr>
                      <w:color w:val="auto"/>
                      <w:szCs w:val="21"/>
                      <w:highlight w:val="none"/>
                    </w:rPr>
                    <w:t>循环冷却水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设置</w:t>
                  </w:r>
                  <w:r>
                    <w:rPr>
                      <w:rFonts w:hint="eastAsia"/>
                      <w:color w:val="auto"/>
                      <w:szCs w:val="21"/>
                      <w:highlight w:val="none"/>
                    </w:rPr>
                    <w:t>1台冷却塔，处理能力</w:t>
                  </w:r>
                  <w:r>
                    <w:rPr>
                      <w:rFonts w:hint="eastAsia"/>
                      <w:color w:val="auto"/>
                      <w:szCs w:val="21"/>
                      <w:highlight w:val="none"/>
                      <w:lang w:val="en-US" w:eastAsia="zh-CN"/>
                    </w:rPr>
                    <w:t>15</w:t>
                  </w:r>
                  <w:r>
                    <w:rPr>
                      <w:color w:val="auto"/>
                      <w:szCs w:val="21"/>
                      <w:highlight w:val="none"/>
                    </w:rPr>
                    <w:t>0m</w:t>
                  </w:r>
                  <w:r>
                    <w:rPr>
                      <w:color w:val="auto"/>
                      <w:szCs w:val="21"/>
                      <w:highlight w:val="none"/>
                      <w:vertAlign w:val="superscript"/>
                    </w:rPr>
                    <w:t>3</w:t>
                  </w:r>
                  <w:r>
                    <w:rPr>
                      <w:color w:val="auto"/>
                      <w:szCs w:val="21"/>
                      <w:highlight w:val="none"/>
                    </w:rPr>
                    <w:t>/h</w:t>
                  </w:r>
                  <w:r>
                    <w:rPr>
                      <w:rFonts w:hint="eastAsia"/>
                      <w:color w:val="auto"/>
                      <w:szCs w:val="21"/>
                      <w:highlight w:val="none"/>
                    </w:rPr>
                    <w:t>，</w:t>
                  </w:r>
                  <w:r>
                    <w:rPr>
                      <w:color w:val="auto"/>
                      <w:szCs w:val="21"/>
                      <w:highlight w:val="none"/>
                    </w:rPr>
                    <w:t>1座循环水池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lang w:val="zh-CN"/>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辅助用房</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lang w:val="en-US" w:eastAsia="zh-CN"/>
                    </w:rPr>
                    <w:t>1层建筑，砖混结构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储运工程</w:t>
                  </w:r>
                </w:p>
              </w:tc>
              <w:tc>
                <w:tcPr>
                  <w:tcW w:w="749"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color w:val="auto"/>
                      <w:szCs w:val="21"/>
                      <w:highlight w:val="none"/>
                      <w:lang w:val="zh-CN"/>
                    </w:rPr>
                  </w:pPr>
                  <w:r>
                    <w:rPr>
                      <w:rFonts w:hint="eastAsia"/>
                      <w:snapToGrid w:val="0"/>
                      <w:color w:val="auto"/>
                      <w:kern w:val="0"/>
                      <w:szCs w:val="21"/>
                      <w:highlight w:val="none"/>
                      <w:lang w:val="en-US" w:eastAsia="zh-CN"/>
                    </w:rPr>
                    <w:t>库房</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color w:val="auto"/>
                      <w:szCs w:val="21"/>
                      <w:highlight w:val="none"/>
                    </w:rPr>
                  </w:pPr>
                  <w:r>
                    <w:rPr>
                      <w:rFonts w:hint="eastAsia"/>
                      <w:color w:val="auto"/>
                      <w:szCs w:val="21"/>
                      <w:highlight w:val="none"/>
                    </w:rPr>
                    <w:t>1.5m高砖混结构墙体+单层彩钢结构</w:t>
                  </w:r>
                  <w:r>
                    <w:rPr>
                      <w:rFonts w:hint="eastAsia"/>
                      <w:color w:val="auto"/>
                      <w:szCs w:val="21"/>
                      <w:highlight w:val="none"/>
                      <w:lang w:val="en-US" w:eastAsia="zh-CN"/>
                    </w:rPr>
                    <w:t>，用于成品储存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szCs w:val="21"/>
                      <w:highlight w:val="red"/>
                    </w:rPr>
                  </w:pPr>
                </w:p>
              </w:tc>
              <w:tc>
                <w:tcPr>
                  <w:tcW w:w="749"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szCs w:val="21"/>
                      <w:highlight w:val="none"/>
                    </w:rPr>
                  </w:pPr>
                  <w:r>
                    <w:rPr>
                      <w:rFonts w:hint="eastAsia"/>
                      <w:szCs w:val="21"/>
                      <w:highlight w:val="none"/>
                    </w:rPr>
                    <w:t>原料库</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kern w:val="0"/>
                      <w:szCs w:val="21"/>
                      <w:highlight w:val="none"/>
                    </w:rPr>
                  </w:pPr>
                  <w:r>
                    <w:rPr>
                      <w:rFonts w:hint="eastAsia"/>
                      <w:kern w:val="0"/>
                      <w:szCs w:val="21"/>
                      <w:highlight w:val="none"/>
                    </w:rPr>
                    <w:t>位于生产车间内</w:t>
                  </w:r>
                  <w:r>
                    <w:rPr>
                      <w:kern w:val="0"/>
                      <w:szCs w:val="21"/>
                      <w:highlight w:val="none"/>
                    </w:rPr>
                    <w:t>，</w:t>
                  </w:r>
                  <w:r>
                    <w:rPr>
                      <w:rFonts w:hint="eastAsia"/>
                      <w:kern w:val="0"/>
                      <w:szCs w:val="21"/>
                      <w:highlight w:val="none"/>
                    </w:rPr>
                    <w:t>占地区域</w:t>
                  </w:r>
                  <w:r>
                    <w:rPr>
                      <w:kern w:val="0"/>
                      <w:szCs w:val="21"/>
                      <w:highlight w:val="none"/>
                    </w:rPr>
                    <w:t>长</w:t>
                  </w:r>
                  <w:r>
                    <w:rPr>
                      <w:rFonts w:hint="eastAsia"/>
                      <w:kern w:val="0"/>
                      <w:szCs w:val="21"/>
                      <w:highlight w:val="none"/>
                    </w:rPr>
                    <w:t>15</w:t>
                  </w:r>
                  <w:r>
                    <w:rPr>
                      <w:kern w:val="0"/>
                      <w:szCs w:val="21"/>
                      <w:highlight w:val="none"/>
                    </w:rPr>
                    <w:t>m、宽</w:t>
                  </w:r>
                  <w:r>
                    <w:rPr>
                      <w:rFonts w:hint="eastAsia"/>
                      <w:kern w:val="0"/>
                      <w:szCs w:val="21"/>
                      <w:highlight w:val="none"/>
                    </w:rPr>
                    <w:t>10</w:t>
                  </w:r>
                  <w:r>
                    <w:rPr>
                      <w:kern w:val="0"/>
                      <w:szCs w:val="21"/>
                      <w:highlight w:val="none"/>
                    </w:rPr>
                    <w:t>m</w:t>
                  </w:r>
                  <w:r>
                    <w:rPr>
                      <w:szCs w:val="21"/>
                      <w:highlight w:val="none"/>
                    </w:rPr>
                    <w:t>，主要用于</w:t>
                  </w:r>
                  <w:r>
                    <w:rPr>
                      <w:rFonts w:hint="eastAsia"/>
                      <w:szCs w:val="21"/>
                      <w:highlight w:val="none"/>
                    </w:rPr>
                    <w:t>原料</w:t>
                  </w:r>
                  <w:r>
                    <w:rPr>
                      <w:szCs w:val="21"/>
                      <w:highlight w:val="none"/>
                    </w:rPr>
                    <w:t>的储存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szCs w:val="21"/>
                      <w:highlight w:val="red"/>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szCs w:val="21"/>
                      <w:highlight w:val="none"/>
                    </w:rPr>
                  </w:pPr>
                  <w:r>
                    <w:rPr>
                      <w:rFonts w:hint="eastAsia"/>
                      <w:szCs w:val="21"/>
                      <w:highlight w:val="none"/>
                    </w:rPr>
                    <w:t>润滑油储存区</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rPr>
                  </w:pPr>
                  <w:r>
                    <w:rPr>
                      <w:rFonts w:hint="eastAsia"/>
                      <w:kern w:val="0"/>
                      <w:szCs w:val="21"/>
                      <w:highlight w:val="none"/>
                    </w:rPr>
                    <w:t>位于生产车间内</w:t>
                  </w:r>
                  <w:r>
                    <w:rPr>
                      <w:kern w:val="0"/>
                      <w:szCs w:val="21"/>
                      <w:highlight w:val="none"/>
                    </w:rPr>
                    <w:t>，</w:t>
                  </w:r>
                  <w:r>
                    <w:rPr>
                      <w:rFonts w:hint="eastAsia"/>
                      <w:kern w:val="0"/>
                      <w:szCs w:val="21"/>
                      <w:highlight w:val="none"/>
                    </w:rPr>
                    <w:t>占地区域</w:t>
                  </w:r>
                  <w:r>
                    <w:rPr>
                      <w:kern w:val="0"/>
                      <w:szCs w:val="21"/>
                      <w:highlight w:val="none"/>
                    </w:rPr>
                    <w:t>长</w:t>
                  </w:r>
                  <w:r>
                    <w:rPr>
                      <w:rFonts w:hint="eastAsia"/>
                      <w:kern w:val="0"/>
                      <w:szCs w:val="21"/>
                      <w:highlight w:val="none"/>
                    </w:rPr>
                    <w:t>2</w:t>
                  </w:r>
                  <w:r>
                    <w:rPr>
                      <w:kern w:val="0"/>
                      <w:szCs w:val="21"/>
                      <w:highlight w:val="none"/>
                    </w:rPr>
                    <w:t>m、宽</w:t>
                  </w:r>
                  <w:r>
                    <w:rPr>
                      <w:rFonts w:hint="eastAsia"/>
                      <w:kern w:val="0"/>
                      <w:szCs w:val="21"/>
                      <w:highlight w:val="none"/>
                    </w:rPr>
                    <w:t>1</w:t>
                  </w:r>
                  <w:r>
                    <w:rPr>
                      <w:kern w:val="0"/>
                      <w:szCs w:val="21"/>
                      <w:highlight w:val="none"/>
                    </w:rPr>
                    <w:t>m</w:t>
                  </w:r>
                  <w:r>
                    <w:rPr>
                      <w:szCs w:val="21"/>
                      <w:highlight w:val="none"/>
                    </w:rPr>
                    <w:t>，</w:t>
                  </w:r>
                  <w:r>
                    <w:rPr>
                      <w:rFonts w:hint="eastAsia"/>
                      <w:szCs w:val="21"/>
                      <w:highlight w:val="none"/>
                    </w:rPr>
                    <w:t>底部设置钢板焊接托盘，</w:t>
                  </w:r>
                  <w:r>
                    <w:rPr>
                      <w:szCs w:val="21"/>
                      <w:highlight w:val="none"/>
                    </w:rPr>
                    <w:t>用于</w:t>
                  </w:r>
                  <w:r>
                    <w:rPr>
                      <w:rFonts w:hint="eastAsia"/>
                      <w:szCs w:val="21"/>
                      <w:highlight w:val="none"/>
                    </w:rPr>
                    <w:t>润滑油储存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644" w:type="pct"/>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lang w:val="zh-CN"/>
                    </w:rPr>
                  </w:pPr>
                  <w:r>
                    <w:rPr>
                      <w:bCs/>
                      <w:snapToGrid w:val="0"/>
                      <w:kern w:val="0"/>
                      <w:szCs w:val="21"/>
                      <w:highlight w:val="none"/>
                      <w:lang w:val="zh-CN"/>
                    </w:rPr>
                    <w:t>公用工程</w:t>
                  </w: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bCs/>
                      <w:snapToGrid w:val="0"/>
                      <w:kern w:val="0"/>
                      <w:szCs w:val="21"/>
                      <w:highlight w:val="none"/>
                      <w:lang w:val="zh-CN"/>
                    </w:rPr>
                  </w:pPr>
                  <w:r>
                    <w:rPr>
                      <w:szCs w:val="21"/>
                      <w:highlight w:val="none"/>
                    </w:rPr>
                    <w:t>供电</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bCs/>
                      <w:snapToGrid w:val="0"/>
                      <w:kern w:val="0"/>
                      <w:szCs w:val="21"/>
                      <w:highlight w:val="none"/>
                    </w:rPr>
                  </w:pPr>
                  <w:r>
                    <w:rPr>
                      <w:szCs w:val="21"/>
                      <w:highlight w:val="none"/>
                    </w:rPr>
                    <w:t>当地电网统一供给，项目用电量为</w:t>
                  </w:r>
                  <w:r>
                    <w:rPr>
                      <w:rFonts w:hint="eastAsia"/>
                      <w:szCs w:val="21"/>
                      <w:highlight w:val="none"/>
                      <w:lang w:eastAsia="zh-CN"/>
                    </w:rPr>
                    <w:t>65.16</w:t>
                  </w:r>
                  <w:r>
                    <w:rPr>
                      <w:szCs w:val="21"/>
                      <w:highlight w:val="none"/>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pStyle w:val="31"/>
                    <w:keepNext w:val="0"/>
                    <w:keepLines w:val="0"/>
                    <w:pageBreakBefore w:val="0"/>
                    <w:widowControl w:val="0"/>
                    <w:kinsoku/>
                    <w:wordWrap/>
                    <w:overflowPunct/>
                    <w:topLinePunct w:val="0"/>
                    <w:bidi w:val="0"/>
                    <w:spacing w:after="0" w:line="260" w:lineRule="exact"/>
                    <w:ind w:left="0" w:leftChars="0"/>
                    <w:jc w:val="center"/>
                    <w:textAlignment w:val="auto"/>
                    <w:rPr>
                      <w:szCs w:val="21"/>
                      <w:highlight w:val="none"/>
                      <w:lang w:val="zh-CN"/>
                    </w:rPr>
                  </w:pPr>
                </w:p>
              </w:tc>
              <w:tc>
                <w:tcPr>
                  <w:tcW w:w="749"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bCs/>
                      <w:snapToGrid w:val="0"/>
                      <w:kern w:val="0"/>
                      <w:szCs w:val="21"/>
                      <w:highlight w:val="none"/>
                      <w:lang w:val="zh-CN"/>
                    </w:rPr>
                  </w:pPr>
                  <w:r>
                    <w:rPr>
                      <w:szCs w:val="21"/>
                      <w:highlight w:val="none"/>
                    </w:rPr>
                    <w:t>新水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项目生产用水主要为</w:t>
                  </w:r>
                  <w:r>
                    <w:rPr>
                      <w:rFonts w:hint="eastAsia"/>
                      <w:szCs w:val="21"/>
                      <w:highlight w:val="none"/>
                    </w:rPr>
                    <w:t>冷却用水，冷却水循环利用，新水为补水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p>
              </w:tc>
              <w:tc>
                <w:tcPr>
                  <w:tcW w:w="749"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生活用水主要为职工盥洗、饮用用水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lang w:val="zh-CN"/>
                    </w:rPr>
                  </w:pPr>
                </w:p>
              </w:tc>
              <w:tc>
                <w:tcPr>
                  <w:tcW w:w="749"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排水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项目</w:t>
                  </w:r>
                  <w:r>
                    <w:rPr>
                      <w:rFonts w:hint="eastAsia"/>
                      <w:szCs w:val="21"/>
                      <w:highlight w:val="none"/>
                    </w:rPr>
                    <w:t>冷却水循环利用不外排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lang w:val="zh-CN"/>
                    </w:rPr>
                  </w:pPr>
                </w:p>
              </w:tc>
              <w:tc>
                <w:tcPr>
                  <w:tcW w:w="749"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职工</w:t>
                  </w:r>
                  <w:r>
                    <w:rPr>
                      <w:rFonts w:hint="eastAsia"/>
                      <w:szCs w:val="21"/>
                      <w:highlight w:val="none"/>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none"/>
                      <w:lang w:val="zh-CN"/>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供</w:t>
                  </w:r>
                  <w:r>
                    <w:rPr>
                      <w:rFonts w:hint="eastAsia"/>
                      <w:szCs w:val="21"/>
                      <w:highlight w:val="none"/>
                    </w:rPr>
                    <w:t>暖、制冷</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rFonts w:hint="eastAsia"/>
                      <w:szCs w:val="21"/>
                      <w:highlight w:val="none"/>
                    </w:rPr>
                    <w:t>生产车间不供暖，项目</w:t>
                  </w:r>
                  <w:r>
                    <w:rPr>
                      <w:rFonts w:hint="eastAsia"/>
                      <w:szCs w:val="21"/>
                      <w:highlight w:val="none"/>
                      <w:lang w:eastAsia="zh-CN"/>
                    </w:rPr>
                    <w:t>办公楼</w:t>
                  </w:r>
                  <w:r>
                    <w:rPr>
                      <w:rFonts w:hint="eastAsia"/>
                      <w:szCs w:val="21"/>
                      <w:highlight w:val="none"/>
                    </w:rPr>
                    <w:t>供热、制冷均采用空调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rPr>
                  </w:pPr>
                  <w:r>
                    <w:rPr>
                      <w:bCs/>
                      <w:snapToGrid w:val="0"/>
                      <w:kern w:val="0"/>
                      <w:szCs w:val="21"/>
                      <w:highlight w:val="none"/>
                    </w:rPr>
                    <w:t>环保工程</w:t>
                  </w:r>
                </w:p>
              </w:tc>
              <w:tc>
                <w:tcPr>
                  <w:tcW w:w="298"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废气</w:t>
                  </w: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①熔炼废气通过脉冲袋式除尘器（</w:t>
                  </w:r>
                  <w:r>
                    <w:rPr>
                      <w:rFonts w:hint="eastAsia"/>
                      <w:szCs w:val="21"/>
                      <w:highlight w:val="none"/>
                      <w:lang w:eastAsia="zh-CN"/>
                    </w:rPr>
                    <w:t>6500</w:t>
                  </w:r>
                  <w:r>
                    <w:rPr>
                      <w:szCs w:val="21"/>
                      <w:highlight w:val="none"/>
                    </w:rPr>
                    <w:t>m</w:t>
                  </w:r>
                  <w:r>
                    <w:rPr>
                      <w:szCs w:val="21"/>
                      <w:highlight w:val="none"/>
                      <w:vertAlign w:val="superscript"/>
                    </w:rPr>
                    <w:t>3</w:t>
                  </w:r>
                  <w:r>
                    <w:rPr>
                      <w:szCs w:val="21"/>
                      <w:highlight w:val="none"/>
                    </w:rPr>
                    <w:t>/h）处理后经1根高15高排气筒（</w:t>
                  </w:r>
                  <w:r>
                    <w:rPr>
                      <w:rFonts w:hint="eastAsia"/>
                      <w:szCs w:val="21"/>
                      <w:highlight w:val="none"/>
                    </w:rPr>
                    <w:t>DA001</w:t>
                  </w:r>
                  <w:r>
                    <w:rPr>
                      <w:szCs w:val="21"/>
                      <w:highlight w:val="none"/>
                    </w:rPr>
                    <w:t>）排放；②</w:t>
                  </w:r>
                  <w:r>
                    <w:rPr>
                      <w:rFonts w:hint="eastAsia"/>
                      <w:szCs w:val="21"/>
                      <w:highlight w:val="none"/>
                    </w:rPr>
                    <w:t>浇注、打磨、顶吸</w:t>
                  </w:r>
                  <w:r>
                    <w:rPr>
                      <w:rFonts w:hint="eastAsia"/>
                      <w:szCs w:val="21"/>
                      <w:highlight w:val="none"/>
                      <w:lang w:val="en-US" w:eastAsia="zh-CN"/>
                    </w:rPr>
                    <w:t>废气引至脉冲布袋除尘器</w:t>
                  </w:r>
                  <w:r>
                    <w:rPr>
                      <w:szCs w:val="21"/>
                      <w:highlight w:val="none"/>
                    </w:rPr>
                    <w:t>（</w:t>
                  </w:r>
                  <w:r>
                    <w:rPr>
                      <w:rFonts w:hint="eastAsia"/>
                      <w:szCs w:val="21"/>
                      <w:highlight w:val="none"/>
                      <w:lang w:val="en-US" w:eastAsia="zh-CN"/>
                    </w:rPr>
                    <w:t>35</w:t>
                  </w:r>
                  <w:r>
                    <w:rPr>
                      <w:rFonts w:hint="eastAsia"/>
                      <w:szCs w:val="21"/>
                      <w:highlight w:val="none"/>
                    </w:rPr>
                    <w:t>000</w:t>
                  </w:r>
                  <w:r>
                    <w:rPr>
                      <w:szCs w:val="21"/>
                      <w:highlight w:val="none"/>
                    </w:rPr>
                    <w:t>m</w:t>
                  </w:r>
                  <w:r>
                    <w:rPr>
                      <w:szCs w:val="21"/>
                      <w:highlight w:val="none"/>
                      <w:vertAlign w:val="superscript"/>
                    </w:rPr>
                    <w:t>3</w:t>
                  </w:r>
                  <w:r>
                    <w:rPr>
                      <w:szCs w:val="21"/>
                      <w:highlight w:val="none"/>
                    </w:rPr>
                    <w:t>/h）</w:t>
                  </w:r>
                  <w:r>
                    <w:rPr>
                      <w:rFonts w:hint="eastAsia"/>
                      <w:szCs w:val="21"/>
                      <w:highlight w:val="none"/>
                      <w:lang w:val="en-US" w:eastAsia="zh-CN"/>
                    </w:rPr>
                    <w:t>处理后</w:t>
                  </w:r>
                  <w:r>
                    <w:rPr>
                      <w:szCs w:val="21"/>
                      <w:highlight w:val="none"/>
                    </w:rPr>
                    <w:t>经1根高15高排气筒（</w:t>
                  </w:r>
                  <w:r>
                    <w:rPr>
                      <w:rFonts w:hint="eastAsia"/>
                      <w:szCs w:val="21"/>
                      <w:highlight w:val="none"/>
                    </w:rPr>
                    <w:t>DA002</w:t>
                  </w:r>
                  <w:r>
                    <w:rPr>
                      <w:szCs w:val="21"/>
                      <w:highlight w:val="none"/>
                    </w:rPr>
                    <w:t>）排放</w:t>
                  </w:r>
                  <w:r>
                    <w:rPr>
                      <w:rFonts w:hint="eastAsia"/>
                      <w:szCs w:val="21"/>
                      <w:highlight w:val="none"/>
                      <w:lang w:eastAsia="zh-CN"/>
                    </w:rPr>
                    <w:t>；</w:t>
                  </w:r>
                  <w:r>
                    <w:rPr>
                      <w:rFonts w:hint="eastAsia"/>
                      <w:szCs w:val="21"/>
                      <w:highlight w:val="none"/>
                      <w:lang w:val="en-US" w:eastAsia="zh-CN"/>
                    </w:rPr>
                    <w:t>③</w:t>
                  </w:r>
                  <w:r>
                    <w:rPr>
                      <w:rFonts w:hint="eastAsia" w:ascii="Times New Roman" w:hAnsi="Times New Roman" w:eastAsia="宋体" w:cs="Times New Roman"/>
                      <w:color w:val="FF0000"/>
                      <w:sz w:val="21"/>
                      <w:szCs w:val="21"/>
                      <w:highlight w:val="none"/>
                      <w:lang w:val="en-US" w:eastAsia="zh-CN"/>
                    </w:rPr>
                    <w:t>砂处理生产线</w:t>
                  </w:r>
                  <w:r>
                    <w:rPr>
                      <w:rFonts w:hint="eastAsia" w:ascii="Times New Roman" w:hAnsi="Times New Roman"/>
                      <w:snapToGrid w:val="0"/>
                      <w:color w:val="FF0000"/>
                      <w:kern w:val="0"/>
                      <w:sz w:val="21"/>
                      <w:szCs w:val="21"/>
                      <w:highlight w:val="none"/>
                      <w:lang w:val="en-US" w:eastAsia="zh-CN" w:bidi="ar-SA"/>
                    </w:rPr>
                    <w:t>落砂区设集气罩，砂冷却系统、筛砂机、混砂机、提升机、砂仓密闭设引风管，</w:t>
                  </w:r>
                  <w:r>
                    <w:rPr>
                      <w:rFonts w:hint="eastAsia"/>
                      <w:szCs w:val="21"/>
                      <w:highlight w:val="none"/>
                    </w:rPr>
                    <w:t>废气</w:t>
                  </w:r>
                  <w:r>
                    <w:rPr>
                      <w:szCs w:val="21"/>
                      <w:highlight w:val="none"/>
                    </w:rPr>
                    <w:t>通过脉冲袋式除尘器（</w:t>
                  </w:r>
                  <w:r>
                    <w:rPr>
                      <w:rFonts w:hint="eastAsia"/>
                      <w:szCs w:val="21"/>
                      <w:highlight w:val="none"/>
                      <w:lang w:val="en-US" w:eastAsia="zh-CN"/>
                    </w:rPr>
                    <w:t>23000</w:t>
                  </w:r>
                  <w:r>
                    <w:rPr>
                      <w:szCs w:val="21"/>
                      <w:highlight w:val="none"/>
                    </w:rPr>
                    <w:t>m</w:t>
                  </w:r>
                  <w:r>
                    <w:rPr>
                      <w:szCs w:val="21"/>
                      <w:highlight w:val="none"/>
                      <w:vertAlign w:val="superscript"/>
                    </w:rPr>
                    <w:t>3</w:t>
                  </w:r>
                  <w:r>
                    <w:rPr>
                      <w:szCs w:val="21"/>
                      <w:highlight w:val="none"/>
                    </w:rPr>
                    <w:t>/h）处理后经1根高15高排气筒（</w:t>
                  </w:r>
                  <w:r>
                    <w:rPr>
                      <w:rFonts w:hint="eastAsia"/>
                      <w:szCs w:val="21"/>
                      <w:highlight w:val="none"/>
                    </w:rPr>
                    <w:t>DA00</w:t>
                  </w:r>
                  <w:r>
                    <w:rPr>
                      <w:rFonts w:hint="eastAsia"/>
                      <w:szCs w:val="21"/>
                      <w:highlight w:val="none"/>
                      <w:lang w:val="en-US" w:eastAsia="zh-CN"/>
                    </w:rPr>
                    <w:t>3</w:t>
                  </w:r>
                  <w:r>
                    <w:rPr>
                      <w:szCs w:val="21"/>
                      <w:highlight w:val="none"/>
                    </w:rPr>
                    <w:t>）排放</w:t>
                  </w:r>
                  <w:r>
                    <w:rPr>
                      <w:rFonts w:hint="eastAsia"/>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废水</w:t>
                  </w: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项目</w:t>
                  </w:r>
                  <w:r>
                    <w:rPr>
                      <w:rFonts w:hint="eastAsia"/>
                      <w:color w:val="auto"/>
                      <w:szCs w:val="21"/>
                      <w:highlight w:val="none"/>
                    </w:rPr>
                    <w:t>冷却水循环利用不外排、洗车用水循环利用不外排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职工</w:t>
                  </w:r>
                  <w:r>
                    <w:rPr>
                      <w:rFonts w:hint="eastAsia"/>
                      <w:color w:val="auto"/>
                      <w:szCs w:val="21"/>
                      <w:highlight w:val="none"/>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r>
                    <w:rPr>
                      <w:bCs/>
                      <w:snapToGrid w:val="0"/>
                      <w:color w:val="auto"/>
                      <w:kern w:val="0"/>
                      <w:szCs w:val="21"/>
                      <w:highlight w:val="none"/>
                    </w:rPr>
                    <w:t>噪声</w:t>
                  </w: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项目噪声源为主要为</w:t>
                  </w:r>
                  <w:r>
                    <w:rPr>
                      <w:rFonts w:hint="eastAsia"/>
                      <w:color w:val="auto"/>
                      <w:szCs w:val="21"/>
                      <w:highlight w:val="none"/>
                    </w:rPr>
                    <w:t>电炉、退火炉、振动脱模、砂处理设备、震击式造型机、滚砂机、混砂机、天车、角磨机、风机、空压机</w:t>
                  </w:r>
                  <w:r>
                    <w:rPr>
                      <w:color w:val="auto"/>
                      <w:szCs w:val="21"/>
                      <w:highlight w:val="none"/>
                    </w:rPr>
                    <w:t>等，设备安装基础减振，风机设置软连接，经封闭厂房隔声后，</w:t>
                  </w:r>
                  <w:r>
                    <w:rPr>
                      <w:rFonts w:hint="eastAsia"/>
                      <w:color w:val="auto"/>
                      <w:szCs w:val="21"/>
                      <w:highlight w:val="none"/>
                    </w:rPr>
                    <w:t>四周</w:t>
                  </w:r>
                  <w:r>
                    <w:rPr>
                      <w:color w:val="auto"/>
                      <w:szCs w:val="21"/>
                      <w:highlight w:val="none"/>
                    </w:rPr>
                    <w:t>厂界</w:t>
                  </w:r>
                  <w:r>
                    <w:rPr>
                      <w:rFonts w:hint="eastAsia"/>
                      <w:color w:val="auto"/>
                      <w:szCs w:val="21"/>
                      <w:highlight w:val="none"/>
                    </w:rPr>
                    <w:t>昼夜</w:t>
                  </w:r>
                  <w:r>
                    <w:rPr>
                      <w:color w:val="auto"/>
                      <w:szCs w:val="21"/>
                      <w:highlight w:val="none"/>
                    </w:rPr>
                    <w:t>噪声预测值</w:t>
                  </w:r>
                  <w:r>
                    <w:rPr>
                      <w:rFonts w:hint="eastAsia"/>
                      <w:color w:val="auto"/>
                      <w:szCs w:val="21"/>
                      <w:highlight w:val="none"/>
                    </w:rPr>
                    <w:t>均</w:t>
                  </w:r>
                  <w:r>
                    <w:rPr>
                      <w:color w:val="auto"/>
                      <w:szCs w:val="21"/>
                      <w:highlight w:val="none"/>
                    </w:rPr>
                    <w:t>满足《工业企业厂界环境噪声排放标准》(GB12348-2008)</w:t>
                  </w:r>
                  <w:r>
                    <w:rPr>
                      <w:rFonts w:hint="eastAsia"/>
                      <w:color w:val="auto"/>
                      <w:szCs w:val="21"/>
                      <w:highlight w:val="none"/>
                    </w:rPr>
                    <w:t>2</w:t>
                  </w:r>
                  <w:r>
                    <w:rPr>
                      <w:color w:val="auto"/>
                      <w:szCs w:val="21"/>
                      <w:highlight w:val="none"/>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固废</w:t>
                  </w: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一般固废暂存</w:t>
                  </w:r>
                  <w:r>
                    <w:rPr>
                      <w:rFonts w:hint="eastAsia"/>
                      <w:szCs w:val="21"/>
                      <w:highlight w:val="none"/>
                    </w:rPr>
                    <w:t>区</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rFonts w:hint="eastAsia"/>
                      <w:szCs w:val="21"/>
                      <w:highlight w:val="none"/>
                    </w:rPr>
                    <w:t>生产车间内部</w:t>
                  </w:r>
                  <w:r>
                    <w:rPr>
                      <w:szCs w:val="21"/>
                      <w:highlight w:val="none"/>
                    </w:rPr>
                    <w:t>设置</w:t>
                  </w:r>
                  <w:r>
                    <w:rPr>
                      <w:rFonts w:hint="eastAsia"/>
                      <w:szCs w:val="21"/>
                      <w:highlight w:val="none"/>
                    </w:rPr>
                    <w:t>一般固废暂存区</w:t>
                  </w:r>
                  <w:r>
                    <w:rPr>
                      <w:szCs w:val="21"/>
                      <w:highlight w:val="none"/>
                    </w:rPr>
                    <w:t>，尺寸长</w:t>
                  </w:r>
                  <w:r>
                    <w:rPr>
                      <w:rFonts w:hint="eastAsia"/>
                      <w:szCs w:val="21"/>
                      <w:highlight w:val="none"/>
                    </w:rPr>
                    <w:t>4</w:t>
                  </w:r>
                  <w:r>
                    <w:rPr>
                      <w:szCs w:val="21"/>
                      <w:highlight w:val="none"/>
                    </w:rPr>
                    <w:t>m、宽</w:t>
                  </w:r>
                  <w:r>
                    <w:rPr>
                      <w:rFonts w:hint="eastAsia"/>
                      <w:szCs w:val="21"/>
                      <w:highlight w:val="none"/>
                    </w:rPr>
                    <w:t>3</w:t>
                  </w:r>
                  <w:r>
                    <w:rPr>
                      <w:szCs w:val="21"/>
                      <w:highlight w:val="none"/>
                    </w:rPr>
                    <w:t>m，占地面积</w:t>
                  </w:r>
                  <w:r>
                    <w:rPr>
                      <w:rFonts w:hint="eastAsia"/>
                      <w:szCs w:val="21"/>
                      <w:highlight w:val="none"/>
                    </w:rPr>
                    <w:t>12</w:t>
                  </w:r>
                  <w:r>
                    <w:rPr>
                      <w:szCs w:val="21"/>
                      <w:highlight w:val="none"/>
                    </w:rPr>
                    <w:t>m</w:t>
                  </w:r>
                  <w:r>
                    <w:rPr>
                      <w:szCs w:val="21"/>
                      <w:highlight w:val="none"/>
                      <w:vertAlign w:val="superscript"/>
                    </w:rPr>
                    <w:t>2</w:t>
                  </w:r>
                  <w:r>
                    <w:rPr>
                      <w:szCs w:val="21"/>
                      <w:highlight w:val="none"/>
                    </w:rPr>
                    <w:t>，用于储存一般固废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危废间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rFonts w:hint="eastAsia"/>
                      <w:szCs w:val="21"/>
                      <w:highlight w:val="none"/>
                      <w:lang w:val="en-US" w:eastAsia="zh-CN"/>
                    </w:rPr>
                    <w:t>生产车间内西南侧</w:t>
                  </w:r>
                  <w:r>
                    <w:rPr>
                      <w:szCs w:val="21"/>
                      <w:highlight w:val="none"/>
                    </w:rPr>
                    <w:t>设置危废间，砖混结构，尺寸长</w:t>
                  </w:r>
                  <w:r>
                    <w:rPr>
                      <w:rFonts w:hint="eastAsia"/>
                      <w:szCs w:val="21"/>
                      <w:highlight w:val="none"/>
                    </w:rPr>
                    <w:t>2</w:t>
                  </w:r>
                  <w:r>
                    <w:rPr>
                      <w:szCs w:val="21"/>
                      <w:highlight w:val="none"/>
                    </w:rPr>
                    <w:t>m、宽</w:t>
                  </w:r>
                  <w:r>
                    <w:rPr>
                      <w:rFonts w:hint="eastAsia"/>
                      <w:szCs w:val="21"/>
                      <w:highlight w:val="none"/>
                    </w:rPr>
                    <w:t>2</w:t>
                  </w:r>
                  <w:r>
                    <w:rPr>
                      <w:szCs w:val="21"/>
                      <w:highlight w:val="none"/>
                    </w:rPr>
                    <w:t>m、高3m，砖混结构、占地面积</w:t>
                  </w:r>
                  <w:r>
                    <w:rPr>
                      <w:rFonts w:hint="eastAsia"/>
                      <w:szCs w:val="21"/>
                      <w:highlight w:val="none"/>
                    </w:rPr>
                    <w:t>4</w:t>
                  </w:r>
                  <w:r>
                    <w:rPr>
                      <w:szCs w:val="21"/>
                      <w:highlight w:val="none"/>
                    </w:rPr>
                    <w:t>m</w:t>
                  </w:r>
                  <w:r>
                    <w:rPr>
                      <w:szCs w:val="21"/>
                      <w:highlight w:val="none"/>
                      <w:vertAlign w:val="superscript"/>
                    </w:rPr>
                    <w:t>2</w:t>
                  </w:r>
                  <w:r>
                    <w:rPr>
                      <w:szCs w:val="21"/>
                      <w:highlight w:val="none"/>
                    </w:rPr>
                    <w:t>，用于储存危险废物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szCs w:val="21"/>
                      <w:highlight w:val="none"/>
                    </w:rPr>
                    <w:t>一般固废</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rFonts w:hint="eastAsia"/>
                      <w:szCs w:val="21"/>
                      <w:highlight w:val="none"/>
                    </w:rPr>
                    <w:t>除尘灰集中收集至吨包袋后外售综合利用、熔炼渣集中收集后外售综合利用，废布袋由厂家回收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kern w:val="0"/>
                      <w:szCs w:val="21"/>
                      <w:highlight w:val="red"/>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rFonts w:hint="eastAsia"/>
                      <w:szCs w:val="21"/>
                      <w:highlight w:val="none"/>
                    </w:rPr>
                    <w:t>危险废物</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szCs w:val="21"/>
                      <w:highlight w:val="none"/>
                    </w:rPr>
                  </w:pPr>
                  <w:r>
                    <w:rPr>
                      <w:rFonts w:hint="eastAsia"/>
                      <w:szCs w:val="21"/>
                      <w:highlight w:val="none"/>
                    </w:rPr>
                    <w:t>废</w:t>
                  </w:r>
                  <w:r>
                    <w:rPr>
                      <w:szCs w:val="21"/>
                      <w:highlight w:val="none"/>
                    </w:rPr>
                    <w:t>矿物油</w:t>
                  </w:r>
                  <w:r>
                    <w:rPr>
                      <w:rFonts w:hint="eastAsia"/>
                      <w:szCs w:val="21"/>
                      <w:highlight w:val="none"/>
                    </w:rPr>
                    <w:t>、废油桶暂存于危废间，委托有资质单位处置</w:t>
                  </w:r>
                </w:p>
              </w:tc>
            </w:tr>
          </w:tbl>
          <w:p>
            <w:pPr>
              <w:spacing w:line="460" w:lineRule="exact"/>
              <w:ind w:firstLine="480" w:firstLineChars="200"/>
              <w:rPr>
                <w:sz w:val="24"/>
              </w:rPr>
            </w:pPr>
            <w:r>
              <w:rPr>
                <w:rFonts w:hint="eastAsia"/>
                <w:sz w:val="24"/>
              </w:rPr>
              <w:t>（5）建构筑物</w:t>
            </w:r>
          </w:p>
          <w:p>
            <w:pPr>
              <w:spacing w:line="460" w:lineRule="exact"/>
              <w:ind w:firstLine="480" w:firstLineChars="200"/>
              <w:rPr>
                <w:sz w:val="24"/>
              </w:rPr>
            </w:pPr>
            <w:r>
              <w:rPr>
                <w:rFonts w:hint="eastAsia"/>
                <w:sz w:val="24"/>
              </w:rPr>
              <w:t>本项目主要利旧改新建设的生产车间。</w:t>
            </w:r>
          </w:p>
          <w:p>
            <w:pPr>
              <w:spacing w:line="460" w:lineRule="exact"/>
              <w:jc w:val="center"/>
              <w:rPr>
                <w:b/>
                <w:snapToGrid w:val="0"/>
                <w:kern w:val="0"/>
                <w:sz w:val="24"/>
              </w:rPr>
            </w:pPr>
            <w:r>
              <w:rPr>
                <w:b/>
                <w:snapToGrid w:val="0"/>
                <w:kern w:val="0"/>
                <w:sz w:val="24"/>
              </w:rPr>
              <w:t>表</w:t>
            </w:r>
            <w:r>
              <w:rPr>
                <w:rFonts w:hint="eastAsia"/>
                <w:b/>
                <w:snapToGrid w:val="0"/>
                <w:kern w:val="0"/>
                <w:sz w:val="24"/>
              </w:rPr>
              <w:t>1</w:t>
            </w:r>
            <w:r>
              <w:rPr>
                <w:rFonts w:hint="eastAsia"/>
                <w:b/>
                <w:snapToGrid w:val="0"/>
                <w:kern w:val="0"/>
                <w:sz w:val="24"/>
                <w:lang w:val="en-US" w:eastAsia="zh-CN"/>
              </w:rPr>
              <w:t>1</w:t>
            </w:r>
            <w:r>
              <w:rPr>
                <w:b/>
                <w:snapToGrid w:val="0"/>
                <w:kern w:val="0"/>
                <w:sz w:val="24"/>
              </w:rPr>
              <w:t xml:space="preserve">      项目主要建构筑物一览表</w:t>
            </w:r>
          </w:p>
          <w:tbl>
            <w:tblPr>
              <w:tblStyle w:val="32"/>
              <w:tblW w:w="84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31"/>
              <w:gridCol w:w="956"/>
              <w:gridCol w:w="923"/>
              <w:gridCol w:w="1038"/>
              <w:gridCol w:w="49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vAlign w:val="center"/>
                </w:tcPr>
                <w:p>
                  <w:pPr>
                    <w:widowControl/>
                    <w:adjustRightInd w:val="0"/>
                    <w:snapToGrid w:val="0"/>
                    <w:jc w:val="center"/>
                    <w:textAlignment w:val="center"/>
                    <w:rPr>
                      <w:szCs w:val="21"/>
                      <w:highlight w:val="none"/>
                    </w:rPr>
                  </w:pPr>
                  <w:r>
                    <w:rPr>
                      <w:kern w:val="0"/>
                      <w:szCs w:val="21"/>
                      <w:highlight w:val="none"/>
                    </w:rPr>
                    <w:t>序号</w:t>
                  </w:r>
                </w:p>
              </w:tc>
              <w:tc>
                <w:tcPr>
                  <w:tcW w:w="956" w:type="dxa"/>
                  <w:vAlign w:val="center"/>
                </w:tcPr>
                <w:p>
                  <w:pPr>
                    <w:widowControl/>
                    <w:adjustRightInd w:val="0"/>
                    <w:snapToGrid w:val="0"/>
                    <w:jc w:val="center"/>
                    <w:textAlignment w:val="center"/>
                    <w:rPr>
                      <w:szCs w:val="21"/>
                      <w:highlight w:val="none"/>
                    </w:rPr>
                  </w:pPr>
                  <w:r>
                    <w:rPr>
                      <w:kern w:val="0"/>
                      <w:szCs w:val="21"/>
                      <w:highlight w:val="none"/>
                    </w:rPr>
                    <w:t>名称</w:t>
                  </w:r>
                </w:p>
              </w:tc>
              <w:tc>
                <w:tcPr>
                  <w:tcW w:w="923" w:type="dxa"/>
                  <w:vAlign w:val="center"/>
                </w:tcPr>
                <w:p>
                  <w:pPr>
                    <w:widowControl/>
                    <w:adjustRightInd w:val="0"/>
                    <w:snapToGrid w:val="0"/>
                    <w:jc w:val="center"/>
                    <w:textAlignment w:val="center"/>
                    <w:rPr>
                      <w:szCs w:val="21"/>
                      <w:highlight w:val="none"/>
                    </w:rPr>
                  </w:pPr>
                  <w:r>
                    <w:rPr>
                      <w:kern w:val="0"/>
                      <w:szCs w:val="21"/>
                      <w:highlight w:val="none"/>
                    </w:rPr>
                    <w:t>占地面积</w:t>
                  </w:r>
                </w:p>
              </w:tc>
              <w:tc>
                <w:tcPr>
                  <w:tcW w:w="1038" w:type="dxa"/>
                  <w:vAlign w:val="center"/>
                </w:tcPr>
                <w:p>
                  <w:pPr>
                    <w:widowControl/>
                    <w:adjustRightInd w:val="0"/>
                    <w:snapToGrid w:val="0"/>
                    <w:jc w:val="center"/>
                    <w:textAlignment w:val="center"/>
                    <w:rPr>
                      <w:szCs w:val="21"/>
                      <w:highlight w:val="none"/>
                    </w:rPr>
                  </w:pPr>
                  <w:r>
                    <w:rPr>
                      <w:kern w:val="0"/>
                      <w:szCs w:val="21"/>
                      <w:highlight w:val="none"/>
                    </w:rPr>
                    <w:t>建筑面积</w:t>
                  </w:r>
                </w:p>
              </w:tc>
              <w:tc>
                <w:tcPr>
                  <w:tcW w:w="4974" w:type="dxa"/>
                  <w:tcBorders>
                    <w:right w:val="nil"/>
                  </w:tcBorders>
                  <w:vAlign w:val="center"/>
                </w:tcPr>
                <w:p>
                  <w:pPr>
                    <w:widowControl/>
                    <w:adjustRightInd w:val="0"/>
                    <w:snapToGrid w:val="0"/>
                    <w:jc w:val="center"/>
                    <w:textAlignment w:val="center"/>
                    <w:rPr>
                      <w:kern w:val="0"/>
                      <w:szCs w:val="21"/>
                      <w:highlight w:val="none"/>
                    </w:rPr>
                  </w:pPr>
                  <w:r>
                    <w:rPr>
                      <w:kern w:val="0"/>
                      <w:szCs w:val="21"/>
                      <w:highlight w:val="none"/>
                    </w:rPr>
                    <w:t>结构形式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szCs w:val="21"/>
                      <w:highlight w:val="none"/>
                    </w:rPr>
                  </w:pPr>
                  <w:r>
                    <w:rPr>
                      <w:kern w:val="0"/>
                      <w:szCs w:val="21"/>
                      <w:highlight w:val="none"/>
                    </w:rPr>
                    <w:t>1</w:t>
                  </w:r>
                </w:p>
              </w:tc>
              <w:tc>
                <w:tcPr>
                  <w:tcW w:w="956" w:type="dxa"/>
                  <w:vAlign w:val="center"/>
                </w:tcPr>
                <w:p>
                  <w:pPr>
                    <w:widowControl/>
                    <w:adjustRightInd w:val="0"/>
                    <w:snapToGrid w:val="0"/>
                    <w:jc w:val="center"/>
                    <w:textAlignment w:val="center"/>
                    <w:rPr>
                      <w:szCs w:val="21"/>
                      <w:highlight w:val="none"/>
                    </w:rPr>
                  </w:pPr>
                  <w:r>
                    <w:rPr>
                      <w:snapToGrid w:val="0"/>
                      <w:kern w:val="0"/>
                      <w:szCs w:val="21"/>
                      <w:highlight w:val="none"/>
                    </w:rPr>
                    <w:t>生产车间</w:t>
                  </w:r>
                </w:p>
              </w:tc>
              <w:tc>
                <w:tcPr>
                  <w:tcW w:w="923" w:type="dxa"/>
                  <w:vAlign w:val="center"/>
                </w:tcPr>
                <w:p>
                  <w:pPr>
                    <w:widowControl/>
                    <w:adjustRightInd w:val="0"/>
                    <w:snapToGrid w:val="0"/>
                    <w:jc w:val="center"/>
                    <w:textAlignment w:val="center"/>
                    <w:rPr>
                      <w:szCs w:val="21"/>
                      <w:highlight w:val="none"/>
                    </w:rPr>
                  </w:pPr>
                  <w:r>
                    <w:rPr>
                      <w:rFonts w:hint="eastAsia"/>
                      <w:szCs w:val="21"/>
                      <w:highlight w:val="none"/>
                      <w:lang w:val="en-US" w:eastAsia="zh-CN"/>
                    </w:rPr>
                    <w:t>1936</w:t>
                  </w:r>
                  <w:r>
                    <w:rPr>
                      <w:kern w:val="0"/>
                      <w:szCs w:val="21"/>
                      <w:highlight w:val="none"/>
                    </w:rPr>
                    <w:t>m</w:t>
                  </w:r>
                  <w:r>
                    <w:rPr>
                      <w:kern w:val="0"/>
                      <w:szCs w:val="21"/>
                      <w:highlight w:val="none"/>
                      <w:vertAlign w:val="superscript"/>
                    </w:rPr>
                    <w:t>2</w:t>
                  </w:r>
                </w:p>
              </w:tc>
              <w:tc>
                <w:tcPr>
                  <w:tcW w:w="1038" w:type="dxa"/>
                  <w:vAlign w:val="center"/>
                </w:tcPr>
                <w:p>
                  <w:pPr>
                    <w:widowControl/>
                    <w:adjustRightInd w:val="0"/>
                    <w:snapToGrid w:val="0"/>
                    <w:jc w:val="center"/>
                    <w:textAlignment w:val="center"/>
                    <w:rPr>
                      <w:szCs w:val="21"/>
                      <w:highlight w:val="none"/>
                    </w:rPr>
                  </w:pPr>
                  <w:r>
                    <w:rPr>
                      <w:rFonts w:hint="eastAsia"/>
                      <w:szCs w:val="21"/>
                      <w:highlight w:val="none"/>
                      <w:lang w:val="en-US" w:eastAsia="zh-CN"/>
                    </w:rPr>
                    <w:t>1936</w:t>
                  </w:r>
                  <w:r>
                    <w:rPr>
                      <w:kern w:val="0"/>
                      <w:szCs w:val="21"/>
                      <w:highlight w:val="none"/>
                    </w:rPr>
                    <w:t>m</w:t>
                  </w:r>
                  <w:r>
                    <w:rPr>
                      <w:kern w:val="0"/>
                      <w:szCs w:val="21"/>
                      <w:highlight w:val="none"/>
                      <w:vertAlign w:val="superscript"/>
                    </w:rPr>
                    <w:t>2</w:t>
                  </w:r>
                </w:p>
              </w:tc>
              <w:tc>
                <w:tcPr>
                  <w:tcW w:w="4974" w:type="dxa"/>
                  <w:tcBorders>
                    <w:right w:val="nil"/>
                  </w:tcBorders>
                  <w:vAlign w:val="center"/>
                </w:tcPr>
                <w:p>
                  <w:pPr>
                    <w:widowControl/>
                    <w:adjustRightInd w:val="0"/>
                    <w:snapToGrid w:val="0"/>
                    <w:jc w:val="center"/>
                    <w:rPr>
                      <w:kern w:val="0"/>
                      <w:szCs w:val="21"/>
                      <w:highlight w:val="none"/>
                    </w:rPr>
                  </w:pPr>
                  <w:r>
                    <w:rPr>
                      <w:rFonts w:hint="eastAsia"/>
                      <w:szCs w:val="21"/>
                      <w:highlight w:val="none"/>
                      <w:lang w:val="en-US" w:eastAsia="zh-CN"/>
                    </w:rPr>
                    <w:t>88m×22m，</w:t>
                  </w:r>
                  <w:r>
                    <w:rPr>
                      <w:rFonts w:hint="eastAsia"/>
                      <w:szCs w:val="21"/>
                      <w:highlight w:val="none"/>
                    </w:rPr>
                    <w:t>1.5m高砖混结构墙体+单层彩钢结构，内部设置危险废物暂存间、一般固废暂存区、原料储存区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rFonts w:hint="eastAsia" w:eastAsia="宋体"/>
                      <w:kern w:val="0"/>
                      <w:szCs w:val="21"/>
                      <w:highlight w:val="none"/>
                      <w:lang w:val="en-US" w:eastAsia="zh-CN"/>
                    </w:rPr>
                  </w:pPr>
                  <w:r>
                    <w:rPr>
                      <w:rFonts w:hint="eastAsia"/>
                      <w:kern w:val="0"/>
                      <w:szCs w:val="21"/>
                      <w:highlight w:val="none"/>
                      <w:lang w:val="en-US" w:eastAsia="zh-CN"/>
                    </w:rPr>
                    <w:t>2</w:t>
                  </w:r>
                </w:p>
              </w:tc>
              <w:tc>
                <w:tcPr>
                  <w:tcW w:w="956" w:type="dxa"/>
                  <w:vAlign w:val="center"/>
                </w:tcPr>
                <w:p>
                  <w:pPr>
                    <w:widowControl/>
                    <w:adjustRightInd w:val="0"/>
                    <w:snapToGrid w:val="0"/>
                    <w:jc w:val="center"/>
                    <w:textAlignment w:val="center"/>
                    <w:rPr>
                      <w:rFonts w:hint="eastAsia" w:eastAsia="宋体"/>
                      <w:snapToGrid w:val="0"/>
                      <w:kern w:val="0"/>
                      <w:szCs w:val="21"/>
                      <w:highlight w:val="none"/>
                      <w:lang w:val="en-US" w:eastAsia="zh-CN"/>
                    </w:rPr>
                  </w:pPr>
                  <w:r>
                    <w:rPr>
                      <w:rFonts w:hint="eastAsia"/>
                      <w:snapToGrid w:val="0"/>
                      <w:kern w:val="0"/>
                      <w:szCs w:val="21"/>
                      <w:highlight w:val="none"/>
                      <w:lang w:val="en-US" w:eastAsia="zh-CN"/>
                    </w:rPr>
                    <w:t>库房</w:t>
                  </w:r>
                </w:p>
              </w:tc>
              <w:tc>
                <w:tcPr>
                  <w:tcW w:w="923" w:type="dxa"/>
                  <w:vAlign w:val="center"/>
                </w:tcPr>
                <w:p>
                  <w:pPr>
                    <w:widowControl/>
                    <w:adjustRightInd w:val="0"/>
                    <w:snapToGrid w:val="0"/>
                    <w:jc w:val="center"/>
                    <w:textAlignment w:val="center"/>
                    <w:rPr>
                      <w:rFonts w:hint="eastAsia"/>
                      <w:szCs w:val="21"/>
                      <w:highlight w:val="none"/>
                      <w:lang w:val="en-US" w:eastAsia="zh-CN"/>
                    </w:rPr>
                  </w:pPr>
                  <w:r>
                    <w:rPr>
                      <w:rFonts w:hint="eastAsia"/>
                      <w:kern w:val="0"/>
                      <w:szCs w:val="21"/>
                      <w:highlight w:val="none"/>
                      <w:lang w:val="en-US" w:eastAsia="zh-CN"/>
                    </w:rPr>
                    <w:t>660</w:t>
                  </w:r>
                  <w:r>
                    <w:rPr>
                      <w:kern w:val="0"/>
                      <w:szCs w:val="21"/>
                      <w:highlight w:val="none"/>
                    </w:rPr>
                    <w:t>m</w:t>
                  </w:r>
                  <w:r>
                    <w:rPr>
                      <w:kern w:val="0"/>
                      <w:szCs w:val="21"/>
                      <w:highlight w:val="none"/>
                      <w:vertAlign w:val="superscript"/>
                    </w:rPr>
                    <w:t>2</w:t>
                  </w:r>
                </w:p>
              </w:tc>
              <w:tc>
                <w:tcPr>
                  <w:tcW w:w="1038" w:type="dxa"/>
                  <w:vAlign w:val="center"/>
                </w:tcPr>
                <w:p>
                  <w:pPr>
                    <w:widowControl/>
                    <w:adjustRightInd w:val="0"/>
                    <w:snapToGrid w:val="0"/>
                    <w:jc w:val="center"/>
                    <w:textAlignment w:val="center"/>
                    <w:rPr>
                      <w:rFonts w:hint="eastAsia"/>
                      <w:szCs w:val="21"/>
                      <w:highlight w:val="none"/>
                      <w:lang w:val="en-US" w:eastAsia="zh-CN"/>
                    </w:rPr>
                  </w:pPr>
                  <w:r>
                    <w:rPr>
                      <w:rFonts w:hint="eastAsia"/>
                      <w:kern w:val="0"/>
                      <w:szCs w:val="21"/>
                      <w:highlight w:val="none"/>
                      <w:lang w:val="en-US" w:eastAsia="zh-CN"/>
                    </w:rPr>
                    <w:t>660</w:t>
                  </w:r>
                  <w:r>
                    <w:rPr>
                      <w:kern w:val="0"/>
                      <w:szCs w:val="21"/>
                      <w:highlight w:val="none"/>
                    </w:rPr>
                    <w:t>m</w:t>
                  </w:r>
                  <w:r>
                    <w:rPr>
                      <w:kern w:val="0"/>
                      <w:szCs w:val="21"/>
                      <w:highlight w:val="none"/>
                      <w:vertAlign w:val="superscript"/>
                    </w:rPr>
                    <w:t>2</w:t>
                  </w:r>
                </w:p>
              </w:tc>
              <w:tc>
                <w:tcPr>
                  <w:tcW w:w="4974" w:type="dxa"/>
                  <w:tcBorders>
                    <w:right w:val="nil"/>
                  </w:tcBorders>
                  <w:vAlign w:val="center"/>
                </w:tcPr>
                <w:p>
                  <w:pPr>
                    <w:widowControl/>
                    <w:adjustRightInd w:val="0"/>
                    <w:snapToGrid w:val="0"/>
                    <w:jc w:val="center"/>
                    <w:rPr>
                      <w:rFonts w:hint="default"/>
                      <w:szCs w:val="21"/>
                      <w:highlight w:val="none"/>
                      <w:lang w:val="en-US"/>
                    </w:rPr>
                  </w:pPr>
                  <w:r>
                    <w:rPr>
                      <w:rFonts w:hint="eastAsia"/>
                      <w:szCs w:val="21"/>
                      <w:highlight w:val="none"/>
                      <w:lang w:val="en-US" w:eastAsia="zh-CN"/>
                    </w:rPr>
                    <w:t>30m×22m，</w:t>
                  </w:r>
                  <w:r>
                    <w:rPr>
                      <w:rFonts w:hint="eastAsia"/>
                      <w:szCs w:val="21"/>
                      <w:highlight w:val="none"/>
                    </w:rPr>
                    <w:t>1.5m高砖混结构墙体+单层彩钢结构</w:t>
                  </w:r>
                  <w:r>
                    <w:rPr>
                      <w:rFonts w:hint="eastAsia"/>
                      <w:szCs w:val="21"/>
                      <w:highlight w:val="none"/>
                      <w:lang w:val="en-US" w:eastAsia="zh-CN"/>
                    </w:rPr>
                    <w:t>，用于成品储存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rFonts w:hint="eastAsia" w:eastAsia="宋体"/>
                      <w:kern w:val="0"/>
                      <w:szCs w:val="21"/>
                      <w:highlight w:val="none"/>
                      <w:lang w:val="en-US" w:eastAsia="zh-CN"/>
                    </w:rPr>
                  </w:pPr>
                  <w:r>
                    <w:rPr>
                      <w:rFonts w:hint="eastAsia"/>
                      <w:kern w:val="0"/>
                      <w:szCs w:val="21"/>
                      <w:highlight w:val="none"/>
                      <w:lang w:val="en-US" w:eastAsia="zh-CN"/>
                    </w:rPr>
                    <w:t>3</w:t>
                  </w:r>
                </w:p>
              </w:tc>
              <w:tc>
                <w:tcPr>
                  <w:tcW w:w="956" w:type="dxa"/>
                  <w:vAlign w:val="center"/>
                </w:tcPr>
                <w:p>
                  <w:pPr>
                    <w:widowControl/>
                    <w:adjustRightInd w:val="0"/>
                    <w:snapToGrid w:val="0"/>
                    <w:jc w:val="center"/>
                    <w:textAlignment w:val="center"/>
                    <w:rPr>
                      <w:rFonts w:hint="eastAsia" w:eastAsia="宋体"/>
                      <w:snapToGrid w:val="0"/>
                      <w:kern w:val="0"/>
                      <w:szCs w:val="21"/>
                      <w:highlight w:val="none"/>
                      <w:lang w:val="en-US" w:eastAsia="zh-CN"/>
                    </w:rPr>
                  </w:pPr>
                  <w:r>
                    <w:rPr>
                      <w:rFonts w:hint="eastAsia"/>
                      <w:snapToGrid w:val="0"/>
                      <w:kern w:val="0"/>
                      <w:szCs w:val="21"/>
                      <w:highlight w:val="none"/>
                      <w:lang w:val="en-US" w:eastAsia="zh-CN"/>
                    </w:rPr>
                    <w:t>办公楼</w:t>
                  </w:r>
                </w:p>
              </w:tc>
              <w:tc>
                <w:tcPr>
                  <w:tcW w:w="923" w:type="dxa"/>
                  <w:vAlign w:val="center"/>
                </w:tcPr>
                <w:p>
                  <w:pPr>
                    <w:widowControl/>
                    <w:adjustRightInd w:val="0"/>
                    <w:snapToGrid w:val="0"/>
                    <w:jc w:val="center"/>
                    <w:textAlignment w:val="center"/>
                    <w:rPr>
                      <w:rFonts w:hint="eastAsia"/>
                      <w:szCs w:val="21"/>
                      <w:highlight w:val="none"/>
                      <w:lang w:val="en-US" w:eastAsia="zh-CN"/>
                    </w:rPr>
                  </w:pPr>
                  <w:r>
                    <w:rPr>
                      <w:rFonts w:hint="eastAsia"/>
                      <w:kern w:val="0"/>
                      <w:szCs w:val="21"/>
                      <w:highlight w:val="none"/>
                      <w:lang w:val="en-US" w:eastAsia="zh-CN"/>
                    </w:rPr>
                    <w:t>200</w:t>
                  </w:r>
                  <w:r>
                    <w:rPr>
                      <w:kern w:val="0"/>
                      <w:szCs w:val="21"/>
                      <w:highlight w:val="none"/>
                    </w:rPr>
                    <w:t>m</w:t>
                  </w:r>
                  <w:r>
                    <w:rPr>
                      <w:kern w:val="0"/>
                      <w:szCs w:val="21"/>
                      <w:highlight w:val="none"/>
                      <w:vertAlign w:val="superscript"/>
                    </w:rPr>
                    <w:t>2</w:t>
                  </w:r>
                </w:p>
              </w:tc>
              <w:tc>
                <w:tcPr>
                  <w:tcW w:w="1038" w:type="dxa"/>
                  <w:vAlign w:val="center"/>
                </w:tcPr>
                <w:p>
                  <w:pPr>
                    <w:widowControl/>
                    <w:adjustRightInd w:val="0"/>
                    <w:snapToGrid w:val="0"/>
                    <w:jc w:val="center"/>
                    <w:textAlignment w:val="center"/>
                    <w:rPr>
                      <w:rFonts w:hint="eastAsia"/>
                      <w:szCs w:val="21"/>
                      <w:highlight w:val="none"/>
                      <w:lang w:val="en-US" w:eastAsia="zh-CN"/>
                    </w:rPr>
                  </w:pPr>
                  <w:r>
                    <w:rPr>
                      <w:rFonts w:hint="eastAsia"/>
                      <w:kern w:val="0"/>
                      <w:szCs w:val="21"/>
                      <w:highlight w:val="none"/>
                      <w:lang w:val="en-US" w:eastAsia="zh-CN"/>
                    </w:rPr>
                    <w:t>400</w:t>
                  </w:r>
                  <w:r>
                    <w:rPr>
                      <w:kern w:val="0"/>
                      <w:szCs w:val="21"/>
                      <w:highlight w:val="none"/>
                    </w:rPr>
                    <w:t>m</w:t>
                  </w:r>
                  <w:r>
                    <w:rPr>
                      <w:kern w:val="0"/>
                      <w:szCs w:val="21"/>
                      <w:highlight w:val="none"/>
                      <w:vertAlign w:val="superscript"/>
                    </w:rPr>
                    <w:t>2</w:t>
                  </w:r>
                </w:p>
              </w:tc>
              <w:tc>
                <w:tcPr>
                  <w:tcW w:w="4974" w:type="dxa"/>
                  <w:tcBorders>
                    <w:right w:val="nil"/>
                  </w:tcBorders>
                  <w:vAlign w:val="center"/>
                </w:tcPr>
                <w:p>
                  <w:pPr>
                    <w:widowControl/>
                    <w:adjustRightInd w:val="0"/>
                    <w:snapToGrid w:val="0"/>
                    <w:jc w:val="center"/>
                    <w:rPr>
                      <w:rFonts w:hint="default"/>
                      <w:szCs w:val="21"/>
                      <w:highlight w:val="none"/>
                      <w:lang w:val="en-US"/>
                    </w:rPr>
                  </w:pPr>
                  <w:r>
                    <w:rPr>
                      <w:rFonts w:hint="eastAsia"/>
                      <w:szCs w:val="21"/>
                      <w:highlight w:val="none"/>
                      <w:lang w:val="en-US" w:eastAsia="zh-CN"/>
                    </w:rPr>
                    <w:t>25m×8m，2层建筑，钢筋混凝土结构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rFonts w:hint="eastAsia" w:eastAsia="宋体"/>
                      <w:kern w:val="0"/>
                      <w:szCs w:val="21"/>
                      <w:highlight w:val="none"/>
                      <w:lang w:val="en-US" w:eastAsia="zh-CN"/>
                    </w:rPr>
                  </w:pPr>
                  <w:r>
                    <w:rPr>
                      <w:rFonts w:hint="eastAsia"/>
                      <w:kern w:val="0"/>
                      <w:szCs w:val="21"/>
                      <w:highlight w:val="none"/>
                      <w:lang w:val="en-US" w:eastAsia="zh-CN"/>
                    </w:rPr>
                    <w:t>4</w:t>
                  </w:r>
                </w:p>
              </w:tc>
              <w:tc>
                <w:tcPr>
                  <w:tcW w:w="956" w:type="dxa"/>
                  <w:vAlign w:val="center"/>
                </w:tcPr>
                <w:p>
                  <w:pPr>
                    <w:widowControl/>
                    <w:adjustRightInd w:val="0"/>
                    <w:snapToGrid w:val="0"/>
                    <w:jc w:val="center"/>
                    <w:textAlignment w:val="center"/>
                    <w:rPr>
                      <w:rFonts w:hint="default"/>
                      <w:snapToGrid w:val="0"/>
                      <w:kern w:val="0"/>
                      <w:szCs w:val="21"/>
                      <w:highlight w:val="none"/>
                      <w:lang w:val="en-US" w:eastAsia="zh-CN"/>
                    </w:rPr>
                  </w:pPr>
                  <w:r>
                    <w:rPr>
                      <w:rFonts w:hint="eastAsia"/>
                      <w:snapToGrid w:val="0"/>
                      <w:kern w:val="0"/>
                      <w:szCs w:val="21"/>
                      <w:highlight w:val="none"/>
                      <w:lang w:val="en-US" w:eastAsia="zh-CN"/>
                    </w:rPr>
                    <w:t>辅助用房</w:t>
                  </w:r>
                </w:p>
              </w:tc>
              <w:tc>
                <w:tcPr>
                  <w:tcW w:w="923" w:type="dxa"/>
                  <w:vAlign w:val="center"/>
                </w:tcPr>
                <w:p>
                  <w:pPr>
                    <w:widowControl/>
                    <w:adjustRightInd w:val="0"/>
                    <w:snapToGrid w:val="0"/>
                    <w:jc w:val="center"/>
                    <w:textAlignment w:val="center"/>
                    <w:rPr>
                      <w:rFonts w:hint="eastAsia"/>
                      <w:szCs w:val="21"/>
                      <w:highlight w:val="none"/>
                      <w:lang w:val="en-US" w:eastAsia="zh-CN"/>
                    </w:rPr>
                  </w:pPr>
                  <w:r>
                    <w:rPr>
                      <w:rFonts w:hint="eastAsia"/>
                      <w:kern w:val="0"/>
                      <w:szCs w:val="21"/>
                      <w:highlight w:val="none"/>
                      <w:lang w:val="en-US" w:eastAsia="zh-CN"/>
                    </w:rPr>
                    <w:t>4</w:t>
                  </w:r>
                  <w:r>
                    <w:rPr>
                      <w:kern w:val="0"/>
                      <w:szCs w:val="21"/>
                      <w:highlight w:val="none"/>
                    </w:rPr>
                    <w:t>m</w:t>
                  </w:r>
                  <w:r>
                    <w:rPr>
                      <w:kern w:val="0"/>
                      <w:szCs w:val="21"/>
                      <w:highlight w:val="none"/>
                      <w:vertAlign w:val="superscript"/>
                    </w:rPr>
                    <w:t>2</w:t>
                  </w:r>
                </w:p>
              </w:tc>
              <w:tc>
                <w:tcPr>
                  <w:tcW w:w="1038" w:type="dxa"/>
                  <w:vAlign w:val="center"/>
                </w:tcPr>
                <w:p>
                  <w:pPr>
                    <w:widowControl/>
                    <w:adjustRightInd w:val="0"/>
                    <w:snapToGrid w:val="0"/>
                    <w:jc w:val="center"/>
                    <w:textAlignment w:val="center"/>
                    <w:rPr>
                      <w:rFonts w:hint="eastAsia"/>
                      <w:szCs w:val="21"/>
                      <w:highlight w:val="none"/>
                      <w:lang w:val="en-US" w:eastAsia="zh-CN"/>
                    </w:rPr>
                  </w:pPr>
                  <w:r>
                    <w:rPr>
                      <w:rFonts w:hint="eastAsia"/>
                      <w:kern w:val="0"/>
                      <w:szCs w:val="21"/>
                      <w:highlight w:val="none"/>
                      <w:lang w:val="en-US" w:eastAsia="zh-CN"/>
                    </w:rPr>
                    <w:t>4</w:t>
                  </w:r>
                  <w:r>
                    <w:rPr>
                      <w:kern w:val="0"/>
                      <w:szCs w:val="21"/>
                      <w:highlight w:val="none"/>
                    </w:rPr>
                    <w:t>m</w:t>
                  </w:r>
                  <w:r>
                    <w:rPr>
                      <w:kern w:val="0"/>
                      <w:szCs w:val="21"/>
                      <w:highlight w:val="none"/>
                      <w:vertAlign w:val="superscript"/>
                    </w:rPr>
                    <w:t>2</w:t>
                  </w:r>
                </w:p>
              </w:tc>
              <w:tc>
                <w:tcPr>
                  <w:tcW w:w="4974" w:type="dxa"/>
                  <w:tcBorders>
                    <w:right w:val="nil"/>
                  </w:tcBorders>
                  <w:vAlign w:val="center"/>
                </w:tcPr>
                <w:p>
                  <w:pPr>
                    <w:widowControl/>
                    <w:adjustRightInd w:val="0"/>
                    <w:snapToGrid w:val="0"/>
                    <w:jc w:val="center"/>
                    <w:rPr>
                      <w:rFonts w:hint="default"/>
                      <w:szCs w:val="21"/>
                      <w:highlight w:val="none"/>
                      <w:lang w:val="en-US"/>
                    </w:rPr>
                  </w:pPr>
                  <w:r>
                    <w:rPr>
                      <w:rFonts w:hint="eastAsia"/>
                      <w:szCs w:val="21"/>
                      <w:highlight w:val="none"/>
                      <w:lang w:val="en-US" w:eastAsia="zh-CN"/>
                    </w:rPr>
                    <w:t>2m×2m，砖混结构</w:t>
                  </w:r>
                </w:p>
              </w:tc>
            </w:tr>
          </w:tbl>
          <w:p>
            <w:pPr>
              <w:spacing w:line="460" w:lineRule="exact"/>
              <w:ind w:firstLine="480" w:firstLineChars="200"/>
              <w:rPr>
                <w:sz w:val="24"/>
              </w:rPr>
            </w:pPr>
            <w:r>
              <w:rPr>
                <w:rFonts w:hint="eastAsia"/>
                <w:sz w:val="24"/>
              </w:rPr>
              <w:t>（6）产品方案</w:t>
            </w:r>
          </w:p>
          <w:p>
            <w:pPr>
              <w:spacing w:line="460" w:lineRule="exact"/>
              <w:ind w:firstLine="602" w:firstLineChars="250"/>
              <w:jc w:val="center"/>
              <w:rPr>
                <w:b/>
                <w:sz w:val="24"/>
              </w:rPr>
            </w:pPr>
            <w:r>
              <w:rPr>
                <w:b/>
                <w:sz w:val="24"/>
              </w:rPr>
              <w:t>表</w:t>
            </w:r>
            <w:r>
              <w:rPr>
                <w:rFonts w:hint="eastAsia"/>
                <w:b/>
                <w:sz w:val="24"/>
              </w:rPr>
              <w:t>1</w:t>
            </w:r>
            <w:r>
              <w:rPr>
                <w:rFonts w:hint="eastAsia"/>
                <w:b/>
                <w:sz w:val="24"/>
                <w:lang w:val="en-US" w:eastAsia="zh-CN"/>
              </w:rPr>
              <w:t>2</w:t>
            </w:r>
            <w:r>
              <w:rPr>
                <w:b/>
                <w:sz w:val="24"/>
              </w:rPr>
              <w:t xml:space="preserve">     项目产品方案一览表</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736"/>
              <w:gridCol w:w="830"/>
              <w:gridCol w:w="489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jc w:val="center"/>
              </w:trPr>
              <w:tc>
                <w:tcPr>
                  <w:tcW w:w="1148" w:type="pct"/>
                  <w:tcBorders>
                    <w:tl2br w:val="nil"/>
                    <w:tr2bl w:val="nil"/>
                  </w:tcBorders>
                  <w:vAlign w:val="center"/>
                </w:tcPr>
                <w:p>
                  <w:pPr>
                    <w:jc w:val="center"/>
                    <w:rPr>
                      <w:szCs w:val="21"/>
                    </w:rPr>
                  </w:pPr>
                  <w:r>
                    <w:rPr>
                      <w:szCs w:val="21"/>
                    </w:rPr>
                    <w:t>产品型号</w:t>
                  </w:r>
                </w:p>
              </w:tc>
              <w:tc>
                <w:tcPr>
                  <w:tcW w:w="439" w:type="pct"/>
                  <w:tcBorders>
                    <w:tl2br w:val="nil"/>
                    <w:tr2bl w:val="nil"/>
                  </w:tcBorders>
                  <w:vAlign w:val="center"/>
                </w:tcPr>
                <w:p>
                  <w:pPr>
                    <w:jc w:val="center"/>
                    <w:rPr>
                      <w:szCs w:val="21"/>
                    </w:rPr>
                  </w:pPr>
                  <w:r>
                    <w:rPr>
                      <w:szCs w:val="21"/>
                    </w:rPr>
                    <w:t>单位</w:t>
                  </w:r>
                </w:p>
              </w:tc>
              <w:tc>
                <w:tcPr>
                  <w:tcW w:w="495" w:type="pct"/>
                  <w:tcBorders>
                    <w:tl2br w:val="nil"/>
                    <w:tr2bl w:val="nil"/>
                  </w:tcBorders>
                  <w:vAlign w:val="center"/>
                </w:tcPr>
                <w:p>
                  <w:pPr>
                    <w:jc w:val="center"/>
                    <w:rPr>
                      <w:szCs w:val="21"/>
                    </w:rPr>
                  </w:pPr>
                  <w:r>
                    <w:rPr>
                      <w:szCs w:val="21"/>
                    </w:rPr>
                    <w:t>数量</w:t>
                  </w:r>
                </w:p>
              </w:tc>
              <w:tc>
                <w:tcPr>
                  <w:tcW w:w="2917" w:type="pct"/>
                  <w:tcBorders>
                    <w:tl2br w:val="nil"/>
                    <w:tr2bl w:val="nil"/>
                  </w:tcBorders>
                  <w:vAlign w:val="center"/>
                </w:tcPr>
                <w:p>
                  <w:pPr>
                    <w:jc w:val="center"/>
                    <w:rPr>
                      <w:szCs w:val="21"/>
                    </w:rPr>
                  </w:pPr>
                  <w:r>
                    <w:rPr>
                      <w:rFonts w:hint="eastAsia"/>
                      <w:szCs w:val="21"/>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8" w:type="pct"/>
                  <w:tcBorders>
                    <w:tl2br w:val="nil"/>
                    <w:tr2bl w:val="nil"/>
                  </w:tcBorders>
                  <w:vAlign w:val="center"/>
                </w:tcPr>
                <w:p>
                  <w:pPr>
                    <w:jc w:val="center"/>
                    <w:rPr>
                      <w:rFonts w:hint="eastAsia" w:eastAsia="宋体"/>
                      <w:szCs w:val="21"/>
                      <w:lang w:eastAsia="zh-CN"/>
                    </w:rPr>
                  </w:pPr>
                  <w:r>
                    <w:rPr>
                      <w:rFonts w:hint="eastAsia"/>
                      <w:szCs w:val="21"/>
                      <w:lang w:eastAsia="zh-CN"/>
                    </w:rPr>
                    <w:t>高端数控机床配件</w:t>
                  </w:r>
                </w:p>
              </w:tc>
              <w:tc>
                <w:tcPr>
                  <w:tcW w:w="439" w:type="pct"/>
                  <w:tcBorders>
                    <w:tl2br w:val="nil"/>
                    <w:tr2bl w:val="nil"/>
                  </w:tcBorders>
                  <w:vAlign w:val="center"/>
                </w:tcPr>
                <w:p>
                  <w:pPr>
                    <w:jc w:val="center"/>
                    <w:rPr>
                      <w:szCs w:val="21"/>
                    </w:rPr>
                  </w:pPr>
                  <w:r>
                    <w:rPr>
                      <w:rFonts w:hint="eastAsia"/>
                      <w:szCs w:val="21"/>
                    </w:rPr>
                    <w:t>t/a</w:t>
                  </w:r>
                </w:p>
              </w:tc>
              <w:tc>
                <w:tcPr>
                  <w:tcW w:w="495" w:type="pct"/>
                  <w:tcBorders>
                    <w:tl2br w:val="nil"/>
                    <w:tr2bl w:val="nil"/>
                  </w:tcBorders>
                  <w:vAlign w:val="center"/>
                </w:tcPr>
                <w:p>
                  <w:pPr>
                    <w:jc w:val="center"/>
                    <w:rPr>
                      <w:szCs w:val="21"/>
                    </w:rPr>
                  </w:pPr>
                  <w:r>
                    <w:rPr>
                      <w:rFonts w:hint="eastAsia"/>
                      <w:szCs w:val="21"/>
                      <w:lang w:val="en-US" w:eastAsia="zh-CN"/>
                    </w:rPr>
                    <w:t>700</w:t>
                  </w:r>
                  <w:r>
                    <w:rPr>
                      <w:rFonts w:hint="eastAsia"/>
                      <w:szCs w:val="21"/>
                    </w:rPr>
                    <w:t>0</w:t>
                  </w:r>
                </w:p>
              </w:tc>
              <w:tc>
                <w:tcPr>
                  <w:tcW w:w="2917" w:type="pct"/>
                  <w:tcBorders>
                    <w:tl2br w:val="nil"/>
                    <w:tr2bl w:val="nil"/>
                  </w:tcBorders>
                  <w:vAlign w:val="center"/>
                </w:tcPr>
                <w:p>
                  <w:pPr>
                    <w:jc w:val="center"/>
                    <w:rPr>
                      <w:szCs w:val="21"/>
                    </w:rPr>
                  </w:pPr>
                  <w:r>
                    <w:rPr>
                      <w:rFonts w:hint="eastAsia"/>
                      <w:szCs w:val="21"/>
                    </w:rPr>
                    <w:t>主要产品尺寸在0.5-1m，成品暂存于成品储存区</w:t>
                  </w:r>
                </w:p>
              </w:tc>
            </w:tr>
          </w:tbl>
          <w:p>
            <w:pPr>
              <w:tabs>
                <w:tab w:val="left" w:pos="324"/>
              </w:tabs>
              <w:spacing w:line="500" w:lineRule="exact"/>
              <w:ind w:firstLine="480" w:firstLineChars="200"/>
              <w:rPr>
                <w:sz w:val="24"/>
              </w:rPr>
            </w:pPr>
            <w:r>
              <w:rPr>
                <w:rFonts w:hint="eastAsia"/>
                <w:sz w:val="24"/>
              </w:rPr>
              <w:t>（7）原辅材料</w:t>
            </w:r>
          </w:p>
          <w:p>
            <w:pPr>
              <w:spacing w:line="500" w:lineRule="exact"/>
              <w:ind w:firstLine="480" w:firstLineChars="200"/>
              <w:rPr>
                <w:sz w:val="24"/>
              </w:rPr>
            </w:pPr>
            <w:r>
              <w:rPr>
                <w:rFonts w:hint="eastAsia"/>
                <w:sz w:val="24"/>
              </w:rPr>
              <w:t>本项目原辅材料见下表。</w:t>
            </w:r>
          </w:p>
          <w:p>
            <w:pPr>
              <w:spacing w:line="500" w:lineRule="exact"/>
              <w:jc w:val="center"/>
              <w:rPr>
                <w:b/>
                <w:bCs/>
                <w:sz w:val="24"/>
              </w:rPr>
            </w:pPr>
            <w:r>
              <w:rPr>
                <w:b/>
                <w:bCs/>
                <w:sz w:val="24"/>
              </w:rPr>
              <w:t>表</w:t>
            </w:r>
            <w:r>
              <w:rPr>
                <w:rFonts w:hint="eastAsia"/>
                <w:b/>
                <w:bCs/>
                <w:sz w:val="24"/>
              </w:rPr>
              <w:t>1</w:t>
            </w:r>
            <w:r>
              <w:rPr>
                <w:rFonts w:hint="eastAsia"/>
                <w:b/>
                <w:bCs/>
                <w:sz w:val="24"/>
                <w:lang w:val="en-US" w:eastAsia="zh-CN"/>
              </w:rPr>
              <w:t>3</w:t>
            </w:r>
            <w:r>
              <w:rPr>
                <w:b/>
                <w:bCs/>
                <w:sz w:val="24"/>
              </w:rPr>
              <w:t xml:space="preserve"> </w:t>
            </w:r>
            <w:r>
              <w:rPr>
                <w:rFonts w:hint="eastAsia"/>
                <w:b/>
                <w:bCs/>
                <w:sz w:val="24"/>
              </w:rPr>
              <w:t xml:space="preserve">    本项目原辅材料清单</w:t>
            </w:r>
          </w:p>
          <w:tbl>
            <w:tblPr>
              <w:tblStyle w:val="32"/>
              <w:tblW w:w="8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284"/>
              <w:gridCol w:w="1503"/>
              <w:gridCol w:w="1364"/>
              <w:gridCol w:w="3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vAlign w:val="center"/>
                </w:tcPr>
                <w:p>
                  <w:pPr>
                    <w:snapToGrid w:val="0"/>
                    <w:jc w:val="center"/>
                    <w:rPr>
                      <w:color w:val="auto"/>
                      <w:szCs w:val="21"/>
                    </w:rPr>
                  </w:pPr>
                  <w:r>
                    <w:rPr>
                      <w:color w:val="auto"/>
                      <w:szCs w:val="21"/>
                    </w:rPr>
                    <w:t>序号</w:t>
                  </w:r>
                </w:p>
              </w:tc>
              <w:tc>
                <w:tcPr>
                  <w:tcW w:w="1284" w:type="dxa"/>
                  <w:vAlign w:val="center"/>
                </w:tcPr>
                <w:p>
                  <w:pPr>
                    <w:snapToGrid w:val="0"/>
                    <w:jc w:val="center"/>
                    <w:rPr>
                      <w:color w:val="auto"/>
                      <w:szCs w:val="21"/>
                    </w:rPr>
                  </w:pPr>
                  <w:r>
                    <w:rPr>
                      <w:color w:val="auto"/>
                      <w:szCs w:val="21"/>
                    </w:rPr>
                    <w:t>名称</w:t>
                  </w:r>
                </w:p>
              </w:tc>
              <w:tc>
                <w:tcPr>
                  <w:tcW w:w="1503" w:type="dxa"/>
                  <w:vAlign w:val="center"/>
                </w:tcPr>
                <w:p>
                  <w:pPr>
                    <w:snapToGrid w:val="0"/>
                    <w:jc w:val="center"/>
                    <w:rPr>
                      <w:color w:val="auto"/>
                      <w:szCs w:val="21"/>
                    </w:rPr>
                  </w:pPr>
                  <w:r>
                    <w:rPr>
                      <w:color w:val="auto"/>
                      <w:szCs w:val="21"/>
                    </w:rPr>
                    <w:t>单位</w:t>
                  </w:r>
                </w:p>
              </w:tc>
              <w:tc>
                <w:tcPr>
                  <w:tcW w:w="1364" w:type="dxa"/>
                  <w:vAlign w:val="center"/>
                </w:tcPr>
                <w:p>
                  <w:pPr>
                    <w:snapToGrid w:val="0"/>
                    <w:jc w:val="center"/>
                    <w:rPr>
                      <w:color w:val="auto"/>
                      <w:szCs w:val="21"/>
                    </w:rPr>
                  </w:pPr>
                  <w:r>
                    <w:rPr>
                      <w:color w:val="auto"/>
                      <w:szCs w:val="21"/>
                    </w:rPr>
                    <w:t>消耗量</w:t>
                  </w:r>
                </w:p>
              </w:tc>
              <w:tc>
                <w:tcPr>
                  <w:tcW w:w="3667" w:type="dxa"/>
                  <w:tcBorders>
                    <w:right w:val="nil"/>
                  </w:tcBorders>
                  <w:vAlign w:val="center"/>
                </w:tcPr>
                <w:p>
                  <w:pPr>
                    <w:snapToGrid w:val="0"/>
                    <w:jc w:val="center"/>
                    <w:rPr>
                      <w:color w:val="auto"/>
                      <w:szCs w:val="21"/>
                    </w:rPr>
                  </w:pPr>
                  <w:r>
                    <w:rPr>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1</w:t>
                  </w:r>
                </w:p>
              </w:tc>
              <w:tc>
                <w:tcPr>
                  <w:tcW w:w="1284" w:type="dxa"/>
                  <w:vAlign w:val="center"/>
                </w:tcPr>
                <w:p>
                  <w:pPr>
                    <w:snapToGrid w:val="0"/>
                    <w:jc w:val="center"/>
                    <w:rPr>
                      <w:color w:val="auto"/>
                      <w:szCs w:val="21"/>
                    </w:rPr>
                  </w:pPr>
                  <w:r>
                    <w:rPr>
                      <w:rFonts w:hint="eastAsia"/>
                      <w:color w:val="auto"/>
                      <w:szCs w:val="21"/>
                    </w:rPr>
                    <w:t>废钢</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5857.66 </w:t>
                  </w:r>
                </w:p>
              </w:tc>
              <w:tc>
                <w:tcPr>
                  <w:tcW w:w="3667" w:type="dxa"/>
                  <w:tcBorders>
                    <w:right w:val="nil"/>
                  </w:tcBorders>
                  <w:vAlign w:val="center"/>
                </w:tcPr>
                <w:p>
                  <w:pPr>
                    <w:snapToGrid w:val="0"/>
                    <w:jc w:val="center"/>
                    <w:rPr>
                      <w:color w:val="auto"/>
                      <w:szCs w:val="21"/>
                    </w:rPr>
                  </w:pPr>
                  <w:r>
                    <w:rPr>
                      <w:rFonts w:hint="eastAsia"/>
                      <w:color w:val="auto"/>
                      <w:szCs w:val="21"/>
                    </w:rPr>
                    <w:t>进厂时进行放射性检测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2</w:t>
                  </w:r>
                </w:p>
              </w:tc>
              <w:tc>
                <w:tcPr>
                  <w:tcW w:w="1284" w:type="dxa"/>
                  <w:vAlign w:val="center"/>
                </w:tcPr>
                <w:p>
                  <w:pPr>
                    <w:snapToGrid w:val="0"/>
                    <w:jc w:val="center"/>
                    <w:rPr>
                      <w:color w:val="auto"/>
                      <w:szCs w:val="21"/>
                    </w:rPr>
                  </w:pPr>
                  <w:r>
                    <w:rPr>
                      <w:rFonts w:hint="eastAsia"/>
                      <w:color w:val="auto"/>
                      <w:szCs w:val="21"/>
                    </w:rPr>
                    <w:t>高锰钢</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1272.73 </w:t>
                  </w:r>
                </w:p>
              </w:tc>
              <w:tc>
                <w:tcPr>
                  <w:tcW w:w="3667" w:type="dxa"/>
                  <w:tcBorders>
                    <w:right w:val="nil"/>
                  </w:tcBorders>
                  <w:vAlign w:val="center"/>
                </w:tcPr>
                <w:p>
                  <w:pPr>
                    <w:snapToGrid w:val="0"/>
                    <w:jc w:val="center"/>
                    <w:rPr>
                      <w:color w:val="auto"/>
                      <w:szCs w:val="21"/>
                    </w:rPr>
                  </w:pP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3</w:t>
                  </w:r>
                </w:p>
              </w:tc>
              <w:tc>
                <w:tcPr>
                  <w:tcW w:w="1284" w:type="dxa"/>
                  <w:vAlign w:val="center"/>
                </w:tcPr>
                <w:p>
                  <w:pPr>
                    <w:snapToGrid w:val="0"/>
                    <w:jc w:val="center"/>
                    <w:rPr>
                      <w:color w:val="auto"/>
                      <w:szCs w:val="21"/>
                    </w:rPr>
                  </w:pPr>
                  <w:r>
                    <w:rPr>
                      <w:rFonts w:hint="eastAsia"/>
                      <w:color w:val="auto"/>
                      <w:szCs w:val="21"/>
                    </w:rPr>
                    <w:t>石英砂</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954.55 </w:t>
                  </w:r>
                </w:p>
              </w:tc>
              <w:tc>
                <w:tcPr>
                  <w:tcW w:w="3667" w:type="dxa"/>
                  <w:tcBorders>
                    <w:right w:val="nil"/>
                  </w:tcBorders>
                  <w:vAlign w:val="center"/>
                </w:tcPr>
                <w:p>
                  <w:pPr>
                    <w:snapToGrid w:val="0"/>
                    <w:jc w:val="center"/>
                    <w:rPr>
                      <w:color w:val="auto"/>
                      <w:szCs w:val="21"/>
                    </w:rPr>
                  </w:pPr>
                  <w:r>
                    <w:rPr>
                      <w:rFonts w:hint="eastAsia"/>
                      <w:color w:val="auto"/>
                      <w:szCs w:val="21"/>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4</w:t>
                  </w:r>
                </w:p>
              </w:tc>
              <w:tc>
                <w:tcPr>
                  <w:tcW w:w="1284" w:type="dxa"/>
                  <w:vAlign w:val="center"/>
                </w:tcPr>
                <w:p>
                  <w:pPr>
                    <w:snapToGrid w:val="0"/>
                    <w:jc w:val="center"/>
                    <w:rPr>
                      <w:color w:val="auto"/>
                      <w:szCs w:val="21"/>
                    </w:rPr>
                  </w:pPr>
                  <w:r>
                    <w:rPr>
                      <w:rFonts w:hint="eastAsia"/>
                      <w:color w:val="auto"/>
                      <w:szCs w:val="21"/>
                    </w:rPr>
                    <w:t>耐火材料</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25.45 </w:t>
                  </w:r>
                </w:p>
              </w:tc>
              <w:tc>
                <w:tcPr>
                  <w:tcW w:w="3667" w:type="dxa"/>
                  <w:tcBorders>
                    <w:right w:val="nil"/>
                  </w:tcBorders>
                  <w:vAlign w:val="center"/>
                </w:tcPr>
                <w:p>
                  <w:pPr>
                    <w:snapToGrid w:val="0"/>
                    <w:jc w:val="center"/>
                    <w:rPr>
                      <w:color w:val="auto"/>
                      <w:szCs w:val="21"/>
                    </w:rPr>
                  </w:pPr>
                  <w:r>
                    <w:rPr>
                      <w:rFonts w:hint="eastAsia"/>
                      <w:color w:val="auto"/>
                      <w:szCs w:val="21"/>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5</w:t>
                  </w:r>
                </w:p>
              </w:tc>
              <w:tc>
                <w:tcPr>
                  <w:tcW w:w="1284" w:type="dxa"/>
                </w:tcPr>
                <w:p>
                  <w:pPr>
                    <w:snapToGrid w:val="0"/>
                    <w:jc w:val="center"/>
                    <w:rPr>
                      <w:color w:val="auto"/>
                      <w:szCs w:val="21"/>
                    </w:rPr>
                  </w:pPr>
                  <w:r>
                    <w:rPr>
                      <w:rFonts w:hint="eastAsia"/>
                      <w:color w:val="auto"/>
                      <w:szCs w:val="21"/>
                    </w:rPr>
                    <w:t>水玻璃</w:t>
                  </w:r>
                </w:p>
              </w:tc>
              <w:tc>
                <w:tcPr>
                  <w:tcW w:w="1503" w:type="dxa"/>
                  <w:vAlign w:val="center"/>
                </w:tcPr>
                <w:p>
                  <w:pPr>
                    <w:snapToGrid w:val="0"/>
                    <w:jc w:val="center"/>
                    <w:rPr>
                      <w:color w:val="auto"/>
                      <w:szCs w:val="21"/>
                    </w:rPr>
                  </w:pPr>
                  <w:r>
                    <w:rPr>
                      <w:rFonts w:hint="eastAsia"/>
                      <w:color w:val="auto"/>
                      <w:szCs w:val="21"/>
                    </w:rPr>
                    <w:t>t/a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5.85 </w:t>
                  </w:r>
                </w:p>
              </w:tc>
              <w:tc>
                <w:tcPr>
                  <w:tcW w:w="3667" w:type="dxa"/>
                  <w:tcBorders>
                    <w:right w:val="nil"/>
                  </w:tcBorders>
                  <w:vAlign w:val="center"/>
                </w:tcPr>
                <w:p>
                  <w:pPr>
                    <w:snapToGrid w:val="0"/>
                    <w:jc w:val="center"/>
                    <w:rPr>
                      <w:color w:val="auto"/>
                      <w:szCs w:val="21"/>
                    </w:rPr>
                  </w:pPr>
                  <w:r>
                    <w:rPr>
                      <w:rFonts w:hint="eastAsia"/>
                      <w:color w:val="auto"/>
                      <w:szCs w:val="21"/>
                    </w:rPr>
                    <w:t>桶装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FF0000"/>
                      <w:szCs w:val="21"/>
                    </w:rPr>
                  </w:pPr>
                  <w:r>
                    <w:rPr>
                      <w:rFonts w:hint="eastAsia"/>
                      <w:color w:val="FF0000"/>
                      <w:szCs w:val="21"/>
                    </w:rPr>
                    <w:t>6</w:t>
                  </w:r>
                </w:p>
              </w:tc>
              <w:tc>
                <w:tcPr>
                  <w:tcW w:w="1284" w:type="dxa"/>
                  <w:vAlign w:val="center"/>
                </w:tcPr>
                <w:p>
                  <w:pPr>
                    <w:snapToGrid w:val="0"/>
                    <w:jc w:val="center"/>
                    <w:rPr>
                      <w:color w:val="FF0000"/>
                      <w:szCs w:val="21"/>
                    </w:rPr>
                  </w:pPr>
                  <w:r>
                    <w:rPr>
                      <w:rFonts w:hint="eastAsia"/>
                      <w:color w:val="FF0000"/>
                      <w:szCs w:val="21"/>
                    </w:rPr>
                    <w:t>清渣剂</w:t>
                  </w:r>
                </w:p>
              </w:tc>
              <w:tc>
                <w:tcPr>
                  <w:tcW w:w="1503" w:type="dxa"/>
                  <w:vAlign w:val="center"/>
                </w:tcPr>
                <w:p>
                  <w:pPr>
                    <w:snapToGrid w:val="0"/>
                    <w:jc w:val="center"/>
                    <w:rPr>
                      <w:color w:val="FF0000"/>
                      <w:szCs w:val="21"/>
                    </w:rPr>
                  </w:pPr>
                  <w:r>
                    <w:rPr>
                      <w:rFonts w:hint="eastAsia"/>
                      <w:color w:val="FF0000"/>
                      <w:szCs w:val="21"/>
                    </w:rPr>
                    <w:t>t/a</w:t>
                  </w:r>
                </w:p>
              </w:tc>
              <w:tc>
                <w:tcPr>
                  <w:tcW w:w="1364" w:type="dxa"/>
                  <w:vAlign w:val="center"/>
                </w:tcPr>
                <w:p>
                  <w:pPr>
                    <w:snapToGrid w:val="0"/>
                    <w:jc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lang w:val="en-US" w:eastAsia="zh-CN"/>
                    </w:rPr>
                    <w:t xml:space="preserve">38.18 </w:t>
                  </w:r>
                </w:p>
              </w:tc>
              <w:tc>
                <w:tcPr>
                  <w:tcW w:w="3667" w:type="dxa"/>
                  <w:tcBorders>
                    <w:right w:val="nil"/>
                  </w:tcBorders>
                  <w:vAlign w:val="center"/>
                </w:tcPr>
                <w:p>
                  <w:pPr>
                    <w:snapToGrid w:val="0"/>
                    <w:jc w:val="center"/>
                    <w:rPr>
                      <w:color w:val="FF0000"/>
                      <w:szCs w:val="21"/>
                    </w:rPr>
                  </w:pPr>
                  <w:r>
                    <w:rPr>
                      <w:rFonts w:hint="eastAsia"/>
                      <w:color w:val="FF0000"/>
                      <w:szCs w:val="21"/>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rPr>
                  </w:pPr>
                  <w:r>
                    <w:rPr>
                      <w:rFonts w:hint="eastAsia"/>
                      <w:color w:val="auto"/>
                      <w:szCs w:val="21"/>
                    </w:rPr>
                    <w:t>7</w:t>
                  </w:r>
                </w:p>
              </w:tc>
              <w:tc>
                <w:tcPr>
                  <w:tcW w:w="1284" w:type="dxa"/>
                  <w:vAlign w:val="center"/>
                </w:tcPr>
                <w:p>
                  <w:pPr>
                    <w:snapToGrid w:val="0"/>
                    <w:jc w:val="center"/>
                    <w:rPr>
                      <w:color w:val="auto"/>
                      <w:szCs w:val="21"/>
                    </w:rPr>
                  </w:pPr>
                  <w:r>
                    <w:rPr>
                      <w:rFonts w:hint="eastAsia"/>
                      <w:color w:val="auto"/>
                      <w:szCs w:val="21"/>
                    </w:rPr>
                    <w:t>钢托</w:t>
                  </w:r>
                </w:p>
              </w:tc>
              <w:tc>
                <w:tcPr>
                  <w:tcW w:w="1503" w:type="dxa"/>
                  <w:vAlign w:val="center"/>
                </w:tcPr>
                <w:p>
                  <w:pPr>
                    <w:snapToGrid w:val="0"/>
                    <w:jc w:val="center"/>
                    <w:rPr>
                      <w:color w:val="auto"/>
                      <w:szCs w:val="21"/>
                    </w:rPr>
                  </w:pPr>
                  <w:r>
                    <w:rPr>
                      <w:rFonts w:hint="eastAsia"/>
                      <w:color w:val="auto"/>
                      <w:szCs w:val="21"/>
                    </w:rPr>
                    <w:t>套</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若干</w:t>
                  </w:r>
                </w:p>
              </w:tc>
              <w:tc>
                <w:tcPr>
                  <w:tcW w:w="3667" w:type="dxa"/>
                  <w:tcBorders>
                    <w:right w:val="nil"/>
                  </w:tcBorders>
                  <w:vAlign w:val="center"/>
                </w:tcPr>
                <w:p>
                  <w:pPr>
                    <w:snapToGrid w:val="0"/>
                    <w:jc w:val="center"/>
                    <w:rPr>
                      <w:color w:val="auto"/>
                      <w:szCs w:val="21"/>
                    </w:rPr>
                  </w:pPr>
                  <w:r>
                    <w:rPr>
                      <w:rFonts w:hint="eastAsia"/>
                      <w:color w:val="auto"/>
                      <w:szCs w:val="21"/>
                    </w:rPr>
                    <w:t>用于成品包装，循环利用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rFonts w:hint="eastAsia" w:eastAsia="宋体"/>
                      <w:color w:val="FF0000"/>
                      <w:szCs w:val="21"/>
                      <w:lang w:val="en-US" w:eastAsia="zh-CN"/>
                    </w:rPr>
                  </w:pPr>
                  <w:r>
                    <w:rPr>
                      <w:rFonts w:hint="eastAsia"/>
                      <w:color w:val="FF0000"/>
                      <w:szCs w:val="21"/>
                      <w:lang w:val="en-US" w:eastAsia="zh-CN"/>
                    </w:rPr>
                    <w:t>8</w:t>
                  </w:r>
                </w:p>
              </w:tc>
              <w:tc>
                <w:tcPr>
                  <w:tcW w:w="1284" w:type="dxa"/>
                  <w:vAlign w:val="center"/>
                </w:tcPr>
                <w:p>
                  <w:pPr>
                    <w:snapToGrid w:val="0"/>
                    <w:jc w:val="center"/>
                    <w:rPr>
                      <w:rFonts w:hint="eastAsia" w:eastAsia="宋体"/>
                      <w:color w:val="FF0000"/>
                      <w:szCs w:val="21"/>
                      <w:lang w:val="en-US" w:eastAsia="zh-CN"/>
                    </w:rPr>
                  </w:pPr>
                  <w:r>
                    <w:rPr>
                      <w:rFonts w:hint="eastAsia"/>
                      <w:color w:val="FF0000"/>
                      <w:szCs w:val="21"/>
                      <w:lang w:val="en-US" w:eastAsia="zh-CN"/>
                    </w:rPr>
                    <w:t>铁模</w:t>
                  </w:r>
                </w:p>
              </w:tc>
              <w:tc>
                <w:tcPr>
                  <w:tcW w:w="1503" w:type="dxa"/>
                  <w:vAlign w:val="center"/>
                </w:tcPr>
                <w:p>
                  <w:pPr>
                    <w:snapToGrid w:val="0"/>
                    <w:jc w:val="center"/>
                    <w:rPr>
                      <w:rFonts w:hint="eastAsia"/>
                      <w:color w:val="FF0000"/>
                      <w:szCs w:val="21"/>
                    </w:rPr>
                  </w:pPr>
                  <w:r>
                    <w:rPr>
                      <w:rFonts w:hint="eastAsia"/>
                      <w:color w:val="FF0000"/>
                      <w:szCs w:val="21"/>
                    </w:rPr>
                    <w:t>套</w:t>
                  </w:r>
                </w:p>
              </w:tc>
              <w:tc>
                <w:tcPr>
                  <w:tcW w:w="1364" w:type="dxa"/>
                  <w:vAlign w:val="center"/>
                </w:tcPr>
                <w:p>
                  <w:pPr>
                    <w:snapToGrid w:val="0"/>
                    <w:jc w:val="cente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若干</w:t>
                  </w:r>
                </w:p>
              </w:tc>
              <w:tc>
                <w:tcPr>
                  <w:tcW w:w="3667" w:type="dxa"/>
                  <w:tcBorders>
                    <w:right w:val="nil"/>
                  </w:tcBorders>
                  <w:vAlign w:val="center"/>
                </w:tcPr>
                <w:p>
                  <w:pPr>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9</w:t>
                  </w:r>
                </w:p>
              </w:tc>
              <w:tc>
                <w:tcPr>
                  <w:tcW w:w="1284" w:type="dxa"/>
                  <w:vAlign w:val="center"/>
                </w:tcPr>
                <w:p>
                  <w:pPr>
                    <w:snapToGrid w:val="0"/>
                    <w:jc w:val="center"/>
                    <w:rPr>
                      <w:color w:val="auto"/>
                      <w:szCs w:val="21"/>
                    </w:rPr>
                  </w:pPr>
                  <w:r>
                    <w:rPr>
                      <w:rFonts w:hint="eastAsia"/>
                      <w:color w:val="auto"/>
                      <w:szCs w:val="21"/>
                    </w:rPr>
                    <w:t>水</w:t>
                  </w:r>
                </w:p>
              </w:tc>
              <w:tc>
                <w:tcPr>
                  <w:tcW w:w="1503" w:type="dxa"/>
                  <w:vAlign w:val="center"/>
                </w:tcPr>
                <w:p>
                  <w:pPr>
                    <w:snapToGrid w:val="0"/>
                    <w:jc w:val="center"/>
                    <w:rPr>
                      <w:color w:val="auto"/>
                      <w:szCs w:val="21"/>
                    </w:rPr>
                  </w:pPr>
                  <w:r>
                    <w:rPr>
                      <w:rFonts w:hint="eastAsia"/>
                      <w:color w:val="auto"/>
                      <w:szCs w:val="21"/>
                    </w:rPr>
                    <w:t>m</w:t>
                  </w:r>
                  <w:r>
                    <w:rPr>
                      <w:rFonts w:hint="eastAsia"/>
                      <w:color w:val="auto"/>
                      <w:szCs w:val="21"/>
                      <w:vertAlign w:val="superscript"/>
                    </w:rPr>
                    <w:t>3</w:t>
                  </w:r>
                  <w:r>
                    <w:rPr>
                      <w:rFonts w:hint="eastAsia"/>
                      <w:color w:val="auto"/>
                      <w:szCs w:val="21"/>
                    </w:rPr>
                    <w:t>/a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17410.91 </w:t>
                  </w:r>
                </w:p>
              </w:tc>
              <w:tc>
                <w:tcPr>
                  <w:tcW w:w="3667" w:type="dxa"/>
                  <w:tcBorders>
                    <w:right w:val="nil"/>
                  </w:tcBorders>
                  <w:vAlign w:val="center"/>
                </w:tcPr>
                <w:p>
                  <w:pPr>
                    <w:snapToGrid w:val="0"/>
                    <w:jc w:val="center"/>
                    <w:rPr>
                      <w:color w:val="auto"/>
                      <w:szCs w:val="21"/>
                    </w:rPr>
                  </w:pPr>
                  <w:r>
                    <w:rPr>
                      <w:rFonts w:hint="eastAsia"/>
                      <w:color w:val="FF0000"/>
                      <w:szCs w:val="21"/>
                      <w:lang w:eastAsia="zh-CN"/>
                    </w:rPr>
                    <w:t>铁厂村</w:t>
                  </w:r>
                  <w:r>
                    <w:rPr>
                      <w:rFonts w:hint="eastAsia"/>
                      <w:color w:val="FF0000"/>
                      <w:szCs w:val="21"/>
                    </w:rPr>
                    <w:t>供水管网供给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tcPr>
                <w:p>
                  <w:pPr>
                    <w:snapToGrid w:val="0"/>
                    <w:jc w:val="center"/>
                    <w:rPr>
                      <w:rFonts w:hint="default" w:eastAsia="宋体"/>
                      <w:color w:val="auto"/>
                      <w:szCs w:val="21"/>
                      <w:lang w:val="en-US" w:eastAsia="zh-CN"/>
                    </w:rPr>
                  </w:pPr>
                  <w:r>
                    <w:rPr>
                      <w:rFonts w:hint="eastAsia"/>
                      <w:color w:val="auto"/>
                      <w:szCs w:val="21"/>
                      <w:lang w:val="en-US" w:eastAsia="zh-CN"/>
                    </w:rPr>
                    <w:t>10</w:t>
                  </w:r>
                </w:p>
              </w:tc>
              <w:tc>
                <w:tcPr>
                  <w:tcW w:w="1284" w:type="dxa"/>
                  <w:vAlign w:val="center"/>
                </w:tcPr>
                <w:p>
                  <w:pPr>
                    <w:snapToGrid w:val="0"/>
                    <w:jc w:val="center"/>
                    <w:rPr>
                      <w:color w:val="auto"/>
                      <w:szCs w:val="21"/>
                    </w:rPr>
                  </w:pPr>
                  <w:r>
                    <w:rPr>
                      <w:rFonts w:hint="eastAsia"/>
                      <w:color w:val="auto"/>
                      <w:szCs w:val="21"/>
                    </w:rPr>
                    <w:t>电</w:t>
                  </w:r>
                </w:p>
              </w:tc>
              <w:tc>
                <w:tcPr>
                  <w:tcW w:w="1503" w:type="dxa"/>
                  <w:vAlign w:val="center"/>
                </w:tcPr>
                <w:p>
                  <w:pPr>
                    <w:snapToGrid w:val="0"/>
                    <w:jc w:val="center"/>
                    <w:rPr>
                      <w:color w:val="auto"/>
                      <w:szCs w:val="21"/>
                    </w:rPr>
                  </w:pPr>
                  <w:r>
                    <w:rPr>
                      <w:rFonts w:hint="eastAsia"/>
                      <w:color w:val="auto"/>
                      <w:szCs w:val="21"/>
                    </w:rPr>
                    <w:t>万kwh/a</w:t>
                  </w:r>
                </w:p>
              </w:tc>
              <w:tc>
                <w:tcPr>
                  <w:tcW w:w="1364" w:type="dxa"/>
                  <w:vAlign w:val="center"/>
                </w:tcPr>
                <w:p>
                  <w:pPr>
                    <w:snapToGrid w:val="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 xml:space="preserve">65.16 </w:t>
                  </w:r>
                </w:p>
              </w:tc>
              <w:tc>
                <w:tcPr>
                  <w:tcW w:w="3667" w:type="dxa"/>
                  <w:tcBorders>
                    <w:right w:val="nil"/>
                  </w:tcBorders>
                  <w:vAlign w:val="center"/>
                </w:tcPr>
                <w:p>
                  <w:pPr>
                    <w:snapToGrid w:val="0"/>
                    <w:jc w:val="center"/>
                    <w:rPr>
                      <w:color w:val="auto"/>
                      <w:szCs w:val="21"/>
                    </w:rPr>
                  </w:pPr>
                  <w:r>
                    <w:rPr>
                      <w:rFonts w:hint="eastAsia"/>
                      <w:color w:val="auto"/>
                      <w:szCs w:val="21"/>
                    </w:rPr>
                    <w:t>园区电网提供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tcPr>
                <w:p>
                  <w:pPr>
                    <w:snapToGrid w:val="0"/>
                    <w:jc w:val="center"/>
                    <w:rPr>
                      <w:rFonts w:hint="eastAsia" w:eastAsia="宋体"/>
                      <w:szCs w:val="21"/>
                      <w:lang w:val="en-US" w:eastAsia="zh-CN"/>
                    </w:rPr>
                  </w:pPr>
                  <w:r>
                    <w:rPr>
                      <w:rFonts w:hint="eastAsia"/>
                      <w:szCs w:val="21"/>
                    </w:rPr>
                    <w:t>1</w:t>
                  </w:r>
                  <w:r>
                    <w:rPr>
                      <w:rFonts w:hint="eastAsia"/>
                      <w:szCs w:val="21"/>
                      <w:lang w:val="en-US" w:eastAsia="zh-CN"/>
                    </w:rPr>
                    <w:t>1</w:t>
                  </w:r>
                </w:p>
              </w:tc>
              <w:tc>
                <w:tcPr>
                  <w:tcW w:w="1284" w:type="dxa"/>
                  <w:vAlign w:val="center"/>
                </w:tcPr>
                <w:p>
                  <w:pPr>
                    <w:snapToGrid w:val="0"/>
                    <w:jc w:val="center"/>
                    <w:rPr>
                      <w:szCs w:val="21"/>
                    </w:rPr>
                  </w:pPr>
                  <w:r>
                    <w:rPr>
                      <w:rFonts w:hint="eastAsia"/>
                      <w:szCs w:val="21"/>
                    </w:rPr>
                    <w:t>矿物油</w:t>
                  </w:r>
                </w:p>
              </w:tc>
              <w:tc>
                <w:tcPr>
                  <w:tcW w:w="1503" w:type="dxa"/>
                  <w:vAlign w:val="center"/>
                </w:tcPr>
                <w:p>
                  <w:pPr>
                    <w:snapToGrid w:val="0"/>
                    <w:jc w:val="center"/>
                    <w:rPr>
                      <w:szCs w:val="21"/>
                    </w:rPr>
                  </w:pPr>
                  <w:r>
                    <w:rPr>
                      <w:rFonts w:hint="eastAsia"/>
                      <w:szCs w:val="21"/>
                    </w:rPr>
                    <w:t>t/a</w:t>
                  </w:r>
                </w:p>
              </w:tc>
              <w:tc>
                <w:tcPr>
                  <w:tcW w:w="1364" w:type="dxa"/>
                  <w:vAlign w:val="center"/>
                </w:tcPr>
                <w:p>
                  <w:pPr>
                    <w:snapToGrid w:val="0"/>
                    <w:jc w:val="center"/>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1.27 </w:t>
                  </w:r>
                </w:p>
              </w:tc>
              <w:tc>
                <w:tcPr>
                  <w:tcW w:w="3667" w:type="dxa"/>
                  <w:tcBorders>
                    <w:right w:val="nil"/>
                  </w:tcBorders>
                  <w:vAlign w:val="center"/>
                </w:tcPr>
                <w:p>
                  <w:pPr>
                    <w:snapToGrid w:val="0"/>
                    <w:jc w:val="center"/>
                    <w:rPr>
                      <w:szCs w:val="21"/>
                    </w:rPr>
                  </w:pPr>
                  <w:r>
                    <w:rPr>
                      <w:rFonts w:hint="eastAsia"/>
                      <w:szCs w:val="21"/>
                    </w:rPr>
                    <w:t>需要时外购，不在厂区内储存</w:t>
                  </w:r>
                </w:p>
              </w:tc>
            </w:tr>
          </w:tbl>
          <w:p>
            <w:pPr>
              <w:spacing w:line="480" w:lineRule="exact"/>
              <w:ind w:firstLine="472" w:firstLineChars="200"/>
              <w:rPr>
                <w:bCs/>
                <w:sz w:val="24"/>
              </w:rPr>
            </w:pPr>
            <w:r>
              <w:rPr>
                <w:rFonts w:hint="eastAsia" w:ascii="宋体" w:hAnsi="宋体" w:cs="宋体"/>
                <w:spacing w:val="-2"/>
                <w:sz w:val="24"/>
              </w:rPr>
              <w:t>本项目主要</w:t>
            </w:r>
            <w:r>
              <w:rPr>
                <w:bCs/>
                <w:sz w:val="24"/>
              </w:rPr>
              <w:t>原辅材料理化性质见表</w:t>
            </w:r>
            <w:r>
              <w:rPr>
                <w:rFonts w:hint="eastAsia"/>
                <w:bCs/>
                <w:sz w:val="24"/>
              </w:rPr>
              <w:t>1</w:t>
            </w:r>
            <w:r>
              <w:rPr>
                <w:rFonts w:hint="eastAsia"/>
                <w:bCs/>
                <w:sz w:val="24"/>
                <w:lang w:val="en-US" w:eastAsia="zh-CN"/>
              </w:rPr>
              <w:t>4</w:t>
            </w:r>
            <w:r>
              <w:rPr>
                <w:bCs/>
                <w:sz w:val="24"/>
              </w:rPr>
              <w:t>。</w:t>
            </w:r>
          </w:p>
          <w:p>
            <w:pPr>
              <w:spacing w:line="480" w:lineRule="exact"/>
              <w:jc w:val="center"/>
              <w:rPr>
                <w:b/>
                <w:bCs/>
                <w:snapToGrid w:val="0"/>
                <w:sz w:val="24"/>
              </w:rPr>
            </w:pPr>
            <w:r>
              <w:rPr>
                <w:b/>
                <w:bCs/>
                <w:snapToGrid w:val="0"/>
                <w:sz w:val="24"/>
              </w:rPr>
              <w:t>表</w:t>
            </w:r>
            <w:r>
              <w:rPr>
                <w:rFonts w:hint="eastAsia"/>
                <w:b/>
                <w:bCs/>
                <w:snapToGrid w:val="0"/>
                <w:sz w:val="24"/>
              </w:rPr>
              <w:t>1</w:t>
            </w:r>
            <w:r>
              <w:rPr>
                <w:rFonts w:hint="eastAsia"/>
                <w:b/>
                <w:bCs/>
                <w:snapToGrid w:val="0"/>
                <w:sz w:val="24"/>
                <w:lang w:val="en-US" w:eastAsia="zh-CN"/>
              </w:rPr>
              <w:t>4</w:t>
            </w:r>
            <w:r>
              <w:rPr>
                <w:b/>
                <w:bCs/>
                <w:snapToGrid w:val="0"/>
                <w:sz w:val="24"/>
              </w:rPr>
              <w:t xml:space="preserve"> </w:t>
            </w:r>
            <w:r>
              <w:rPr>
                <w:rFonts w:hint="eastAsia"/>
                <w:b/>
                <w:bCs/>
                <w:snapToGrid w:val="0"/>
                <w:sz w:val="24"/>
              </w:rPr>
              <w:t xml:space="preserve">  本</w:t>
            </w:r>
            <w:r>
              <w:rPr>
                <w:b/>
                <w:bCs/>
                <w:snapToGrid w:val="0"/>
                <w:sz w:val="24"/>
              </w:rPr>
              <w:t>项目原材料理化性质一览表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6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pPr>
                    <w:snapToGrid w:val="0"/>
                    <w:jc w:val="center"/>
                    <w:rPr>
                      <w:szCs w:val="21"/>
                    </w:rPr>
                  </w:pPr>
                  <w:r>
                    <w:rPr>
                      <w:szCs w:val="21"/>
                    </w:rPr>
                    <w:t>名称</w:t>
                  </w:r>
                </w:p>
              </w:tc>
              <w:tc>
                <w:tcPr>
                  <w:tcW w:w="7667" w:type="dxa"/>
                  <w:tcBorders>
                    <w:tl2br w:val="nil"/>
                    <w:tr2bl w:val="nil"/>
                  </w:tcBorders>
                  <w:vAlign w:val="center"/>
                </w:tcPr>
                <w:p>
                  <w:pPr>
                    <w:snapToGrid w:val="0"/>
                    <w:jc w:val="center"/>
                    <w:rPr>
                      <w:szCs w:val="21"/>
                    </w:rPr>
                  </w:pPr>
                  <w:r>
                    <w:rPr>
                      <w:szCs w:val="21"/>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vAlign w:val="center"/>
                </w:tcPr>
                <w:p>
                  <w:pPr>
                    <w:snapToGrid w:val="0"/>
                    <w:jc w:val="center"/>
                    <w:rPr>
                      <w:szCs w:val="21"/>
                    </w:rPr>
                  </w:pPr>
                  <w:r>
                    <w:rPr>
                      <w:rFonts w:hint="eastAsia"/>
                      <w:szCs w:val="21"/>
                    </w:rPr>
                    <w:t>清渣剂</w:t>
                  </w:r>
                </w:p>
              </w:tc>
              <w:tc>
                <w:tcPr>
                  <w:tcW w:w="7667" w:type="dxa"/>
                  <w:tcBorders>
                    <w:tl2br w:val="nil"/>
                    <w:tr2bl w:val="nil"/>
                  </w:tcBorders>
                  <w:vAlign w:val="center"/>
                </w:tcPr>
                <w:p>
                  <w:pPr>
                    <w:snapToGrid w:val="0"/>
                    <w:jc w:val="center"/>
                    <w:rPr>
                      <w:szCs w:val="21"/>
                    </w:rPr>
                  </w:pPr>
                  <w:r>
                    <w:rPr>
                      <w:rFonts w:hint="eastAsia"/>
                      <w:szCs w:val="21"/>
                    </w:rPr>
                    <w:t>清渣剂是一种中性物质，在高温作用下会膨胀或熔融，膨胀后形成比重低、中空气孔，熔融后具有一定的粘结性，主要是有由加工工艺决定。除渣剂在钢铁冶炼及铸造中使用正是由于其在1200以上的高温作业下熔融，并具有粘结性，能有效聚集和吸附金属溶液表面的浮渣和夹渣，并且其化学性质稳定，不会对金属熔液产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vAlign w:val="center"/>
                </w:tcPr>
                <w:p>
                  <w:pPr>
                    <w:snapToGrid w:val="0"/>
                    <w:jc w:val="center"/>
                    <w:rPr>
                      <w:szCs w:val="21"/>
                    </w:rPr>
                  </w:pPr>
                  <w:r>
                    <w:rPr>
                      <w:rFonts w:hint="eastAsia"/>
                      <w:szCs w:val="21"/>
                    </w:rPr>
                    <w:t>水玻璃</w:t>
                  </w:r>
                </w:p>
              </w:tc>
              <w:tc>
                <w:tcPr>
                  <w:tcW w:w="7667" w:type="dxa"/>
                  <w:tcBorders>
                    <w:tl2br w:val="nil"/>
                    <w:tr2bl w:val="nil"/>
                  </w:tcBorders>
                  <w:vAlign w:val="center"/>
                </w:tcPr>
                <w:p>
                  <w:pPr>
                    <w:snapToGrid w:val="0"/>
                    <w:jc w:val="center"/>
                    <w:rPr>
                      <w:szCs w:val="21"/>
                    </w:rPr>
                  </w:pPr>
                  <w:r>
                    <w:rPr>
                      <w:rFonts w:hint="eastAsia"/>
                      <w:szCs w:val="21"/>
                    </w:rPr>
                    <w:t>硅酸钠，俗称泡花碱，是一种无机物，化学式为Na</w:t>
                  </w:r>
                  <w:r>
                    <w:rPr>
                      <w:rFonts w:hint="eastAsia"/>
                      <w:szCs w:val="21"/>
                      <w:vertAlign w:val="subscript"/>
                    </w:rPr>
                    <w:t>2</w:t>
                  </w:r>
                  <w:r>
                    <w:rPr>
                      <w:rFonts w:hint="eastAsia"/>
                      <w:szCs w:val="21"/>
                    </w:rPr>
                    <w:t>O·nSiO</w:t>
                  </w:r>
                  <w:r>
                    <w:rPr>
                      <w:rFonts w:hint="eastAsia"/>
                      <w:szCs w:val="21"/>
                      <w:vertAlign w:val="subscript"/>
                    </w:rPr>
                    <w:t>2</w:t>
                  </w:r>
                  <w:r>
                    <w:rPr>
                      <w:rFonts w:hint="eastAsia"/>
                      <w:szCs w:val="21"/>
                    </w:rPr>
                    <w:t>，其水溶液俗称水玻璃，是一种矿黏合剂。它是一种可溶性的无机硅酸盐，是无色、略带颜色的半透明或透明块状玻璃体，具有广泛的用途。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pPr>
                    <w:snapToGrid w:val="0"/>
                    <w:jc w:val="center"/>
                    <w:rPr>
                      <w:szCs w:val="21"/>
                    </w:rPr>
                  </w:pPr>
                  <w:r>
                    <w:rPr>
                      <w:rFonts w:hint="eastAsia"/>
                      <w:szCs w:val="21"/>
                    </w:rPr>
                    <w:t>耐火</w:t>
                  </w:r>
                </w:p>
                <w:p>
                  <w:pPr>
                    <w:snapToGrid w:val="0"/>
                    <w:jc w:val="center"/>
                    <w:rPr>
                      <w:szCs w:val="21"/>
                    </w:rPr>
                  </w:pPr>
                  <w:r>
                    <w:rPr>
                      <w:rFonts w:hint="eastAsia"/>
                      <w:szCs w:val="21"/>
                    </w:rPr>
                    <w:t>材料</w:t>
                  </w:r>
                </w:p>
              </w:tc>
              <w:tc>
                <w:tcPr>
                  <w:tcW w:w="7667" w:type="dxa"/>
                  <w:tcBorders>
                    <w:tl2br w:val="nil"/>
                    <w:tr2bl w:val="nil"/>
                  </w:tcBorders>
                  <w:vAlign w:val="center"/>
                </w:tcPr>
                <w:p>
                  <w:pPr>
                    <w:snapToGrid w:val="0"/>
                    <w:jc w:val="center"/>
                    <w:rPr>
                      <w:szCs w:val="21"/>
                    </w:rPr>
                  </w:pPr>
                  <w:r>
                    <w:rPr>
                      <w:rFonts w:hint="eastAsia"/>
                      <w:szCs w:val="21"/>
                    </w:rPr>
                    <w:t>主要成分为铝矾土与石英粉。其中铝矾土主要成分为氧化铝，耐火度超过 1700℃，石英粉主要成分为二氧化硅，耐火度达到1700℃；氧化铝和二氧化硅均为无机物，浇注过程不会释放有机废气。耐火材料每月进货一次，为袋装储存。</w:t>
                  </w:r>
                </w:p>
              </w:tc>
            </w:tr>
          </w:tbl>
          <w:p>
            <w:pPr>
              <w:spacing w:line="480" w:lineRule="exact"/>
              <w:ind w:firstLine="480" w:firstLineChars="200"/>
              <w:rPr>
                <w:sz w:val="24"/>
              </w:rPr>
            </w:pPr>
            <w:r>
              <w:rPr>
                <w:rFonts w:hint="eastAsia"/>
                <w:sz w:val="24"/>
              </w:rPr>
              <w:t>（8）物料平衡</w:t>
            </w:r>
          </w:p>
          <w:p>
            <w:pPr>
              <w:pStyle w:val="41"/>
              <w:ind w:firstLine="480"/>
            </w:pPr>
            <w:r>
              <w:rPr>
                <w:rFonts w:hint="eastAsia"/>
              </w:rPr>
              <w:t>本项目物料平衡情况见表1</w:t>
            </w:r>
            <w:r>
              <w:rPr>
                <w:rFonts w:hint="eastAsia"/>
                <w:lang w:val="en-US" w:eastAsia="zh-CN"/>
              </w:rPr>
              <w:t>5</w:t>
            </w:r>
            <w:r>
              <w:rPr>
                <w:rFonts w:hint="eastAsia"/>
              </w:rPr>
              <w:t>。</w:t>
            </w:r>
          </w:p>
          <w:p>
            <w:pPr>
              <w:spacing w:line="480" w:lineRule="exact"/>
              <w:jc w:val="center"/>
              <w:rPr>
                <w:rFonts w:hint="eastAsia"/>
                <w:b/>
                <w:bCs/>
                <w:snapToGrid w:val="0"/>
                <w:sz w:val="24"/>
              </w:rPr>
            </w:pPr>
          </w:p>
          <w:p>
            <w:pPr>
              <w:spacing w:line="480" w:lineRule="exact"/>
              <w:jc w:val="center"/>
              <w:rPr>
                <w:rFonts w:hint="eastAsia"/>
                <w:b/>
                <w:bCs/>
                <w:snapToGrid w:val="0"/>
                <w:sz w:val="24"/>
              </w:rPr>
            </w:pPr>
          </w:p>
          <w:p>
            <w:pPr>
              <w:spacing w:line="480" w:lineRule="exact"/>
              <w:jc w:val="center"/>
              <w:rPr>
                <w:rFonts w:hint="eastAsia"/>
                <w:b/>
                <w:bCs/>
                <w:snapToGrid w:val="0"/>
                <w:sz w:val="24"/>
              </w:rPr>
            </w:pPr>
          </w:p>
          <w:p>
            <w:pPr>
              <w:spacing w:line="480" w:lineRule="exact"/>
              <w:jc w:val="center"/>
              <w:rPr>
                <w:b/>
                <w:bCs/>
                <w:snapToGrid w:val="0"/>
                <w:sz w:val="24"/>
              </w:rPr>
            </w:pPr>
            <w:r>
              <w:rPr>
                <w:rFonts w:hint="eastAsia"/>
                <w:b/>
                <w:bCs/>
                <w:snapToGrid w:val="0"/>
                <w:sz w:val="24"/>
              </w:rPr>
              <w:t>表1</w:t>
            </w:r>
            <w:r>
              <w:rPr>
                <w:rFonts w:hint="eastAsia"/>
                <w:b/>
                <w:bCs/>
                <w:snapToGrid w:val="0"/>
                <w:sz w:val="24"/>
                <w:lang w:val="en-US" w:eastAsia="zh-CN"/>
              </w:rPr>
              <w:t>5</w:t>
            </w:r>
            <w:r>
              <w:rPr>
                <w:rFonts w:hint="eastAsia"/>
                <w:b/>
                <w:bCs/>
                <w:snapToGrid w:val="0"/>
                <w:sz w:val="24"/>
              </w:rPr>
              <w:t xml:space="preserve">    物料平衡一览表    单位t/a</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84"/>
              <w:gridCol w:w="1241"/>
              <w:gridCol w:w="846"/>
              <w:gridCol w:w="196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top w:val="single" w:color="auto" w:sz="12" w:space="0"/>
                  </w:tcBorders>
                  <w:vAlign w:val="center"/>
                </w:tcPr>
                <w:p>
                  <w:pPr>
                    <w:snapToGrid w:val="0"/>
                    <w:jc w:val="center"/>
                    <w:rPr>
                      <w:szCs w:val="21"/>
                    </w:rPr>
                  </w:pPr>
                  <w:r>
                    <w:rPr>
                      <w:rFonts w:hint="eastAsia"/>
                      <w:szCs w:val="21"/>
                    </w:rPr>
                    <w:t>序号</w:t>
                  </w:r>
                </w:p>
              </w:tc>
              <w:tc>
                <w:tcPr>
                  <w:tcW w:w="3225" w:type="dxa"/>
                  <w:gridSpan w:val="2"/>
                  <w:tcBorders>
                    <w:top w:val="single" w:color="auto" w:sz="12" w:space="0"/>
                  </w:tcBorders>
                  <w:vAlign w:val="center"/>
                </w:tcPr>
                <w:p>
                  <w:pPr>
                    <w:snapToGrid w:val="0"/>
                    <w:jc w:val="center"/>
                    <w:rPr>
                      <w:szCs w:val="21"/>
                    </w:rPr>
                  </w:pPr>
                  <w:r>
                    <w:rPr>
                      <w:rFonts w:hint="eastAsia"/>
                      <w:szCs w:val="21"/>
                    </w:rPr>
                    <w:t>投入</w:t>
                  </w:r>
                </w:p>
              </w:tc>
              <w:tc>
                <w:tcPr>
                  <w:tcW w:w="846" w:type="dxa"/>
                  <w:tcBorders>
                    <w:top w:val="single" w:color="auto" w:sz="12" w:space="0"/>
                  </w:tcBorders>
                  <w:vAlign w:val="center"/>
                </w:tcPr>
                <w:p>
                  <w:pPr>
                    <w:snapToGrid w:val="0"/>
                    <w:jc w:val="center"/>
                    <w:rPr>
                      <w:szCs w:val="21"/>
                    </w:rPr>
                  </w:pPr>
                  <w:r>
                    <w:rPr>
                      <w:rFonts w:hint="eastAsia"/>
                      <w:szCs w:val="21"/>
                    </w:rPr>
                    <w:t>序号</w:t>
                  </w:r>
                </w:p>
              </w:tc>
              <w:tc>
                <w:tcPr>
                  <w:tcW w:w="3416" w:type="dxa"/>
                  <w:gridSpan w:val="2"/>
                  <w:tcBorders>
                    <w:top w:val="single" w:color="auto" w:sz="12" w:space="0"/>
                    <w:right w:val="nil"/>
                  </w:tcBorders>
                  <w:vAlign w:val="center"/>
                </w:tcPr>
                <w:p>
                  <w:pPr>
                    <w:snapToGrid w:val="0"/>
                    <w:jc w:val="center"/>
                    <w:rPr>
                      <w:szCs w:val="21"/>
                    </w:rPr>
                  </w:pPr>
                  <w:r>
                    <w:rPr>
                      <w:rFonts w:hint="eastAsia"/>
                      <w:szCs w:val="21"/>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szCs w:val="21"/>
                    </w:rPr>
                  </w:pPr>
                  <w:r>
                    <w:rPr>
                      <w:rFonts w:hint="eastAsia"/>
                      <w:szCs w:val="21"/>
                    </w:rPr>
                    <w:t>1</w:t>
                  </w:r>
                </w:p>
              </w:tc>
              <w:tc>
                <w:tcPr>
                  <w:tcW w:w="1984" w:type="dxa"/>
                  <w:vAlign w:val="center"/>
                </w:tcPr>
                <w:p>
                  <w:pPr>
                    <w:snapToGrid w:val="0"/>
                    <w:jc w:val="center"/>
                    <w:rPr>
                      <w:szCs w:val="21"/>
                    </w:rPr>
                  </w:pPr>
                  <w:r>
                    <w:rPr>
                      <w:rFonts w:hint="eastAsia"/>
                      <w:szCs w:val="21"/>
                    </w:rPr>
                    <w:t>废钢</w:t>
                  </w:r>
                </w:p>
              </w:tc>
              <w:tc>
                <w:tcPr>
                  <w:tcW w:w="1241" w:type="dxa"/>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5857.66 </w:t>
                  </w:r>
                </w:p>
              </w:tc>
              <w:tc>
                <w:tcPr>
                  <w:tcW w:w="846" w:type="dxa"/>
                  <w:vAlign w:val="center"/>
                </w:tcPr>
                <w:p>
                  <w:pPr>
                    <w:snapToGrid w:val="0"/>
                    <w:jc w:val="center"/>
                    <w:rPr>
                      <w:szCs w:val="21"/>
                    </w:rPr>
                  </w:pPr>
                  <w:r>
                    <w:rPr>
                      <w:rFonts w:hint="eastAsia"/>
                      <w:szCs w:val="21"/>
                    </w:rPr>
                    <w:t>1</w:t>
                  </w:r>
                </w:p>
              </w:tc>
              <w:tc>
                <w:tcPr>
                  <w:tcW w:w="1963" w:type="dxa"/>
                  <w:vAlign w:val="center"/>
                </w:tcPr>
                <w:p>
                  <w:pPr>
                    <w:snapToGrid w:val="0"/>
                    <w:jc w:val="center"/>
                    <w:rPr>
                      <w:szCs w:val="21"/>
                    </w:rPr>
                  </w:pPr>
                  <w:r>
                    <w:rPr>
                      <w:rFonts w:hint="eastAsia"/>
                      <w:szCs w:val="21"/>
                    </w:rPr>
                    <w:t>产品</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szCs w:val="21"/>
                    </w:rPr>
                  </w:pPr>
                  <w:r>
                    <w:rPr>
                      <w:rFonts w:hint="eastAsia"/>
                      <w:szCs w:val="21"/>
                    </w:rPr>
                    <w:t>2</w:t>
                  </w:r>
                </w:p>
              </w:tc>
              <w:tc>
                <w:tcPr>
                  <w:tcW w:w="1984" w:type="dxa"/>
                  <w:vAlign w:val="center"/>
                </w:tcPr>
                <w:p>
                  <w:pPr>
                    <w:snapToGrid w:val="0"/>
                    <w:jc w:val="center"/>
                    <w:rPr>
                      <w:szCs w:val="21"/>
                    </w:rPr>
                  </w:pPr>
                  <w:r>
                    <w:rPr>
                      <w:rFonts w:hint="eastAsia"/>
                      <w:szCs w:val="21"/>
                    </w:rPr>
                    <w:t>高锰钢</w:t>
                  </w:r>
                </w:p>
              </w:tc>
              <w:tc>
                <w:tcPr>
                  <w:tcW w:w="1241" w:type="dxa"/>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1272.73 </w:t>
                  </w:r>
                </w:p>
              </w:tc>
              <w:tc>
                <w:tcPr>
                  <w:tcW w:w="846" w:type="dxa"/>
                  <w:vAlign w:val="center"/>
                </w:tcPr>
                <w:p>
                  <w:pPr>
                    <w:snapToGrid w:val="0"/>
                    <w:jc w:val="center"/>
                    <w:rPr>
                      <w:szCs w:val="21"/>
                    </w:rPr>
                  </w:pPr>
                  <w:r>
                    <w:rPr>
                      <w:rFonts w:hint="eastAsia"/>
                      <w:szCs w:val="21"/>
                    </w:rPr>
                    <w:t>2</w:t>
                  </w:r>
                </w:p>
              </w:tc>
              <w:tc>
                <w:tcPr>
                  <w:tcW w:w="1963" w:type="dxa"/>
                  <w:vAlign w:val="center"/>
                </w:tcPr>
                <w:p>
                  <w:pPr>
                    <w:snapToGrid w:val="0"/>
                    <w:jc w:val="center"/>
                    <w:rPr>
                      <w:szCs w:val="21"/>
                    </w:rPr>
                  </w:pPr>
                  <w:r>
                    <w:rPr>
                      <w:rFonts w:hint="eastAsia"/>
                      <w:szCs w:val="21"/>
                    </w:rPr>
                    <w:t>熔炼渣</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szCs w:val="21"/>
                      <w:lang w:val="en-US" w:eastAsia="zh-CN"/>
                    </w:rPr>
                  </w:pPr>
                  <w:r>
                    <w:rPr>
                      <w:rFonts w:hint="eastAsia" w:cs="Times New Roman"/>
                      <w:i w:val="0"/>
                      <w:iCs w:val="0"/>
                      <w:color w:val="000000"/>
                      <w:kern w:val="0"/>
                      <w:sz w:val="21"/>
                      <w:szCs w:val="21"/>
                      <w:u w:val="none"/>
                      <w:lang w:val="en-US" w:eastAsia="zh-CN" w:bidi="ar"/>
                    </w:rPr>
                    <w:t>82.731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9" w:type="dxa"/>
                  <w:tcBorders>
                    <w:left w:val="nil"/>
                  </w:tcBorders>
                  <w:vAlign w:val="center"/>
                </w:tcPr>
                <w:p>
                  <w:pPr>
                    <w:snapToGrid w:val="0"/>
                    <w:jc w:val="center"/>
                    <w:rPr>
                      <w:szCs w:val="21"/>
                    </w:rPr>
                  </w:pPr>
                  <w:r>
                    <w:rPr>
                      <w:rFonts w:hint="eastAsia"/>
                      <w:szCs w:val="21"/>
                    </w:rPr>
                    <w:t>3</w:t>
                  </w:r>
                </w:p>
              </w:tc>
              <w:tc>
                <w:tcPr>
                  <w:tcW w:w="1984" w:type="dxa"/>
                  <w:vAlign w:val="center"/>
                </w:tcPr>
                <w:p>
                  <w:pPr>
                    <w:snapToGrid w:val="0"/>
                    <w:jc w:val="center"/>
                    <w:rPr>
                      <w:rFonts w:ascii="Times New Roman" w:hAnsi="Times New Roman" w:eastAsia="宋体" w:cs="Times New Roman"/>
                      <w:kern w:val="2"/>
                      <w:sz w:val="21"/>
                      <w:szCs w:val="21"/>
                      <w:lang w:val="en-US" w:eastAsia="zh-CN" w:bidi="ar-SA"/>
                    </w:rPr>
                  </w:pPr>
                  <w:r>
                    <w:rPr>
                      <w:rFonts w:hint="eastAsia"/>
                      <w:szCs w:val="21"/>
                    </w:rPr>
                    <w:t>石英砂</w:t>
                  </w:r>
                </w:p>
              </w:tc>
              <w:tc>
                <w:tcPr>
                  <w:tcW w:w="1241" w:type="dxa"/>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954.55 </w:t>
                  </w:r>
                </w:p>
              </w:tc>
              <w:tc>
                <w:tcPr>
                  <w:tcW w:w="846" w:type="dxa"/>
                  <w:vAlign w:val="center"/>
                </w:tcPr>
                <w:p>
                  <w:pPr>
                    <w:snapToGrid w:val="0"/>
                    <w:jc w:val="center"/>
                    <w:rPr>
                      <w:szCs w:val="21"/>
                    </w:rPr>
                  </w:pPr>
                  <w:r>
                    <w:rPr>
                      <w:rFonts w:hint="eastAsia"/>
                      <w:szCs w:val="21"/>
                    </w:rPr>
                    <w:t>3</w:t>
                  </w:r>
                </w:p>
              </w:tc>
              <w:tc>
                <w:tcPr>
                  <w:tcW w:w="1963" w:type="dxa"/>
                  <w:vAlign w:val="center"/>
                </w:tcPr>
                <w:p>
                  <w:pPr>
                    <w:snapToGrid w:val="0"/>
                    <w:jc w:val="center"/>
                    <w:rPr>
                      <w:rFonts w:hint="eastAsia" w:eastAsia="宋体"/>
                      <w:szCs w:val="21"/>
                      <w:lang w:val="en-US" w:eastAsia="zh-CN"/>
                    </w:rPr>
                  </w:pPr>
                  <w:r>
                    <w:rPr>
                      <w:rFonts w:hint="eastAsia"/>
                      <w:szCs w:val="21"/>
                      <w:lang w:val="en-US" w:eastAsia="zh-CN"/>
                    </w:rPr>
                    <w:t>打磨、</w:t>
                  </w:r>
                  <w:r>
                    <w:rPr>
                      <w:rFonts w:hint="eastAsia"/>
                      <w:szCs w:val="21"/>
                    </w:rPr>
                    <w:t>切冒口</w:t>
                  </w:r>
                  <w:r>
                    <w:rPr>
                      <w:rFonts w:hint="eastAsia"/>
                      <w:szCs w:val="21"/>
                      <w:lang w:val="en-US" w:eastAsia="zh-CN"/>
                    </w:rPr>
                    <w:t>产生的废铁</w:t>
                  </w:r>
                </w:p>
              </w:tc>
              <w:tc>
                <w:tcPr>
                  <w:tcW w:w="1453" w:type="dxa"/>
                  <w:tcBorders>
                    <w:right w:val="nil"/>
                  </w:tcBorders>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r>
                    <w:rPr>
                      <w:rFonts w:hint="eastAsia" w:ascii="Times New Roman" w:hAnsi="Times New Roman" w:eastAsia="宋体" w:cs="Times New Roman"/>
                      <w:i w:val="0"/>
                      <w:iCs w:val="0"/>
                      <w:color w:val="000000"/>
                      <w:kern w:val="0"/>
                      <w:sz w:val="21"/>
                      <w:szCs w:val="21"/>
                      <w:u w:val="none"/>
                      <w:lang w:val="en-US" w:eastAsia="zh-CN" w:bidi="ar"/>
                    </w:rPr>
                    <w:t>（回用）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szCs w:val="21"/>
                    </w:rPr>
                  </w:pPr>
                  <w:r>
                    <w:rPr>
                      <w:rFonts w:hint="eastAsia"/>
                      <w:szCs w:val="21"/>
                    </w:rPr>
                    <w:t>4</w:t>
                  </w:r>
                </w:p>
              </w:tc>
              <w:tc>
                <w:tcPr>
                  <w:tcW w:w="1984" w:type="dxa"/>
                  <w:vAlign w:val="center"/>
                </w:tcPr>
                <w:p>
                  <w:pPr>
                    <w:snapToGrid w:val="0"/>
                    <w:jc w:val="center"/>
                    <w:rPr>
                      <w:rFonts w:ascii="Times New Roman" w:hAnsi="Times New Roman" w:eastAsia="宋体" w:cs="Times New Roman"/>
                      <w:kern w:val="2"/>
                      <w:sz w:val="21"/>
                      <w:szCs w:val="21"/>
                      <w:lang w:val="en-US" w:eastAsia="zh-CN" w:bidi="ar-SA"/>
                    </w:rPr>
                  </w:pPr>
                  <w:r>
                    <w:rPr>
                      <w:rFonts w:hint="eastAsia"/>
                      <w:szCs w:val="21"/>
                    </w:rPr>
                    <w:t>耐火材料</w:t>
                  </w:r>
                </w:p>
              </w:tc>
              <w:tc>
                <w:tcPr>
                  <w:tcW w:w="1241" w:type="dxa"/>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25.45 </w:t>
                  </w:r>
                </w:p>
              </w:tc>
              <w:tc>
                <w:tcPr>
                  <w:tcW w:w="846" w:type="dxa"/>
                  <w:vAlign w:val="center"/>
                </w:tcPr>
                <w:p>
                  <w:pPr>
                    <w:snapToGrid w:val="0"/>
                    <w:jc w:val="center"/>
                    <w:rPr>
                      <w:szCs w:val="21"/>
                    </w:rPr>
                  </w:pPr>
                  <w:r>
                    <w:rPr>
                      <w:rFonts w:hint="eastAsia"/>
                      <w:szCs w:val="21"/>
                    </w:rPr>
                    <w:t>4</w:t>
                  </w:r>
                </w:p>
              </w:tc>
              <w:tc>
                <w:tcPr>
                  <w:tcW w:w="1963" w:type="dxa"/>
                  <w:vAlign w:val="center"/>
                </w:tcPr>
                <w:p>
                  <w:pPr>
                    <w:snapToGrid w:val="0"/>
                    <w:jc w:val="center"/>
                    <w:rPr>
                      <w:szCs w:val="21"/>
                    </w:rPr>
                  </w:pPr>
                  <w:r>
                    <w:rPr>
                      <w:rFonts w:hint="eastAsia"/>
                      <w:szCs w:val="21"/>
                    </w:rPr>
                    <w:t>再生砂</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782.73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szCs w:val="21"/>
                    </w:rPr>
                  </w:pPr>
                  <w:r>
                    <w:rPr>
                      <w:rFonts w:hint="eastAsia"/>
                      <w:szCs w:val="21"/>
                    </w:rPr>
                    <w:t>5</w:t>
                  </w:r>
                </w:p>
              </w:tc>
              <w:tc>
                <w:tcPr>
                  <w:tcW w:w="1984" w:type="dxa"/>
                  <w:vAlign w:val="top"/>
                </w:tcPr>
                <w:p>
                  <w:pPr>
                    <w:snapToGrid w:val="0"/>
                    <w:jc w:val="center"/>
                    <w:rPr>
                      <w:rFonts w:ascii="Times New Roman" w:hAnsi="Times New Roman" w:eastAsia="宋体" w:cs="Times New Roman"/>
                      <w:kern w:val="2"/>
                      <w:sz w:val="21"/>
                      <w:szCs w:val="21"/>
                      <w:lang w:val="en-US" w:eastAsia="zh-CN" w:bidi="ar-SA"/>
                    </w:rPr>
                  </w:pPr>
                  <w:r>
                    <w:rPr>
                      <w:rFonts w:hint="eastAsia"/>
                      <w:szCs w:val="21"/>
                    </w:rPr>
                    <w:t>水玻璃</w:t>
                  </w:r>
                </w:p>
              </w:tc>
              <w:tc>
                <w:tcPr>
                  <w:tcW w:w="1241" w:type="dxa"/>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5.85 </w:t>
                  </w:r>
                </w:p>
              </w:tc>
              <w:tc>
                <w:tcPr>
                  <w:tcW w:w="846" w:type="dxa"/>
                  <w:vAlign w:val="center"/>
                </w:tcPr>
                <w:p>
                  <w:pPr>
                    <w:snapToGrid w:val="0"/>
                    <w:jc w:val="center"/>
                    <w:rPr>
                      <w:szCs w:val="21"/>
                    </w:rPr>
                  </w:pPr>
                  <w:r>
                    <w:rPr>
                      <w:rFonts w:hint="eastAsia"/>
                      <w:szCs w:val="21"/>
                    </w:rPr>
                    <w:t>5</w:t>
                  </w:r>
                </w:p>
              </w:tc>
              <w:tc>
                <w:tcPr>
                  <w:tcW w:w="1963" w:type="dxa"/>
                  <w:vAlign w:val="center"/>
                </w:tcPr>
                <w:p>
                  <w:pPr>
                    <w:snapToGrid w:val="0"/>
                    <w:jc w:val="center"/>
                    <w:rPr>
                      <w:szCs w:val="21"/>
                    </w:rPr>
                  </w:pPr>
                  <w:r>
                    <w:rPr>
                      <w:rFonts w:hint="eastAsia"/>
                      <w:szCs w:val="21"/>
                    </w:rPr>
                    <w:t>废砂</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szCs w:val="21"/>
                    </w:rPr>
                  </w:pPr>
                  <w:r>
                    <w:rPr>
                      <w:rFonts w:hint="eastAsia"/>
                      <w:szCs w:val="21"/>
                    </w:rPr>
                    <w:t>6</w:t>
                  </w:r>
                </w:p>
              </w:tc>
              <w:tc>
                <w:tcPr>
                  <w:tcW w:w="1984" w:type="dxa"/>
                  <w:vAlign w:val="center"/>
                </w:tcPr>
                <w:p>
                  <w:pPr>
                    <w:snapToGrid w:val="0"/>
                    <w:jc w:val="center"/>
                    <w:rPr>
                      <w:rFonts w:ascii="Times New Roman" w:hAnsi="Times New Roman" w:eastAsia="宋体" w:cs="Times New Roman"/>
                      <w:kern w:val="2"/>
                      <w:sz w:val="21"/>
                      <w:szCs w:val="21"/>
                      <w:lang w:val="en-US" w:eastAsia="zh-CN" w:bidi="ar-SA"/>
                    </w:rPr>
                  </w:pPr>
                  <w:r>
                    <w:rPr>
                      <w:rFonts w:hint="eastAsia"/>
                      <w:szCs w:val="21"/>
                    </w:rPr>
                    <w:t>清渣剂</w:t>
                  </w:r>
                </w:p>
              </w:tc>
              <w:tc>
                <w:tcPr>
                  <w:tcW w:w="1241" w:type="dxa"/>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 xml:space="preserve">38.18 </w:t>
                  </w:r>
                </w:p>
              </w:tc>
              <w:tc>
                <w:tcPr>
                  <w:tcW w:w="846" w:type="dxa"/>
                  <w:vAlign w:val="center"/>
                </w:tcPr>
                <w:p>
                  <w:pPr>
                    <w:snapToGrid w:val="0"/>
                    <w:jc w:val="center"/>
                    <w:rPr>
                      <w:szCs w:val="21"/>
                    </w:rPr>
                  </w:pPr>
                  <w:r>
                    <w:rPr>
                      <w:rFonts w:hint="eastAsia"/>
                      <w:szCs w:val="21"/>
                    </w:rPr>
                    <w:t>6</w:t>
                  </w:r>
                </w:p>
              </w:tc>
              <w:tc>
                <w:tcPr>
                  <w:tcW w:w="1963" w:type="dxa"/>
                  <w:vAlign w:val="center"/>
                </w:tcPr>
                <w:p>
                  <w:pPr>
                    <w:snapToGrid w:val="0"/>
                    <w:jc w:val="center"/>
                    <w:rPr>
                      <w:szCs w:val="21"/>
                    </w:rPr>
                  </w:pPr>
                  <w:r>
                    <w:rPr>
                      <w:rFonts w:hint="eastAsia"/>
                      <w:szCs w:val="21"/>
                    </w:rPr>
                    <w:t>除尘灰</w:t>
                  </w:r>
                </w:p>
              </w:tc>
              <w:tc>
                <w:tcPr>
                  <w:tcW w:w="1453" w:type="dxa"/>
                  <w:tcBorders>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50.2</w:t>
                  </w:r>
                  <w:r>
                    <w:rPr>
                      <w:rFonts w:hint="eastAsia" w:cs="Times New Roman"/>
                      <w:i w:val="0"/>
                      <w:iCs w:val="0"/>
                      <w:color w:val="000000"/>
                      <w:kern w:val="0"/>
                      <w:sz w:val="21"/>
                      <w:szCs w:val="21"/>
                      <w:u w:val="none"/>
                      <w:lang w:val="en-US" w:eastAsia="zh-CN"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szCs w:val="21"/>
                    </w:rPr>
                  </w:pPr>
                  <w:r>
                    <w:rPr>
                      <w:rFonts w:hint="eastAsia"/>
                      <w:szCs w:val="21"/>
                    </w:rPr>
                    <w:t>7</w:t>
                  </w:r>
                </w:p>
              </w:tc>
              <w:tc>
                <w:tcPr>
                  <w:tcW w:w="1984" w:type="dxa"/>
                  <w:vAlign w:val="center"/>
                </w:tcPr>
                <w:p>
                  <w:pPr>
                    <w:snapToGrid w:val="0"/>
                    <w:jc w:val="center"/>
                    <w:rPr>
                      <w:rFonts w:hint="eastAsia" w:eastAsia="宋体"/>
                      <w:szCs w:val="21"/>
                      <w:lang w:val="en-US" w:eastAsia="zh-CN"/>
                    </w:rPr>
                  </w:pPr>
                  <w:r>
                    <w:rPr>
                      <w:rFonts w:hint="eastAsia"/>
                      <w:szCs w:val="21"/>
                      <w:lang w:val="en-US" w:eastAsia="zh-CN"/>
                    </w:rPr>
                    <w:t>打磨、</w:t>
                  </w:r>
                  <w:r>
                    <w:rPr>
                      <w:rFonts w:hint="eastAsia"/>
                      <w:szCs w:val="21"/>
                    </w:rPr>
                    <w:t>切冒口</w:t>
                  </w:r>
                  <w:r>
                    <w:rPr>
                      <w:rFonts w:hint="eastAsia"/>
                      <w:szCs w:val="21"/>
                      <w:lang w:val="en-US" w:eastAsia="zh-CN"/>
                    </w:rPr>
                    <w:t>产生的废铁</w:t>
                  </w:r>
                </w:p>
              </w:tc>
              <w:tc>
                <w:tcPr>
                  <w:tcW w:w="1241" w:type="dxa"/>
                  <w:vAlign w:val="center"/>
                </w:tcPr>
                <w:p>
                  <w:pPr>
                    <w:widowControl/>
                    <w:jc w:val="center"/>
                    <w:textAlignment w:val="center"/>
                    <w:rPr>
                      <w:rFonts w:hint="default" w:eastAsia="宋体"/>
                      <w:szCs w:val="21"/>
                      <w:lang w:val="en-US" w:eastAsia="zh-CN"/>
                    </w:rPr>
                  </w:pPr>
                  <w:r>
                    <w:rPr>
                      <w:rFonts w:hint="eastAsia"/>
                      <w:color w:val="000000"/>
                      <w:kern w:val="0"/>
                      <w:szCs w:val="21"/>
                      <w:lang w:val="en-US" w:eastAsia="zh-CN" w:bidi="ar"/>
                    </w:rPr>
                    <w:t>51</w:t>
                  </w:r>
                </w:p>
              </w:tc>
              <w:tc>
                <w:tcPr>
                  <w:tcW w:w="846" w:type="dxa"/>
                  <w:vAlign w:val="center"/>
                </w:tcPr>
                <w:p>
                  <w:pPr>
                    <w:snapToGrid w:val="0"/>
                    <w:jc w:val="center"/>
                    <w:rPr>
                      <w:szCs w:val="21"/>
                    </w:rPr>
                  </w:pPr>
                  <w:r>
                    <w:rPr>
                      <w:rFonts w:hint="eastAsia"/>
                      <w:szCs w:val="21"/>
                    </w:rPr>
                    <w:t>7</w:t>
                  </w:r>
                </w:p>
              </w:tc>
              <w:tc>
                <w:tcPr>
                  <w:tcW w:w="1963" w:type="dxa"/>
                  <w:vAlign w:val="center"/>
                </w:tcPr>
                <w:p>
                  <w:pPr>
                    <w:snapToGrid w:val="0"/>
                    <w:jc w:val="center"/>
                    <w:rPr>
                      <w:szCs w:val="21"/>
                    </w:rPr>
                  </w:pPr>
                  <w:r>
                    <w:rPr>
                      <w:rFonts w:hint="eastAsia"/>
                      <w:szCs w:val="21"/>
                    </w:rPr>
                    <w:t>外排粉尘</w:t>
                  </w:r>
                </w:p>
              </w:tc>
              <w:tc>
                <w:tcPr>
                  <w:tcW w:w="1453" w:type="dxa"/>
                  <w:tcBorders>
                    <w:right w:val="nil"/>
                  </w:tcBorders>
                  <w:vAlign w:val="center"/>
                </w:tcPr>
                <w:p>
                  <w:pPr>
                    <w:keepNext w:val="0"/>
                    <w:keepLines w:val="0"/>
                    <w:widowControl/>
                    <w:suppressLineNumbers w:val="0"/>
                    <w:jc w:val="center"/>
                    <w:textAlignment w:val="bottom"/>
                    <w:rPr>
                      <w:rFonts w:hint="eastAsia" w:ascii="Times New Roman" w:hAnsi="Times New Roman" w:eastAsia="宋体" w:cs="Times New Roman"/>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3" w:type="dxa"/>
                  <w:gridSpan w:val="2"/>
                  <w:tcBorders>
                    <w:left w:val="nil"/>
                    <w:bottom w:val="single" w:color="auto" w:sz="12" w:space="0"/>
                  </w:tcBorders>
                  <w:vAlign w:val="center"/>
                </w:tcPr>
                <w:p>
                  <w:pPr>
                    <w:snapToGrid w:val="0"/>
                    <w:jc w:val="center"/>
                    <w:rPr>
                      <w:szCs w:val="21"/>
                    </w:rPr>
                  </w:pPr>
                  <w:r>
                    <w:rPr>
                      <w:rFonts w:hint="eastAsia"/>
                      <w:szCs w:val="21"/>
                    </w:rPr>
                    <w:t>总计</w:t>
                  </w:r>
                </w:p>
              </w:tc>
              <w:tc>
                <w:tcPr>
                  <w:tcW w:w="1241" w:type="dxa"/>
                  <w:tcBorders>
                    <w:bottom w:val="single" w:color="auto" w:sz="12" w:space="0"/>
                  </w:tcBorders>
                  <w:vAlign w:val="center"/>
                </w:tcPr>
                <w:p>
                  <w:pPr>
                    <w:snapToGrid w:val="0"/>
                    <w:jc w:val="center"/>
                    <w:rPr>
                      <w:szCs w:val="21"/>
                    </w:rPr>
                  </w:pPr>
                  <w:r>
                    <w:rPr>
                      <w:rFonts w:hint="eastAsia"/>
                      <w:szCs w:val="21"/>
                    </w:rPr>
                    <w:t>8205.42</w:t>
                  </w:r>
                </w:p>
              </w:tc>
              <w:tc>
                <w:tcPr>
                  <w:tcW w:w="2809" w:type="dxa"/>
                  <w:gridSpan w:val="2"/>
                  <w:tcBorders>
                    <w:bottom w:val="single" w:color="auto" w:sz="12" w:space="0"/>
                  </w:tcBorders>
                  <w:vAlign w:val="center"/>
                </w:tcPr>
                <w:p>
                  <w:pPr>
                    <w:snapToGrid w:val="0"/>
                    <w:jc w:val="center"/>
                    <w:rPr>
                      <w:szCs w:val="21"/>
                    </w:rPr>
                  </w:pPr>
                  <w:r>
                    <w:rPr>
                      <w:rFonts w:hint="eastAsia"/>
                      <w:szCs w:val="21"/>
                    </w:rPr>
                    <w:t>合计</w:t>
                  </w:r>
                </w:p>
              </w:tc>
              <w:tc>
                <w:tcPr>
                  <w:tcW w:w="1453" w:type="dxa"/>
                  <w:tcBorders>
                    <w:bottom w:val="single" w:color="auto" w:sz="12" w:space="0"/>
                    <w:right w:val="nil"/>
                  </w:tcBorders>
                  <w:vAlign w:val="center"/>
                </w:tcPr>
                <w:p>
                  <w:pPr>
                    <w:widowControl/>
                    <w:jc w:val="center"/>
                    <w:textAlignment w:val="center"/>
                    <w:rPr>
                      <w:szCs w:val="21"/>
                    </w:rPr>
                  </w:pPr>
                  <w:r>
                    <w:rPr>
                      <w:rFonts w:hint="eastAsia"/>
                      <w:color w:val="000000"/>
                      <w:kern w:val="0"/>
                      <w:szCs w:val="21"/>
                      <w:lang w:bidi="ar"/>
                    </w:rPr>
                    <w:t>8205.42</w:t>
                  </w:r>
                </w:p>
              </w:tc>
            </w:tr>
          </w:tbl>
          <w:p>
            <w:pPr>
              <w:spacing w:line="500" w:lineRule="exact"/>
              <w:ind w:firstLine="480" w:firstLineChars="200"/>
              <w:rPr>
                <w:sz w:val="24"/>
              </w:rPr>
            </w:pPr>
            <w:r>
              <w:rPr>
                <w:rFonts w:hint="eastAsia"/>
                <w:sz w:val="24"/>
              </w:rPr>
              <w:t>（9）设备设施</w:t>
            </w:r>
          </w:p>
          <w:p>
            <w:pPr>
              <w:spacing w:line="500" w:lineRule="exact"/>
              <w:ind w:firstLine="480" w:firstLineChars="200"/>
              <w:rPr>
                <w:sz w:val="24"/>
              </w:rPr>
            </w:pPr>
            <w:r>
              <w:rPr>
                <w:rFonts w:hint="eastAsia"/>
                <w:sz w:val="24"/>
              </w:rPr>
              <w:t>本项目生产所需设备如下表所示。</w:t>
            </w:r>
          </w:p>
          <w:p>
            <w:pPr>
              <w:spacing w:line="500" w:lineRule="exact"/>
              <w:ind w:firstLine="723" w:firstLineChars="300"/>
              <w:jc w:val="center"/>
              <w:rPr>
                <w:b/>
                <w:snapToGrid w:val="0"/>
                <w:kern w:val="0"/>
                <w:sz w:val="24"/>
                <w:szCs w:val="22"/>
                <w:lang w:val="zh-CN"/>
              </w:rPr>
            </w:pPr>
            <w:r>
              <w:rPr>
                <w:b/>
                <w:snapToGrid w:val="0"/>
                <w:kern w:val="0"/>
                <w:sz w:val="24"/>
                <w:szCs w:val="22"/>
                <w:lang w:val="zh-CN"/>
              </w:rPr>
              <w:t>表</w:t>
            </w:r>
            <w:r>
              <w:rPr>
                <w:rFonts w:hint="eastAsia"/>
                <w:b/>
                <w:snapToGrid w:val="0"/>
                <w:kern w:val="0"/>
                <w:sz w:val="24"/>
                <w:szCs w:val="22"/>
              </w:rPr>
              <w:t>1</w:t>
            </w:r>
            <w:r>
              <w:rPr>
                <w:rFonts w:hint="eastAsia"/>
                <w:b/>
                <w:snapToGrid w:val="0"/>
                <w:kern w:val="0"/>
                <w:sz w:val="24"/>
                <w:szCs w:val="22"/>
                <w:lang w:val="en-US" w:eastAsia="zh-CN"/>
              </w:rPr>
              <w:t>6</w:t>
            </w:r>
            <w:r>
              <w:rPr>
                <w:b/>
                <w:snapToGrid w:val="0"/>
                <w:kern w:val="0"/>
                <w:sz w:val="24"/>
                <w:szCs w:val="22"/>
                <w:lang w:val="zh-CN"/>
              </w:rPr>
              <w:t xml:space="preserve">     项目生产设备、设施一览表</w:t>
            </w:r>
          </w:p>
          <w:tbl>
            <w:tblPr>
              <w:tblStyle w:val="32"/>
              <w:tblW w:w="507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66"/>
              <w:gridCol w:w="2629"/>
              <w:gridCol w:w="681"/>
              <w:gridCol w:w="668"/>
              <w:gridCol w:w="18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48" w:type="pct"/>
                  <w:tcBorders>
                    <w:tl2br w:val="nil"/>
                    <w:tr2bl w:val="nil"/>
                  </w:tcBorders>
                  <w:vAlign w:val="center"/>
                </w:tcPr>
                <w:p>
                  <w:pPr>
                    <w:snapToGrid w:val="0"/>
                    <w:jc w:val="center"/>
                    <w:rPr>
                      <w:color w:val="auto"/>
                      <w:szCs w:val="21"/>
                    </w:rPr>
                  </w:pPr>
                  <w:r>
                    <w:rPr>
                      <w:color w:val="auto"/>
                      <w:szCs w:val="21"/>
                    </w:rPr>
                    <w:t>序号</w:t>
                  </w:r>
                </w:p>
              </w:tc>
              <w:tc>
                <w:tcPr>
                  <w:tcW w:w="1154" w:type="pct"/>
                  <w:tcBorders>
                    <w:tl2br w:val="nil"/>
                    <w:tr2bl w:val="nil"/>
                  </w:tcBorders>
                  <w:vAlign w:val="center"/>
                </w:tcPr>
                <w:p>
                  <w:pPr>
                    <w:snapToGrid w:val="0"/>
                    <w:jc w:val="center"/>
                    <w:rPr>
                      <w:color w:val="auto"/>
                      <w:szCs w:val="21"/>
                    </w:rPr>
                  </w:pPr>
                  <w:r>
                    <w:rPr>
                      <w:color w:val="auto"/>
                      <w:szCs w:val="21"/>
                    </w:rPr>
                    <w:t>设备名称</w:t>
                  </w:r>
                </w:p>
              </w:tc>
              <w:tc>
                <w:tcPr>
                  <w:tcW w:w="1543" w:type="pct"/>
                  <w:tcBorders>
                    <w:tl2br w:val="nil"/>
                    <w:tr2bl w:val="nil"/>
                  </w:tcBorders>
                  <w:vAlign w:val="center"/>
                </w:tcPr>
                <w:p>
                  <w:pPr>
                    <w:snapToGrid w:val="0"/>
                    <w:jc w:val="center"/>
                    <w:rPr>
                      <w:color w:val="auto"/>
                      <w:szCs w:val="21"/>
                    </w:rPr>
                  </w:pPr>
                  <w:r>
                    <w:rPr>
                      <w:color w:val="auto"/>
                      <w:szCs w:val="21"/>
                    </w:rPr>
                    <w:t>型号与规格</w:t>
                  </w:r>
                </w:p>
              </w:tc>
              <w:tc>
                <w:tcPr>
                  <w:tcW w:w="399" w:type="pct"/>
                  <w:tcBorders>
                    <w:tl2br w:val="nil"/>
                    <w:tr2bl w:val="nil"/>
                  </w:tcBorders>
                  <w:vAlign w:val="center"/>
                </w:tcPr>
                <w:p>
                  <w:pPr>
                    <w:snapToGrid w:val="0"/>
                    <w:jc w:val="center"/>
                    <w:rPr>
                      <w:color w:val="auto"/>
                      <w:szCs w:val="21"/>
                    </w:rPr>
                  </w:pPr>
                  <w:r>
                    <w:rPr>
                      <w:color w:val="auto"/>
                      <w:szCs w:val="21"/>
                    </w:rPr>
                    <w:t>单位</w:t>
                  </w:r>
                </w:p>
              </w:tc>
              <w:tc>
                <w:tcPr>
                  <w:tcW w:w="392" w:type="pct"/>
                  <w:tcBorders>
                    <w:tl2br w:val="nil"/>
                    <w:tr2bl w:val="nil"/>
                  </w:tcBorders>
                  <w:vAlign w:val="center"/>
                </w:tcPr>
                <w:p>
                  <w:pPr>
                    <w:snapToGrid w:val="0"/>
                    <w:jc w:val="center"/>
                    <w:rPr>
                      <w:color w:val="auto"/>
                      <w:szCs w:val="21"/>
                    </w:rPr>
                  </w:pPr>
                  <w:r>
                    <w:rPr>
                      <w:color w:val="auto"/>
                      <w:szCs w:val="21"/>
                    </w:rPr>
                    <w:t>数量</w:t>
                  </w:r>
                </w:p>
              </w:tc>
              <w:tc>
                <w:tcPr>
                  <w:tcW w:w="1061" w:type="pct"/>
                  <w:tcBorders>
                    <w:tl2br w:val="nil"/>
                    <w:tr2bl w:val="nil"/>
                  </w:tcBorders>
                  <w:vAlign w:val="center"/>
                </w:tcPr>
                <w:p>
                  <w:pPr>
                    <w:snapToGrid w:val="0"/>
                    <w:jc w:val="center"/>
                    <w:rPr>
                      <w:color w:val="auto"/>
                      <w:szCs w:val="21"/>
                    </w:rPr>
                  </w:pPr>
                  <w:r>
                    <w:rPr>
                      <w:color w:val="auto"/>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rPr>
                  </w:pPr>
                  <w:r>
                    <w:rPr>
                      <w:color w:val="auto"/>
                      <w:szCs w:val="21"/>
                    </w:rPr>
                    <w:t>1</w:t>
                  </w:r>
                </w:p>
              </w:tc>
              <w:tc>
                <w:tcPr>
                  <w:tcW w:w="1154" w:type="pct"/>
                  <w:tcBorders>
                    <w:tl2br w:val="nil"/>
                    <w:tr2bl w:val="nil"/>
                  </w:tcBorders>
                  <w:vAlign w:val="center"/>
                </w:tcPr>
                <w:p>
                  <w:pPr>
                    <w:snapToGrid w:val="0"/>
                    <w:jc w:val="center"/>
                    <w:rPr>
                      <w:color w:val="auto"/>
                      <w:szCs w:val="21"/>
                    </w:rPr>
                  </w:pPr>
                  <w:r>
                    <w:rPr>
                      <w:rFonts w:hint="eastAsia"/>
                      <w:color w:val="auto"/>
                      <w:szCs w:val="21"/>
                    </w:rPr>
                    <w:t>磁</w:t>
                  </w:r>
                  <w:r>
                    <w:rPr>
                      <w:color w:val="auto"/>
                      <w:szCs w:val="21"/>
                    </w:rPr>
                    <w:t>轭钢壳感应电炉</w:t>
                  </w:r>
                </w:p>
              </w:tc>
              <w:tc>
                <w:tcPr>
                  <w:tcW w:w="1543" w:type="pct"/>
                  <w:tcBorders>
                    <w:tl2br w:val="nil"/>
                    <w:tr2bl w:val="nil"/>
                  </w:tcBorders>
                  <w:vAlign w:val="center"/>
                </w:tcPr>
                <w:p>
                  <w:pPr>
                    <w:snapToGrid w:val="0"/>
                    <w:jc w:val="center"/>
                    <w:rPr>
                      <w:color w:val="auto"/>
                      <w:szCs w:val="21"/>
                    </w:rPr>
                  </w:pPr>
                  <w:r>
                    <w:rPr>
                      <w:rFonts w:hint="eastAsia"/>
                      <w:color w:val="auto"/>
                      <w:szCs w:val="21"/>
                      <w:lang w:val="en-US" w:eastAsia="zh-CN"/>
                    </w:rPr>
                    <w:t>3</w:t>
                  </w:r>
                  <w:r>
                    <w:rPr>
                      <w:rFonts w:hint="eastAsia"/>
                      <w:color w:val="auto"/>
                      <w:szCs w:val="21"/>
                    </w:rPr>
                    <w:t>t（配套设置1个炉座）</w:t>
                  </w: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rFonts w:hint="eastAsia" w:eastAsia="宋体"/>
                      <w:color w:val="auto"/>
                      <w:szCs w:val="21"/>
                      <w:lang w:eastAsia="zh-CN"/>
                    </w:rPr>
                  </w:pPr>
                  <w:r>
                    <w:rPr>
                      <w:rFonts w:hint="eastAsia"/>
                      <w:color w:val="auto"/>
                      <w:szCs w:val="21"/>
                      <w:lang w:val="en-US" w:eastAsia="zh-CN"/>
                    </w:rPr>
                    <w:t>2</w:t>
                  </w:r>
                </w:p>
              </w:tc>
              <w:tc>
                <w:tcPr>
                  <w:tcW w:w="1061" w:type="pct"/>
                  <w:tcBorders>
                    <w:tl2br w:val="nil"/>
                    <w:tr2bl w:val="nil"/>
                  </w:tcBorders>
                  <w:vAlign w:val="center"/>
                </w:tcPr>
                <w:p>
                  <w:pPr>
                    <w:snapToGrid w:val="0"/>
                    <w:jc w:val="center"/>
                    <w:rPr>
                      <w:color w:val="auto"/>
                      <w:szCs w:val="21"/>
                    </w:rPr>
                  </w:pPr>
                  <w:r>
                    <w:rPr>
                      <w:rFonts w:hint="eastAsia"/>
                      <w:color w:val="auto"/>
                      <w:szCs w:val="21"/>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2</w:t>
                  </w:r>
                </w:p>
              </w:tc>
              <w:tc>
                <w:tcPr>
                  <w:tcW w:w="1154" w:type="pct"/>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变压器</w:t>
                  </w:r>
                </w:p>
              </w:tc>
              <w:tc>
                <w:tcPr>
                  <w:tcW w:w="1543" w:type="pct"/>
                  <w:tcBorders>
                    <w:tl2br w:val="nil"/>
                    <w:tr2bl w:val="nil"/>
                  </w:tcBorders>
                  <w:vAlign w:val="center"/>
                </w:tcPr>
                <w:p>
                  <w:pPr>
                    <w:snapToGrid w:val="0"/>
                    <w:jc w:val="center"/>
                    <w:rPr>
                      <w:rFonts w:hint="eastAsia"/>
                      <w:color w:val="auto"/>
                      <w:szCs w:val="21"/>
                      <w:lang w:val="en-US" w:eastAsia="zh-CN"/>
                    </w:rPr>
                  </w:pPr>
                </w:p>
              </w:tc>
              <w:tc>
                <w:tcPr>
                  <w:tcW w:w="399" w:type="pct"/>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台</w:t>
                  </w:r>
                </w:p>
              </w:tc>
              <w:tc>
                <w:tcPr>
                  <w:tcW w:w="392" w:type="pct"/>
                  <w:tcBorders>
                    <w:tl2br w:val="nil"/>
                    <w:tr2bl w:val="nil"/>
                  </w:tcBorders>
                  <w:vAlign w:val="center"/>
                </w:tcPr>
                <w:p>
                  <w:pPr>
                    <w:snapToGrid w:val="0"/>
                    <w:jc w:val="center"/>
                    <w:rPr>
                      <w:rFonts w:hint="default"/>
                      <w:color w:val="auto"/>
                      <w:szCs w:val="21"/>
                      <w:lang w:val="en-US" w:eastAsia="zh-CN"/>
                    </w:rPr>
                  </w:pPr>
                  <w:r>
                    <w:rPr>
                      <w:rFonts w:hint="eastAsia"/>
                      <w:color w:val="auto"/>
                      <w:szCs w:val="21"/>
                      <w:lang w:val="en-US" w:eastAsia="zh-CN"/>
                    </w:rPr>
                    <w:t>1</w:t>
                  </w:r>
                </w:p>
              </w:tc>
              <w:tc>
                <w:tcPr>
                  <w:tcW w:w="1061" w:type="pct"/>
                  <w:tcBorders>
                    <w:tl2br w:val="nil"/>
                    <w:tr2bl w:val="nil"/>
                  </w:tcBorders>
                  <w:vAlign w:val="center"/>
                </w:tcPr>
                <w:p>
                  <w:pPr>
                    <w:snapToGrid w:val="0"/>
                    <w:jc w:val="center"/>
                    <w:rPr>
                      <w:rFonts w:hint="eastAsia"/>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3</w:t>
                  </w:r>
                </w:p>
              </w:tc>
              <w:tc>
                <w:tcPr>
                  <w:tcW w:w="1154" w:type="pct"/>
                  <w:tcBorders>
                    <w:tl2br w:val="nil"/>
                    <w:tr2bl w:val="nil"/>
                  </w:tcBorders>
                  <w:vAlign w:val="center"/>
                </w:tcPr>
                <w:p>
                  <w:pPr>
                    <w:snapToGrid w:val="0"/>
                    <w:jc w:val="center"/>
                    <w:rPr>
                      <w:color w:val="auto"/>
                      <w:szCs w:val="21"/>
                    </w:rPr>
                  </w:pPr>
                  <w:r>
                    <w:rPr>
                      <w:rFonts w:hint="eastAsia"/>
                      <w:color w:val="auto"/>
                      <w:szCs w:val="21"/>
                    </w:rPr>
                    <w:t>砂处理设备</w:t>
                  </w:r>
                </w:p>
              </w:tc>
              <w:tc>
                <w:tcPr>
                  <w:tcW w:w="1543" w:type="pct"/>
                  <w:tcBorders>
                    <w:tl2br w:val="nil"/>
                    <w:tr2bl w:val="nil"/>
                  </w:tcBorders>
                  <w:vAlign w:val="center"/>
                </w:tcPr>
                <w:p>
                  <w:pPr>
                    <w:snapToGrid w:val="0"/>
                    <w:jc w:val="center"/>
                    <w:rPr>
                      <w:color w:val="auto"/>
                      <w:szCs w:val="21"/>
                    </w:rPr>
                  </w:pPr>
                  <w:r>
                    <w:rPr>
                      <w:rFonts w:hint="eastAsia"/>
                      <w:color w:val="auto"/>
                      <w:szCs w:val="21"/>
                    </w:rPr>
                    <w:t>HPX1</w:t>
                  </w:r>
                </w:p>
              </w:tc>
              <w:tc>
                <w:tcPr>
                  <w:tcW w:w="399" w:type="pct"/>
                  <w:tcBorders>
                    <w:tl2br w:val="nil"/>
                    <w:tr2bl w:val="nil"/>
                  </w:tcBorders>
                  <w:vAlign w:val="center"/>
                </w:tcPr>
                <w:p>
                  <w:pPr>
                    <w:snapToGrid w:val="0"/>
                    <w:jc w:val="center"/>
                    <w:rPr>
                      <w:color w:val="auto"/>
                      <w:szCs w:val="21"/>
                    </w:rPr>
                  </w:pPr>
                  <w:r>
                    <w:rPr>
                      <w:rFonts w:hint="eastAsia"/>
                      <w:color w:val="auto"/>
                      <w:szCs w:val="21"/>
                    </w:rPr>
                    <w:t>套</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r>
                    <w:rPr>
                      <w:rFonts w:hint="eastAsia"/>
                      <w:color w:val="auto"/>
                      <w:szCs w:val="21"/>
                    </w:rPr>
                    <w:t>包括上料仓、振筛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4</w:t>
                  </w:r>
                </w:p>
              </w:tc>
              <w:tc>
                <w:tcPr>
                  <w:tcW w:w="1154" w:type="pct"/>
                  <w:tcBorders>
                    <w:tl2br w:val="nil"/>
                    <w:tr2bl w:val="nil"/>
                  </w:tcBorders>
                  <w:vAlign w:val="center"/>
                </w:tcPr>
                <w:p>
                  <w:pPr>
                    <w:snapToGrid w:val="0"/>
                    <w:jc w:val="center"/>
                    <w:rPr>
                      <w:color w:val="auto"/>
                      <w:szCs w:val="21"/>
                    </w:rPr>
                  </w:pPr>
                  <w:r>
                    <w:rPr>
                      <w:rFonts w:hint="eastAsia"/>
                      <w:color w:val="auto"/>
                      <w:szCs w:val="21"/>
                    </w:rPr>
                    <w:t>斗式提升机</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rFonts w:hint="eastAsia"/>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5</w:t>
                  </w:r>
                </w:p>
              </w:tc>
              <w:tc>
                <w:tcPr>
                  <w:tcW w:w="1154" w:type="pct"/>
                  <w:tcBorders>
                    <w:tl2br w:val="nil"/>
                    <w:tr2bl w:val="nil"/>
                  </w:tcBorders>
                  <w:vAlign w:val="center"/>
                </w:tcPr>
                <w:p>
                  <w:pPr>
                    <w:snapToGrid w:val="0"/>
                    <w:jc w:val="center"/>
                    <w:rPr>
                      <w:color w:val="auto"/>
                      <w:szCs w:val="21"/>
                    </w:rPr>
                  </w:pPr>
                  <w:r>
                    <w:rPr>
                      <w:rFonts w:hint="eastAsia"/>
                      <w:color w:val="auto"/>
                      <w:szCs w:val="21"/>
                    </w:rPr>
                    <w:t>滚砂机</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6</w:t>
                  </w:r>
                </w:p>
              </w:tc>
              <w:tc>
                <w:tcPr>
                  <w:tcW w:w="1154" w:type="pct"/>
                  <w:tcBorders>
                    <w:tl2br w:val="nil"/>
                    <w:tr2bl w:val="nil"/>
                  </w:tcBorders>
                  <w:vAlign w:val="center"/>
                </w:tcPr>
                <w:p>
                  <w:pPr>
                    <w:snapToGrid w:val="0"/>
                    <w:jc w:val="center"/>
                    <w:rPr>
                      <w:color w:val="auto"/>
                      <w:szCs w:val="21"/>
                    </w:rPr>
                  </w:pPr>
                  <w:r>
                    <w:rPr>
                      <w:rFonts w:hint="eastAsia"/>
                      <w:color w:val="auto"/>
                      <w:szCs w:val="21"/>
                    </w:rPr>
                    <w:t>皮带输送机</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rFonts w:hint="eastAsia"/>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7</w:t>
                  </w:r>
                </w:p>
              </w:tc>
              <w:tc>
                <w:tcPr>
                  <w:tcW w:w="1154" w:type="pct"/>
                  <w:tcBorders>
                    <w:tl2br w:val="nil"/>
                    <w:tr2bl w:val="nil"/>
                  </w:tcBorders>
                  <w:vAlign w:val="center"/>
                </w:tcPr>
                <w:p>
                  <w:pPr>
                    <w:snapToGrid w:val="0"/>
                    <w:jc w:val="center"/>
                    <w:rPr>
                      <w:color w:val="auto"/>
                      <w:szCs w:val="21"/>
                    </w:rPr>
                  </w:pPr>
                  <w:r>
                    <w:rPr>
                      <w:rFonts w:hint="eastAsia"/>
                      <w:color w:val="auto"/>
                      <w:szCs w:val="21"/>
                    </w:rPr>
                    <w:t>钢水包</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rFonts w:hint="eastAsia"/>
                      <w:color w:val="auto"/>
                      <w:szCs w:val="21"/>
                    </w:rPr>
                    <w:t>个</w:t>
                  </w:r>
                </w:p>
              </w:tc>
              <w:tc>
                <w:tcPr>
                  <w:tcW w:w="392" w:type="pct"/>
                  <w:tcBorders>
                    <w:tl2br w:val="nil"/>
                    <w:tr2bl w:val="nil"/>
                  </w:tcBorders>
                  <w:vAlign w:val="center"/>
                </w:tcPr>
                <w:p>
                  <w:pPr>
                    <w:snapToGrid w:val="0"/>
                    <w:jc w:val="center"/>
                    <w:rPr>
                      <w:color w:val="auto"/>
                      <w:szCs w:val="21"/>
                    </w:rPr>
                  </w:pPr>
                  <w:r>
                    <w:rPr>
                      <w:rFonts w:hint="eastAsia"/>
                      <w:color w:val="auto"/>
                      <w:szCs w:val="21"/>
                    </w:rPr>
                    <w:t>10</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rPr>
                    <w:t>8</w:t>
                  </w:r>
                </w:p>
              </w:tc>
              <w:tc>
                <w:tcPr>
                  <w:tcW w:w="1154" w:type="pct"/>
                  <w:tcBorders>
                    <w:tl2br w:val="nil"/>
                    <w:tr2bl w:val="nil"/>
                  </w:tcBorders>
                  <w:vAlign w:val="center"/>
                </w:tcPr>
                <w:p>
                  <w:pPr>
                    <w:snapToGrid w:val="0"/>
                    <w:jc w:val="center"/>
                    <w:rPr>
                      <w:color w:val="auto"/>
                      <w:szCs w:val="21"/>
                    </w:rPr>
                  </w:pPr>
                  <w:r>
                    <w:rPr>
                      <w:rFonts w:hint="eastAsia"/>
                      <w:color w:val="auto"/>
                      <w:szCs w:val="21"/>
                    </w:rPr>
                    <w:t>铁模具</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rFonts w:hint="eastAsia"/>
                      <w:color w:val="auto"/>
                      <w:szCs w:val="21"/>
                    </w:rPr>
                    <w:t>个</w:t>
                  </w:r>
                </w:p>
              </w:tc>
              <w:tc>
                <w:tcPr>
                  <w:tcW w:w="392" w:type="pct"/>
                  <w:tcBorders>
                    <w:tl2br w:val="nil"/>
                    <w:tr2bl w:val="nil"/>
                  </w:tcBorders>
                  <w:vAlign w:val="center"/>
                </w:tcPr>
                <w:p>
                  <w:pPr>
                    <w:snapToGrid w:val="0"/>
                    <w:jc w:val="center"/>
                    <w:rPr>
                      <w:color w:val="auto"/>
                      <w:szCs w:val="21"/>
                    </w:rPr>
                  </w:pPr>
                  <w:r>
                    <w:rPr>
                      <w:rFonts w:hint="eastAsia"/>
                      <w:color w:val="auto"/>
                      <w:szCs w:val="21"/>
                    </w:rPr>
                    <w:t>30</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9</w:t>
                  </w:r>
                </w:p>
              </w:tc>
              <w:tc>
                <w:tcPr>
                  <w:tcW w:w="1154" w:type="pct"/>
                  <w:tcBorders>
                    <w:tl2br w:val="nil"/>
                    <w:tr2bl w:val="nil"/>
                  </w:tcBorders>
                  <w:vAlign w:val="center"/>
                </w:tcPr>
                <w:p>
                  <w:pPr>
                    <w:snapToGrid w:val="0"/>
                    <w:jc w:val="center"/>
                    <w:rPr>
                      <w:rFonts w:hint="eastAsia" w:eastAsia="宋体"/>
                      <w:color w:val="FF0000"/>
                      <w:szCs w:val="21"/>
                      <w:lang w:val="en-US" w:eastAsia="zh-CN"/>
                    </w:rPr>
                  </w:pPr>
                  <w:r>
                    <w:rPr>
                      <w:rFonts w:hint="eastAsia"/>
                      <w:color w:val="FF0000"/>
                      <w:szCs w:val="21"/>
                      <w:lang w:val="en-US" w:eastAsia="zh-CN"/>
                    </w:rPr>
                    <w:t>铁水包</w:t>
                  </w:r>
                </w:p>
              </w:tc>
              <w:tc>
                <w:tcPr>
                  <w:tcW w:w="1543" w:type="pct"/>
                  <w:tcBorders>
                    <w:tl2br w:val="nil"/>
                    <w:tr2bl w:val="nil"/>
                  </w:tcBorders>
                  <w:vAlign w:val="center"/>
                </w:tcPr>
                <w:p>
                  <w:pPr>
                    <w:snapToGrid w:val="0"/>
                    <w:jc w:val="center"/>
                    <w:rPr>
                      <w:color w:val="FF0000"/>
                      <w:szCs w:val="21"/>
                    </w:rPr>
                  </w:pPr>
                </w:p>
              </w:tc>
              <w:tc>
                <w:tcPr>
                  <w:tcW w:w="399" w:type="pct"/>
                  <w:tcBorders>
                    <w:tl2br w:val="nil"/>
                    <w:tr2bl w:val="nil"/>
                  </w:tcBorders>
                  <w:vAlign w:val="center"/>
                </w:tcPr>
                <w:p>
                  <w:pPr>
                    <w:snapToGrid w:val="0"/>
                    <w:jc w:val="center"/>
                    <w:rPr>
                      <w:rFonts w:hint="eastAsia" w:eastAsia="宋体"/>
                      <w:color w:val="FF0000"/>
                      <w:szCs w:val="21"/>
                      <w:lang w:val="en-US" w:eastAsia="zh-CN"/>
                    </w:rPr>
                  </w:pPr>
                  <w:r>
                    <w:rPr>
                      <w:rFonts w:hint="eastAsia"/>
                      <w:color w:val="FF0000"/>
                      <w:szCs w:val="21"/>
                      <w:lang w:val="en-US" w:eastAsia="zh-CN"/>
                    </w:rPr>
                    <w:t>个</w:t>
                  </w:r>
                </w:p>
              </w:tc>
              <w:tc>
                <w:tcPr>
                  <w:tcW w:w="392" w:type="pct"/>
                  <w:tcBorders>
                    <w:tl2br w:val="nil"/>
                    <w:tr2bl w:val="nil"/>
                  </w:tcBorders>
                  <w:vAlign w:val="center"/>
                </w:tcPr>
                <w:p>
                  <w:pPr>
                    <w:snapToGrid w:val="0"/>
                    <w:jc w:val="center"/>
                    <w:rPr>
                      <w:rFonts w:hint="eastAsia" w:eastAsia="宋体"/>
                      <w:color w:val="FF0000"/>
                      <w:szCs w:val="21"/>
                      <w:lang w:val="en-US" w:eastAsia="zh-CN"/>
                    </w:rPr>
                  </w:pPr>
                  <w:r>
                    <w:rPr>
                      <w:rFonts w:hint="eastAsia"/>
                      <w:color w:val="FF0000"/>
                      <w:szCs w:val="21"/>
                      <w:lang w:val="en-US" w:eastAsia="zh-CN"/>
                    </w:rPr>
                    <w:t>5</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10</w:t>
                  </w:r>
                </w:p>
              </w:tc>
              <w:tc>
                <w:tcPr>
                  <w:tcW w:w="1154" w:type="pct"/>
                  <w:tcBorders>
                    <w:tl2br w:val="nil"/>
                    <w:tr2bl w:val="nil"/>
                  </w:tcBorders>
                  <w:vAlign w:val="center"/>
                </w:tcPr>
                <w:p>
                  <w:pPr>
                    <w:snapToGrid w:val="0"/>
                    <w:jc w:val="center"/>
                    <w:rPr>
                      <w:color w:val="auto"/>
                      <w:szCs w:val="21"/>
                    </w:rPr>
                  </w:pPr>
                  <w:r>
                    <w:rPr>
                      <w:rFonts w:hint="eastAsia"/>
                      <w:color w:val="auto"/>
                      <w:szCs w:val="21"/>
                    </w:rPr>
                    <w:t>碾轮式混砂机</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11</w:t>
                  </w:r>
                </w:p>
              </w:tc>
              <w:tc>
                <w:tcPr>
                  <w:tcW w:w="1154" w:type="pct"/>
                  <w:tcBorders>
                    <w:tl2br w:val="nil"/>
                    <w:tr2bl w:val="nil"/>
                  </w:tcBorders>
                  <w:vAlign w:val="center"/>
                </w:tcPr>
                <w:p>
                  <w:pPr>
                    <w:snapToGrid w:val="0"/>
                    <w:jc w:val="center"/>
                    <w:rPr>
                      <w:color w:val="auto"/>
                      <w:szCs w:val="21"/>
                    </w:rPr>
                  </w:pPr>
                  <w:r>
                    <w:rPr>
                      <w:rFonts w:hint="eastAsia"/>
                      <w:color w:val="auto"/>
                      <w:szCs w:val="21"/>
                    </w:rPr>
                    <w:t>震击式造型机</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1</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lang w:val="en-US" w:eastAsia="zh-CN" w:bidi="ar-SA"/>
                    </w:rPr>
                  </w:pPr>
                  <w:r>
                    <w:rPr>
                      <w:rFonts w:hint="eastAsia"/>
                      <w:color w:val="auto"/>
                      <w:szCs w:val="21"/>
                    </w:rPr>
                    <w:t>12</w:t>
                  </w:r>
                </w:p>
              </w:tc>
              <w:tc>
                <w:tcPr>
                  <w:tcW w:w="1154" w:type="pct"/>
                  <w:tcBorders>
                    <w:tl2br w:val="nil"/>
                    <w:tr2bl w:val="nil"/>
                  </w:tcBorders>
                  <w:vAlign w:val="center"/>
                </w:tcPr>
                <w:p>
                  <w:pPr>
                    <w:snapToGrid w:val="0"/>
                    <w:jc w:val="center"/>
                    <w:rPr>
                      <w:color w:val="auto"/>
                      <w:szCs w:val="21"/>
                    </w:rPr>
                  </w:pPr>
                  <w:r>
                    <w:rPr>
                      <w:rFonts w:hint="eastAsia"/>
                      <w:color w:val="auto"/>
                      <w:szCs w:val="21"/>
                    </w:rPr>
                    <w:t>天车</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6</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rPr>
                    <w:t>13</w:t>
                  </w:r>
                </w:p>
              </w:tc>
              <w:tc>
                <w:tcPr>
                  <w:tcW w:w="1154" w:type="pct"/>
                  <w:tcBorders>
                    <w:tl2br w:val="nil"/>
                    <w:tr2bl w:val="nil"/>
                  </w:tcBorders>
                  <w:vAlign w:val="center"/>
                </w:tcPr>
                <w:p>
                  <w:pPr>
                    <w:snapToGrid w:val="0"/>
                    <w:jc w:val="center"/>
                    <w:rPr>
                      <w:color w:val="auto"/>
                      <w:szCs w:val="21"/>
                    </w:rPr>
                  </w:pPr>
                  <w:r>
                    <w:rPr>
                      <w:rFonts w:hint="eastAsia"/>
                      <w:color w:val="auto"/>
                      <w:szCs w:val="21"/>
                    </w:rPr>
                    <w:t>角磨机</w:t>
                  </w:r>
                </w:p>
              </w:tc>
              <w:tc>
                <w:tcPr>
                  <w:tcW w:w="1543" w:type="pct"/>
                  <w:tcBorders>
                    <w:tl2br w:val="nil"/>
                    <w:tr2bl w:val="nil"/>
                  </w:tcBorders>
                  <w:vAlign w:val="center"/>
                </w:tcPr>
                <w:p>
                  <w:pPr>
                    <w:snapToGrid w:val="0"/>
                    <w:jc w:val="center"/>
                    <w:rPr>
                      <w:color w:val="auto"/>
                      <w:szCs w:val="21"/>
                    </w:rPr>
                  </w:pP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5</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14</w:t>
                  </w:r>
                </w:p>
              </w:tc>
              <w:tc>
                <w:tcPr>
                  <w:tcW w:w="1154" w:type="pct"/>
                  <w:tcBorders>
                    <w:tl2br w:val="nil"/>
                    <w:tr2bl w:val="nil"/>
                  </w:tcBorders>
                  <w:vAlign w:val="center"/>
                </w:tcPr>
                <w:p>
                  <w:pPr>
                    <w:snapToGrid w:val="0"/>
                    <w:jc w:val="center"/>
                    <w:rPr>
                      <w:color w:val="auto"/>
                      <w:szCs w:val="21"/>
                    </w:rPr>
                  </w:pPr>
                  <w:r>
                    <w:rPr>
                      <w:rFonts w:hint="eastAsia"/>
                      <w:color w:val="auto"/>
                      <w:szCs w:val="21"/>
                    </w:rPr>
                    <w:t>退火炉</w:t>
                  </w:r>
                </w:p>
              </w:tc>
              <w:tc>
                <w:tcPr>
                  <w:tcW w:w="1543" w:type="pct"/>
                  <w:tcBorders>
                    <w:tl2br w:val="nil"/>
                    <w:tr2bl w:val="nil"/>
                  </w:tcBorders>
                  <w:vAlign w:val="center"/>
                </w:tcPr>
                <w:p>
                  <w:pPr>
                    <w:snapToGrid w:val="0"/>
                    <w:jc w:val="center"/>
                    <w:rPr>
                      <w:color w:val="auto"/>
                      <w:szCs w:val="21"/>
                    </w:rPr>
                  </w:pPr>
                  <w:r>
                    <w:rPr>
                      <w:rFonts w:hint="eastAsia"/>
                      <w:color w:val="auto"/>
                      <w:szCs w:val="21"/>
                    </w:rPr>
                    <w:t>RTP001</w:t>
                  </w: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color w:val="auto"/>
                      <w:szCs w:val="21"/>
                    </w:rPr>
                  </w:pPr>
                  <w:r>
                    <w:rPr>
                      <w:rFonts w:hint="eastAsia"/>
                      <w:color w:val="auto"/>
                      <w:szCs w:val="21"/>
                    </w:rPr>
                    <w:t>2</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r>
                    <w:rPr>
                      <w:rFonts w:hint="eastAsia"/>
                      <w:color w:val="auto"/>
                      <w:szCs w:val="21"/>
                      <w:highlight w:val="none"/>
                      <w:lang w:val="en-US" w:eastAsia="zh-CN"/>
                    </w:rPr>
                    <w:t>5</w:t>
                  </w:r>
                </w:p>
              </w:tc>
              <w:tc>
                <w:tcPr>
                  <w:tcW w:w="1154" w:type="pct"/>
                  <w:tcBorders>
                    <w:tl2br w:val="nil"/>
                    <w:tr2bl w:val="nil"/>
                  </w:tcBorders>
                  <w:vAlign w:val="center"/>
                </w:tcPr>
                <w:p>
                  <w:pPr>
                    <w:snapToGrid w:val="0"/>
                    <w:jc w:val="center"/>
                    <w:rPr>
                      <w:rFonts w:hint="eastAsia"/>
                      <w:color w:val="auto"/>
                      <w:szCs w:val="21"/>
                    </w:rPr>
                  </w:pPr>
                  <w:r>
                    <w:rPr>
                      <w:rFonts w:hint="eastAsia"/>
                      <w:color w:val="auto"/>
                      <w:szCs w:val="21"/>
                    </w:rPr>
                    <w:t>风镐</w:t>
                  </w:r>
                </w:p>
              </w:tc>
              <w:tc>
                <w:tcPr>
                  <w:tcW w:w="1543" w:type="pct"/>
                  <w:tcBorders>
                    <w:tl2br w:val="nil"/>
                    <w:tr2bl w:val="nil"/>
                  </w:tcBorders>
                  <w:vAlign w:val="center"/>
                </w:tcPr>
                <w:p>
                  <w:pPr>
                    <w:snapToGrid w:val="0"/>
                    <w:jc w:val="center"/>
                    <w:rPr>
                      <w:rFonts w:hint="eastAsia"/>
                      <w:color w:val="auto"/>
                      <w:szCs w:val="21"/>
                    </w:rPr>
                  </w:pPr>
                </w:p>
              </w:tc>
              <w:tc>
                <w:tcPr>
                  <w:tcW w:w="399" w:type="pct"/>
                  <w:tcBorders>
                    <w:tl2br w:val="nil"/>
                    <w:tr2bl w:val="nil"/>
                  </w:tcBorders>
                  <w:vAlign w:val="center"/>
                </w:tcPr>
                <w:p>
                  <w:pPr>
                    <w:snapToGrid w:val="0"/>
                    <w:jc w:val="center"/>
                    <w:rPr>
                      <w:color w:val="auto"/>
                      <w:szCs w:val="21"/>
                    </w:rPr>
                  </w:pPr>
                  <w:r>
                    <w:rPr>
                      <w:color w:val="auto"/>
                      <w:szCs w:val="21"/>
                    </w:rPr>
                    <w:t>台</w:t>
                  </w:r>
                </w:p>
              </w:tc>
              <w:tc>
                <w:tcPr>
                  <w:tcW w:w="392" w:type="pct"/>
                  <w:tcBorders>
                    <w:tl2br w:val="nil"/>
                    <w:tr2bl w:val="nil"/>
                  </w:tcBorders>
                  <w:vAlign w:val="center"/>
                </w:tcPr>
                <w:p>
                  <w:pPr>
                    <w:snapToGrid w:val="0"/>
                    <w:jc w:val="center"/>
                    <w:rPr>
                      <w:rFonts w:hint="eastAsia" w:eastAsia="宋体"/>
                      <w:color w:val="auto"/>
                      <w:szCs w:val="21"/>
                      <w:lang w:val="en-US" w:eastAsia="zh-CN"/>
                    </w:rPr>
                  </w:pPr>
                  <w:r>
                    <w:rPr>
                      <w:rFonts w:hint="eastAsia"/>
                      <w:color w:val="auto"/>
                      <w:szCs w:val="21"/>
                      <w:lang w:val="en-US" w:eastAsia="zh-CN"/>
                    </w:rPr>
                    <w:t>5</w:t>
                  </w:r>
                </w:p>
              </w:tc>
              <w:tc>
                <w:tcPr>
                  <w:tcW w:w="1061" w:type="pct"/>
                  <w:tcBorders>
                    <w:tl2br w:val="nil"/>
                    <w:tr2bl w:val="nil"/>
                  </w:tcBorders>
                  <w:vAlign w:val="center"/>
                </w:tcPr>
                <w:p>
                  <w:pPr>
                    <w:snapToGrid w:val="0"/>
                    <w:jc w:val="center"/>
                    <w:rPr>
                      <w:color w:val="auto"/>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16</w:t>
                  </w:r>
                </w:p>
              </w:tc>
              <w:tc>
                <w:tcPr>
                  <w:tcW w:w="1154"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脉冲袋式除尘器</w:t>
                  </w:r>
                </w:p>
              </w:tc>
              <w:tc>
                <w:tcPr>
                  <w:tcW w:w="1543"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6500</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/h，过滤风速为0.8m/min，过滤面积</w:t>
                  </w:r>
                  <w:r>
                    <w:rPr>
                      <w:rFonts w:hint="eastAsia"/>
                      <w:color w:val="auto"/>
                      <w:szCs w:val="21"/>
                      <w:highlight w:val="none"/>
                      <w:lang w:val="en-US" w:eastAsia="zh-CN"/>
                    </w:rPr>
                    <w:t>135</w:t>
                  </w:r>
                  <w:r>
                    <w:rPr>
                      <w:rFonts w:hint="eastAsia"/>
                      <w:color w:val="auto"/>
                      <w:szCs w:val="21"/>
                      <w:highlight w:val="none"/>
                    </w:rPr>
                    <w:t>m</w:t>
                  </w:r>
                  <w:r>
                    <w:rPr>
                      <w:rFonts w:hint="eastAsia"/>
                      <w:color w:val="auto"/>
                      <w:szCs w:val="21"/>
                      <w:highlight w:val="none"/>
                      <w:vertAlign w:val="superscript"/>
                    </w:rPr>
                    <w:t>2</w:t>
                  </w:r>
                </w:p>
              </w:tc>
              <w:tc>
                <w:tcPr>
                  <w:tcW w:w="399" w:type="pct"/>
                  <w:tcBorders>
                    <w:tl2br w:val="nil"/>
                    <w:tr2bl w:val="nil"/>
                  </w:tcBorders>
                  <w:vAlign w:val="center"/>
                </w:tcPr>
                <w:p>
                  <w:pPr>
                    <w:snapToGrid w:val="0"/>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套</w:t>
                  </w:r>
                </w:p>
              </w:tc>
              <w:tc>
                <w:tcPr>
                  <w:tcW w:w="392" w:type="pct"/>
                  <w:tcBorders>
                    <w:tl2br w:val="nil"/>
                    <w:tr2bl w:val="nil"/>
                  </w:tcBorders>
                  <w:vAlign w:val="center"/>
                </w:tcPr>
                <w:p>
                  <w:pPr>
                    <w:snapToGrid w:val="0"/>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1</w:t>
                  </w:r>
                </w:p>
              </w:tc>
              <w:tc>
                <w:tcPr>
                  <w:tcW w:w="1061" w:type="pct"/>
                  <w:tcBorders>
                    <w:tl2br w:val="nil"/>
                    <w:tr2bl w:val="nil"/>
                  </w:tcBorders>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Cs w:val="21"/>
                    </w:rPr>
                    <w:t>用于熔炼除尘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Cs w:val="21"/>
                    </w:rPr>
                    <w:t>17</w:t>
                  </w:r>
                </w:p>
              </w:tc>
              <w:tc>
                <w:tcPr>
                  <w:tcW w:w="1154"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脉冲袋式除尘器</w:t>
                  </w:r>
                </w:p>
              </w:tc>
              <w:tc>
                <w:tcPr>
                  <w:tcW w:w="1543"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35</w:t>
                  </w:r>
                  <w:r>
                    <w:rPr>
                      <w:rFonts w:hint="eastAsia"/>
                      <w:color w:val="auto"/>
                      <w:szCs w:val="21"/>
                      <w:highlight w:val="none"/>
                    </w:rPr>
                    <w:t>000m</w:t>
                  </w:r>
                  <w:r>
                    <w:rPr>
                      <w:rFonts w:hint="eastAsia"/>
                      <w:color w:val="auto"/>
                      <w:szCs w:val="21"/>
                      <w:highlight w:val="none"/>
                      <w:vertAlign w:val="superscript"/>
                    </w:rPr>
                    <w:t>3</w:t>
                  </w:r>
                  <w:r>
                    <w:rPr>
                      <w:rFonts w:hint="eastAsia"/>
                      <w:color w:val="auto"/>
                      <w:szCs w:val="21"/>
                      <w:highlight w:val="none"/>
                    </w:rPr>
                    <w:t>/h，过滤风速为0.8m/min，过滤面积</w:t>
                  </w:r>
                  <w:r>
                    <w:rPr>
                      <w:rFonts w:hint="eastAsia"/>
                      <w:color w:val="auto"/>
                      <w:szCs w:val="21"/>
                      <w:highlight w:val="none"/>
                      <w:lang w:val="en-US" w:eastAsia="zh-CN"/>
                    </w:rPr>
                    <w:t>730</w:t>
                  </w:r>
                  <w:r>
                    <w:rPr>
                      <w:rFonts w:hint="eastAsia"/>
                      <w:color w:val="auto"/>
                      <w:szCs w:val="21"/>
                      <w:highlight w:val="none"/>
                    </w:rPr>
                    <w:t>m</w:t>
                  </w:r>
                  <w:r>
                    <w:rPr>
                      <w:rFonts w:hint="eastAsia"/>
                      <w:color w:val="auto"/>
                      <w:szCs w:val="21"/>
                      <w:highlight w:val="none"/>
                      <w:vertAlign w:val="superscript"/>
                    </w:rPr>
                    <w:t>2</w:t>
                  </w:r>
                </w:p>
              </w:tc>
              <w:tc>
                <w:tcPr>
                  <w:tcW w:w="399" w:type="pct"/>
                  <w:tcBorders>
                    <w:tl2br w:val="nil"/>
                    <w:tr2bl w:val="nil"/>
                  </w:tcBorders>
                  <w:vAlign w:val="center"/>
                </w:tcPr>
                <w:p>
                  <w:pPr>
                    <w:snapToGrid w:val="0"/>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套</w:t>
                  </w:r>
                </w:p>
              </w:tc>
              <w:tc>
                <w:tcPr>
                  <w:tcW w:w="392" w:type="pct"/>
                  <w:tcBorders>
                    <w:tl2br w:val="nil"/>
                    <w:tr2bl w:val="nil"/>
                  </w:tcBorders>
                  <w:vAlign w:val="center"/>
                </w:tcPr>
                <w:p>
                  <w:pPr>
                    <w:snapToGrid w:val="0"/>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1</w:t>
                  </w:r>
                </w:p>
              </w:tc>
              <w:tc>
                <w:tcPr>
                  <w:tcW w:w="1061" w:type="pct"/>
                  <w:tcBorders>
                    <w:tl2br w:val="nil"/>
                    <w:tr2bl w:val="nil"/>
                  </w:tcBorders>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浇筑、打磨、</w:t>
                  </w:r>
                  <w:r>
                    <w:rPr>
                      <w:rFonts w:hint="eastAsia"/>
                      <w:szCs w:val="21"/>
                    </w:rPr>
                    <w:t>二次除尘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default" w:ascii="Times New Roman" w:hAnsi="Times New Roman" w:eastAsia="宋体" w:cs="Times New Roman"/>
                      <w:kern w:val="2"/>
                      <w:sz w:val="21"/>
                      <w:szCs w:val="21"/>
                      <w:lang w:val="en-US" w:eastAsia="zh-CN" w:bidi="ar-SA"/>
                    </w:rPr>
                  </w:pPr>
                  <w:r>
                    <w:rPr>
                      <w:rFonts w:hint="eastAsia"/>
                      <w:szCs w:val="21"/>
                    </w:rPr>
                    <w:t>1</w:t>
                  </w:r>
                  <w:r>
                    <w:rPr>
                      <w:rFonts w:hint="eastAsia"/>
                      <w:szCs w:val="21"/>
                      <w:lang w:val="en-US" w:eastAsia="zh-CN"/>
                    </w:rPr>
                    <w:t>8</w:t>
                  </w:r>
                </w:p>
              </w:tc>
              <w:tc>
                <w:tcPr>
                  <w:tcW w:w="1154"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脉冲袋式除尘器</w:t>
                  </w:r>
                </w:p>
              </w:tc>
              <w:tc>
                <w:tcPr>
                  <w:tcW w:w="1543"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23000</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/h，过滤风速为0.8m/min，过滤面积</w:t>
                  </w:r>
                  <w:r>
                    <w:rPr>
                      <w:rFonts w:hint="eastAsia"/>
                      <w:color w:val="auto"/>
                      <w:szCs w:val="21"/>
                      <w:highlight w:val="none"/>
                      <w:lang w:val="en-US" w:eastAsia="zh-CN"/>
                    </w:rPr>
                    <w:t>479</w:t>
                  </w:r>
                  <w:r>
                    <w:rPr>
                      <w:rFonts w:hint="eastAsia"/>
                      <w:color w:val="auto"/>
                      <w:szCs w:val="21"/>
                      <w:highlight w:val="none"/>
                    </w:rPr>
                    <w:t>m</w:t>
                  </w:r>
                  <w:r>
                    <w:rPr>
                      <w:rFonts w:hint="eastAsia"/>
                      <w:color w:val="auto"/>
                      <w:szCs w:val="21"/>
                      <w:highlight w:val="none"/>
                      <w:vertAlign w:val="superscript"/>
                    </w:rPr>
                    <w:t>2</w:t>
                  </w:r>
                </w:p>
              </w:tc>
              <w:tc>
                <w:tcPr>
                  <w:tcW w:w="399" w:type="pct"/>
                  <w:tcBorders>
                    <w:tl2br w:val="nil"/>
                    <w:tr2bl w:val="nil"/>
                  </w:tcBorders>
                  <w:vAlign w:val="center"/>
                </w:tcPr>
                <w:p>
                  <w:pPr>
                    <w:snapToGrid w:val="0"/>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套</w:t>
                  </w:r>
                </w:p>
              </w:tc>
              <w:tc>
                <w:tcPr>
                  <w:tcW w:w="392" w:type="pct"/>
                  <w:tcBorders>
                    <w:tl2br w:val="nil"/>
                    <w:tr2bl w:val="nil"/>
                  </w:tcBorders>
                  <w:vAlign w:val="center"/>
                </w:tcPr>
                <w:p>
                  <w:pPr>
                    <w:snapToGrid w:val="0"/>
                    <w:jc w:val="cente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1</w:t>
                  </w:r>
                </w:p>
              </w:tc>
              <w:tc>
                <w:tcPr>
                  <w:tcW w:w="1061" w:type="pct"/>
                  <w:tcBorders>
                    <w:tl2br w:val="nil"/>
                    <w:tr2bl w:val="nil"/>
                  </w:tcBorders>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Cs w:val="21"/>
                    </w:rPr>
                    <w:t>砂再生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Cs w:val="21"/>
                    </w:rPr>
                    <w:t>1</w:t>
                  </w:r>
                  <w:r>
                    <w:rPr>
                      <w:rFonts w:hint="eastAsia"/>
                      <w:szCs w:val="21"/>
                      <w:lang w:val="en-US" w:eastAsia="zh-CN"/>
                    </w:rPr>
                    <w:t>9</w:t>
                  </w:r>
                </w:p>
              </w:tc>
              <w:tc>
                <w:tcPr>
                  <w:tcW w:w="1154" w:type="pct"/>
                  <w:tcBorders>
                    <w:tl2br w:val="nil"/>
                    <w:tr2bl w:val="nil"/>
                  </w:tcBorders>
                  <w:vAlign w:val="center"/>
                </w:tcPr>
                <w:p>
                  <w:pPr>
                    <w:snapToGrid w:val="0"/>
                    <w:jc w:val="center"/>
                    <w:rPr>
                      <w:szCs w:val="21"/>
                    </w:rPr>
                  </w:pPr>
                  <w:r>
                    <w:rPr>
                      <w:rFonts w:hint="eastAsia"/>
                      <w:szCs w:val="21"/>
                    </w:rPr>
                    <w:t>变压器</w:t>
                  </w:r>
                </w:p>
              </w:tc>
              <w:tc>
                <w:tcPr>
                  <w:tcW w:w="1543" w:type="pct"/>
                  <w:tcBorders>
                    <w:tl2br w:val="nil"/>
                    <w:tr2bl w:val="nil"/>
                  </w:tcBorders>
                  <w:vAlign w:val="center"/>
                </w:tcPr>
                <w:p>
                  <w:pPr>
                    <w:snapToGrid w:val="0"/>
                    <w:jc w:val="center"/>
                    <w:rPr>
                      <w:szCs w:val="21"/>
                    </w:rPr>
                  </w:pPr>
                  <w:r>
                    <w:rPr>
                      <w:rFonts w:hint="eastAsia"/>
                      <w:szCs w:val="21"/>
                    </w:rPr>
                    <w:t>S7-500/10</w:t>
                  </w:r>
                </w:p>
              </w:tc>
              <w:tc>
                <w:tcPr>
                  <w:tcW w:w="399" w:type="pct"/>
                  <w:tcBorders>
                    <w:tl2br w:val="nil"/>
                    <w:tr2bl w:val="nil"/>
                  </w:tcBorders>
                  <w:vAlign w:val="center"/>
                </w:tcPr>
                <w:p>
                  <w:pPr>
                    <w:snapToGrid w:val="0"/>
                    <w:jc w:val="center"/>
                    <w:rPr>
                      <w:szCs w:val="21"/>
                    </w:rPr>
                  </w:pPr>
                  <w:r>
                    <w:rPr>
                      <w:szCs w:val="21"/>
                    </w:rPr>
                    <w:t>台</w:t>
                  </w:r>
                </w:p>
              </w:tc>
              <w:tc>
                <w:tcPr>
                  <w:tcW w:w="392" w:type="pct"/>
                  <w:tcBorders>
                    <w:tl2br w:val="nil"/>
                    <w:tr2bl w:val="nil"/>
                  </w:tcBorders>
                  <w:vAlign w:val="center"/>
                </w:tcPr>
                <w:p>
                  <w:pPr>
                    <w:snapToGrid w:val="0"/>
                    <w:jc w:val="center"/>
                    <w:rPr>
                      <w:szCs w:val="21"/>
                    </w:rPr>
                  </w:pPr>
                  <w:r>
                    <w:rPr>
                      <w:rFonts w:hint="eastAsia"/>
                      <w:szCs w:val="21"/>
                    </w:rPr>
                    <w:t>2</w:t>
                  </w:r>
                </w:p>
              </w:tc>
              <w:tc>
                <w:tcPr>
                  <w:tcW w:w="1061" w:type="pct"/>
                  <w:tcBorders>
                    <w:tl2br w:val="nil"/>
                    <w:tr2bl w:val="nil"/>
                  </w:tcBorders>
                  <w:vAlign w:val="center"/>
                </w:tcPr>
                <w:p>
                  <w:pPr>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20</w:t>
                  </w:r>
                </w:p>
              </w:tc>
              <w:tc>
                <w:tcPr>
                  <w:tcW w:w="1154" w:type="pct"/>
                  <w:tcBorders>
                    <w:tl2br w:val="nil"/>
                    <w:tr2bl w:val="nil"/>
                  </w:tcBorders>
                  <w:vAlign w:val="center"/>
                </w:tcPr>
                <w:p>
                  <w:pPr>
                    <w:snapToGrid w:val="0"/>
                    <w:jc w:val="center"/>
                    <w:rPr>
                      <w:szCs w:val="21"/>
                    </w:rPr>
                  </w:pPr>
                  <w:r>
                    <w:rPr>
                      <w:rFonts w:hint="eastAsia"/>
                      <w:szCs w:val="21"/>
                    </w:rPr>
                    <w:t>放射性检测仪</w:t>
                  </w:r>
                </w:p>
              </w:tc>
              <w:tc>
                <w:tcPr>
                  <w:tcW w:w="1543" w:type="pct"/>
                  <w:tcBorders>
                    <w:tl2br w:val="nil"/>
                    <w:tr2bl w:val="nil"/>
                  </w:tcBorders>
                  <w:vAlign w:val="center"/>
                </w:tcPr>
                <w:p>
                  <w:pPr>
                    <w:snapToGrid w:val="0"/>
                    <w:jc w:val="center"/>
                    <w:rPr>
                      <w:szCs w:val="21"/>
                    </w:rPr>
                  </w:pPr>
                  <w:r>
                    <w:rPr>
                      <w:rFonts w:hint="eastAsia"/>
                      <w:szCs w:val="21"/>
                    </w:rPr>
                    <w:t>便携式</w:t>
                  </w:r>
                </w:p>
              </w:tc>
              <w:tc>
                <w:tcPr>
                  <w:tcW w:w="399" w:type="pct"/>
                  <w:tcBorders>
                    <w:tl2br w:val="nil"/>
                    <w:tr2bl w:val="nil"/>
                  </w:tcBorders>
                  <w:vAlign w:val="center"/>
                </w:tcPr>
                <w:p>
                  <w:pPr>
                    <w:snapToGrid w:val="0"/>
                    <w:jc w:val="center"/>
                    <w:rPr>
                      <w:szCs w:val="21"/>
                    </w:rPr>
                  </w:pPr>
                  <w:r>
                    <w:rPr>
                      <w:szCs w:val="21"/>
                    </w:rPr>
                    <w:t>台</w:t>
                  </w:r>
                </w:p>
              </w:tc>
              <w:tc>
                <w:tcPr>
                  <w:tcW w:w="392" w:type="pct"/>
                  <w:tcBorders>
                    <w:tl2br w:val="nil"/>
                    <w:tr2bl w:val="nil"/>
                  </w:tcBorders>
                  <w:vAlign w:val="center"/>
                </w:tcPr>
                <w:p>
                  <w:pPr>
                    <w:snapToGrid w:val="0"/>
                    <w:jc w:val="center"/>
                    <w:rPr>
                      <w:szCs w:val="21"/>
                    </w:rPr>
                  </w:pPr>
                  <w:r>
                    <w:rPr>
                      <w:rFonts w:hint="eastAsia"/>
                      <w:szCs w:val="21"/>
                    </w:rPr>
                    <w:t>1</w:t>
                  </w:r>
                </w:p>
              </w:tc>
              <w:tc>
                <w:tcPr>
                  <w:tcW w:w="1061" w:type="pct"/>
                  <w:tcBorders>
                    <w:tl2br w:val="nil"/>
                    <w:tr2bl w:val="nil"/>
                  </w:tcBorders>
                  <w:vAlign w:val="center"/>
                </w:tcPr>
                <w:p>
                  <w:pPr>
                    <w:snapToGrid w:val="0"/>
                    <w:jc w:val="center"/>
                    <w:rPr>
                      <w:szCs w:val="21"/>
                    </w:rPr>
                  </w:pPr>
                  <w:r>
                    <w:rPr>
                      <w:rFonts w:hint="eastAsia"/>
                      <w:szCs w:val="21"/>
                    </w:rPr>
                    <w:t>废钢放射性检测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rFonts w:hint="default" w:eastAsia="宋体"/>
                      <w:szCs w:val="21"/>
                      <w:lang w:val="en-US" w:eastAsia="zh-CN"/>
                    </w:rPr>
                  </w:pPr>
                  <w:r>
                    <w:rPr>
                      <w:rFonts w:hint="eastAsia"/>
                      <w:szCs w:val="21"/>
                      <w:lang w:val="en-US" w:eastAsia="zh-CN"/>
                    </w:rPr>
                    <w:t>21</w:t>
                  </w:r>
                </w:p>
              </w:tc>
              <w:tc>
                <w:tcPr>
                  <w:tcW w:w="1154" w:type="pct"/>
                  <w:tcBorders>
                    <w:tl2br w:val="nil"/>
                    <w:tr2bl w:val="nil"/>
                  </w:tcBorders>
                  <w:vAlign w:val="center"/>
                </w:tcPr>
                <w:p>
                  <w:pPr>
                    <w:snapToGrid w:val="0"/>
                    <w:jc w:val="center"/>
                    <w:rPr>
                      <w:szCs w:val="21"/>
                    </w:rPr>
                  </w:pPr>
                  <w:r>
                    <w:rPr>
                      <w:rFonts w:hint="eastAsia"/>
                      <w:szCs w:val="21"/>
                    </w:rPr>
                    <w:t>铲车</w:t>
                  </w:r>
                </w:p>
              </w:tc>
              <w:tc>
                <w:tcPr>
                  <w:tcW w:w="1543" w:type="pct"/>
                  <w:tcBorders>
                    <w:tl2br w:val="nil"/>
                    <w:tr2bl w:val="nil"/>
                  </w:tcBorders>
                  <w:vAlign w:val="center"/>
                </w:tcPr>
                <w:p>
                  <w:pPr>
                    <w:snapToGrid w:val="0"/>
                    <w:jc w:val="center"/>
                    <w:rPr>
                      <w:szCs w:val="21"/>
                    </w:rPr>
                  </w:pPr>
                  <w:r>
                    <w:rPr>
                      <w:rFonts w:hint="eastAsia"/>
                      <w:szCs w:val="21"/>
                    </w:rPr>
                    <w:t>国四</w:t>
                  </w:r>
                </w:p>
              </w:tc>
              <w:tc>
                <w:tcPr>
                  <w:tcW w:w="399" w:type="pct"/>
                  <w:tcBorders>
                    <w:tl2br w:val="nil"/>
                    <w:tr2bl w:val="nil"/>
                  </w:tcBorders>
                  <w:vAlign w:val="center"/>
                </w:tcPr>
                <w:p>
                  <w:pPr>
                    <w:snapToGrid w:val="0"/>
                    <w:jc w:val="center"/>
                    <w:rPr>
                      <w:szCs w:val="21"/>
                    </w:rPr>
                  </w:pPr>
                  <w:r>
                    <w:rPr>
                      <w:rFonts w:hint="eastAsia"/>
                      <w:szCs w:val="21"/>
                    </w:rPr>
                    <w:t>辆</w:t>
                  </w:r>
                </w:p>
              </w:tc>
              <w:tc>
                <w:tcPr>
                  <w:tcW w:w="392" w:type="pct"/>
                  <w:tcBorders>
                    <w:tl2br w:val="nil"/>
                    <w:tr2bl w:val="nil"/>
                  </w:tcBorders>
                  <w:vAlign w:val="center"/>
                </w:tcPr>
                <w:p>
                  <w:pPr>
                    <w:snapToGrid w:val="0"/>
                    <w:jc w:val="center"/>
                    <w:rPr>
                      <w:szCs w:val="21"/>
                    </w:rPr>
                  </w:pPr>
                  <w:r>
                    <w:rPr>
                      <w:rFonts w:hint="eastAsia"/>
                      <w:szCs w:val="21"/>
                    </w:rPr>
                    <w:t>2</w:t>
                  </w:r>
                </w:p>
              </w:tc>
              <w:tc>
                <w:tcPr>
                  <w:tcW w:w="1061" w:type="pct"/>
                  <w:tcBorders>
                    <w:tl2br w:val="nil"/>
                    <w:tr2bl w:val="nil"/>
                  </w:tcBorders>
                  <w:vAlign w:val="center"/>
                </w:tcPr>
                <w:p>
                  <w:pPr>
                    <w:snapToGrid w:val="0"/>
                    <w:jc w:val="center"/>
                    <w:rPr>
                      <w:szCs w:val="21"/>
                    </w:rPr>
                  </w:pPr>
                </w:p>
              </w:tc>
            </w:tr>
          </w:tbl>
          <w:p>
            <w:pPr>
              <w:autoSpaceDE w:val="0"/>
              <w:autoSpaceDN w:val="0"/>
              <w:adjustRightInd w:val="0"/>
              <w:spacing w:line="480" w:lineRule="exact"/>
              <w:ind w:firstLine="480" w:firstLineChars="200"/>
              <w:rPr>
                <w:color w:val="FF0000"/>
                <w:kern w:val="0"/>
                <w:sz w:val="24"/>
              </w:rPr>
            </w:pPr>
            <w:r>
              <w:rPr>
                <w:color w:val="FF0000"/>
                <w:sz w:val="24"/>
              </w:rPr>
              <w:t>项目</w:t>
            </w:r>
            <w:r>
              <w:rPr>
                <w:rFonts w:hint="eastAsia"/>
                <w:color w:val="FF0000"/>
                <w:sz w:val="24"/>
              </w:rPr>
              <w:t>设置2台（1用1备）</w:t>
            </w:r>
            <w:r>
              <w:rPr>
                <w:rFonts w:hint="eastAsia"/>
                <w:color w:val="FF0000"/>
                <w:sz w:val="24"/>
                <w:lang w:val="en-US" w:eastAsia="zh-CN"/>
              </w:rPr>
              <w:t>3</w:t>
            </w:r>
            <w:r>
              <w:rPr>
                <w:rFonts w:hint="eastAsia"/>
                <w:color w:val="FF0000"/>
                <w:sz w:val="24"/>
              </w:rPr>
              <w:t>吨磁</w:t>
            </w:r>
            <w:r>
              <w:rPr>
                <w:color w:val="FF0000"/>
                <w:sz w:val="24"/>
              </w:rPr>
              <w:t>轭钢壳感应电炉，电炉年工作300天，每天两班，每班8小时，4800h/a，每炉熔炼时间</w:t>
            </w:r>
            <w:r>
              <w:rPr>
                <w:rFonts w:hint="eastAsia"/>
                <w:color w:val="FF0000"/>
                <w:sz w:val="24"/>
                <w:lang w:val="en-US" w:eastAsia="zh-CN"/>
              </w:rPr>
              <w:t>2</w:t>
            </w:r>
            <w:r>
              <w:rPr>
                <w:color w:val="FF0000"/>
                <w:sz w:val="24"/>
              </w:rPr>
              <w:t>h</w:t>
            </w:r>
            <w:r>
              <w:rPr>
                <w:rFonts w:hint="eastAsia"/>
                <w:color w:val="FF0000"/>
                <w:sz w:val="24"/>
              </w:rPr>
              <w:t>左右</w:t>
            </w:r>
            <w:r>
              <w:rPr>
                <w:color w:val="FF0000"/>
                <w:sz w:val="24"/>
              </w:rPr>
              <w:t>，全年可熔炼</w:t>
            </w:r>
            <w:r>
              <w:rPr>
                <w:rFonts w:hint="eastAsia"/>
                <w:color w:val="FF0000"/>
                <w:sz w:val="24"/>
                <w:lang w:val="en-US" w:eastAsia="zh-CN"/>
              </w:rPr>
              <w:t>2400</w:t>
            </w:r>
            <w:r>
              <w:rPr>
                <w:color w:val="FF0000"/>
                <w:sz w:val="24"/>
              </w:rPr>
              <w:t>炉，全年产能为</w:t>
            </w:r>
            <w:r>
              <w:rPr>
                <w:rFonts w:hint="eastAsia"/>
                <w:color w:val="FF0000"/>
                <w:sz w:val="24"/>
                <w:lang w:val="en-US" w:eastAsia="zh-CN"/>
              </w:rPr>
              <w:t>72</w:t>
            </w:r>
            <w:r>
              <w:rPr>
                <w:color w:val="FF0000"/>
                <w:sz w:val="24"/>
              </w:rPr>
              <w:t>00t/a，可满足产能</w:t>
            </w:r>
            <w:r>
              <w:rPr>
                <w:rFonts w:hint="eastAsia"/>
                <w:color w:val="FF0000"/>
                <w:sz w:val="24"/>
                <w:lang w:val="en-US" w:eastAsia="zh-CN"/>
              </w:rPr>
              <w:t>7130.39</w:t>
            </w:r>
            <w:r>
              <w:rPr>
                <w:color w:val="FF0000"/>
                <w:sz w:val="24"/>
              </w:rPr>
              <w:t>吨的熔炼要求。</w:t>
            </w:r>
          </w:p>
          <w:p>
            <w:pPr>
              <w:spacing w:line="500" w:lineRule="exact"/>
              <w:ind w:firstLine="480" w:firstLineChars="200"/>
              <w:rPr>
                <w:color w:val="auto"/>
                <w:sz w:val="24"/>
              </w:rPr>
            </w:pPr>
            <w:r>
              <w:rPr>
                <w:rFonts w:hint="eastAsia"/>
                <w:color w:val="auto"/>
                <w:sz w:val="24"/>
              </w:rPr>
              <w:t>（10）工作制度：</w:t>
            </w:r>
            <w:r>
              <w:rPr>
                <w:snapToGrid w:val="0"/>
                <w:color w:val="auto"/>
                <w:kern w:val="0"/>
                <w:sz w:val="24"/>
              </w:rPr>
              <w:t>项目全年工作日</w:t>
            </w:r>
            <w:r>
              <w:rPr>
                <w:rFonts w:hint="eastAsia"/>
                <w:snapToGrid w:val="0"/>
                <w:color w:val="auto"/>
                <w:kern w:val="0"/>
                <w:sz w:val="24"/>
              </w:rPr>
              <w:t>300</w:t>
            </w:r>
            <w:r>
              <w:rPr>
                <w:snapToGrid w:val="0"/>
                <w:color w:val="auto"/>
                <w:kern w:val="0"/>
                <w:sz w:val="24"/>
              </w:rPr>
              <w:t>天，每天</w:t>
            </w:r>
            <w:r>
              <w:rPr>
                <w:rFonts w:hint="eastAsia"/>
                <w:snapToGrid w:val="0"/>
                <w:color w:val="auto"/>
                <w:kern w:val="0"/>
                <w:sz w:val="24"/>
              </w:rPr>
              <w:t>2</w:t>
            </w:r>
            <w:r>
              <w:rPr>
                <w:snapToGrid w:val="0"/>
                <w:color w:val="auto"/>
                <w:kern w:val="0"/>
                <w:sz w:val="24"/>
              </w:rPr>
              <w:t>班</w:t>
            </w:r>
            <w:r>
              <w:rPr>
                <w:rFonts w:hint="eastAsia"/>
                <w:snapToGrid w:val="0"/>
                <w:color w:val="FF0000"/>
                <w:kern w:val="0"/>
                <w:sz w:val="24"/>
                <w:lang w:eastAsia="zh-CN"/>
              </w:rPr>
              <w:t>（</w:t>
            </w:r>
            <w:r>
              <w:rPr>
                <w:rFonts w:hint="eastAsia"/>
                <w:snapToGrid w:val="0"/>
                <w:color w:val="FF0000"/>
                <w:kern w:val="0"/>
                <w:sz w:val="24"/>
                <w:lang w:val="en-US" w:eastAsia="zh-CN"/>
              </w:rPr>
              <w:t>昼夜各一班</w:t>
            </w:r>
            <w:r>
              <w:rPr>
                <w:rFonts w:hint="eastAsia"/>
                <w:snapToGrid w:val="0"/>
                <w:color w:val="FF0000"/>
                <w:kern w:val="0"/>
                <w:sz w:val="24"/>
                <w:lang w:eastAsia="zh-CN"/>
              </w:rPr>
              <w:t>）</w:t>
            </w:r>
            <w:r>
              <w:rPr>
                <w:snapToGrid w:val="0"/>
                <w:color w:val="auto"/>
                <w:kern w:val="0"/>
                <w:sz w:val="24"/>
              </w:rPr>
              <w:t>、每班8小时工作制</w:t>
            </w:r>
            <w:r>
              <w:rPr>
                <w:bCs/>
                <w:color w:val="auto"/>
                <w:sz w:val="24"/>
              </w:rPr>
              <w:t>，年有效工作</w:t>
            </w:r>
            <w:r>
              <w:rPr>
                <w:rFonts w:hint="eastAsia"/>
                <w:bCs/>
                <w:color w:val="auto"/>
                <w:sz w:val="24"/>
              </w:rPr>
              <w:t>48</w:t>
            </w:r>
            <w:r>
              <w:rPr>
                <w:bCs/>
                <w:color w:val="auto"/>
                <w:sz w:val="24"/>
              </w:rPr>
              <w:t>00h</w:t>
            </w:r>
            <w:r>
              <w:rPr>
                <w:rFonts w:hint="eastAsia"/>
                <w:color w:val="auto"/>
                <w:sz w:val="24"/>
              </w:rPr>
              <w:t>。</w:t>
            </w:r>
          </w:p>
          <w:p>
            <w:pPr>
              <w:spacing w:line="500" w:lineRule="exact"/>
              <w:ind w:firstLine="480" w:firstLineChars="200"/>
              <w:rPr>
                <w:sz w:val="24"/>
              </w:rPr>
            </w:pPr>
            <w:r>
              <w:rPr>
                <w:rFonts w:hint="eastAsia"/>
                <w:sz w:val="24"/>
              </w:rPr>
              <w:t>（11）劳动定员</w:t>
            </w:r>
            <w:r>
              <w:rPr>
                <w:sz w:val="24"/>
              </w:rPr>
              <w:t>：</w:t>
            </w:r>
            <w:r>
              <w:rPr>
                <w:snapToGrid w:val="0"/>
                <w:kern w:val="0"/>
                <w:sz w:val="24"/>
              </w:rPr>
              <w:t>本项目劳动定员</w:t>
            </w:r>
            <w:r>
              <w:rPr>
                <w:rFonts w:hint="eastAsia"/>
                <w:snapToGrid w:val="0"/>
                <w:kern w:val="0"/>
                <w:sz w:val="24"/>
              </w:rPr>
              <w:t>20</w:t>
            </w:r>
            <w:r>
              <w:rPr>
                <w:snapToGrid w:val="0"/>
                <w:kern w:val="0"/>
                <w:sz w:val="24"/>
              </w:rPr>
              <w:t>人</w:t>
            </w:r>
            <w:r>
              <w:rPr>
                <w:rFonts w:hint="eastAsia"/>
                <w:snapToGrid w:val="0"/>
                <w:kern w:val="0"/>
                <w:sz w:val="24"/>
              </w:rPr>
              <w:t>，其中管理人员2人，工作人员18人</w:t>
            </w:r>
            <w:r>
              <w:rPr>
                <w:sz w:val="24"/>
              </w:rPr>
              <w:t>。</w:t>
            </w:r>
          </w:p>
          <w:p>
            <w:pPr>
              <w:spacing w:line="500" w:lineRule="exact"/>
              <w:ind w:firstLine="480" w:firstLineChars="200"/>
              <w:rPr>
                <w:sz w:val="24"/>
                <w:highlight w:val="none"/>
              </w:rPr>
            </w:pPr>
            <w:r>
              <w:rPr>
                <w:rFonts w:hint="eastAsia"/>
                <w:sz w:val="24"/>
              </w:rPr>
              <w:t>（12）周</w:t>
            </w:r>
            <w:r>
              <w:rPr>
                <w:rFonts w:hint="eastAsia"/>
                <w:sz w:val="24"/>
                <w:highlight w:val="none"/>
              </w:rPr>
              <w:t>边关系</w:t>
            </w:r>
            <w:r>
              <w:rPr>
                <w:sz w:val="24"/>
                <w:highlight w:val="none"/>
              </w:rPr>
              <w:t>：</w:t>
            </w:r>
            <w:r>
              <w:rPr>
                <w:snapToGrid w:val="0"/>
                <w:kern w:val="0"/>
                <w:sz w:val="24"/>
                <w:highlight w:val="none"/>
              </w:rPr>
              <w:t>项目</w:t>
            </w:r>
            <w:r>
              <w:rPr>
                <w:rFonts w:hint="eastAsia"/>
                <w:snapToGrid w:val="0"/>
                <w:kern w:val="0"/>
                <w:sz w:val="24"/>
                <w:highlight w:val="none"/>
                <w:lang w:val="en-US" w:eastAsia="zh-CN"/>
              </w:rPr>
              <w:t>厂区南侧为洪火线公路，东侧、北侧均为闲置厂区，西侧为闲置空地</w:t>
            </w:r>
            <w:r>
              <w:rPr>
                <w:sz w:val="24"/>
                <w:highlight w:val="none"/>
              </w:rPr>
              <w:t>。</w:t>
            </w:r>
            <w:r>
              <w:rPr>
                <w:rFonts w:hint="eastAsia"/>
                <w:sz w:val="24"/>
                <w:highlight w:val="none"/>
              </w:rPr>
              <w:t>项目最近敏感点为项目</w:t>
            </w:r>
            <w:r>
              <w:rPr>
                <w:rFonts w:hint="eastAsia"/>
                <w:sz w:val="24"/>
                <w:highlight w:val="none"/>
                <w:lang w:val="en-US" w:eastAsia="zh-CN"/>
              </w:rPr>
              <w:t>厂区东南侧403</w:t>
            </w:r>
            <w:r>
              <w:rPr>
                <w:rFonts w:hint="eastAsia"/>
                <w:sz w:val="24"/>
                <w:highlight w:val="none"/>
              </w:rPr>
              <w:t>m</w:t>
            </w:r>
            <w:r>
              <w:rPr>
                <w:rFonts w:hint="eastAsia"/>
                <w:sz w:val="24"/>
                <w:highlight w:val="none"/>
                <w:lang w:val="en-US" w:eastAsia="zh-CN"/>
              </w:rPr>
              <w:t>处的铁厂村</w:t>
            </w:r>
            <w:r>
              <w:rPr>
                <w:rFonts w:hint="eastAsia"/>
                <w:sz w:val="24"/>
                <w:highlight w:val="none"/>
              </w:rPr>
              <w:t>。</w:t>
            </w:r>
          </w:p>
          <w:p>
            <w:pPr>
              <w:spacing w:line="500" w:lineRule="exact"/>
              <w:ind w:firstLine="480" w:firstLineChars="200"/>
              <w:rPr>
                <w:sz w:val="24"/>
                <w:highlight w:val="none"/>
              </w:rPr>
            </w:pPr>
            <w:r>
              <w:rPr>
                <w:rFonts w:hint="eastAsia"/>
                <w:sz w:val="24"/>
                <w:highlight w:val="none"/>
              </w:rPr>
              <w:t>（13）</w:t>
            </w:r>
            <w:r>
              <w:rPr>
                <w:sz w:val="24"/>
                <w:highlight w:val="none"/>
              </w:rPr>
              <w:t>平面布置：</w:t>
            </w:r>
            <w:r>
              <w:rPr>
                <w:snapToGrid w:val="0"/>
                <w:kern w:val="0"/>
                <w:sz w:val="24"/>
                <w:highlight w:val="none"/>
              </w:rPr>
              <w:t>项目</w:t>
            </w:r>
            <w:r>
              <w:rPr>
                <w:rFonts w:hint="eastAsia"/>
                <w:snapToGrid w:val="0"/>
                <w:kern w:val="0"/>
                <w:sz w:val="24"/>
                <w:highlight w:val="none"/>
              </w:rPr>
              <w:t>大门设置于厂区</w:t>
            </w:r>
            <w:r>
              <w:rPr>
                <w:rFonts w:hint="eastAsia"/>
                <w:snapToGrid w:val="0"/>
                <w:kern w:val="0"/>
                <w:sz w:val="24"/>
                <w:highlight w:val="none"/>
                <w:lang w:val="en-US" w:eastAsia="zh-CN"/>
              </w:rPr>
              <w:t>南</w:t>
            </w:r>
            <w:r>
              <w:rPr>
                <w:rFonts w:hint="eastAsia"/>
                <w:snapToGrid w:val="0"/>
                <w:kern w:val="0"/>
                <w:sz w:val="24"/>
                <w:highlight w:val="none"/>
              </w:rPr>
              <w:t>侧，</w:t>
            </w:r>
            <w:r>
              <w:rPr>
                <w:rFonts w:hint="eastAsia"/>
                <w:snapToGrid w:val="0"/>
                <w:kern w:val="0"/>
                <w:sz w:val="24"/>
                <w:highlight w:val="none"/>
                <w:lang w:val="en-US" w:eastAsia="zh-CN"/>
              </w:rPr>
              <w:t>大门东侧为办公楼及辅助用房，西侧为库房，</w:t>
            </w:r>
            <w:r>
              <w:rPr>
                <w:rFonts w:hint="eastAsia"/>
                <w:snapToGrid w:val="0"/>
                <w:kern w:val="0"/>
                <w:sz w:val="24"/>
                <w:highlight w:val="none"/>
              </w:rPr>
              <w:t>生产车间位于厂区</w:t>
            </w:r>
            <w:r>
              <w:rPr>
                <w:rFonts w:hint="eastAsia"/>
                <w:snapToGrid w:val="0"/>
                <w:kern w:val="0"/>
                <w:sz w:val="24"/>
                <w:highlight w:val="none"/>
                <w:lang w:val="en-US" w:eastAsia="zh-CN"/>
              </w:rPr>
              <w:t>北</w:t>
            </w:r>
            <w:r>
              <w:rPr>
                <w:rFonts w:hint="eastAsia"/>
                <w:snapToGrid w:val="0"/>
                <w:kern w:val="0"/>
                <w:sz w:val="24"/>
                <w:highlight w:val="none"/>
              </w:rPr>
              <w:t>侧，原料储存区设置于生产车间</w:t>
            </w:r>
            <w:r>
              <w:rPr>
                <w:rFonts w:hint="eastAsia"/>
                <w:snapToGrid w:val="0"/>
                <w:kern w:val="0"/>
                <w:sz w:val="24"/>
                <w:highlight w:val="none"/>
                <w:lang w:val="en-US" w:eastAsia="zh-CN"/>
              </w:rPr>
              <w:t>南</w:t>
            </w:r>
            <w:r>
              <w:rPr>
                <w:rFonts w:hint="eastAsia"/>
                <w:snapToGrid w:val="0"/>
                <w:kern w:val="0"/>
                <w:sz w:val="24"/>
                <w:highlight w:val="none"/>
              </w:rPr>
              <w:t>部、生产</w:t>
            </w:r>
            <w:r>
              <w:rPr>
                <w:rFonts w:hint="eastAsia"/>
                <w:snapToGrid w:val="0"/>
                <w:kern w:val="0"/>
                <w:sz w:val="24"/>
                <w:highlight w:val="none"/>
                <w:lang w:val="en-US" w:eastAsia="zh-CN"/>
              </w:rPr>
              <w:t>车间由东向西依次布置电炉、浇铸区、落砂区、砂处理</w:t>
            </w:r>
            <w:r>
              <w:rPr>
                <w:rFonts w:hint="eastAsia"/>
                <w:snapToGrid w:val="0"/>
                <w:kern w:val="0"/>
                <w:sz w:val="24"/>
                <w:highlight w:val="none"/>
              </w:rPr>
              <w:t>。危险废物暂存间位于车间内</w:t>
            </w:r>
            <w:r>
              <w:rPr>
                <w:rFonts w:hint="eastAsia"/>
                <w:snapToGrid w:val="0"/>
                <w:kern w:val="0"/>
                <w:sz w:val="24"/>
                <w:highlight w:val="none"/>
                <w:lang w:val="en-US" w:eastAsia="zh-CN"/>
              </w:rPr>
              <w:t>西</w:t>
            </w:r>
            <w:r>
              <w:rPr>
                <w:rFonts w:hint="eastAsia"/>
                <w:snapToGrid w:val="0"/>
                <w:kern w:val="0"/>
                <w:sz w:val="24"/>
                <w:highlight w:val="none"/>
              </w:rPr>
              <w:t>南角</w:t>
            </w:r>
            <w:r>
              <w:rPr>
                <w:sz w:val="24"/>
                <w:highlight w:val="none"/>
              </w:rPr>
              <w:t>。</w:t>
            </w:r>
          </w:p>
          <w:p>
            <w:pPr>
              <w:autoSpaceDE w:val="0"/>
              <w:autoSpaceDN w:val="0"/>
              <w:adjustRightInd w:val="0"/>
              <w:spacing w:line="500" w:lineRule="exact"/>
              <w:ind w:firstLine="480" w:firstLineChars="200"/>
              <w:rPr>
                <w:color w:val="auto"/>
                <w:sz w:val="24"/>
              </w:rPr>
            </w:pPr>
            <w:r>
              <w:rPr>
                <w:rFonts w:hint="eastAsia"/>
                <w:sz w:val="24"/>
              </w:rPr>
              <w:t>4</w:t>
            </w:r>
            <w:r>
              <w:rPr>
                <w:sz w:val="24"/>
              </w:rPr>
              <w:t>、公</w:t>
            </w:r>
            <w:r>
              <w:rPr>
                <w:color w:val="auto"/>
                <w:sz w:val="24"/>
              </w:rPr>
              <w:t>辅工程：</w:t>
            </w:r>
          </w:p>
          <w:p>
            <w:pPr>
              <w:spacing w:line="500" w:lineRule="exact"/>
              <w:ind w:firstLine="480" w:firstLineChars="200"/>
              <w:rPr>
                <w:color w:val="auto"/>
                <w:sz w:val="24"/>
              </w:rPr>
            </w:pPr>
            <w:r>
              <w:rPr>
                <w:rFonts w:hint="eastAsia"/>
                <w:color w:val="auto"/>
                <w:sz w:val="24"/>
              </w:rPr>
              <w:t>（1）</w:t>
            </w:r>
            <w:r>
              <w:rPr>
                <w:color w:val="auto"/>
                <w:sz w:val="24"/>
              </w:rPr>
              <w:t>给排水</w:t>
            </w:r>
            <w:r>
              <w:rPr>
                <w:rFonts w:hint="eastAsia"/>
                <w:color w:val="auto"/>
                <w:sz w:val="24"/>
              </w:rPr>
              <w:t>：</w:t>
            </w:r>
            <w:r>
              <w:rPr>
                <w:color w:val="auto"/>
                <w:sz w:val="24"/>
              </w:rPr>
              <w:t>项目</w:t>
            </w:r>
            <w:r>
              <w:rPr>
                <w:rFonts w:hint="eastAsia"/>
                <w:color w:val="auto"/>
                <w:sz w:val="24"/>
              </w:rPr>
              <w:t>用水由</w:t>
            </w:r>
            <w:r>
              <w:rPr>
                <w:rFonts w:hint="eastAsia"/>
                <w:color w:val="auto"/>
                <w:sz w:val="24"/>
                <w:lang w:eastAsia="zh-CN"/>
              </w:rPr>
              <w:t>铁厂村</w:t>
            </w:r>
            <w:r>
              <w:rPr>
                <w:rFonts w:hint="eastAsia"/>
                <w:color w:val="auto"/>
                <w:sz w:val="24"/>
              </w:rPr>
              <w:t>供水管网供给。</w:t>
            </w:r>
          </w:p>
          <w:p>
            <w:pPr>
              <w:spacing w:line="480" w:lineRule="exact"/>
              <w:ind w:firstLine="480" w:firstLineChars="200"/>
              <w:rPr>
                <w:sz w:val="24"/>
              </w:rPr>
            </w:pPr>
            <w:r>
              <w:rPr>
                <w:color w:val="auto"/>
                <w:sz w:val="24"/>
              </w:rPr>
              <w:t>项目生产用水主</w:t>
            </w:r>
            <w:r>
              <w:rPr>
                <w:sz w:val="24"/>
              </w:rPr>
              <w:t>要为中频炉</w:t>
            </w:r>
            <w:r>
              <w:rPr>
                <w:rFonts w:hint="eastAsia"/>
                <w:sz w:val="24"/>
              </w:rPr>
              <w:t>、退火炉</w:t>
            </w:r>
            <w:r>
              <w:rPr>
                <w:sz w:val="24"/>
              </w:rPr>
              <w:t>循环冷却用水。中频炉冷却水</w:t>
            </w:r>
            <w:r>
              <w:rPr>
                <w:rFonts w:hint="eastAsia"/>
                <w:sz w:val="24"/>
                <w:lang w:val="en-US" w:eastAsia="zh-CN"/>
              </w:rPr>
              <w:t>用水量为90</w:t>
            </w:r>
            <w:r>
              <w:rPr>
                <w:bCs/>
                <w:sz w:val="24"/>
              </w:rPr>
              <w:t>m</w:t>
            </w:r>
            <w:r>
              <w:rPr>
                <w:bCs/>
                <w:sz w:val="24"/>
                <w:vertAlign w:val="superscript"/>
              </w:rPr>
              <w:t>3</w:t>
            </w:r>
            <w:r>
              <w:rPr>
                <w:bCs/>
                <w:sz w:val="24"/>
              </w:rPr>
              <w:t>/d</w:t>
            </w:r>
            <w:r>
              <w:rPr>
                <w:rFonts w:hint="eastAsia"/>
                <w:bCs/>
                <w:sz w:val="24"/>
                <w:lang w:eastAsia="zh-CN"/>
              </w:rPr>
              <w:t>，</w:t>
            </w:r>
            <w:r>
              <w:rPr>
                <w:rFonts w:hint="eastAsia"/>
                <w:bCs/>
                <w:sz w:val="24"/>
                <w:lang w:val="en-US" w:eastAsia="zh-CN"/>
              </w:rPr>
              <w:t>冷却水经冷却处理后回用，</w:t>
            </w:r>
            <w:r>
              <w:rPr>
                <w:sz w:val="24"/>
              </w:rPr>
              <w:t>每天补充</w:t>
            </w:r>
            <w:r>
              <w:rPr>
                <w:rFonts w:hint="eastAsia"/>
                <w:sz w:val="24"/>
                <w:lang w:val="en-US" w:eastAsia="zh-CN"/>
              </w:rPr>
              <w:t>7.</w:t>
            </w:r>
            <w:r>
              <w:rPr>
                <w:rFonts w:hint="eastAsia"/>
                <w:sz w:val="24"/>
              </w:rPr>
              <w:t>5</w:t>
            </w:r>
            <w:r>
              <w:rPr>
                <w:bCs/>
                <w:sz w:val="24"/>
              </w:rPr>
              <w:t>m</w:t>
            </w:r>
            <w:r>
              <w:rPr>
                <w:bCs/>
                <w:sz w:val="24"/>
                <w:vertAlign w:val="superscript"/>
              </w:rPr>
              <w:t>3</w:t>
            </w:r>
            <w:r>
              <w:rPr>
                <w:bCs/>
                <w:sz w:val="24"/>
              </w:rPr>
              <w:t>/d</w:t>
            </w:r>
            <w:r>
              <w:rPr>
                <w:sz w:val="24"/>
              </w:rPr>
              <w:t>新鲜水，循环水量</w:t>
            </w:r>
            <w:r>
              <w:rPr>
                <w:rFonts w:hint="eastAsia"/>
                <w:sz w:val="24"/>
                <w:lang w:val="en-US" w:eastAsia="zh-CN"/>
              </w:rPr>
              <w:t>82.5</w:t>
            </w:r>
            <w:r>
              <w:rPr>
                <w:bCs/>
                <w:sz w:val="24"/>
              </w:rPr>
              <w:t>m</w:t>
            </w:r>
            <w:r>
              <w:rPr>
                <w:bCs/>
                <w:sz w:val="24"/>
                <w:vertAlign w:val="superscript"/>
              </w:rPr>
              <w:t>3</w:t>
            </w:r>
            <w:r>
              <w:rPr>
                <w:bCs/>
                <w:sz w:val="24"/>
              </w:rPr>
              <w:t>/d</w:t>
            </w:r>
            <w:r>
              <w:rPr>
                <w:sz w:val="24"/>
              </w:rPr>
              <w:t>；</w:t>
            </w:r>
            <w:r>
              <w:rPr>
                <w:rFonts w:hint="eastAsia"/>
                <w:sz w:val="24"/>
              </w:rPr>
              <w:t>退火工序</w:t>
            </w:r>
            <w:r>
              <w:rPr>
                <w:sz w:val="24"/>
              </w:rPr>
              <w:t>冷却水</w:t>
            </w:r>
            <w:r>
              <w:rPr>
                <w:rFonts w:hint="eastAsia"/>
                <w:sz w:val="24"/>
                <w:lang w:val="en-US" w:eastAsia="zh-CN"/>
              </w:rPr>
              <w:t>用水量为45</w:t>
            </w:r>
            <w:r>
              <w:rPr>
                <w:bCs/>
                <w:sz w:val="24"/>
              </w:rPr>
              <w:t>m</w:t>
            </w:r>
            <w:r>
              <w:rPr>
                <w:bCs/>
                <w:sz w:val="24"/>
                <w:vertAlign w:val="superscript"/>
              </w:rPr>
              <w:t>3</w:t>
            </w:r>
            <w:r>
              <w:rPr>
                <w:bCs/>
                <w:sz w:val="24"/>
              </w:rPr>
              <w:t>/d</w:t>
            </w:r>
            <w:r>
              <w:rPr>
                <w:rFonts w:hint="eastAsia"/>
                <w:bCs/>
                <w:sz w:val="24"/>
                <w:lang w:eastAsia="zh-CN"/>
              </w:rPr>
              <w:t>，</w:t>
            </w:r>
            <w:r>
              <w:rPr>
                <w:rFonts w:hint="eastAsia"/>
                <w:bCs/>
                <w:sz w:val="24"/>
                <w:lang w:val="en-US" w:eastAsia="zh-CN"/>
              </w:rPr>
              <w:t>冷却水经冷却处理后回用，</w:t>
            </w:r>
            <w:r>
              <w:rPr>
                <w:sz w:val="24"/>
              </w:rPr>
              <w:t>每天补充</w:t>
            </w:r>
            <w:r>
              <w:rPr>
                <w:rFonts w:hint="eastAsia"/>
                <w:sz w:val="24"/>
              </w:rPr>
              <w:t>0.</w:t>
            </w:r>
            <w:r>
              <w:rPr>
                <w:rFonts w:hint="eastAsia"/>
                <w:sz w:val="24"/>
                <w:lang w:val="en-US" w:eastAsia="zh-CN"/>
              </w:rPr>
              <w:t>7</w:t>
            </w:r>
            <w:r>
              <w:rPr>
                <w:rFonts w:hint="eastAsia"/>
                <w:sz w:val="24"/>
              </w:rPr>
              <w:t>5</w:t>
            </w:r>
            <w:r>
              <w:rPr>
                <w:bCs/>
                <w:sz w:val="24"/>
              </w:rPr>
              <w:t>m</w:t>
            </w:r>
            <w:r>
              <w:rPr>
                <w:bCs/>
                <w:sz w:val="24"/>
                <w:vertAlign w:val="superscript"/>
              </w:rPr>
              <w:t>3</w:t>
            </w:r>
            <w:r>
              <w:rPr>
                <w:sz w:val="24"/>
              </w:rPr>
              <w:t>新鲜水，循环水量</w:t>
            </w:r>
            <w:r>
              <w:rPr>
                <w:rFonts w:hint="eastAsia"/>
                <w:sz w:val="24"/>
                <w:lang w:val="en-US" w:eastAsia="zh-CN"/>
              </w:rPr>
              <w:t>44.25</w:t>
            </w:r>
            <w:r>
              <w:rPr>
                <w:bCs/>
                <w:sz w:val="24"/>
              </w:rPr>
              <w:t>m</w:t>
            </w:r>
            <w:r>
              <w:rPr>
                <w:bCs/>
                <w:sz w:val="24"/>
                <w:vertAlign w:val="superscript"/>
              </w:rPr>
              <w:t>3</w:t>
            </w:r>
            <w:r>
              <w:rPr>
                <w:bCs/>
                <w:sz w:val="24"/>
              </w:rPr>
              <w:t>/d</w:t>
            </w:r>
            <w:r>
              <w:rPr>
                <w:rFonts w:hint="eastAsia"/>
                <w:bCs/>
                <w:sz w:val="24"/>
                <w:lang w:eastAsia="zh-CN"/>
              </w:rPr>
              <w:t>。</w:t>
            </w:r>
            <w:r>
              <w:rPr>
                <w:sz w:val="24"/>
              </w:rPr>
              <w:t>则生产用水量</w:t>
            </w:r>
            <w:r>
              <w:rPr>
                <w:rFonts w:hint="eastAsia"/>
                <w:sz w:val="24"/>
                <w:lang w:val="en-US" w:eastAsia="zh-CN"/>
              </w:rPr>
              <w:t>135</w:t>
            </w:r>
            <w:r>
              <w:rPr>
                <w:bCs/>
                <w:sz w:val="24"/>
              </w:rPr>
              <w:t>m</w:t>
            </w:r>
            <w:r>
              <w:rPr>
                <w:bCs/>
                <w:sz w:val="24"/>
                <w:vertAlign w:val="superscript"/>
              </w:rPr>
              <w:t>3</w:t>
            </w:r>
            <w:r>
              <w:rPr>
                <w:bCs/>
                <w:sz w:val="24"/>
              </w:rPr>
              <w:t>/d</w:t>
            </w:r>
            <w:r>
              <w:rPr>
                <w:sz w:val="24"/>
              </w:rPr>
              <w:t>，新鲜水用水量</w:t>
            </w:r>
            <w:r>
              <w:rPr>
                <w:rFonts w:hint="eastAsia"/>
                <w:sz w:val="24"/>
                <w:lang w:val="en-US" w:eastAsia="zh-CN"/>
              </w:rPr>
              <w:t>8.2</w:t>
            </w:r>
            <w:r>
              <w:rPr>
                <w:rFonts w:hint="eastAsia"/>
                <w:sz w:val="24"/>
              </w:rPr>
              <w:t>5</w:t>
            </w:r>
            <w:r>
              <w:rPr>
                <w:bCs/>
                <w:sz w:val="24"/>
              </w:rPr>
              <w:t>m</w:t>
            </w:r>
            <w:r>
              <w:rPr>
                <w:bCs/>
                <w:sz w:val="24"/>
                <w:vertAlign w:val="superscript"/>
              </w:rPr>
              <w:t>3</w:t>
            </w:r>
            <w:r>
              <w:rPr>
                <w:bCs/>
                <w:sz w:val="24"/>
              </w:rPr>
              <w:t>/d</w:t>
            </w:r>
            <w:r>
              <w:rPr>
                <w:sz w:val="24"/>
              </w:rPr>
              <w:t>，生产中循环水利用率为9</w:t>
            </w:r>
            <w:r>
              <w:rPr>
                <w:rFonts w:hint="eastAsia"/>
                <w:sz w:val="24"/>
              </w:rPr>
              <w:t>4</w:t>
            </w:r>
            <w:r>
              <w:rPr>
                <w:sz w:val="24"/>
              </w:rPr>
              <w:t>%。根据《河北省用水定额》，员工生活用水按10L/人·d计</w:t>
            </w:r>
            <w:r>
              <w:rPr>
                <w:bCs/>
                <w:sz w:val="24"/>
              </w:rPr>
              <w:t>，生活用水量为0.2m</w:t>
            </w:r>
            <w:r>
              <w:rPr>
                <w:bCs/>
                <w:sz w:val="24"/>
                <w:vertAlign w:val="superscript"/>
              </w:rPr>
              <w:t>3</w:t>
            </w:r>
            <w:r>
              <w:rPr>
                <w:bCs/>
                <w:sz w:val="24"/>
              </w:rPr>
              <w:t>/d</w:t>
            </w:r>
            <w:r>
              <w:rPr>
                <w:rFonts w:hint="eastAsia"/>
                <w:bCs/>
                <w:sz w:val="24"/>
              </w:rPr>
              <w:t>。</w:t>
            </w:r>
          </w:p>
          <w:p>
            <w:pPr>
              <w:spacing w:line="480" w:lineRule="exact"/>
              <w:ind w:firstLine="480" w:firstLineChars="200"/>
              <w:rPr>
                <w:sz w:val="24"/>
              </w:rPr>
            </w:pPr>
            <w:r>
              <w:rPr>
                <w:sz w:val="24"/>
              </w:rPr>
              <w:t>本项目生产用水循环利用、不外排；</w:t>
            </w:r>
            <w:r>
              <w:rPr>
                <w:rFonts w:hint="eastAsia"/>
                <w:sz w:val="24"/>
              </w:rPr>
              <w:t>员工盥洗废水就地泼洒抑尘。</w:t>
            </w:r>
          </w:p>
          <w:p>
            <w:pPr>
              <w:spacing w:line="480" w:lineRule="exact"/>
              <w:ind w:firstLine="480" w:firstLineChars="200"/>
              <w:rPr>
                <w:sz w:val="24"/>
              </w:rPr>
            </w:pPr>
            <w:r>
              <w:rPr>
                <w:sz w:val="24"/>
              </w:rPr>
              <w:t>本项目用排水平衡</w:t>
            </w:r>
            <w:r>
              <w:rPr>
                <w:rFonts w:hint="eastAsia"/>
                <w:sz w:val="24"/>
              </w:rPr>
              <w:t>如下。</w:t>
            </w:r>
          </w:p>
          <w:p>
            <w:pPr>
              <w:spacing w:line="480" w:lineRule="exact"/>
              <w:jc w:val="center"/>
              <w:rPr>
                <w:b/>
                <w:sz w:val="24"/>
              </w:rPr>
            </w:pPr>
            <w:r>
              <w:rPr>
                <w:b/>
                <w:sz w:val="24"/>
              </w:rPr>
              <w:t>表</w:t>
            </w:r>
            <w:r>
              <w:rPr>
                <w:rFonts w:hint="eastAsia"/>
                <w:b/>
                <w:sz w:val="24"/>
              </w:rPr>
              <w:t>1</w:t>
            </w:r>
            <w:r>
              <w:rPr>
                <w:rFonts w:hint="eastAsia"/>
                <w:b/>
                <w:sz w:val="24"/>
                <w:lang w:val="en-US" w:eastAsia="zh-CN"/>
              </w:rPr>
              <w:t>7</w:t>
            </w:r>
            <w:r>
              <w:rPr>
                <w:b/>
                <w:sz w:val="24"/>
              </w:rPr>
              <w:t xml:space="preserve">      项目用排水量一览表</w:t>
            </w:r>
          </w:p>
          <w:tbl>
            <w:tblPr>
              <w:tblStyle w:val="32"/>
              <w:tblW w:w="83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90"/>
              <w:gridCol w:w="1133"/>
              <w:gridCol w:w="914"/>
              <w:gridCol w:w="1077"/>
              <w:gridCol w:w="914"/>
              <w:gridCol w:w="872"/>
              <w:gridCol w:w="1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restart"/>
                  <w:vAlign w:val="center"/>
                </w:tcPr>
                <w:p>
                  <w:pPr>
                    <w:jc w:val="center"/>
                    <w:rPr>
                      <w:b/>
                      <w:szCs w:val="21"/>
                    </w:rPr>
                  </w:pPr>
                  <w:r>
                    <w:rPr>
                      <w:b/>
                      <w:szCs w:val="21"/>
                    </w:rPr>
                    <w:t>项  目</w:t>
                  </w:r>
                </w:p>
              </w:tc>
              <w:tc>
                <w:tcPr>
                  <w:tcW w:w="677" w:type="pct"/>
                  <w:vAlign w:val="center"/>
                </w:tcPr>
                <w:p>
                  <w:pPr>
                    <w:jc w:val="center"/>
                    <w:rPr>
                      <w:b/>
                      <w:caps/>
                      <w:szCs w:val="21"/>
                    </w:rPr>
                  </w:pPr>
                  <w:r>
                    <w:rPr>
                      <w:b/>
                      <w:caps/>
                      <w:szCs w:val="21"/>
                    </w:rPr>
                    <w:t>总用水量</w:t>
                  </w:r>
                </w:p>
              </w:tc>
              <w:tc>
                <w:tcPr>
                  <w:tcW w:w="546" w:type="pct"/>
                  <w:vAlign w:val="center"/>
                </w:tcPr>
                <w:p>
                  <w:pPr>
                    <w:jc w:val="center"/>
                    <w:rPr>
                      <w:b/>
                      <w:caps/>
                      <w:szCs w:val="21"/>
                    </w:rPr>
                  </w:pPr>
                  <w:r>
                    <w:rPr>
                      <w:b/>
                      <w:caps/>
                      <w:szCs w:val="21"/>
                    </w:rPr>
                    <w:t>新水量</w:t>
                  </w:r>
                </w:p>
              </w:tc>
              <w:tc>
                <w:tcPr>
                  <w:tcW w:w="643" w:type="pct"/>
                  <w:vAlign w:val="center"/>
                </w:tcPr>
                <w:p>
                  <w:pPr>
                    <w:jc w:val="center"/>
                    <w:rPr>
                      <w:b/>
                      <w:caps/>
                      <w:szCs w:val="21"/>
                    </w:rPr>
                  </w:pPr>
                  <w:r>
                    <w:rPr>
                      <w:b/>
                      <w:caps/>
                      <w:szCs w:val="21"/>
                    </w:rPr>
                    <w:t>循环水量</w:t>
                  </w:r>
                </w:p>
              </w:tc>
              <w:tc>
                <w:tcPr>
                  <w:tcW w:w="546" w:type="pct"/>
                  <w:vAlign w:val="center"/>
                </w:tcPr>
                <w:p>
                  <w:pPr>
                    <w:jc w:val="center"/>
                    <w:rPr>
                      <w:b/>
                      <w:caps/>
                      <w:szCs w:val="21"/>
                    </w:rPr>
                  </w:pPr>
                  <w:r>
                    <w:rPr>
                      <w:b/>
                      <w:caps/>
                      <w:szCs w:val="21"/>
                    </w:rPr>
                    <w:t>损耗量</w:t>
                  </w:r>
                </w:p>
              </w:tc>
              <w:tc>
                <w:tcPr>
                  <w:tcW w:w="521" w:type="pct"/>
                  <w:vAlign w:val="center"/>
                </w:tcPr>
                <w:p>
                  <w:pPr>
                    <w:jc w:val="center"/>
                    <w:rPr>
                      <w:b/>
                      <w:caps/>
                      <w:szCs w:val="21"/>
                    </w:rPr>
                  </w:pPr>
                  <w:r>
                    <w:rPr>
                      <w:b/>
                      <w:caps/>
                      <w:szCs w:val="21"/>
                    </w:rPr>
                    <w:t>废水量</w:t>
                  </w:r>
                </w:p>
              </w:tc>
              <w:tc>
                <w:tcPr>
                  <w:tcW w:w="991" w:type="pct"/>
                  <w:vMerge w:val="restart"/>
                  <w:tcBorders>
                    <w:right w:val="nil"/>
                  </w:tcBorders>
                  <w:vAlign w:val="center"/>
                </w:tcPr>
                <w:p>
                  <w:pPr>
                    <w:jc w:val="center"/>
                    <w:rPr>
                      <w:b/>
                      <w:caps/>
                      <w:szCs w:val="21"/>
                    </w:rPr>
                  </w:pPr>
                  <w:r>
                    <w:rPr>
                      <w:b/>
                      <w:caps/>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continue"/>
                  <w:tcBorders>
                    <w:left w:val="nil"/>
                  </w:tcBorders>
                  <w:vAlign w:val="center"/>
                </w:tcPr>
                <w:p>
                  <w:pPr>
                    <w:widowControl/>
                    <w:jc w:val="center"/>
                    <w:rPr>
                      <w:b/>
                      <w:szCs w:val="21"/>
                    </w:rPr>
                  </w:pPr>
                </w:p>
              </w:tc>
              <w:tc>
                <w:tcPr>
                  <w:tcW w:w="677" w:type="pct"/>
                  <w:vAlign w:val="center"/>
                </w:tcPr>
                <w:p>
                  <w:pPr>
                    <w:jc w:val="center"/>
                    <w:rPr>
                      <w:b/>
                      <w:szCs w:val="21"/>
                    </w:rPr>
                  </w:pPr>
                  <w:r>
                    <w:rPr>
                      <w:b/>
                      <w:szCs w:val="21"/>
                    </w:rPr>
                    <w:t>m</w:t>
                  </w:r>
                  <w:r>
                    <w:rPr>
                      <w:b/>
                      <w:szCs w:val="21"/>
                      <w:vertAlign w:val="superscript"/>
                    </w:rPr>
                    <w:t>3</w:t>
                  </w:r>
                  <w:r>
                    <w:rPr>
                      <w:b/>
                      <w:szCs w:val="21"/>
                    </w:rPr>
                    <w:t>/d</w:t>
                  </w:r>
                </w:p>
              </w:tc>
              <w:tc>
                <w:tcPr>
                  <w:tcW w:w="546" w:type="pct"/>
                  <w:vAlign w:val="center"/>
                </w:tcPr>
                <w:p>
                  <w:pPr>
                    <w:jc w:val="center"/>
                    <w:rPr>
                      <w:b/>
                      <w:szCs w:val="21"/>
                    </w:rPr>
                  </w:pPr>
                  <w:r>
                    <w:rPr>
                      <w:b/>
                      <w:szCs w:val="21"/>
                    </w:rPr>
                    <w:t>m</w:t>
                  </w:r>
                  <w:r>
                    <w:rPr>
                      <w:b/>
                      <w:szCs w:val="21"/>
                      <w:vertAlign w:val="superscript"/>
                    </w:rPr>
                    <w:t>3</w:t>
                  </w:r>
                  <w:r>
                    <w:rPr>
                      <w:b/>
                      <w:szCs w:val="21"/>
                    </w:rPr>
                    <w:t>/d</w:t>
                  </w:r>
                </w:p>
              </w:tc>
              <w:tc>
                <w:tcPr>
                  <w:tcW w:w="643" w:type="pct"/>
                  <w:vAlign w:val="center"/>
                </w:tcPr>
                <w:p>
                  <w:pPr>
                    <w:jc w:val="center"/>
                    <w:rPr>
                      <w:b/>
                      <w:szCs w:val="21"/>
                    </w:rPr>
                  </w:pPr>
                  <w:r>
                    <w:rPr>
                      <w:b/>
                      <w:szCs w:val="21"/>
                    </w:rPr>
                    <w:t>m</w:t>
                  </w:r>
                  <w:r>
                    <w:rPr>
                      <w:b/>
                      <w:szCs w:val="21"/>
                      <w:vertAlign w:val="superscript"/>
                    </w:rPr>
                    <w:t>3</w:t>
                  </w:r>
                  <w:r>
                    <w:rPr>
                      <w:b/>
                      <w:szCs w:val="21"/>
                    </w:rPr>
                    <w:t>/d</w:t>
                  </w:r>
                </w:p>
              </w:tc>
              <w:tc>
                <w:tcPr>
                  <w:tcW w:w="546" w:type="pct"/>
                  <w:vAlign w:val="center"/>
                </w:tcPr>
                <w:p>
                  <w:pPr>
                    <w:jc w:val="center"/>
                    <w:rPr>
                      <w:b/>
                      <w:szCs w:val="21"/>
                    </w:rPr>
                  </w:pPr>
                  <w:r>
                    <w:rPr>
                      <w:b/>
                      <w:szCs w:val="21"/>
                    </w:rPr>
                    <w:t>m</w:t>
                  </w:r>
                  <w:r>
                    <w:rPr>
                      <w:b/>
                      <w:szCs w:val="21"/>
                      <w:vertAlign w:val="superscript"/>
                    </w:rPr>
                    <w:t>3</w:t>
                  </w:r>
                  <w:r>
                    <w:rPr>
                      <w:b/>
                      <w:szCs w:val="21"/>
                    </w:rPr>
                    <w:t>/d</w:t>
                  </w:r>
                </w:p>
              </w:tc>
              <w:tc>
                <w:tcPr>
                  <w:tcW w:w="521" w:type="pct"/>
                  <w:vAlign w:val="center"/>
                </w:tcPr>
                <w:p>
                  <w:pPr>
                    <w:jc w:val="center"/>
                    <w:rPr>
                      <w:b/>
                      <w:szCs w:val="21"/>
                    </w:rPr>
                  </w:pPr>
                  <w:r>
                    <w:rPr>
                      <w:b/>
                      <w:szCs w:val="21"/>
                    </w:rPr>
                    <w:t>m</w:t>
                  </w:r>
                  <w:r>
                    <w:rPr>
                      <w:b/>
                      <w:szCs w:val="21"/>
                      <w:vertAlign w:val="superscript"/>
                    </w:rPr>
                    <w:t>3</w:t>
                  </w:r>
                  <w:r>
                    <w:rPr>
                      <w:b/>
                      <w:szCs w:val="21"/>
                    </w:rPr>
                    <w:t>/d</w:t>
                  </w:r>
                </w:p>
              </w:tc>
              <w:tc>
                <w:tcPr>
                  <w:tcW w:w="991" w:type="pct"/>
                  <w:vMerge w:val="continue"/>
                  <w:tcBorders>
                    <w:right w:val="nil"/>
                  </w:tcBorders>
                  <w:vAlign w:val="center"/>
                </w:tcPr>
                <w:p>
                  <w:pPr>
                    <w:widowControl/>
                    <w:jc w:val="center"/>
                    <w:rPr>
                      <w:cap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restart"/>
                  <w:tcBorders>
                    <w:left w:val="nil"/>
                  </w:tcBorders>
                  <w:vAlign w:val="center"/>
                </w:tcPr>
                <w:p>
                  <w:pPr>
                    <w:jc w:val="center"/>
                    <w:rPr>
                      <w:b/>
                      <w:szCs w:val="21"/>
                    </w:rPr>
                  </w:pPr>
                  <w:r>
                    <w:rPr>
                      <w:b/>
                      <w:szCs w:val="21"/>
                    </w:rPr>
                    <w:t>生产</w:t>
                  </w:r>
                </w:p>
              </w:tc>
              <w:tc>
                <w:tcPr>
                  <w:tcW w:w="651" w:type="pct"/>
                  <w:vAlign w:val="center"/>
                </w:tcPr>
                <w:p>
                  <w:pPr>
                    <w:widowControl/>
                    <w:jc w:val="center"/>
                    <w:rPr>
                      <w:bCs/>
                      <w:szCs w:val="21"/>
                    </w:rPr>
                  </w:pPr>
                  <w:r>
                    <w:rPr>
                      <w:rFonts w:hint="eastAsia"/>
                      <w:bCs/>
                      <w:szCs w:val="21"/>
                    </w:rPr>
                    <w:t>退火工序</w:t>
                  </w:r>
                </w:p>
              </w:tc>
              <w:tc>
                <w:tcPr>
                  <w:tcW w:w="677" w:type="pct"/>
                  <w:vAlign w:val="center"/>
                </w:tcPr>
                <w:p>
                  <w:pPr>
                    <w:jc w:val="center"/>
                    <w:rPr>
                      <w:rFonts w:hint="default" w:eastAsia="宋体"/>
                      <w:bCs/>
                      <w:szCs w:val="21"/>
                      <w:lang w:val="en-US" w:eastAsia="zh-CN"/>
                    </w:rPr>
                  </w:pPr>
                  <w:r>
                    <w:rPr>
                      <w:rFonts w:hint="eastAsia"/>
                      <w:bCs/>
                      <w:szCs w:val="21"/>
                      <w:lang w:val="en-US" w:eastAsia="zh-CN"/>
                    </w:rPr>
                    <w:t>45</w:t>
                  </w:r>
                </w:p>
              </w:tc>
              <w:tc>
                <w:tcPr>
                  <w:tcW w:w="546" w:type="pct"/>
                  <w:vAlign w:val="center"/>
                </w:tcPr>
                <w:p>
                  <w:pPr>
                    <w:jc w:val="center"/>
                    <w:rPr>
                      <w:rFonts w:hint="default" w:eastAsia="宋体"/>
                      <w:bCs/>
                      <w:szCs w:val="21"/>
                      <w:lang w:val="en-US" w:eastAsia="zh-CN"/>
                    </w:rPr>
                  </w:pPr>
                  <w:r>
                    <w:rPr>
                      <w:rFonts w:hint="eastAsia"/>
                      <w:bCs/>
                      <w:szCs w:val="21"/>
                      <w:lang w:val="en-US" w:eastAsia="zh-CN"/>
                    </w:rPr>
                    <w:t>0.75</w:t>
                  </w:r>
                </w:p>
              </w:tc>
              <w:tc>
                <w:tcPr>
                  <w:tcW w:w="643" w:type="pct"/>
                  <w:vAlign w:val="center"/>
                </w:tcPr>
                <w:p>
                  <w:pPr>
                    <w:jc w:val="center"/>
                    <w:rPr>
                      <w:rFonts w:hint="default" w:eastAsia="宋体"/>
                      <w:bCs/>
                      <w:szCs w:val="21"/>
                      <w:lang w:val="en-US" w:eastAsia="zh-CN"/>
                    </w:rPr>
                  </w:pPr>
                  <w:r>
                    <w:rPr>
                      <w:rFonts w:hint="eastAsia"/>
                      <w:bCs/>
                      <w:szCs w:val="21"/>
                      <w:lang w:val="en-US" w:eastAsia="zh-CN"/>
                    </w:rPr>
                    <w:t>44.25</w:t>
                  </w:r>
                </w:p>
              </w:tc>
              <w:tc>
                <w:tcPr>
                  <w:tcW w:w="546" w:type="pct"/>
                  <w:vAlign w:val="center"/>
                </w:tcPr>
                <w:p>
                  <w:pPr>
                    <w:jc w:val="center"/>
                    <w:rPr>
                      <w:bCs/>
                      <w:szCs w:val="21"/>
                    </w:rPr>
                  </w:pPr>
                  <w:r>
                    <w:rPr>
                      <w:rFonts w:hint="eastAsia"/>
                      <w:bCs/>
                      <w:szCs w:val="21"/>
                    </w:rPr>
                    <w:t>0.</w:t>
                  </w:r>
                  <w:r>
                    <w:rPr>
                      <w:rFonts w:hint="eastAsia"/>
                      <w:bCs/>
                      <w:szCs w:val="21"/>
                      <w:lang w:val="en-US" w:eastAsia="zh-CN"/>
                    </w:rPr>
                    <w:t>7</w:t>
                  </w:r>
                  <w:r>
                    <w:rPr>
                      <w:rFonts w:hint="eastAsia"/>
                      <w:bCs/>
                      <w:szCs w:val="21"/>
                    </w:rPr>
                    <w:t>5</w:t>
                  </w:r>
                </w:p>
              </w:tc>
              <w:tc>
                <w:tcPr>
                  <w:tcW w:w="521" w:type="pct"/>
                  <w:vAlign w:val="center"/>
                </w:tcPr>
                <w:p>
                  <w:pPr>
                    <w:jc w:val="center"/>
                    <w:rPr>
                      <w:bCs/>
                      <w:szCs w:val="21"/>
                    </w:rPr>
                  </w:pPr>
                  <w:r>
                    <w:rPr>
                      <w:rFonts w:hint="eastAsia"/>
                      <w:bCs/>
                      <w:szCs w:val="21"/>
                    </w:rPr>
                    <w:t>0</w:t>
                  </w:r>
                </w:p>
              </w:tc>
              <w:tc>
                <w:tcPr>
                  <w:tcW w:w="991" w:type="pct"/>
                  <w:vMerge w:val="restart"/>
                  <w:tcBorders>
                    <w:right w:val="nil"/>
                  </w:tcBorders>
                  <w:vAlign w:val="center"/>
                </w:tcPr>
                <w:p>
                  <w:pPr>
                    <w:widowControl/>
                    <w:jc w:val="center"/>
                    <w:rPr>
                      <w:caps/>
                      <w:szCs w:val="21"/>
                    </w:rPr>
                  </w:pPr>
                  <w:r>
                    <w:rPr>
                      <w:rFonts w:hint="eastAsia"/>
                      <w:caps/>
                      <w:szCs w:val="21"/>
                    </w:rPr>
                    <w:t>经冷却后循环利用不外排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tcBorders>
                    <w:left w:val="nil"/>
                  </w:tcBorders>
                  <w:vAlign w:val="center"/>
                </w:tcPr>
                <w:p>
                  <w:pPr>
                    <w:jc w:val="center"/>
                    <w:rPr>
                      <w:b/>
                      <w:szCs w:val="21"/>
                    </w:rPr>
                  </w:pPr>
                </w:p>
              </w:tc>
              <w:tc>
                <w:tcPr>
                  <w:tcW w:w="651" w:type="pct"/>
                  <w:vAlign w:val="center"/>
                </w:tcPr>
                <w:p>
                  <w:pPr>
                    <w:widowControl/>
                    <w:jc w:val="center"/>
                    <w:rPr>
                      <w:szCs w:val="21"/>
                    </w:rPr>
                  </w:pPr>
                  <w:r>
                    <w:rPr>
                      <w:rFonts w:hint="eastAsia"/>
                      <w:szCs w:val="21"/>
                    </w:rPr>
                    <w:t>电炉冷却</w:t>
                  </w:r>
                </w:p>
              </w:tc>
              <w:tc>
                <w:tcPr>
                  <w:tcW w:w="677" w:type="pct"/>
                  <w:vAlign w:val="center"/>
                </w:tcPr>
                <w:p>
                  <w:pPr>
                    <w:jc w:val="center"/>
                    <w:rPr>
                      <w:rFonts w:hint="default" w:eastAsia="宋体"/>
                      <w:szCs w:val="21"/>
                      <w:lang w:val="en-US" w:eastAsia="zh-CN"/>
                    </w:rPr>
                  </w:pPr>
                  <w:r>
                    <w:rPr>
                      <w:rFonts w:hint="eastAsia"/>
                      <w:szCs w:val="21"/>
                      <w:lang w:val="en-US" w:eastAsia="zh-CN"/>
                    </w:rPr>
                    <w:t>90</w:t>
                  </w:r>
                </w:p>
              </w:tc>
              <w:tc>
                <w:tcPr>
                  <w:tcW w:w="546" w:type="pct"/>
                  <w:vAlign w:val="center"/>
                </w:tcPr>
                <w:p>
                  <w:pPr>
                    <w:jc w:val="center"/>
                    <w:rPr>
                      <w:szCs w:val="21"/>
                    </w:rPr>
                  </w:pPr>
                  <w:r>
                    <w:rPr>
                      <w:rFonts w:hint="eastAsia"/>
                      <w:szCs w:val="21"/>
                      <w:lang w:val="en-US" w:eastAsia="zh-CN"/>
                    </w:rPr>
                    <w:t>7.</w:t>
                  </w:r>
                  <w:r>
                    <w:rPr>
                      <w:rFonts w:hint="eastAsia"/>
                      <w:szCs w:val="21"/>
                    </w:rPr>
                    <w:t>5</w:t>
                  </w:r>
                </w:p>
              </w:tc>
              <w:tc>
                <w:tcPr>
                  <w:tcW w:w="643" w:type="pct"/>
                  <w:vAlign w:val="center"/>
                </w:tcPr>
                <w:p>
                  <w:pPr>
                    <w:jc w:val="center"/>
                    <w:rPr>
                      <w:szCs w:val="21"/>
                    </w:rPr>
                  </w:pPr>
                  <w:r>
                    <w:rPr>
                      <w:rFonts w:hint="eastAsia"/>
                      <w:szCs w:val="21"/>
                      <w:lang w:val="en-US" w:eastAsia="zh-CN"/>
                    </w:rPr>
                    <w:t>82.5</w:t>
                  </w:r>
                </w:p>
              </w:tc>
              <w:tc>
                <w:tcPr>
                  <w:tcW w:w="546" w:type="pct"/>
                  <w:vAlign w:val="center"/>
                </w:tcPr>
                <w:p>
                  <w:pPr>
                    <w:jc w:val="center"/>
                    <w:rPr>
                      <w:szCs w:val="21"/>
                    </w:rPr>
                  </w:pPr>
                  <w:r>
                    <w:rPr>
                      <w:rFonts w:hint="eastAsia"/>
                      <w:szCs w:val="21"/>
                      <w:lang w:val="en-US" w:eastAsia="zh-CN"/>
                    </w:rPr>
                    <w:t>7.</w:t>
                  </w:r>
                  <w:r>
                    <w:rPr>
                      <w:rFonts w:hint="eastAsia"/>
                      <w:szCs w:val="21"/>
                    </w:rPr>
                    <w:t>5</w:t>
                  </w:r>
                </w:p>
              </w:tc>
              <w:tc>
                <w:tcPr>
                  <w:tcW w:w="521" w:type="pct"/>
                  <w:vAlign w:val="center"/>
                </w:tcPr>
                <w:p>
                  <w:pPr>
                    <w:jc w:val="center"/>
                    <w:rPr>
                      <w:szCs w:val="21"/>
                    </w:rPr>
                  </w:pPr>
                  <w:r>
                    <w:rPr>
                      <w:rFonts w:hint="eastAsia"/>
                      <w:szCs w:val="21"/>
                    </w:rPr>
                    <w:t>0</w:t>
                  </w:r>
                </w:p>
              </w:tc>
              <w:tc>
                <w:tcPr>
                  <w:tcW w:w="991" w:type="pct"/>
                  <w:vMerge w:val="continue"/>
                  <w:tcBorders>
                    <w:right w:val="nil"/>
                  </w:tcBorders>
                  <w:vAlign w:val="center"/>
                </w:tcPr>
                <w:p>
                  <w:pPr>
                    <w:widowControl/>
                    <w:jc w:val="center"/>
                    <w:rPr>
                      <w:cap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left w:val="nil"/>
                  </w:tcBorders>
                  <w:vAlign w:val="center"/>
                </w:tcPr>
                <w:p>
                  <w:pPr>
                    <w:jc w:val="center"/>
                    <w:rPr>
                      <w:b/>
                      <w:szCs w:val="21"/>
                    </w:rPr>
                  </w:pPr>
                  <w:r>
                    <w:rPr>
                      <w:b/>
                      <w:szCs w:val="21"/>
                    </w:rPr>
                    <w:t>生活</w:t>
                  </w:r>
                </w:p>
              </w:tc>
              <w:tc>
                <w:tcPr>
                  <w:tcW w:w="651" w:type="pct"/>
                  <w:vAlign w:val="center"/>
                </w:tcPr>
                <w:p>
                  <w:pPr>
                    <w:widowControl/>
                    <w:jc w:val="center"/>
                    <w:rPr>
                      <w:szCs w:val="21"/>
                    </w:rPr>
                  </w:pPr>
                  <w:r>
                    <w:rPr>
                      <w:szCs w:val="21"/>
                    </w:rPr>
                    <w:t>生活用水</w:t>
                  </w:r>
                </w:p>
              </w:tc>
              <w:tc>
                <w:tcPr>
                  <w:tcW w:w="677" w:type="pct"/>
                  <w:vAlign w:val="center"/>
                </w:tcPr>
                <w:p>
                  <w:pPr>
                    <w:jc w:val="center"/>
                    <w:rPr>
                      <w:szCs w:val="21"/>
                    </w:rPr>
                  </w:pPr>
                  <w:r>
                    <w:rPr>
                      <w:rFonts w:hint="eastAsia"/>
                      <w:szCs w:val="21"/>
                    </w:rPr>
                    <w:t>0.2</w:t>
                  </w:r>
                </w:p>
              </w:tc>
              <w:tc>
                <w:tcPr>
                  <w:tcW w:w="546" w:type="pct"/>
                  <w:vAlign w:val="center"/>
                </w:tcPr>
                <w:p>
                  <w:pPr>
                    <w:jc w:val="center"/>
                    <w:rPr>
                      <w:szCs w:val="21"/>
                    </w:rPr>
                  </w:pPr>
                  <w:r>
                    <w:rPr>
                      <w:rFonts w:hint="eastAsia"/>
                      <w:szCs w:val="21"/>
                    </w:rPr>
                    <w:t>0.2</w:t>
                  </w:r>
                </w:p>
              </w:tc>
              <w:tc>
                <w:tcPr>
                  <w:tcW w:w="643" w:type="pct"/>
                  <w:vAlign w:val="center"/>
                </w:tcPr>
                <w:p>
                  <w:pPr>
                    <w:jc w:val="center"/>
                    <w:rPr>
                      <w:szCs w:val="21"/>
                    </w:rPr>
                  </w:pPr>
                  <w:r>
                    <w:rPr>
                      <w:rFonts w:hint="eastAsia"/>
                      <w:szCs w:val="21"/>
                    </w:rPr>
                    <w:t>0</w:t>
                  </w:r>
                </w:p>
              </w:tc>
              <w:tc>
                <w:tcPr>
                  <w:tcW w:w="546" w:type="pct"/>
                  <w:vAlign w:val="center"/>
                </w:tcPr>
                <w:p>
                  <w:pPr>
                    <w:jc w:val="center"/>
                    <w:rPr>
                      <w:szCs w:val="21"/>
                    </w:rPr>
                  </w:pPr>
                  <w:r>
                    <w:rPr>
                      <w:rFonts w:hint="eastAsia"/>
                      <w:szCs w:val="21"/>
                    </w:rPr>
                    <w:t>0.04</w:t>
                  </w:r>
                </w:p>
              </w:tc>
              <w:tc>
                <w:tcPr>
                  <w:tcW w:w="521" w:type="pct"/>
                  <w:vAlign w:val="center"/>
                </w:tcPr>
                <w:p>
                  <w:pPr>
                    <w:jc w:val="center"/>
                    <w:rPr>
                      <w:szCs w:val="21"/>
                    </w:rPr>
                  </w:pPr>
                  <w:r>
                    <w:rPr>
                      <w:rFonts w:hint="eastAsia"/>
                      <w:szCs w:val="21"/>
                    </w:rPr>
                    <w:t>0.16</w:t>
                  </w:r>
                </w:p>
              </w:tc>
              <w:tc>
                <w:tcPr>
                  <w:tcW w:w="991" w:type="pct"/>
                  <w:tcBorders>
                    <w:right w:val="nil"/>
                  </w:tcBorders>
                  <w:vAlign w:val="center"/>
                </w:tcPr>
                <w:p>
                  <w:pPr>
                    <w:widowControl/>
                    <w:jc w:val="center"/>
                    <w:rPr>
                      <w:caps/>
                      <w:szCs w:val="21"/>
                    </w:rPr>
                  </w:pPr>
                  <w:r>
                    <w:rPr>
                      <w:rFonts w:hint="eastAsia"/>
                      <w:caps/>
                      <w:szCs w:val="21"/>
                    </w:rPr>
                    <w:t>就地泼洒抑尘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tcBorders>
                    <w:left w:val="nil"/>
                  </w:tcBorders>
                  <w:vAlign w:val="center"/>
                </w:tcPr>
                <w:p>
                  <w:pPr>
                    <w:jc w:val="center"/>
                    <w:rPr>
                      <w:szCs w:val="21"/>
                    </w:rPr>
                  </w:pPr>
                  <w:r>
                    <w:rPr>
                      <w:b/>
                      <w:szCs w:val="21"/>
                    </w:rPr>
                    <w:t>合计</w:t>
                  </w:r>
                </w:p>
              </w:tc>
              <w:tc>
                <w:tcPr>
                  <w:tcW w:w="1133"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135.2</w:t>
                  </w:r>
                </w:p>
              </w:tc>
              <w:tc>
                <w:tcPr>
                  <w:tcW w:w="91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8.45</w:t>
                  </w:r>
                </w:p>
              </w:tc>
              <w:tc>
                <w:tcPr>
                  <w:tcW w:w="1077"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126.75</w:t>
                  </w:r>
                </w:p>
              </w:tc>
              <w:tc>
                <w:tcPr>
                  <w:tcW w:w="914"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8.29</w:t>
                  </w:r>
                </w:p>
              </w:tc>
              <w:tc>
                <w:tcPr>
                  <w:tcW w:w="872"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0.16</w:t>
                  </w:r>
                </w:p>
              </w:tc>
              <w:tc>
                <w:tcPr>
                  <w:tcW w:w="991" w:type="pct"/>
                  <w:tcBorders>
                    <w:right w:val="nil"/>
                  </w:tcBorders>
                  <w:vAlign w:val="center"/>
                </w:tcPr>
                <w:p>
                  <w:pPr>
                    <w:jc w:val="center"/>
                    <w:rPr>
                      <w:szCs w:val="21"/>
                    </w:rPr>
                  </w:pPr>
                  <w:r>
                    <w:rPr>
                      <w:rFonts w:hint="eastAsia"/>
                      <w:szCs w:val="21"/>
                    </w:rPr>
                    <w:t>-</w:t>
                  </w:r>
                </w:p>
              </w:tc>
            </w:tr>
          </w:tbl>
          <w:p>
            <w:pPr>
              <w:jc w:val="center"/>
              <w:rPr>
                <w:b/>
                <w:sz w:val="24"/>
              </w:rPr>
            </w:pPr>
          </w:p>
          <w:p>
            <w:pPr>
              <w:jc w:val="center"/>
              <w:rPr>
                <w:b/>
                <w:sz w:val="24"/>
                <w:lang w:bidi="ar"/>
              </w:rPr>
            </w:pPr>
            <w:r>
              <w:rPr>
                <w:b/>
                <w:sz w:val="24"/>
                <w:lang w:bidi="ar"/>
              </w:rPr>
              <w:object>
                <v:shape id="_x0000_i1025" o:spt="75" type="#_x0000_t75" style="height:208.95pt;width:325.9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spacing w:line="480" w:lineRule="exact"/>
              <w:jc w:val="center"/>
              <w:rPr>
                <w:b/>
                <w:sz w:val="24"/>
              </w:rPr>
            </w:pPr>
            <w:r>
              <w:rPr>
                <w:b/>
                <w:sz w:val="24"/>
                <w:lang w:bidi="ar"/>
              </w:rPr>
              <w:t>图</w:t>
            </w:r>
            <w:r>
              <w:rPr>
                <w:rFonts w:hint="eastAsia"/>
                <w:b/>
                <w:sz w:val="24"/>
                <w:lang w:bidi="ar"/>
              </w:rPr>
              <w:t>1</w:t>
            </w:r>
            <w:r>
              <w:rPr>
                <w:b/>
                <w:sz w:val="24"/>
                <w:lang w:bidi="ar"/>
              </w:rPr>
              <w:t xml:space="preserve">  项目水平衡图  单位m</w:t>
            </w:r>
            <w:r>
              <w:rPr>
                <w:b/>
                <w:sz w:val="24"/>
                <w:vertAlign w:val="superscript"/>
                <w:lang w:bidi="ar"/>
              </w:rPr>
              <w:t>3</w:t>
            </w:r>
            <w:r>
              <w:rPr>
                <w:b/>
                <w:sz w:val="24"/>
                <w:lang w:bidi="ar"/>
              </w:rPr>
              <w:t>/d</w:t>
            </w:r>
          </w:p>
          <w:p>
            <w:pPr>
              <w:spacing w:line="500" w:lineRule="exact"/>
              <w:ind w:firstLine="480" w:firstLineChars="200"/>
              <w:rPr>
                <w:sz w:val="24"/>
              </w:rPr>
            </w:pPr>
            <w:r>
              <w:rPr>
                <w:sz w:val="24"/>
              </w:rPr>
              <w:t>②供电：</w:t>
            </w:r>
            <w:r>
              <w:rPr>
                <w:snapToGrid w:val="0"/>
                <w:kern w:val="0"/>
                <w:sz w:val="24"/>
              </w:rPr>
              <w:t>项目用电由当地电网供给，</w:t>
            </w:r>
            <w:r>
              <w:rPr>
                <w:rFonts w:hint="eastAsia"/>
                <w:snapToGrid w:val="0"/>
                <w:kern w:val="0"/>
                <w:sz w:val="24"/>
              </w:rPr>
              <w:t>项目全厂耗电量为</w:t>
            </w:r>
            <w:r>
              <w:rPr>
                <w:rFonts w:hint="eastAsia"/>
                <w:snapToGrid w:val="0"/>
                <w:kern w:val="0"/>
                <w:sz w:val="24"/>
                <w:lang w:eastAsia="zh-CN"/>
              </w:rPr>
              <w:t>65.16</w:t>
            </w:r>
            <w:r>
              <w:rPr>
                <w:bCs/>
                <w:snapToGrid w:val="0"/>
                <w:kern w:val="0"/>
                <w:sz w:val="24"/>
              </w:rPr>
              <w:t>万kWh</w:t>
            </w:r>
            <w:r>
              <w:rPr>
                <w:sz w:val="24"/>
              </w:rPr>
              <w:t>。</w:t>
            </w:r>
          </w:p>
          <w:p>
            <w:pPr>
              <w:spacing w:line="500" w:lineRule="exact"/>
              <w:ind w:firstLine="480" w:firstLineChars="200"/>
              <w:rPr>
                <w:sz w:val="24"/>
              </w:rPr>
            </w:pPr>
            <w:r>
              <w:rPr>
                <w:sz w:val="24"/>
              </w:rPr>
              <w:t>③</w:t>
            </w:r>
            <w:r>
              <w:rPr>
                <w:snapToGrid w:val="0"/>
                <w:kern w:val="0"/>
                <w:sz w:val="24"/>
              </w:rPr>
              <w:t>供</w:t>
            </w:r>
            <w:r>
              <w:rPr>
                <w:rFonts w:hint="eastAsia"/>
                <w:snapToGrid w:val="0"/>
                <w:kern w:val="0"/>
                <w:sz w:val="24"/>
              </w:rPr>
              <w:t>暖、制冷</w:t>
            </w:r>
            <w:r>
              <w:rPr>
                <w:snapToGrid w:val="0"/>
                <w:kern w:val="0"/>
                <w:sz w:val="24"/>
              </w:rPr>
              <w:t>：</w:t>
            </w:r>
            <w:r>
              <w:rPr>
                <w:rFonts w:hint="eastAsia"/>
                <w:snapToGrid w:val="0"/>
                <w:kern w:val="0"/>
                <w:sz w:val="24"/>
              </w:rPr>
              <w:t>生产车间不供暖，项目</w:t>
            </w:r>
            <w:r>
              <w:rPr>
                <w:rFonts w:hint="eastAsia"/>
                <w:snapToGrid w:val="0"/>
                <w:kern w:val="0"/>
                <w:sz w:val="24"/>
                <w:lang w:eastAsia="zh-CN"/>
              </w:rPr>
              <w:t>办公楼</w:t>
            </w:r>
            <w:r>
              <w:rPr>
                <w:rFonts w:hint="eastAsia"/>
                <w:snapToGrid w:val="0"/>
                <w:kern w:val="0"/>
                <w:sz w:val="24"/>
              </w:rPr>
              <w:t>供热、制冷均采用空调。</w:t>
            </w: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20" w:firstLineChars="20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8" w:hRule="atLeast"/>
          <w:jc w:val="center"/>
        </w:trPr>
        <w:tc>
          <w:tcPr>
            <w:tcW w:w="455" w:type="dxa"/>
            <w:vAlign w:val="center"/>
          </w:tcPr>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工</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艺</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流</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程</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和</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产</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排</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污</w:t>
            </w:r>
          </w:p>
          <w:p>
            <w:pPr>
              <w:pStyle w:val="28"/>
              <w:adjustRightInd w:val="0"/>
              <w:snapToGrid w:val="0"/>
              <w:spacing w:before="0" w:beforeAutospacing="0" w:after="0" w:afterAutospacing="0" w:line="480" w:lineRule="exact"/>
              <w:jc w:val="center"/>
              <w:rPr>
                <w:rFonts w:ascii="Times New Roman" w:hAnsi="Times New Roman"/>
                <w:szCs w:val="24"/>
              </w:rPr>
            </w:pPr>
            <w:r>
              <w:rPr>
                <w:rFonts w:ascii="Times New Roman" w:hAnsi="Times New Roman"/>
                <w:szCs w:val="24"/>
              </w:rPr>
              <w:t>环</w:t>
            </w:r>
          </w:p>
          <w:p>
            <w:pPr>
              <w:pStyle w:val="28"/>
              <w:adjustRightInd w:val="0"/>
              <w:snapToGrid w:val="0"/>
              <w:spacing w:before="0" w:beforeAutospacing="0" w:after="0" w:afterAutospacing="0" w:line="480" w:lineRule="exact"/>
              <w:jc w:val="center"/>
              <w:rPr>
                <w:rFonts w:ascii="Times New Roman" w:hAnsi="Times New Roman"/>
                <w:sz w:val="21"/>
                <w:szCs w:val="21"/>
              </w:rPr>
            </w:pPr>
            <w:r>
              <w:rPr>
                <w:rFonts w:ascii="Times New Roman" w:hAnsi="Times New Roman"/>
                <w:szCs w:val="24"/>
              </w:rPr>
              <w:t>节</w:t>
            </w:r>
          </w:p>
        </w:tc>
        <w:tc>
          <w:tcPr>
            <w:tcW w:w="8604" w:type="dxa"/>
            <w:gridSpan w:val="2"/>
          </w:tcPr>
          <w:p>
            <w:pPr>
              <w:spacing w:line="500" w:lineRule="exact"/>
              <w:rPr>
                <w:b/>
                <w:sz w:val="24"/>
              </w:rPr>
            </w:pPr>
            <w:r>
              <w:rPr>
                <w:rFonts w:hint="eastAsia"/>
                <w:b/>
                <w:sz w:val="24"/>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pxx5dgAAAAJAQAADwAAAAAAAAABACAAAAAiAAAAZHJzL2Rvd25yZXYueG1sUEsB&#10;AhQAFAAAAAgAh07iQDmm562DAQAAHAMAAA4AAAAAAAAAAQAgAAAAJwEAAGRycy9lMm9Eb2MueG1s&#10;UEsFBgAAAAAGAAYAWQEAABwFAAAAAA==&#10;">
                      <v:fill on="f" focussize="0,0"/>
                      <v:stroke on="f"/>
                      <v:imagedata o:title=""/>
                      <o:lock v:ext="edit" aspectratio="f"/>
                    </v:line>
                  </w:pict>
                </mc:Fallback>
              </mc:AlternateContent>
            </w:r>
            <w:r>
              <w:rPr>
                <w:rFonts w:hint="eastAsia"/>
                <w:b/>
                <w:sz w:val="24"/>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M0VR6tgAAAAJAQAADwAAAAAAAAABACAAAAAiAAAAZHJzL2Rvd25yZXYueG1sUEsB&#10;AhQAFAAAAAgAh07iQHWY38mDAQAAHAMAAA4AAAAAAAAAAQAgAAAAJwEAAGRycy9lMm9Eb2MueG1s&#10;UEsFBgAAAAAGAAYAWQEAABwFAAAAAA==&#10;">
                      <v:fill on="f" focussize="0,0"/>
                      <v:stroke on="f"/>
                      <v:imagedata o:title=""/>
                      <o:lock v:ext="edit" aspectratio="f"/>
                    </v:line>
                  </w:pict>
                </mc:Fallback>
              </mc:AlternateContent>
            </w:r>
            <w:r>
              <w:rPr>
                <w:b/>
                <w:sz w:val="24"/>
              </w:rPr>
              <w:t>工艺流程简述(图示)：</w:t>
            </w:r>
          </w:p>
          <w:p>
            <w:pPr>
              <w:spacing w:line="480" w:lineRule="exact"/>
              <w:ind w:firstLine="480" w:firstLineChars="200"/>
            </w:pPr>
            <w:r>
              <w:rPr>
                <w:rFonts w:hint="eastAsia"/>
                <w:sz w:val="24"/>
              </w:rPr>
              <w:t>本</w:t>
            </w:r>
            <w:r>
              <w:rPr>
                <w:sz w:val="24"/>
              </w:rPr>
              <w:t>项目</w:t>
            </w:r>
            <w:r>
              <w:rPr>
                <w:rFonts w:hint="eastAsia"/>
                <w:sz w:val="24"/>
              </w:rPr>
              <w:t>涉及工艺主要为铸造、砂处理等，生产</w:t>
            </w:r>
            <w:r>
              <w:rPr>
                <w:sz w:val="24"/>
              </w:rPr>
              <w:t>工艺过程</w:t>
            </w:r>
            <w:r>
              <w:rPr>
                <w:rFonts w:hint="eastAsia"/>
                <w:sz w:val="24"/>
              </w:rPr>
              <w:t>简述如下</w:t>
            </w:r>
            <w:r>
              <w:rPr>
                <w:sz w:val="24"/>
              </w:rPr>
              <w:t>：</w:t>
            </w:r>
          </w:p>
          <w:p>
            <w:pPr>
              <w:spacing w:line="480" w:lineRule="exact"/>
              <w:ind w:firstLine="480" w:firstLineChars="200"/>
              <w:rPr>
                <w:sz w:val="24"/>
              </w:rPr>
            </w:pPr>
            <w:r>
              <w:rPr>
                <w:rFonts w:hint="eastAsia"/>
                <w:sz w:val="24"/>
              </w:rPr>
              <w:t>一、铸造生产工艺</w:t>
            </w:r>
          </w:p>
          <w:p>
            <w:pPr>
              <w:ind w:firstLine="482" w:firstLineChars="200"/>
              <w:jc w:val="center"/>
              <w:rPr>
                <w:b/>
                <w:bCs/>
                <w:snapToGrid w:val="0"/>
                <w:sz w:val="24"/>
              </w:rPr>
            </w:pPr>
            <w:r>
              <w:rPr>
                <w:b/>
                <w:bCs/>
                <w:snapToGrid w:val="0"/>
                <w:sz w:val="24"/>
              </w:rPr>
              <w:object>
                <v:shape id="_x0000_i1026" o:spt="75" type="#_x0000_t75" style="height:308.3pt;width:318.2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spacing w:line="480" w:lineRule="exact"/>
              <w:ind w:firstLine="482" w:firstLineChars="200"/>
              <w:jc w:val="center"/>
              <w:rPr>
                <w:b/>
                <w:bCs/>
                <w:snapToGrid w:val="0"/>
                <w:sz w:val="24"/>
              </w:rPr>
            </w:pPr>
            <w:r>
              <w:rPr>
                <w:b/>
                <w:bCs/>
                <w:snapToGrid w:val="0"/>
                <w:sz w:val="24"/>
              </w:rPr>
              <w:t>图</w:t>
            </w:r>
            <w:r>
              <w:rPr>
                <w:rFonts w:hint="eastAsia"/>
                <w:b/>
                <w:bCs/>
                <w:snapToGrid w:val="0"/>
                <w:sz w:val="24"/>
              </w:rPr>
              <w:t>2   生产工艺流程及排污节点</w:t>
            </w:r>
            <w:r>
              <w:rPr>
                <w:b/>
                <w:bCs/>
                <w:snapToGrid w:val="0"/>
                <w:sz w:val="24"/>
              </w:rPr>
              <w:t>图</w:t>
            </w:r>
            <w:r>
              <w:rPr>
                <w:rFonts w:hint="eastAsia"/>
                <w:b/>
                <w:bCs/>
                <w:snapToGrid w:val="0"/>
                <w:sz w:val="24"/>
              </w:rPr>
              <w:t xml:space="preserve"> </w:t>
            </w:r>
          </w:p>
          <w:p>
            <w:pPr>
              <w:spacing w:line="480" w:lineRule="exact"/>
              <w:ind w:firstLine="480" w:firstLineChars="200"/>
              <w:rPr>
                <w:sz w:val="24"/>
              </w:rPr>
            </w:pPr>
            <w:r>
              <w:rPr>
                <w:sz w:val="24"/>
              </w:rPr>
              <w:t>1</w:t>
            </w:r>
            <w:r>
              <w:rPr>
                <w:rFonts w:hint="eastAsia"/>
                <w:sz w:val="24"/>
              </w:rPr>
              <w:t xml:space="preserve">、制砂模工序 </w:t>
            </w:r>
          </w:p>
          <w:p>
            <w:pPr>
              <w:spacing w:line="500" w:lineRule="exact"/>
              <w:ind w:firstLine="480" w:firstLineChars="200"/>
              <w:rPr>
                <w:sz w:val="24"/>
              </w:rPr>
            </w:pPr>
            <w:r>
              <w:rPr>
                <w:sz w:val="24"/>
              </w:rPr>
              <w:t>将外购的</w:t>
            </w:r>
            <w:r>
              <w:rPr>
                <w:rFonts w:hint="eastAsia"/>
                <w:sz w:val="24"/>
              </w:rPr>
              <w:t>模具运至生产车间备用</w:t>
            </w:r>
            <w:r>
              <w:rPr>
                <w:sz w:val="24"/>
              </w:rPr>
              <w:t>。</w:t>
            </w:r>
            <w:r>
              <w:rPr>
                <w:rFonts w:hint="eastAsia"/>
                <w:sz w:val="24"/>
              </w:rPr>
              <w:t>石英砂、耐火材料</w:t>
            </w:r>
            <w:r>
              <w:rPr>
                <w:sz w:val="24"/>
              </w:rPr>
              <w:t>由人工送到</w:t>
            </w:r>
            <w:r>
              <w:rPr>
                <w:rFonts w:hint="eastAsia"/>
                <w:sz w:val="24"/>
              </w:rPr>
              <w:t>全封闭</w:t>
            </w:r>
            <w:r>
              <w:rPr>
                <w:sz w:val="24"/>
              </w:rPr>
              <w:t>皮带输送机上，经皮带输送进入</w:t>
            </w:r>
            <w:r>
              <w:rPr>
                <w:rFonts w:hint="eastAsia"/>
                <w:sz w:val="24"/>
              </w:rPr>
              <w:t>碾轮式混砂机</w:t>
            </w:r>
            <w:r>
              <w:rPr>
                <w:sz w:val="24"/>
              </w:rPr>
              <w:t>进行搅拌，搅拌过程中按比例加入水玻璃，充分混合后成水玻璃砂，准备造型。在砂箱中放入指定的</w:t>
            </w:r>
            <w:r>
              <w:rPr>
                <w:rFonts w:hint="eastAsia"/>
                <w:sz w:val="24"/>
              </w:rPr>
              <w:t>模具</w:t>
            </w:r>
            <w:r>
              <w:rPr>
                <w:sz w:val="24"/>
              </w:rPr>
              <w:t>，并在</w:t>
            </w:r>
            <w:r>
              <w:rPr>
                <w:rFonts w:hint="eastAsia"/>
                <w:sz w:val="24"/>
              </w:rPr>
              <w:t>模具</w:t>
            </w:r>
            <w:r>
              <w:rPr>
                <w:sz w:val="24"/>
              </w:rPr>
              <w:t>周边填满砂子，</w:t>
            </w:r>
            <w:r>
              <w:rPr>
                <w:rFonts w:hint="eastAsia"/>
                <w:sz w:val="24"/>
              </w:rPr>
              <w:t>利用震击式造型机进行造型，</w:t>
            </w:r>
            <w:r>
              <w:rPr>
                <w:sz w:val="24"/>
              </w:rPr>
              <w:t>水玻璃砂变硬后取出模具，扣箱，留出浇冒口。</w:t>
            </w:r>
          </w:p>
          <w:p>
            <w:pPr>
              <w:spacing w:line="480" w:lineRule="exact"/>
              <w:ind w:firstLine="482" w:firstLineChars="200"/>
              <w:rPr>
                <w:b/>
                <w:bCs/>
                <w:sz w:val="24"/>
              </w:rPr>
            </w:pPr>
            <w:r>
              <w:rPr>
                <w:b/>
                <w:bCs/>
                <w:sz w:val="24"/>
              </w:rPr>
              <w:t>排污节点：混砂过程产生的颗粒物，砂模制作中产生的废砂，</w:t>
            </w:r>
            <w:r>
              <w:rPr>
                <w:rFonts w:hint="eastAsia"/>
                <w:b/>
                <w:bCs/>
                <w:sz w:val="24"/>
              </w:rPr>
              <w:t>皮带输送机、</w:t>
            </w:r>
            <w:r>
              <w:rPr>
                <w:b/>
                <w:bCs/>
                <w:sz w:val="24"/>
              </w:rPr>
              <w:t>混砂机</w:t>
            </w:r>
            <w:r>
              <w:rPr>
                <w:rFonts w:hint="eastAsia"/>
                <w:b/>
                <w:bCs/>
                <w:sz w:val="24"/>
              </w:rPr>
              <w:t>、震击式造型机</w:t>
            </w:r>
            <w:r>
              <w:rPr>
                <w:b/>
                <w:bCs/>
                <w:sz w:val="24"/>
              </w:rPr>
              <w:t>产生的噪声</w:t>
            </w:r>
            <w:r>
              <w:rPr>
                <w:rFonts w:hint="eastAsia"/>
                <w:b/>
                <w:bCs/>
                <w:sz w:val="24"/>
              </w:rPr>
              <w:t>。</w:t>
            </w:r>
          </w:p>
          <w:p>
            <w:pPr>
              <w:numPr>
                <w:ilvl w:val="0"/>
                <w:numId w:val="1"/>
              </w:numPr>
              <w:spacing w:line="480" w:lineRule="exact"/>
              <w:ind w:firstLine="480" w:firstLineChars="200"/>
              <w:rPr>
                <w:sz w:val="24"/>
              </w:rPr>
            </w:pPr>
            <w:r>
              <w:rPr>
                <w:rFonts w:hint="eastAsia"/>
                <w:sz w:val="24"/>
              </w:rPr>
              <w:t>熔炼工序：将购买的废钢、高锰钢等原料投入磁</w:t>
            </w:r>
            <w:r>
              <w:rPr>
                <w:sz w:val="24"/>
              </w:rPr>
              <w:t>轭钢壳感应电炉</w:t>
            </w:r>
            <w:r>
              <w:rPr>
                <w:rFonts w:hint="eastAsia"/>
                <w:sz w:val="24"/>
              </w:rPr>
              <w:t>进行熔化。熔化好的铁水倒进钢水包中，通过天车运送至浇注场地进行浇注。</w:t>
            </w:r>
          </w:p>
          <w:p>
            <w:pPr>
              <w:numPr>
                <w:ilvl w:val="0"/>
                <w:numId w:val="0"/>
              </w:numPr>
              <w:spacing w:line="480" w:lineRule="exact"/>
              <w:ind w:firstLine="482" w:firstLineChars="200"/>
              <w:rPr>
                <w:sz w:val="24"/>
              </w:rPr>
            </w:pPr>
            <w:r>
              <w:rPr>
                <w:b/>
                <w:bCs/>
                <w:sz w:val="24"/>
              </w:rPr>
              <w:t>排污节点：</w:t>
            </w:r>
            <w:r>
              <w:rPr>
                <w:rFonts w:hint="eastAsia"/>
                <w:b/>
                <w:bCs/>
                <w:sz w:val="24"/>
              </w:rPr>
              <w:t>熔化及铁水倒出主要产生废气为粉尘颗粒物，固废为</w:t>
            </w:r>
            <w:r>
              <w:rPr>
                <w:rFonts w:hint="eastAsia"/>
                <w:b/>
                <w:bCs/>
                <w:sz w:val="24"/>
                <w:lang w:eastAsia="zh-CN"/>
              </w:rPr>
              <w:t>熔炼渣</w:t>
            </w:r>
            <w:r>
              <w:rPr>
                <w:rFonts w:hint="eastAsia"/>
                <w:b/>
                <w:bCs/>
                <w:sz w:val="24"/>
              </w:rPr>
              <w:t>等。</w:t>
            </w:r>
            <w:r>
              <w:rPr>
                <w:rFonts w:hint="eastAsia"/>
                <w:sz w:val="24"/>
              </w:rPr>
              <w:t xml:space="preserve"> </w:t>
            </w:r>
          </w:p>
          <w:p>
            <w:pPr>
              <w:spacing w:line="480" w:lineRule="exact"/>
              <w:ind w:firstLine="480" w:firstLineChars="200"/>
              <w:rPr>
                <w:color w:val="auto"/>
                <w:sz w:val="24"/>
              </w:rPr>
            </w:pPr>
            <w:r>
              <w:rPr>
                <w:sz w:val="24"/>
              </w:rPr>
              <w:t>3</w:t>
            </w:r>
            <w:r>
              <w:rPr>
                <w:rFonts w:hint="eastAsia"/>
                <w:sz w:val="24"/>
              </w:rPr>
              <w:t>、浇注工序：熔化好的铁水进入浇注</w:t>
            </w:r>
            <w:r>
              <w:rPr>
                <w:rFonts w:hint="eastAsia"/>
                <w:sz w:val="24"/>
                <w:lang w:val="en-US" w:eastAsia="zh-CN"/>
              </w:rPr>
              <w:t>生产区</w:t>
            </w:r>
            <w:r>
              <w:rPr>
                <w:rFonts w:hint="eastAsia"/>
                <w:sz w:val="24"/>
              </w:rPr>
              <w:t>，倒入准备好的砂模型内，待冷却即可。</w:t>
            </w:r>
            <w:r>
              <w:rPr>
                <w:sz w:val="24"/>
              </w:rPr>
              <w:t>倾斜倒入</w:t>
            </w:r>
            <w:r>
              <w:rPr>
                <w:color w:val="auto"/>
                <w:sz w:val="24"/>
              </w:rPr>
              <w:t>砂模内。铁水经自然冷却凝固，冷却时间约为1~4小时不等</w:t>
            </w:r>
            <w:r>
              <w:rPr>
                <w:rFonts w:hint="eastAsia"/>
                <w:color w:val="auto"/>
                <w:sz w:val="24"/>
              </w:rPr>
              <w:t>。</w:t>
            </w:r>
          </w:p>
          <w:p>
            <w:pPr>
              <w:spacing w:line="480" w:lineRule="exact"/>
              <w:ind w:firstLine="480" w:firstLineChars="200"/>
              <w:rPr>
                <w:color w:val="auto"/>
                <w:sz w:val="24"/>
              </w:rPr>
            </w:pPr>
            <w:r>
              <w:rPr>
                <w:color w:val="auto"/>
                <w:sz w:val="24"/>
              </w:rPr>
              <w:t>设置24小时视频监控，视频资料自行保存半年以上。料场出入口等易产生颗粒物排放环节，安装高清视频监控设施。视频监控数据保存三个月以上</w:t>
            </w:r>
            <w:r>
              <w:rPr>
                <w:rFonts w:hint="eastAsia"/>
                <w:color w:val="auto"/>
                <w:sz w:val="24"/>
              </w:rPr>
              <w:t>。</w:t>
            </w:r>
          </w:p>
          <w:p>
            <w:pPr>
              <w:numPr>
                <w:ilvl w:val="0"/>
                <w:numId w:val="0"/>
              </w:numPr>
              <w:spacing w:line="480" w:lineRule="exact"/>
              <w:ind w:firstLine="482" w:firstLineChars="200"/>
              <w:rPr>
                <w:sz w:val="24"/>
              </w:rPr>
            </w:pPr>
            <w:r>
              <w:rPr>
                <w:b/>
                <w:bCs/>
                <w:color w:val="auto"/>
                <w:sz w:val="24"/>
              </w:rPr>
              <w:t>排污节点：</w:t>
            </w:r>
            <w:r>
              <w:rPr>
                <w:rFonts w:hint="eastAsia"/>
                <w:b/>
                <w:bCs/>
                <w:color w:val="auto"/>
                <w:sz w:val="24"/>
                <w:lang w:val="en-US" w:eastAsia="zh-CN"/>
              </w:rPr>
              <w:t>浇注工序</w:t>
            </w:r>
            <w:r>
              <w:rPr>
                <w:rFonts w:hint="eastAsia"/>
                <w:b/>
                <w:bCs/>
                <w:sz w:val="24"/>
              </w:rPr>
              <w:t>主要产生废气为粉尘颗粒物。</w:t>
            </w:r>
            <w:r>
              <w:rPr>
                <w:rFonts w:hint="eastAsia"/>
                <w:sz w:val="24"/>
              </w:rPr>
              <w:t xml:space="preserve"> </w:t>
            </w:r>
          </w:p>
          <w:p>
            <w:pPr>
              <w:spacing w:line="500" w:lineRule="exact"/>
              <w:ind w:left="420" w:leftChars="200"/>
              <w:rPr>
                <w:sz w:val="24"/>
              </w:rPr>
            </w:pPr>
            <w:r>
              <w:rPr>
                <w:rFonts w:hint="eastAsia"/>
                <w:sz w:val="24"/>
              </w:rPr>
              <w:t>4</w:t>
            </w:r>
            <w:r>
              <w:rPr>
                <w:sz w:val="24"/>
              </w:rPr>
              <w:t>、脱模</w:t>
            </w:r>
          </w:p>
          <w:p>
            <w:pPr>
              <w:spacing w:line="500" w:lineRule="exact"/>
              <w:ind w:firstLine="480" w:firstLineChars="200"/>
              <w:rPr>
                <w:sz w:val="24"/>
              </w:rPr>
            </w:pPr>
            <w:r>
              <w:rPr>
                <w:sz w:val="24"/>
              </w:rPr>
              <w:t>浇铸后的模具在浇铸区自然降温，冷却至300℃以下，借助风镐敲打砂型模具将毛坯件从模具取出。</w:t>
            </w:r>
          </w:p>
          <w:p>
            <w:pPr>
              <w:spacing w:line="500" w:lineRule="exact"/>
              <w:ind w:firstLine="482" w:firstLineChars="200"/>
              <w:rPr>
                <w:rFonts w:ascii="Times New Roman" w:hAnsi="Times New Roman" w:eastAsia="宋体" w:cs="Times New Roman"/>
                <w:b/>
                <w:bCs/>
                <w:sz w:val="24"/>
              </w:rPr>
            </w:pPr>
            <w:r>
              <w:rPr>
                <w:b/>
                <w:bCs/>
                <w:sz w:val="24"/>
              </w:rPr>
              <w:t>排污节点</w:t>
            </w:r>
            <w:r>
              <w:rPr>
                <w:rFonts w:ascii="Times New Roman" w:hAnsi="Times New Roman" w:eastAsia="宋体" w:cs="Times New Roman"/>
                <w:b/>
                <w:bCs/>
                <w:sz w:val="24"/>
              </w:rPr>
              <w:t>：主要为</w:t>
            </w:r>
            <w:r>
              <w:rPr>
                <w:rFonts w:hint="eastAsia" w:ascii="Times New Roman" w:hAnsi="Times New Roman" w:eastAsia="宋体" w:cs="Times New Roman"/>
                <w:b/>
                <w:bCs/>
                <w:sz w:val="24"/>
              </w:rPr>
              <w:t>振动脱模噪声；</w:t>
            </w:r>
            <w:r>
              <w:rPr>
                <w:rFonts w:ascii="Times New Roman" w:hAnsi="Times New Roman" w:eastAsia="宋体" w:cs="Times New Roman"/>
                <w:b/>
                <w:bCs/>
                <w:sz w:val="24"/>
              </w:rPr>
              <w:t>脱模过程产生的废砂。</w:t>
            </w:r>
          </w:p>
          <w:p>
            <w:pPr>
              <w:numPr>
                <w:ilvl w:val="0"/>
                <w:numId w:val="2"/>
              </w:numPr>
              <w:spacing w:line="480" w:lineRule="exact"/>
              <w:ind w:firstLine="480" w:firstLineChars="200"/>
              <w:rPr>
                <w:rFonts w:hint="eastAsia" w:hAnsi="宋体"/>
                <w:sz w:val="24"/>
                <w:highlight w:val="none"/>
                <w:lang w:eastAsia="zh-CN"/>
              </w:rPr>
            </w:pPr>
            <w:r>
              <w:rPr>
                <w:rFonts w:hint="eastAsia" w:hAnsi="宋体"/>
                <w:sz w:val="24"/>
              </w:rPr>
              <w:t>热处理：分离出的毛坯铸件经检验合格后进行切冒口处理，由天车转运至电热退火</w:t>
            </w:r>
            <w:r>
              <w:rPr>
                <w:rFonts w:hint="eastAsia" w:hAnsi="宋体"/>
                <w:sz w:val="24"/>
                <w:highlight w:val="none"/>
              </w:rPr>
              <w:t>炉进行退火处理，以保证铸件的性能</w:t>
            </w:r>
            <w:r>
              <w:rPr>
                <w:rFonts w:hint="eastAsia" w:hAnsi="宋体"/>
                <w:sz w:val="24"/>
                <w:highlight w:val="none"/>
                <w:lang w:eastAsia="zh-CN"/>
              </w:rPr>
              <w:t>。</w:t>
            </w:r>
          </w:p>
          <w:p>
            <w:pPr>
              <w:numPr>
                <w:ilvl w:val="0"/>
                <w:numId w:val="0"/>
              </w:numPr>
              <w:spacing w:line="480" w:lineRule="exact"/>
              <w:ind w:firstLine="480" w:firstLineChars="200"/>
              <w:rPr>
                <w:rFonts w:hAnsi="宋体"/>
                <w:sz w:val="24"/>
              </w:rPr>
            </w:pPr>
            <w:r>
              <w:rPr>
                <w:rFonts w:hint="eastAsia" w:hAnsi="宋体"/>
                <w:sz w:val="24"/>
                <w:highlight w:val="none"/>
                <w:lang w:val="en-US" w:eastAsia="zh-CN"/>
              </w:rPr>
              <w:t>6、打磨：人工使用手持打磨机于打磨区对工件进行打磨</w:t>
            </w:r>
            <w:r>
              <w:rPr>
                <w:rFonts w:hint="eastAsia" w:hAnsi="宋体"/>
                <w:sz w:val="24"/>
                <w:highlight w:val="none"/>
              </w:rPr>
              <w:t>，最终得到成品暂存于成品库待售</w:t>
            </w:r>
            <w:r>
              <w:rPr>
                <w:rFonts w:hint="eastAsia" w:hAnsi="宋体"/>
                <w:sz w:val="24"/>
              </w:rPr>
              <w:t>。</w:t>
            </w:r>
          </w:p>
          <w:p>
            <w:pPr>
              <w:spacing w:line="500" w:lineRule="exact"/>
              <w:ind w:firstLine="482" w:firstLineChars="200"/>
              <w:rPr>
                <w:rFonts w:ascii="Times New Roman" w:hAnsi="Times New Roman" w:eastAsia="宋体" w:cs="Times New Roman"/>
                <w:b/>
                <w:bCs/>
                <w:sz w:val="24"/>
              </w:rPr>
            </w:pPr>
            <w:r>
              <w:rPr>
                <w:b/>
                <w:bCs/>
                <w:sz w:val="24"/>
              </w:rPr>
              <w:t>排污节点</w:t>
            </w:r>
            <w:r>
              <w:rPr>
                <w:rFonts w:ascii="Times New Roman" w:hAnsi="Times New Roman" w:eastAsia="宋体" w:cs="Times New Roman"/>
                <w:b/>
                <w:bCs/>
                <w:sz w:val="24"/>
              </w:rPr>
              <w:t>：</w:t>
            </w:r>
            <w:r>
              <w:rPr>
                <w:rFonts w:hint="eastAsia" w:cs="Times New Roman"/>
                <w:b/>
                <w:bCs/>
                <w:sz w:val="24"/>
                <w:lang w:val="en-US" w:eastAsia="zh-CN"/>
              </w:rPr>
              <w:t>打磨颗粒物；</w:t>
            </w:r>
            <w:r>
              <w:rPr>
                <w:rFonts w:ascii="Times New Roman" w:hAnsi="Times New Roman" w:eastAsia="宋体" w:cs="Times New Roman"/>
                <w:b/>
                <w:bCs/>
                <w:sz w:val="24"/>
              </w:rPr>
              <w:t>主要为</w:t>
            </w:r>
            <w:r>
              <w:rPr>
                <w:rFonts w:hint="eastAsia" w:cs="Times New Roman"/>
                <w:b/>
                <w:bCs/>
                <w:sz w:val="24"/>
                <w:lang w:val="en-US" w:eastAsia="zh-CN"/>
              </w:rPr>
              <w:t>角磨机运行</w:t>
            </w:r>
            <w:r>
              <w:rPr>
                <w:rFonts w:hint="eastAsia" w:ascii="Times New Roman" w:hAnsi="Times New Roman" w:eastAsia="宋体" w:cs="Times New Roman"/>
                <w:b/>
                <w:bCs/>
                <w:sz w:val="24"/>
              </w:rPr>
              <w:t>噪声；</w:t>
            </w:r>
            <w:r>
              <w:rPr>
                <w:rFonts w:hint="eastAsia" w:cs="Times New Roman"/>
                <w:b/>
                <w:bCs/>
                <w:sz w:val="24"/>
                <w:lang w:val="en-US" w:eastAsia="zh-CN"/>
              </w:rPr>
              <w:t>打磨过程产生的废铁</w:t>
            </w:r>
            <w:r>
              <w:rPr>
                <w:rFonts w:ascii="Times New Roman" w:hAnsi="Times New Roman" w:eastAsia="宋体" w:cs="Times New Roman"/>
                <w:b/>
                <w:bCs/>
                <w:sz w:val="24"/>
              </w:rPr>
              <w:t>。</w:t>
            </w:r>
          </w:p>
          <w:p>
            <w:pPr>
              <w:numPr>
                <w:ilvl w:val="0"/>
                <w:numId w:val="3"/>
              </w:numPr>
              <w:spacing w:line="480" w:lineRule="exact"/>
              <w:ind w:firstLine="480" w:firstLineChars="200"/>
              <w:rPr>
                <w:sz w:val="24"/>
              </w:rPr>
            </w:pPr>
            <w:r>
              <w:rPr>
                <w:rFonts w:hint="eastAsia"/>
                <w:sz w:val="24"/>
              </w:rPr>
              <w:t>砂处理工艺</w:t>
            </w:r>
          </w:p>
          <w:p>
            <w:pPr>
              <w:pStyle w:val="31"/>
            </w:pPr>
            <w:r>
              <w:drawing>
                <wp:inline distT="0" distB="0" distL="114300" distR="114300">
                  <wp:extent cx="4282440" cy="1631950"/>
                  <wp:effectExtent l="0" t="0" r="3810" b="635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4282440" cy="1631950"/>
                          </a:xfrm>
                          <a:prstGeom prst="rect">
                            <a:avLst/>
                          </a:prstGeom>
                          <a:noFill/>
                          <a:ln>
                            <a:noFill/>
                          </a:ln>
                        </pic:spPr>
                      </pic:pic>
                    </a:graphicData>
                  </a:graphic>
                </wp:inline>
              </w:drawing>
            </w:r>
          </w:p>
          <w:p>
            <w:pPr>
              <w:spacing w:line="480" w:lineRule="exact"/>
              <w:jc w:val="center"/>
              <w:outlineLvl w:val="2"/>
              <w:rPr>
                <w:color w:val="auto"/>
              </w:rPr>
            </w:pPr>
            <w:r>
              <w:rPr>
                <w:b/>
                <w:bCs/>
                <w:snapToGrid w:val="0"/>
                <w:sz w:val="24"/>
              </w:rPr>
              <w:t>图</w:t>
            </w:r>
            <w:r>
              <w:rPr>
                <w:rFonts w:hint="eastAsia"/>
                <w:b/>
                <w:bCs/>
                <w:snapToGrid w:val="0"/>
                <w:sz w:val="24"/>
              </w:rPr>
              <w:t>3</w:t>
            </w:r>
            <w:r>
              <w:rPr>
                <w:rFonts w:hint="eastAsia"/>
                <w:b/>
                <w:bCs/>
                <w:snapToGrid w:val="0"/>
                <w:sz w:val="24"/>
                <w:lang w:val="en-US" w:eastAsia="zh-CN"/>
              </w:rPr>
              <w:t xml:space="preserve">   </w:t>
            </w:r>
            <w:r>
              <w:rPr>
                <w:rFonts w:hint="eastAsia"/>
                <w:b/>
                <w:bCs/>
                <w:snapToGrid w:val="0"/>
                <w:sz w:val="24"/>
              </w:rPr>
              <w:t xml:space="preserve"> 砂处理工</w:t>
            </w:r>
            <w:r>
              <w:rPr>
                <w:rFonts w:hint="eastAsia"/>
                <w:b/>
                <w:bCs/>
                <w:snapToGrid w:val="0"/>
                <w:color w:val="auto"/>
                <w:sz w:val="24"/>
              </w:rPr>
              <w:t>艺流程及排污节点图</w:t>
            </w:r>
          </w:p>
          <w:p>
            <w:pPr>
              <w:spacing w:line="500" w:lineRule="exact"/>
              <w:ind w:firstLine="480" w:firstLineChars="200"/>
              <w:rPr>
                <w:color w:val="auto"/>
                <w:sz w:val="24"/>
              </w:rPr>
            </w:pPr>
            <w:r>
              <w:rPr>
                <w:color w:val="auto"/>
                <w:sz w:val="24"/>
              </w:rPr>
              <w:t>1、上料：</w:t>
            </w:r>
            <w:r>
              <w:rPr>
                <w:rFonts w:hint="eastAsia"/>
                <w:color w:val="auto"/>
                <w:sz w:val="24"/>
              </w:rPr>
              <w:t>项目生产工序均位于一座生产</w:t>
            </w:r>
            <w:r>
              <w:rPr>
                <w:rFonts w:hint="eastAsia"/>
                <w:color w:val="auto"/>
                <w:sz w:val="24"/>
                <w:lang w:val="en-US" w:eastAsia="zh-CN"/>
              </w:rPr>
              <w:t>车间</w:t>
            </w:r>
            <w:r>
              <w:rPr>
                <w:rFonts w:hint="eastAsia"/>
                <w:color w:val="auto"/>
                <w:sz w:val="24"/>
              </w:rPr>
              <w:t>内，不存在露天转运物料。</w:t>
            </w:r>
            <w:r>
              <w:rPr>
                <w:color w:val="auto"/>
                <w:sz w:val="24"/>
              </w:rPr>
              <w:t>人工用铲车将砂从砂堆送入上料仓。</w:t>
            </w:r>
          </w:p>
          <w:p>
            <w:pPr>
              <w:spacing w:line="500" w:lineRule="exact"/>
              <w:ind w:firstLine="482" w:firstLineChars="200"/>
              <w:rPr>
                <w:b/>
                <w:bCs/>
                <w:color w:val="auto"/>
                <w:sz w:val="24"/>
              </w:rPr>
            </w:pPr>
            <w:r>
              <w:rPr>
                <w:b/>
                <w:bCs/>
                <w:color w:val="auto"/>
                <w:sz w:val="24"/>
              </w:rPr>
              <w:t>排污节点：主要为铲车倒砂过程产生的废气。</w:t>
            </w:r>
          </w:p>
          <w:p>
            <w:pPr>
              <w:spacing w:line="500" w:lineRule="exact"/>
              <w:ind w:firstLine="480" w:firstLineChars="200"/>
              <w:rPr>
                <w:color w:val="auto"/>
                <w:sz w:val="24"/>
              </w:rPr>
            </w:pPr>
            <w:r>
              <w:rPr>
                <w:color w:val="FF0000"/>
                <w:sz w:val="24"/>
              </w:rPr>
              <w:t>2、振筛：上料仓落料口打开，砂自流至下方的振动筛，振动筛将大块杂物与砂初步分离，振动筛为封闭装置，仅有进出料口，进料口与上料仓落料口采用软管封闭连接。振动筛设有一定角度，经振动处理的砂自然落入</w:t>
            </w:r>
            <w:r>
              <w:rPr>
                <w:rFonts w:hint="eastAsia"/>
                <w:color w:val="FF0000"/>
                <w:sz w:val="24"/>
              </w:rPr>
              <w:t>斗提机</w:t>
            </w:r>
            <w:r>
              <w:rPr>
                <w:color w:val="FF0000"/>
                <w:sz w:val="24"/>
              </w:rPr>
              <w:t>，振动筛出料口与</w:t>
            </w:r>
            <w:r>
              <w:rPr>
                <w:rFonts w:hint="eastAsia"/>
                <w:color w:val="FF0000"/>
                <w:sz w:val="24"/>
              </w:rPr>
              <w:t>斗提机</w:t>
            </w:r>
            <w:r>
              <w:rPr>
                <w:color w:val="FF0000"/>
                <w:sz w:val="24"/>
              </w:rPr>
              <w:t>入料口封闭连接。</w:t>
            </w:r>
          </w:p>
          <w:p>
            <w:pPr>
              <w:spacing w:line="500" w:lineRule="exact"/>
              <w:ind w:firstLine="482" w:firstLineChars="200"/>
              <w:rPr>
                <w:color w:val="auto"/>
                <w:sz w:val="24"/>
              </w:rPr>
            </w:pPr>
            <w:r>
              <w:rPr>
                <w:b/>
                <w:bCs/>
                <w:color w:val="auto"/>
                <w:sz w:val="24"/>
              </w:rPr>
              <w:t>排污节点：主要为振动筛筛分过程产生的废气，振动筛产生的噪声及筛出的砂粒杂物。</w:t>
            </w:r>
          </w:p>
          <w:p>
            <w:pPr>
              <w:spacing w:line="500" w:lineRule="exact"/>
              <w:ind w:firstLine="480" w:firstLineChars="200"/>
              <w:rPr>
                <w:color w:val="auto"/>
                <w:sz w:val="24"/>
              </w:rPr>
            </w:pPr>
            <w:r>
              <w:rPr>
                <w:color w:val="auto"/>
                <w:sz w:val="24"/>
              </w:rPr>
              <w:t>3、滚筛：</w:t>
            </w:r>
            <w:r>
              <w:rPr>
                <w:rFonts w:hint="eastAsia"/>
                <w:color w:val="auto"/>
                <w:sz w:val="24"/>
              </w:rPr>
              <w:t>斗提机</w:t>
            </w:r>
            <w:r>
              <w:rPr>
                <w:color w:val="auto"/>
                <w:sz w:val="24"/>
              </w:rPr>
              <w:t>将砂提升后倒入滚筒筛，</w:t>
            </w:r>
            <w:r>
              <w:rPr>
                <w:rFonts w:hint="eastAsia"/>
                <w:color w:val="auto"/>
                <w:sz w:val="24"/>
              </w:rPr>
              <w:t>斗提机</w:t>
            </w:r>
            <w:r>
              <w:rPr>
                <w:color w:val="auto"/>
                <w:sz w:val="24"/>
              </w:rPr>
              <w:t>出料口与滚筒筛入料口封闭连接。滚筒筛将砂与杂物再次分离。滚筒筛为封闭装置，仅有进出料口。滚筒筛设有一定角度，经滚动处理的砂自然落入冷却滚筒。</w:t>
            </w:r>
          </w:p>
          <w:p>
            <w:pPr>
              <w:spacing w:line="500" w:lineRule="exact"/>
              <w:ind w:firstLine="482" w:firstLineChars="200"/>
              <w:rPr>
                <w:b/>
                <w:bCs/>
                <w:color w:val="auto"/>
                <w:sz w:val="24"/>
              </w:rPr>
            </w:pPr>
            <w:r>
              <w:rPr>
                <w:b/>
                <w:bCs/>
                <w:color w:val="auto"/>
                <w:sz w:val="24"/>
              </w:rPr>
              <w:t>排污节点：主要为滚筒筛筛分过程产生的废气，设备运行时产生的噪声及筛出的杂物。</w:t>
            </w:r>
          </w:p>
          <w:p>
            <w:pPr>
              <w:spacing w:line="500" w:lineRule="exact"/>
              <w:ind w:firstLine="480" w:firstLineChars="200"/>
              <w:rPr>
                <w:color w:val="FF0000"/>
                <w:sz w:val="24"/>
              </w:rPr>
            </w:pPr>
            <w:r>
              <w:rPr>
                <w:color w:val="FF0000"/>
                <w:sz w:val="24"/>
              </w:rPr>
              <w:t>4、冷却：冷却滚筒采用水冷却方式，冷却水循环使用不外排。冷却后的砂进入</w:t>
            </w:r>
            <w:r>
              <w:rPr>
                <w:rFonts w:hint="eastAsia"/>
                <w:color w:val="FF0000"/>
                <w:sz w:val="24"/>
              </w:rPr>
              <w:t>斗提机</w:t>
            </w:r>
            <w:r>
              <w:rPr>
                <w:color w:val="FF0000"/>
                <w:sz w:val="24"/>
              </w:rPr>
              <w:t>。</w:t>
            </w:r>
          </w:p>
          <w:p>
            <w:pPr>
              <w:spacing w:line="500" w:lineRule="exact"/>
              <w:ind w:firstLine="482" w:firstLineChars="200"/>
              <w:rPr>
                <w:b/>
                <w:bCs/>
                <w:color w:val="auto"/>
                <w:sz w:val="24"/>
              </w:rPr>
            </w:pPr>
            <w:r>
              <w:rPr>
                <w:b/>
                <w:bCs/>
                <w:color w:val="auto"/>
                <w:sz w:val="24"/>
              </w:rPr>
              <w:t>排污节点：主要为冷却滚筒出料产生的废气。</w:t>
            </w:r>
          </w:p>
          <w:p>
            <w:pPr>
              <w:spacing w:line="500" w:lineRule="exact"/>
              <w:ind w:firstLine="480" w:firstLineChars="200"/>
              <w:rPr>
                <w:color w:val="auto"/>
                <w:sz w:val="24"/>
              </w:rPr>
            </w:pPr>
            <w:r>
              <w:rPr>
                <w:color w:val="auto"/>
                <w:sz w:val="24"/>
              </w:rPr>
              <w:t>5、入仓：</w:t>
            </w:r>
            <w:r>
              <w:rPr>
                <w:rFonts w:hint="eastAsia"/>
                <w:color w:val="auto"/>
                <w:sz w:val="24"/>
              </w:rPr>
              <w:t>斗提机</w:t>
            </w:r>
            <w:r>
              <w:rPr>
                <w:color w:val="auto"/>
                <w:sz w:val="24"/>
              </w:rPr>
              <w:t>将砂提升至成品仓，成品仓封闭设置，提升机出料口与成品仓入料口封闭连接。</w:t>
            </w:r>
          </w:p>
          <w:p>
            <w:pPr>
              <w:spacing w:line="500" w:lineRule="exact"/>
              <w:ind w:firstLine="482" w:firstLineChars="200"/>
              <w:rPr>
                <w:color w:val="auto"/>
                <w:sz w:val="24"/>
              </w:rPr>
            </w:pPr>
            <w:r>
              <w:rPr>
                <w:b/>
                <w:bCs/>
                <w:color w:val="auto"/>
                <w:sz w:val="24"/>
              </w:rPr>
              <w:t>排污节点：</w:t>
            </w:r>
            <w:r>
              <w:rPr>
                <w:rFonts w:hint="eastAsia"/>
                <w:b/>
                <w:bCs/>
                <w:color w:val="auto"/>
                <w:sz w:val="24"/>
              </w:rPr>
              <w:t>斗提机</w:t>
            </w:r>
            <w:r>
              <w:rPr>
                <w:b/>
                <w:bCs/>
                <w:color w:val="auto"/>
                <w:sz w:val="24"/>
              </w:rPr>
              <w:t>运行时产生的噪声。</w:t>
            </w:r>
          </w:p>
          <w:p>
            <w:pPr>
              <w:spacing w:line="500" w:lineRule="exact"/>
              <w:ind w:firstLine="480" w:firstLineChars="200"/>
              <w:rPr>
                <w:color w:val="auto"/>
                <w:sz w:val="24"/>
              </w:rPr>
            </w:pPr>
            <w:r>
              <w:rPr>
                <w:color w:val="auto"/>
                <w:sz w:val="24"/>
              </w:rPr>
              <w:t>6、落砂：打开成品仓落料口，落砂经皮带输送至混砂机中，进入熔铸生产线；皮带输送机采用封闭的皮带通廊，成品仓落料口与皮带通廊入料口封闭连接。</w:t>
            </w:r>
          </w:p>
          <w:p>
            <w:pPr>
              <w:spacing w:line="500" w:lineRule="exact"/>
              <w:ind w:firstLine="482" w:firstLineChars="200"/>
              <w:rPr>
                <w:b/>
                <w:bCs/>
                <w:color w:val="auto"/>
                <w:sz w:val="24"/>
              </w:rPr>
            </w:pPr>
            <w:r>
              <w:rPr>
                <w:b/>
                <w:bCs/>
                <w:color w:val="auto"/>
                <w:sz w:val="24"/>
              </w:rPr>
              <w:t>排污节点：主要为落砂过程产生废气。</w:t>
            </w:r>
          </w:p>
          <w:p>
            <w:pPr>
              <w:spacing w:line="480" w:lineRule="exact"/>
              <w:ind w:firstLine="480" w:firstLineChars="200"/>
              <w:rPr>
                <w:color w:val="auto"/>
                <w:sz w:val="24"/>
              </w:rPr>
            </w:pPr>
            <w:r>
              <w:rPr>
                <w:rFonts w:hint="eastAsia"/>
                <w:color w:val="auto"/>
                <w:sz w:val="24"/>
              </w:rPr>
              <w:t>三</w:t>
            </w:r>
            <w:r>
              <w:rPr>
                <w:color w:val="auto"/>
                <w:sz w:val="24"/>
              </w:rPr>
              <w:t>、配套设施产污情况</w:t>
            </w:r>
          </w:p>
          <w:p>
            <w:pPr>
              <w:spacing w:line="480" w:lineRule="exact"/>
              <w:ind w:firstLine="480" w:firstLineChars="200"/>
              <w:rPr>
                <w:color w:val="auto"/>
                <w:sz w:val="24"/>
              </w:rPr>
            </w:pPr>
            <w:r>
              <w:rPr>
                <w:color w:val="auto"/>
                <w:sz w:val="24"/>
              </w:rPr>
              <w:t>（1）办公、生活设施：职工办公、生活将产生一定量的生活污水和生活垃圾。</w:t>
            </w:r>
            <w:r>
              <w:rPr>
                <w:rFonts w:hint="eastAsia"/>
                <w:color w:val="auto"/>
                <w:sz w:val="24"/>
              </w:rPr>
              <w:t>生活污水主要为员工盥洗废水，就地泼洒抑尘不外排</w:t>
            </w:r>
            <w:r>
              <w:rPr>
                <w:color w:val="auto"/>
                <w:sz w:val="24"/>
              </w:rPr>
              <w:t>；生活垃圾收集后，由环卫部门定期清运。</w:t>
            </w:r>
          </w:p>
          <w:p>
            <w:pPr>
              <w:adjustRightInd w:val="0"/>
              <w:snapToGrid w:val="0"/>
              <w:spacing w:line="480" w:lineRule="exact"/>
              <w:ind w:firstLine="470" w:firstLineChars="196"/>
              <w:rPr>
                <w:color w:val="auto"/>
                <w:sz w:val="24"/>
              </w:rPr>
            </w:pPr>
            <w:r>
              <w:rPr>
                <w:color w:val="auto"/>
                <w:sz w:val="24"/>
              </w:rPr>
              <w:t>（</w:t>
            </w:r>
            <w:r>
              <w:rPr>
                <w:rFonts w:hint="eastAsia"/>
                <w:color w:val="auto"/>
                <w:sz w:val="24"/>
              </w:rPr>
              <w:t>2</w:t>
            </w:r>
            <w:r>
              <w:rPr>
                <w:color w:val="auto"/>
                <w:sz w:val="24"/>
              </w:rPr>
              <w:t>）其他：设备</w:t>
            </w:r>
            <w:r>
              <w:rPr>
                <w:rFonts w:hint="eastAsia"/>
                <w:color w:val="auto"/>
                <w:sz w:val="24"/>
              </w:rPr>
              <w:t>维修及</w:t>
            </w:r>
            <w:r>
              <w:rPr>
                <w:color w:val="auto"/>
                <w:sz w:val="24"/>
              </w:rPr>
              <w:t>保养产生</w:t>
            </w:r>
            <w:r>
              <w:rPr>
                <w:rFonts w:hint="eastAsia"/>
                <w:color w:val="auto"/>
                <w:sz w:val="24"/>
              </w:rPr>
              <w:t>的</w:t>
            </w:r>
            <w:r>
              <w:rPr>
                <w:color w:val="auto"/>
                <w:sz w:val="24"/>
              </w:rPr>
              <w:t>少量废</w:t>
            </w:r>
            <w:r>
              <w:rPr>
                <w:rFonts w:hint="eastAsia"/>
                <w:color w:val="auto"/>
                <w:sz w:val="24"/>
              </w:rPr>
              <w:t>矿物</w:t>
            </w:r>
            <w:r>
              <w:rPr>
                <w:color w:val="auto"/>
                <w:sz w:val="24"/>
              </w:rPr>
              <w:t>油</w:t>
            </w:r>
            <w:r>
              <w:rPr>
                <w:rFonts w:hint="eastAsia"/>
                <w:color w:val="auto"/>
                <w:sz w:val="24"/>
              </w:rPr>
              <w:t>和废油桶</w:t>
            </w:r>
            <w:r>
              <w:rPr>
                <w:color w:val="auto"/>
                <w:sz w:val="24"/>
              </w:rPr>
              <w:t>，</w:t>
            </w:r>
            <w:r>
              <w:rPr>
                <w:rFonts w:hint="eastAsia"/>
                <w:color w:val="auto"/>
                <w:sz w:val="24"/>
              </w:rPr>
              <w:t>经</w:t>
            </w:r>
            <w:r>
              <w:rPr>
                <w:color w:val="auto"/>
                <w:sz w:val="24"/>
              </w:rPr>
              <w:t>集中收集后</w:t>
            </w:r>
            <w:r>
              <w:rPr>
                <w:rFonts w:hint="eastAsia"/>
                <w:color w:val="auto"/>
                <w:sz w:val="24"/>
              </w:rPr>
              <w:t>暂存于厂区危险废物暂存间内，定期委托有</w:t>
            </w:r>
            <w:r>
              <w:rPr>
                <w:color w:val="auto"/>
                <w:sz w:val="24"/>
              </w:rPr>
              <w:t>资质的危险废物处置单位处置</w:t>
            </w:r>
            <w:r>
              <w:rPr>
                <w:rFonts w:hint="eastAsia"/>
                <w:color w:val="auto"/>
                <w:sz w:val="24"/>
              </w:rPr>
              <w:t>，袋式除尘器定期更换的废布袋，定期外售综合利用</w:t>
            </w:r>
            <w:r>
              <w:rPr>
                <w:color w:val="auto"/>
                <w:sz w:val="24"/>
              </w:rPr>
              <w:t>。</w:t>
            </w:r>
          </w:p>
          <w:p>
            <w:pPr>
              <w:spacing w:line="480" w:lineRule="exact"/>
              <w:ind w:firstLine="480" w:firstLineChars="200"/>
              <w:rPr>
                <w:sz w:val="24"/>
              </w:rPr>
            </w:pPr>
            <w:r>
              <w:rPr>
                <w:rFonts w:hint="eastAsia"/>
                <w:sz w:val="24"/>
              </w:rPr>
              <w:t>项目污染源及防治措施见表1</w:t>
            </w:r>
            <w:r>
              <w:rPr>
                <w:rFonts w:hint="eastAsia"/>
                <w:sz w:val="24"/>
                <w:lang w:val="en-US" w:eastAsia="zh-CN"/>
              </w:rPr>
              <w:t>8</w:t>
            </w:r>
            <w:r>
              <w:rPr>
                <w:sz w:val="24"/>
              </w:rPr>
              <w:t>。</w:t>
            </w:r>
          </w:p>
          <w:p>
            <w:pPr>
              <w:spacing w:line="480" w:lineRule="exact"/>
              <w:jc w:val="center"/>
            </w:pPr>
            <w:r>
              <w:rPr>
                <w:rFonts w:hint="eastAsia"/>
                <w:b/>
                <w:bCs/>
                <w:snapToGrid w:val="0"/>
                <w:sz w:val="24"/>
              </w:rPr>
              <w:t>表1</w:t>
            </w:r>
            <w:r>
              <w:rPr>
                <w:rFonts w:hint="eastAsia"/>
                <w:b/>
                <w:bCs/>
                <w:snapToGrid w:val="0"/>
                <w:sz w:val="24"/>
                <w:lang w:val="en-US" w:eastAsia="zh-CN"/>
              </w:rPr>
              <w:t>8</w:t>
            </w:r>
            <w:r>
              <w:rPr>
                <w:rFonts w:hint="eastAsia"/>
                <w:b/>
                <w:bCs/>
                <w:snapToGrid w:val="0"/>
                <w:sz w:val="24"/>
              </w:rPr>
              <w:t xml:space="preserve">   本项目污染源及防治措施一览表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58"/>
              <w:gridCol w:w="2147"/>
              <w:gridCol w:w="1938"/>
              <w:gridCol w:w="2780"/>
              <w:gridCol w:w="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序号</w:t>
                  </w:r>
                </w:p>
              </w:tc>
              <w:tc>
                <w:tcPr>
                  <w:tcW w:w="1279" w:type="pct"/>
                  <w:tcBorders>
                    <w:tl2br w:val="nil"/>
                    <w:tr2bl w:val="nil"/>
                  </w:tcBorders>
                  <w:vAlign w:val="center"/>
                </w:tcPr>
                <w:p>
                  <w:pPr>
                    <w:topLinePunct/>
                    <w:spacing w:line="240" w:lineRule="atLeast"/>
                    <w:jc w:val="center"/>
                    <w:rPr>
                      <w:spacing w:val="-10"/>
                      <w:szCs w:val="21"/>
                    </w:rPr>
                  </w:pPr>
                  <w:r>
                    <w:rPr>
                      <w:spacing w:val="-10"/>
                      <w:szCs w:val="21"/>
                    </w:rPr>
                    <w:t>污染源名称</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污染因子</w:t>
                  </w:r>
                </w:p>
              </w:tc>
              <w:tc>
                <w:tcPr>
                  <w:tcW w:w="1657" w:type="pct"/>
                  <w:tcBorders>
                    <w:tl2br w:val="nil"/>
                    <w:tr2bl w:val="nil"/>
                  </w:tcBorders>
                  <w:vAlign w:val="center"/>
                </w:tcPr>
                <w:p>
                  <w:pPr>
                    <w:topLinePunct/>
                    <w:spacing w:line="240" w:lineRule="atLeast"/>
                    <w:jc w:val="center"/>
                    <w:rPr>
                      <w:spacing w:val="-10"/>
                      <w:szCs w:val="21"/>
                    </w:rPr>
                  </w:pPr>
                  <w:r>
                    <w:rPr>
                      <w:spacing w:val="-10"/>
                      <w:szCs w:val="21"/>
                    </w:rPr>
                    <w:t>治理措施</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1</w:t>
                  </w:r>
                </w:p>
              </w:tc>
              <w:tc>
                <w:tcPr>
                  <w:tcW w:w="1279" w:type="pct"/>
                  <w:tcBorders>
                    <w:tl2br w:val="nil"/>
                    <w:tr2bl w:val="nil"/>
                  </w:tcBorders>
                  <w:vAlign w:val="center"/>
                </w:tcPr>
                <w:p>
                  <w:pPr>
                    <w:topLinePunct/>
                    <w:spacing w:line="240" w:lineRule="atLeast"/>
                    <w:jc w:val="center"/>
                    <w:rPr>
                      <w:spacing w:val="-10"/>
                      <w:szCs w:val="21"/>
                    </w:rPr>
                  </w:pPr>
                  <w:r>
                    <w:rPr>
                      <w:rFonts w:hint="eastAsia"/>
                      <w:spacing w:val="-10"/>
                      <w:szCs w:val="21"/>
                    </w:rPr>
                    <w:t>熔炼废气</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颗粒物</w:t>
                  </w:r>
                </w:p>
              </w:tc>
              <w:tc>
                <w:tcPr>
                  <w:tcW w:w="1657" w:type="pct"/>
                  <w:tcBorders>
                    <w:tl2br w:val="nil"/>
                    <w:tr2bl w:val="nil"/>
                  </w:tcBorders>
                  <w:vAlign w:val="center"/>
                </w:tcPr>
                <w:p>
                  <w:pPr>
                    <w:topLinePunct/>
                    <w:spacing w:line="240" w:lineRule="atLeast"/>
                    <w:jc w:val="center"/>
                    <w:rPr>
                      <w:color w:val="FF0000"/>
                      <w:spacing w:val="-10"/>
                      <w:szCs w:val="21"/>
                    </w:rPr>
                  </w:pPr>
                  <w:r>
                    <w:rPr>
                      <w:rFonts w:hint="default" w:ascii="Times New Roman" w:hAnsi="Times New Roman" w:cs="Times New Roman"/>
                      <w:color w:val="FF0000"/>
                      <w:kern w:val="2"/>
                      <w:sz w:val="21"/>
                      <w:szCs w:val="21"/>
                      <w:highlight w:val="none"/>
                      <w:lang w:val="en-US" w:eastAsia="zh-CN" w:bidi="ar-SA"/>
                    </w:rPr>
                    <w:t>上方设置集气罩</w:t>
                  </w:r>
                  <w:r>
                    <w:rPr>
                      <w:rFonts w:hint="default" w:ascii="Times New Roman" w:hAnsi="Times New Roman" w:cs="Times New Roman"/>
                      <w:color w:val="FF0000"/>
                      <w:kern w:val="24"/>
                      <w:sz w:val="21"/>
                      <w:szCs w:val="21"/>
                      <w:highlight w:val="none"/>
                      <w:lang w:val="en-US" w:eastAsia="zh-CN"/>
                    </w:rPr>
                    <w:t>（</w:t>
                  </w:r>
                  <w:r>
                    <w:rPr>
                      <w:rFonts w:hint="eastAsia" w:ascii="Times New Roman" w:hAnsi="Times New Roman" w:cs="Times New Roman"/>
                      <w:color w:val="FF0000"/>
                      <w:kern w:val="24"/>
                      <w:sz w:val="21"/>
                      <w:szCs w:val="21"/>
                      <w:highlight w:val="none"/>
                      <w:lang w:val="en-US" w:eastAsia="zh-CN"/>
                    </w:rPr>
                    <w:t>2.2</w:t>
                  </w:r>
                  <w:r>
                    <w:rPr>
                      <w:rFonts w:hint="default" w:ascii="Times New Roman" w:hAnsi="Times New Roman" w:cs="Times New Roman"/>
                      <w:color w:val="FF0000"/>
                      <w:kern w:val="24"/>
                      <w:sz w:val="21"/>
                      <w:szCs w:val="21"/>
                      <w:highlight w:val="none"/>
                      <w:lang w:val="en-US" w:eastAsia="zh-CN"/>
                    </w:rPr>
                    <w:t>m×</w:t>
                  </w:r>
                  <w:r>
                    <w:rPr>
                      <w:rFonts w:hint="eastAsia" w:ascii="Times New Roman" w:hAnsi="Times New Roman" w:cs="Times New Roman"/>
                      <w:color w:val="FF0000"/>
                      <w:kern w:val="24"/>
                      <w:sz w:val="21"/>
                      <w:szCs w:val="21"/>
                      <w:highlight w:val="none"/>
                      <w:lang w:val="en-US" w:eastAsia="zh-CN"/>
                    </w:rPr>
                    <w:t>0.8</w:t>
                  </w:r>
                  <w:r>
                    <w:rPr>
                      <w:rFonts w:hint="default" w:ascii="Times New Roman" w:hAnsi="Times New Roman" w:cs="Times New Roman"/>
                      <w:color w:val="FF0000"/>
                      <w:kern w:val="24"/>
                      <w:sz w:val="21"/>
                      <w:szCs w:val="21"/>
                      <w:highlight w:val="none"/>
                      <w:lang w:val="en-US" w:eastAsia="zh-CN"/>
                    </w:rPr>
                    <w:t>m）</w:t>
                  </w:r>
                  <w:r>
                    <w:rPr>
                      <w:rFonts w:hint="eastAsia" w:ascii="Times New Roman" w:hAnsi="Times New Roman" w:cs="Times New Roman"/>
                      <w:color w:val="FF0000"/>
                      <w:kern w:val="24"/>
                      <w:sz w:val="21"/>
                      <w:szCs w:val="21"/>
                      <w:highlight w:val="none"/>
                      <w:lang w:val="en-US" w:eastAsia="zh-CN"/>
                    </w:rPr>
                    <w:t>收集熔炼过程废气，废气引至</w:t>
                  </w:r>
                  <w:r>
                    <w:rPr>
                      <w:color w:val="FF0000"/>
                      <w:spacing w:val="-10"/>
                      <w:szCs w:val="21"/>
                    </w:rPr>
                    <w:t>脉冲袋式除尘器</w:t>
                  </w:r>
                  <w:r>
                    <w:rPr>
                      <w:rFonts w:hint="default" w:ascii="Times New Roman" w:hAnsi="Times New Roman" w:cs="Times New Roman"/>
                      <w:color w:val="FF0000"/>
                      <w:kern w:val="24"/>
                      <w:sz w:val="21"/>
                      <w:szCs w:val="21"/>
                      <w:highlight w:val="none"/>
                      <w:lang w:val="en-US" w:eastAsia="zh-CN"/>
                    </w:rPr>
                    <w:t>处理后</w:t>
                  </w:r>
                  <w:r>
                    <w:rPr>
                      <w:rFonts w:hint="eastAsia" w:ascii="Times New Roman" w:hAnsi="Times New Roman" w:cs="Times New Roman"/>
                      <w:color w:val="FF0000"/>
                      <w:kern w:val="24"/>
                      <w:sz w:val="21"/>
                      <w:szCs w:val="21"/>
                      <w:highlight w:val="none"/>
                      <w:lang w:val="en-US" w:eastAsia="zh-CN"/>
                    </w:rPr>
                    <w:t>经15m高排气筒排放（DA001）</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2</w:t>
                  </w:r>
                </w:p>
              </w:tc>
              <w:tc>
                <w:tcPr>
                  <w:tcW w:w="1279" w:type="pct"/>
                  <w:tcBorders>
                    <w:tl2br w:val="nil"/>
                    <w:tr2bl w:val="nil"/>
                  </w:tcBorders>
                  <w:vAlign w:val="center"/>
                </w:tcPr>
                <w:p>
                  <w:pPr>
                    <w:topLinePunct/>
                    <w:spacing w:line="240" w:lineRule="atLeast"/>
                    <w:jc w:val="center"/>
                    <w:rPr>
                      <w:rFonts w:hint="eastAsia" w:ascii="Times New Roman" w:hAnsi="Times New Roman" w:eastAsia="宋体" w:cs="Times New Roman"/>
                      <w:spacing w:val="-10"/>
                      <w:kern w:val="2"/>
                      <w:sz w:val="21"/>
                      <w:szCs w:val="21"/>
                      <w:lang w:val="en-US" w:eastAsia="zh-CN" w:bidi="ar-SA"/>
                    </w:rPr>
                  </w:pPr>
                  <w:r>
                    <w:rPr>
                      <w:rFonts w:hint="eastAsia"/>
                      <w:spacing w:val="-10"/>
                      <w:szCs w:val="21"/>
                    </w:rPr>
                    <w:t>浇注、打磨、</w:t>
                  </w:r>
                  <w:r>
                    <w:rPr>
                      <w:rFonts w:hint="eastAsia"/>
                      <w:spacing w:val="-10"/>
                      <w:szCs w:val="21"/>
                      <w:lang w:val="en-US" w:eastAsia="zh-CN"/>
                    </w:rPr>
                    <w:t>车间环境废气</w:t>
                  </w:r>
                </w:p>
              </w:tc>
              <w:tc>
                <w:tcPr>
                  <w:tcW w:w="1155" w:type="pct"/>
                  <w:tcBorders>
                    <w:tl2br w:val="nil"/>
                    <w:tr2bl w:val="nil"/>
                  </w:tcBorders>
                  <w:vAlign w:val="center"/>
                </w:tcPr>
                <w:p>
                  <w:pPr>
                    <w:topLinePunct/>
                    <w:spacing w:line="240" w:lineRule="atLeast"/>
                    <w:jc w:val="center"/>
                    <w:rPr>
                      <w:rFonts w:ascii="Times New Roman" w:hAnsi="Times New Roman" w:eastAsia="宋体" w:cs="Times New Roman"/>
                      <w:spacing w:val="-10"/>
                      <w:kern w:val="2"/>
                      <w:sz w:val="21"/>
                      <w:szCs w:val="21"/>
                      <w:lang w:val="en-US" w:eastAsia="zh-CN" w:bidi="ar-SA"/>
                    </w:rPr>
                  </w:pPr>
                  <w:r>
                    <w:rPr>
                      <w:spacing w:val="-10"/>
                      <w:szCs w:val="21"/>
                    </w:rPr>
                    <w:t>颗粒物</w:t>
                  </w:r>
                </w:p>
              </w:tc>
              <w:tc>
                <w:tcPr>
                  <w:tcW w:w="1657" w:type="pct"/>
                  <w:tcBorders>
                    <w:tl2br w:val="nil"/>
                    <w:tr2bl w:val="nil"/>
                  </w:tcBorders>
                  <w:vAlign w:val="center"/>
                </w:tcPr>
                <w:p>
                  <w:pPr>
                    <w:topLinePunct/>
                    <w:spacing w:line="240" w:lineRule="atLeast"/>
                    <w:jc w:val="center"/>
                    <w:rPr>
                      <w:rFonts w:hint="eastAsia" w:ascii="Times New Roman" w:hAnsi="Times New Roman" w:eastAsia="宋体" w:cs="Times New Roman"/>
                      <w:color w:val="FF0000"/>
                      <w:spacing w:val="-10"/>
                      <w:kern w:val="2"/>
                      <w:sz w:val="21"/>
                      <w:szCs w:val="21"/>
                      <w:lang w:val="en-US" w:eastAsia="zh-CN" w:bidi="ar-SA"/>
                    </w:rPr>
                  </w:pPr>
                  <w:r>
                    <w:rPr>
                      <w:rFonts w:hint="default" w:ascii="Times New Roman" w:hAnsi="Times New Roman" w:cs="Times New Roman"/>
                      <w:color w:val="FF0000"/>
                      <w:kern w:val="2"/>
                      <w:sz w:val="21"/>
                      <w:szCs w:val="21"/>
                      <w:highlight w:val="none"/>
                      <w:lang w:val="en-US" w:eastAsia="zh-CN" w:bidi="ar-SA"/>
                    </w:rPr>
                    <w:t>上方设置集气罩</w:t>
                  </w:r>
                  <w:r>
                    <w:rPr>
                      <w:rFonts w:hint="default" w:ascii="Times New Roman" w:hAnsi="Times New Roman" w:cs="Times New Roman"/>
                      <w:color w:val="FF0000"/>
                      <w:kern w:val="24"/>
                      <w:sz w:val="21"/>
                      <w:szCs w:val="21"/>
                      <w:highlight w:val="none"/>
                      <w:lang w:val="en-US" w:eastAsia="zh-CN"/>
                    </w:rPr>
                    <w:t>（</w:t>
                  </w:r>
                  <w:r>
                    <w:rPr>
                      <w:rFonts w:hint="eastAsia" w:ascii="Times New Roman" w:hAnsi="Times New Roman" w:cs="Times New Roman"/>
                      <w:color w:val="FF0000"/>
                      <w:kern w:val="24"/>
                      <w:sz w:val="21"/>
                      <w:szCs w:val="21"/>
                      <w:highlight w:val="none"/>
                      <w:lang w:val="en-US" w:eastAsia="zh-CN"/>
                    </w:rPr>
                    <w:t>5</w:t>
                  </w:r>
                  <w:r>
                    <w:rPr>
                      <w:rFonts w:hint="default" w:ascii="Times New Roman" w:hAnsi="Times New Roman" w:cs="Times New Roman"/>
                      <w:color w:val="FF0000"/>
                      <w:kern w:val="24"/>
                      <w:sz w:val="21"/>
                      <w:szCs w:val="21"/>
                      <w:highlight w:val="none"/>
                      <w:lang w:val="en-US" w:eastAsia="zh-CN"/>
                    </w:rPr>
                    <w:t>m×</w:t>
                  </w:r>
                  <w:r>
                    <w:rPr>
                      <w:rFonts w:hint="eastAsia" w:ascii="Times New Roman" w:hAnsi="Times New Roman" w:cs="Times New Roman"/>
                      <w:color w:val="FF0000"/>
                      <w:kern w:val="24"/>
                      <w:sz w:val="21"/>
                      <w:szCs w:val="21"/>
                      <w:highlight w:val="none"/>
                      <w:lang w:val="en-US" w:eastAsia="zh-CN"/>
                    </w:rPr>
                    <w:t>0.6</w:t>
                  </w:r>
                  <w:r>
                    <w:rPr>
                      <w:rFonts w:hint="default" w:ascii="Times New Roman" w:hAnsi="Times New Roman" w:cs="Times New Roman"/>
                      <w:color w:val="FF0000"/>
                      <w:kern w:val="24"/>
                      <w:sz w:val="21"/>
                      <w:szCs w:val="21"/>
                      <w:highlight w:val="none"/>
                      <w:lang w:val="en-US" w:eastAsia="zh-CN"/>
                    </w:rPr>
                    <w:t>m）收集</w:t>
                  </w:r>
                  <w:r>
                    <w:rPr>
                      <w:rFonts w:hint="eastAsia" w:ascii="Times New Roman" w:hAnsi="Times New Roman" w:cs="Times New Roman"/>
                      <w:color w:val="FF0000"/>
                      <w:kern w:val="24"/>
                      <w:sz w:val="21"/>
                      <w:szCs w:val="21"/>
                      <w:highlight w:val="none"/>
                      <w:lang w:val="en-US" w:eastAsia="zh-CN"/>
                    </w:rPr>
                    <w:t>浇铸、打磨过程</w:t>
                  </w:r>
                  <w:r>
                    <w:rPr>
                      <w:rFonts w:hint="default" w:ascii="Times New Roman" w:hAnsi="Times New Roman" w:cs="Times New Roman"/>
                      <w:color w:val="FF0000"/>
                      <w:kern w:val="24"/>
                      <w:sz w:val="21"/>
                      <w:szCs w:val="21"/>
                      <w:highlight w:val="none"/>
                      <w:lang w:val="en-US" w:eastAsia="zh-CN"/>
                    </w:rPr>
                    <w:t>产生的废气，</w:t>
                  </w:r>
                  <w:r>
                    <w:rPr>
                      <w:rFonts w:hint="eastAsia" w:ascii="Times New Roman" w:hAnsi="Times New Roman" w:cs="Times New Roman"/>
                      <w:color w:val="FF0000"/>
                      <w:kern w:val="24"/>
                      <w:sz w:val="21"/>
                      <w:szCs w:val="21"/>
                      <w:highlight w:val="none"/>
                      <w:lang w:val="en-US" w:eastAsia="zh-CN"/>
                    </w:rPr>
                    <w:t>车间设置顶吸收集车间环境废气，废气</w:t>
                  </w:r>
                  <w:r>
                    <w:rPr>
                      <w:rFonts w:hint="default" w:ascii="Times New Roman" w:hAnsi="Times New Roman" w:cs="Times New Roman"/>
                      <w:color w:val="FF0000"/>
                      <w:kern w:val="24"/>
                      <w:sz w:val="21"/>
                      <w:szCs w:val="21"/>
                      <w:highlight w:val="none"/>
                      <w:lang w:val="en-US" w:eastAsia="zh-CN"/>
                    </w:rPr>
                    <w:t>引入脉冲布袋除尘器处理后</w:t>
                  </w:r>
                  <w:r>
                    <w:rPr>
                      <w:rFonts w:hint="eastAsia" w:ascii="Times New Roman" w:hAnsi="Times New Roman" w:cs="Times New Roman"/>
                      <w:color w:val="FF0000"/>
                      <w:kern w:val="24"/>
                      <w:sz w:val="21"/>
                      <w:szCs w:val="21"/>
                      <w:highlight w:val="none"/>
                      <w:lang w:val="en-US" w:eastAsia="zh-CN"/>
                    </w:rPr>
                    <w:t>经15m高排气筒排放（DA002）</w:t>
                  </w:r>
                </w:p>
              </w:tc>
              <w:tc>
                <w:tcPr>
                  <w:tcW w:w="575" w:type="pct"/>
                  <w:tcBorders>
                    <w:tl2br w:val="nil"/>
                    <w:tr2bl w:val="nil"/>
                  </w:tcBorders>
                  <w:vAlign w:val="center"/>
                </w:tcPr>
                <w:p>
                  <w:pPr>
                    <w:topLinePunct/>
                    <w:spacing w:line="240" w:lineRule="atLeast"/>
                    <w:jc w:val="center"/>
                    <w:rPr>
                      <w:rFonts w:ascii="Times New Roman" w:hAnsi="Times New Roman" w:eastAsia="宋体" w:cs="Times New Roman"/>
                      <w:spacing w:val="-10"/>
                      <w:kern w:val="2"/>
                      <w:sz w:val="21"/>
                      <w:szCs w:val="21"/>
                      <w:lang w:val="en-US" w:eastAsia="zh-CN" w:bidi="ar-SA"/>
                    </w:rPr>
                  </w:pPr>
                  <w:r>
                    <w:rPr>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3</w:t>
                  </w:r>
                </w:p>
              </w:tc>
              <w:tc>
                <w:tcPr>
                  <w:tcW w:w="1279" w:type="pct"/>
                  <w:tcBorders>
                    <w:tl2br w:val="nil"/>
                    <w:tr2bl w:val="nil"/>
                  </w:tcBorders>
                  <w:vAlign w:val="center"/>
                </w:tcPr>
                <w:p>
                  <w:pPr>
                    <w:topLinePunct/>
                    <w:spacing w:line="240" w:lineRule="atLeast"/>
                    <w:jc w:val="center"/>
                    <w:rPr>
                      <w:rFonts w:hint="eastAsia" w:ascii="Times New Roman" w:hAnsi="Times New Roman" w:eastAsia="宋体" w:cs="Times New Roman"/>
                      <w:spacing w:val="-10"/>
                      <w:kern w:val="2"/>
                      <w:sz w:val="21"/>
                      <w:szCs w:val="21"/>
                      <w:lang w:val="en-US" w:eastAsia="zh-CN" w:bidi="ar-SA"/>
                    </w:rPr>
                  </w:pPr>
                  <w:r>
                    <w:rPr>
                      <w:rFonts w:hint="eastAsia"/>
                      <w:spacing w:val="-10"/>
                      <w:szCs w:val="21"/>
                    </w:rPr>
                    <w:t>砂处理、混砂</w:t>
                  </w:r>
                  <w:r>
                    <w:rPr>
                      <w:spacing w:val="-10"/>
                      <w:szCs w:val="21"/>
                    </w:rPr>
                    <w:t>废气</w:t>
                  </w:r>
                </w:p>
              </w:tc>
              <w:tc>
                <w:tcPr>
                  <w:tcW w:w="1155" w:type="pct"/>
                  <w:tcBorders>
                    <w:tl2br w:val="nil"/>
                    <w:tr2bl w:val="nil"/>
                  </w:tcBorders>
                  <w:vAlign w:val="center"/>
                </w:tcPr>
                <w:p>
                  <w:pPr>
                    <w:topLinePunct/>
                    <w:spacing w:line="240" w:lineRule="atLeast"/>
                    <w:jc w:val="center"/>
                    <w:rPr>
                      <w:rFonts w:ascii="Times New Roman" w:hAnsi="Times New Roman" w:eastAsia="宋体" w:cs="Times New Roman"/>
                      <w:spacing w:val="-10"/>
                      <w:kern w:val="2"/>
                      <w:sz w:val="21"/>
                      <w:szCs w:val="21"/>
                      <w:lang w:val="en-US" w:eastAsia="zh-CN" w:bidi="ar-SA"/>
                    </w:rPr>
                  </w:pPr>
                  <w:r>
                    <w:rPr>
                      <w:spacing w:val="-10"/>
                      <w:szCs w:val="21"/>
                    </w:rPr>
                    <w:t>颗粒物</w:t>
                  </w:r>
                </w:p>
              </w:tc>
              <w:tc>
                <w:tcPr>
                  <w:tcW w:w="1657" w:type="pct"/>
                  <w:tcBorders>
                    <w:tl2br w:val="nil"/>
                    <w:tr2bl w:val="nil"/>
                  </w:tcBorders>
                  <w:vAlign w:val="center"/>
                </w:tcPr>
                <w:p>
                  <w:pPr>
                    <w:topLinePunct/>
                    <w:spacing w:line="240" w:lineRule="atLeast"/>
                    <w:jc w:val="center"/>
                    <w:rPr>
                      <w:rFonts w:hint="eastAsia" w:ascii="Times New Roman" w:hAnsi="Times New Roman" w:eastAsia="宋体" w:cs="Times New Roman"/>
                      <w:color w:val="FF0000"/>
                      <w:spacing w:val="-10"/>
                      <w:kern w:val="2"/>
                      <w:sz w:val="21"/>
                      <w:szCs w:val="21"/>
                      <w:lang w:val="en-US" w:eastAsia="zh-CN" w:bidi="ar-SA"/>
                    </w:rPr>
                  </w:pPr>
                  <w:r>
                    <w:rPr>
                      <w:rFonts w:hint="default" w:ascii="Times New Roman" w:hAnsi="Times New Roman" w:cs="Times New Roman"/>
                      <w:b w:val="0"/>
                      <w:bCs w:val="0"/>
                      <w:color w:val="FF0000"/>
                      <w:kern w:val="24"/>
                      <w:sz w:val="21"/>
                      <w:szCs w:val="21"/>
                      <w:highlight w:val="none"/>
                      <w:lang w:val="en-US" w:eastAsia="zh-CN"/>
                    </w:rPr>
                    <w:t>落砂区上设集气罩（2m×</w:t>
                  </w:r>
                  <w:r>
                    <w:rPr>
                      <w:rFonts w:hint="eastAsia" w:ascii="Times New Roman" w:hAnsi="Times New Roman" w:cs="Times New Roman"/>
                      <w:b w:val="0"/>
                      <w:bCs w:val="0"/>
                      <w:color w:val="FF0000"/>
                      <w:kern w:val="24"/>
                      <w:sz w:val="21"/>
                      <w:szCs w:val="21"/>
                      <w:highlight w:val="none"/>
                      <w:lang w:val="en-US" w:eastAsia="zh-CN"/>
                    </w:rPr>
                    <w:t>2</w:t>
                  </w:r>
                  <w:r>
                    <w:rPr>
                      <w:rFonts w:hint="default" w:ascii="Times New Roman" w:hAnsi="Times New Roman" w:cs="Times New Roman"/>
                      <w:b w:val="0"/>
                      <w:bCs w:val="0"/>
                      <w:color w:val="FF0000"/>
                      <w:kern w:val="24"/>
                      <w:sz w:val="21"/>
                      <w:szCs w:val="21"/>
                      <w:highlight w:val="none"/>
                      <w:lang w:val="en-US" w:eastAsia="zh-CN"/>
                    </w:rPr>
                    <w:t>m）收集落砂过程产生的颗粒物，</w:t>
                  </w:r>
                  <w:r>
                    <w:rPr>
                      <w:rFonts w:hint="eastAsia" w:ascii="Times New Roman" w:hAnsi="Times New Roman" w:cs="Times New Roman"/>
                      <w:b w:val="0"/>
                      <w:bCs w:val="0"/>
                      <w:color w:val="FF0000"/>
                      <w:kern w:val="24"/>
                      <w:sz w:val="21"/>
                      <w:szCs w:val="21"/>
                      <w:highlight w:val="none"/>
                      <w:lang w:val="en-US" w:eastAsia="zh-CN"/>
                    </w:rPr>
                    <w:t>砂冷却系统、</w:t>
                  </w:r>
                  <w:r>
                    <w:rPr>
                      <w:rFonts w:hint="default" w:ascii="Times New Roman" w:hAnsi="Times New Roman" w:cs="Times New Roman"/>
                      <w:b w:val="0"/>
                      <w:bCs w:val="0"/>
                      <w:color w:val="FF0000"/>
                      <w:kern w:val="24"/>
                      <w:sz w:val="21"/>
                      <w:szCs w:val="21"/>
                      <w:highlight w:val="none"/>
                      <w:lang w:val="en-US" w:eastAsia="zh-CN"/>
                    </w:rPr>
                    <w:t>筛砂机、提升机、混砂机、砂仓</w:t>
                  </w:r>
                  <w:r>
                    <w:rPr>
                      <w:rFonts w:hint="eastAsia" w:ascii="Times New Roman" w:hAnsi="Times New Roman" w:cs="Times New Roman"/>
                      <w:b w:val="0"/>
                      <w:bCs w:val="0"/>
                      <w:color w:val="FF0000"/>
                      <w:kern w:val="24"/>
                      <w:sz w:val="21"/>
                      <w:szCs w:val="21"/>
                      <w:highlight w:val="none"/>
                      <w:lang w:val="en-US" w:eastAsia="zh-CN"/>
                    </w:rPr>
                    <w:t>、铸件清理区域</w:t>
                  </w:r>
                  <w:r>
                    <w:rPr>
                      <w:rFonts w:hint="default" w:ascii="Times New Roman" w:hAnsi="Times New Roman" w:cs="Times New Roman"/>
                      <w:b w:val="0"/>
                      <w:bCs w:val="0"/>
                      <w:color w:val="FF0000"/>
                      <w:kern w:val="24"/>
                      <w:sz w:val="21"/>
                      <w:szCs w:val="21"/>
                      <w:highlight w:val="none"/>
                      <w:lang w:val="en-US" w:eastAsia="zh-CN"/>
                    </w:rPr>
                    <w:t>密闭设引风管，产生的废气经引风管引至脉冲布袋除尘器处理，处理后经</w:t>
                  </w:r>
                  <w:r>
                    <w:rPr>
                      <w:rFonts w:hint="default" w:ascii="Times New Roman" w:hAnsi="Times New Roman" w:cs="Times New Roman"/>
                      <w:color w:val="FF0000"/>
                      <w:kern w:val="24"/>
                      <w:sz w:val="21"/>
                      <w:szCs w:val="21"/>
                      <w:highlight w:val="none"/>
                      <w:lang w:val="en-US" w:eastAsia="zh-CN"/>
                    </w:rPr>
                    <w:t>15米高排气筒（DA00</w:t>
                  </w:r>
                  <w:r>
                    <w:rPr>
                      <w:rFonts w:hint="eastAsia" w:ascii="Times New Roman" w:hAnsi="Times New Roman" w:cs="Times New Roman"/>
                      <w:color w:val="FF0000"/>
                      <w:kern w:val="24"/>
                      <w:sz w:val="21"/>
                      <w:szCs w:val="21"/>
                      <w:highlight w:val="none"/>
                      <w:lang w:val="en-US" w:eastAsia="zh-CN"/>
                    </w:rPr>
                    <w:t>3</w:t>
                  </w:r>
                  <w:r>
                    <w:rPr>
                      <w:rFonts w:hint="default" w:ascii="Times New Roman" w:hAnsi="Times New Roman" w:cs="Times New Roman"/>
                      <w:color w:val="FF0000"/>
                      <w:kern w:val="24"/>
                      <w:sz w:val="21"/>
                      <w:szCs w:val="21"/>
                      <w:highlight w:val="none"/>
                      <w:lang w:val="en-US" w:eastAsia="zh-CN"/>
                    </w:rPr>
                    <w:t>）排放</w:t>
                  </w:r>
                </w:p>
              </w:tc>
              <w:tc>
                <w:tcPr>
                  <w:tcW w:w="575" w:type="pct"/>
                  <w:tcBorders>
                    <w:tl2br w:val="nil"/>
                    <w:tr2bl w:val="nil"/>
                  </w:tcBorders>
                  <w:vAlign w:val="center"/>
                </w:tcPr>
                <w:p>
                  <w:pPr>
                    <w:topLinePunct/>
                    <w:spacing w:line="240" w:lineRule="atLeast"/>
                    <w:jc w:val="center"/>
                    <w:rPr>
                      <w:rFonts w:ascii="Times New Roman" w:hAnsi="Times New Roman" w:eastAsia="宋体" w:cs="Times New Roman"/>
                      <w:spacing w:val="-10"/>
                      <w:kern w:val="2"/>
                      <w:sz w:val="21"/>
                      <w:szCs w:val="21"/>
                      <w:lang w:val="en-US" w:eastAsia="zh-CN" w:bidi="ar-SA"/>
                    </w:rPr>
                  </w:pPr>
                  <w:r>
                    <w:rPr>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4</w:t>
                  </w:r>
                </w:p>
              </w:tc>
              <w:tc>
                <w:tcPr>
                  <w:tcW w:w="1279" w:type="pct"/>
                  <w:tcBorders>
                    <w:tl2br w:val="nil"/>
                    <w:tr2bl w:val="nil"/>
                  </w:tcBorders>
                  <w:vAlign w:val="center"/>
                </w:tcPr>
                <w:p>
                  <w:pPr>
                    <w:topLinePunct/>
                    <w:spacing w:line="240" w:lineRule="atLeast"/>
                    <w:jc w:val="center"/>
                    <w:rPr>
                      <w:spacing w:val="-10"/>
                      <w:szCs w:val="21"/>
                    </w:rPr>
                  </w:pPr>
                  <w:r>
                    <w:rPr>
                      <w:rFonts w:hint="eastAsia"/>
                      <w:spacing w:val="-10"/>
                      <w:szCs w:val="21"/>
                    </w:rPr>
                    <w:t>生产车间</w:t>
                  </w:r>
                  <w:r>
                    <w:rPr>
                      <w:spacing w:val="-10"/>
                      <w:szCs w:val="21"/>
                    </w:rPr>
                    <w:t>无组织废气</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颗粒物</w:t>
                  </w:r>
                </w:p>
              </w:tc>
              <w:tc>
                <w:tcPr>
                  <w:tcW w:w="1657" w:type="pct"/>
                  <w:tcBorders>
                    <w:tl2br w:val="nil"/>
                    <w:tr2bl w:val="nil"/>
                  </w:tcBorders>
                  <w:vAlign w:val="center"/>
                </w:tcPr>
                <w:p>
                  <w:pPr>
                    <w:topLinePunct/>
                    <w:spacing w:line="240" w:lineRule="atLeast"/>
                    <w:jc w:val="center"/>
                    <w:rPr>
                      <w:color w:val="auto"/>
                      <w:spacing w:val="-10"/>
                      <w:szCs w:val="21"/>
                    </w:rPr>
                  </w:pPr>
                  <w:r>
                    <w:rPr>
                      <w:rFonts w:hint="eastAsia"/>
                      <w:color w:val="auto"/>
                      <w:spacing w:val="-10"/>
                      <w:szCs w:val="21"/>
                    </w:rPr>
                    <w:t>综合生产车间全封闭，生产时车间出入口处于关闭状态，加强废气收集效率，车间设二次除尘装置；厂区道路硬化，</w:t>
                  </w:r>
                  <w:r>
                    <w:rPr>
                      <w:rFonts w:hint="eastAsia"/>
                      <w:color w:val="FF0000"/>
                      <w:spacing w:val="-10"/>
                      <w:szCs w:val="21"/>
                    </w:rPr>
                    <w:t>并采取清扫、洒水等措施，</w:t>
                  </w:r>
                  <w:r>
                    <w:rPr>
                      <w:rFonts w:hint="eastAsia"/>
                      <w:color w:val="auto"/>
                      <w:spacing w:val="-10"/>
                      <w:szCs w:val="21"/>
                    </w:rPr>
                    <w:t>保持清洁；生产车间主要出入口等易产生PM排放环节，项目建设完成后安装高清视频监控设施。视频监控数据保存六个月以上主要生产设施与污染防治设施分表计电</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 xml:space="preserve">序号 </w:t>
                  </w:r>
                </w:p>
              </w:tc>
              <w:tc>
                <w:tcPr>
                  <w:tcW w:w="1279" w:type="pct"/>
                  <w:tcBorders>
                    <w:tl2br w:val="nil"/>
                    <w:tr2bl w:val="nil"/>
                  </w:tcBorders>
                  <w:vAlign w:val="center"/>
                </w:tcPr>
                <w:p>
                  <w:pPr>
                    <w:topLinePunct/>
                    <w:spacing w:line="240" w:lineRule="atLeast"/>
                    <w:jc w:val="center"/>
                    <w:rPr>
                      <w:spacing w:val="-10"/>
                      <w:szCs w:val="21"/>
                    </w:rPr>
                  </w:pPr>
                  <w:r>
                    <w:rPr>
                      <w:spacing w:val="-10"/>
                      <w:szCs w:val="21"/>
                    </w:rPr>
                    <w:t>污染源名称</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污染因子</w:t>
                  </w:r>
                </w:p>
              </w:tc>
              <w:tc>
                <w:tcPr>
                  <w:tcW w:w="1657" w:type="pct"/>
                  <w:tcBorders>
                    <w:tl2br w:val="nil"/>
                    <w:tr2bl w:val="nil"/>
                  </w:tcBorders>
                  <w:vAlign w:val="center"/>
                </w:tcPr>
                <w:p>
                  <w:pPr>
                    <w:topLinePunct/>
                    <w:spacing w:line="240" w:lineRule="atLeast"/>
                    <w:jc w:val="center"/>
                    <w:rPr>
                      <w:spacing w:val="-10"/>
                      <w:szCs w:val="21"/>
                    </w:rPr>
                  </w:pPr>
                  <w:r>
                    <w:rPr>
                      <w:spacing w:val="-10"/>
                      <w:szCs w:val="21"/>
                    </w:rPr>
                    <w:t>治理措施</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rFonts w:hint="eastAsia"/>
                      <w:spacing w:val="-10"/>
                      <w:szCs w:val="21"/>
                    </w:rPr>
                    <w:t>1</w:t>
                  </w:r>
                </w:p>
              </w:tc>
              <w:tc>
                <w:tcPr>
                  <w:tcW w:w="1279" w:type="pct"/>
                  <w:tcBorders>
                    <w:tl2br w:val="nil"/>
                    <w:tr2bl w:val="nil"/>
                  </w:tcBorders>
                  <w:vAlign w:val="center"/>
                </w:tcPr>
                <w:p>
                  <w:pPr>
                    <w:topLinePunct/>
                    <w:spacing w:line="240" w:lineRule="atLeast"/>
                    <w:jc w:val="center"/>
                    <w:rPr>
                      <w:spacing w:val="-10"/>
                      <w:szCs w:val="21"/>
                    </w:rPr>
                  </w:pPr>
                  <w:r>
                    <w:rPr>
                      <w:spacing w:val="-10"/>
                      <w:szCs w:val="21"/>
                    </w:rPr>
                    <w:t>生活污水</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SS、COD</w:t>
                  </w:r>
                </w:p>
              </w:tc>
              <w:tc>
                <w:tcPr>
                  <w:tcW w:w="1657" w:type="pct"/>
                  <w:tcBorders>
                    <w:tl2br w:val="nil"/>
                    <w:tr2bl w:val="nil"/>
                  </w:tcBorders>
                  <w:vAlign w:val="center"/>
                </w:tcPr>
                <w:p>
                  <w:pPr>
                    <w:topLinePunct/>
                    <w:spacing w:line="240" w:lineRule="atLeast"/>
                    <w:jc w:val="center"/>
                    <w:rPr>
                      <w:spacing w:val="-10"/>
                      <w:szCs w:val="21"/>
                    </w:rPr>
                  </w:pPr>
                  <w:r>
                    <w:rPr>
                      <w:rFonts w:hint="eastAsia"/>
                      <w:spacing w:val="-10"/>
                      <w:szCs w:val="21"/>
                    </w:rPr>
                    <w:t>泼洒抑尘</w:t>
                  </w:r>
                </w:p>
              </w:tc>
              <w:tc>
                <w:tcPr>
                  <w:tcW w:w="575" w:type="pct"/>
                  <w:tcBorders>
                    <w:tl2br w:val="nil"/>
                    <w:tr2bl w:val="nil"/>
                  </w:tcBorders>
                  <w:vAlign w:val="center"/>
                </w:tcPr>
                <w:p>
                  <w:pPr>
                    <w:topLinePunct/>
                    <w:spacing w:line="240" w:lineRule="atLeast"/>
                    <w:jc w:val="center"/>
                    <w:rPr>
                      <w:spacing w:val="-10"/>
                      <w:szCs w:val="21"/>
                    </w:rPr>
                  </w:pPr>
                  <w:r>
                    <w:rPr>
                      <w:rFonts w:hint="eastAsia"/>
                      <w:spacing w:val="-10"/>
                      <w:szCs w:val="21"/>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rFonts w:hint="eastAsia"/>
                      <w:spacing w:val="-10"/>
                      <w:szCs w:val="21"/>
                    </w:rPr>
                    <w:t>2</w:t>
                  </w:r>
                </w:p>
              </w:tc>
              <w:tc>
                <w:tcPr>
                  <w:tcW w:w="1279" w:type="pct"/>
                  <w:tcBorders>
                    <w:tl2br w:val="nil"/>
                    <w:tr2bl w:val="nil"/>
                  </w:tcBorders>
                  <w:vAlign w:val="center"/>
                </w:tcPr>
                <w:p>
                  <w:pPr>
                    <w:topLinePunct/>
                    <w:spacing w:line="240" w:lineRule="atLeast"/>
                    <w:jc w:val="center"/>
                    <w:rPr>
                      <w:spacing w:val="-10"/>
                      <w:szCs w:val="21"/>
                    </w:rPr>
                  </w:pPr>
                  <w:r>
                    <w:rPr>
                      <w:rFonts w:hint="eastAsia"/>
                      <w:spacing w:val="-10"/>
                      <w:szCs w:val="21"/>
                    </w:rPr>
                    <w:t>循环冷却水</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SS</w:t>
                  </w:r>
                </w:p>
              </w:tc>
              <w:tc>
                <w:tcPr>
                  <w:tcW w:w="1657" w:type="pct"/>
                  <w:tcBorders>
                    <w:tl2br w:val="nil"/>
                    <w:tr2bl w:val="nil"/>
                  </w:tcBorders>
                  <w:vAlign w:val="center"/>
                </w:tcPr>
                <w:p>
                  <w:pPr>
                    <w:topLinePunct/>
                    <w:spacing w:line="240" w:lineRule="atLeast"/>
                    <w:jc w:val="center"/>
                    <w:rPr>
                      <w:spacing w:val="-10"/>
                      <w:szCs w:val="21"/>
                    </w:rPr>
                  </w:pPr>
                  <w:r>
                    <w:rPr>
                      <w:rFonts w:hint="eastAsia"/>
                      <w:spacing w:val="-10"/>
                      <w:szCs w:val="21"/>
                    </w:rPr>
                    <w:t>循环利用</w:t>
                  </w:r>
                </w:p>
              </w:tc>
              <w:tc>
                <w:tcPr>
                  <w:tcW w:w="575" w:type="pct"/>
                  <w:tcBorders>
                    <w:tl2br w:val="nil"/>
                    <w:tr2bl w:val="nil"/>
                  </w:tcBorders>
                  <w:vAlign w:val="center"/>
                </w:tcPr>
                <w:p>
                  <w:pPr>
                    <w:topLinePunct/>
                    <w:spacing w:line="240" w:lineRule="atLeast"/>
                    <w:jc w:val="center"/>
                    <w:rPr>
                      <w:spacing w:val="-10"/>
                      <w:szCs w:val="21"/>
                    </w:rPr>
                  </w:pPr>
                  <w:r>
                    <w:rPr>
                      <w:rFonts w:hint="eastAsia"/>
                      <w:spacing w:val="-10"/>
                      <w:szCs w:val="21"/>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序号</w:t>
                  </w:r>
                </w:p>
              </w:tc>
              <w:tc>
                <w:tcPr>
                  <w:tcW w:w="1279" w:type="pct"/>
                  <w:tcBorders>
                    <w:tl2br w:val="nil"/>
                    <w:tr2bl w:val="nil"/>
                  </w:tcBorders>
                  <w:vAlign w:val="center"/>
                </w:tcPr>
                <w:p>
                  <w:pPr>
                    <w:topLinePunct/>
                    <w:spacing w:line="240" w:lineRule="atLeast"/>
                    <w:jc w:val="center"/>
                    <w:rPr>
                      <w:spacing w:val="-10"/>
                      <w:szCs w:val="21"/>
                    </w:rPr>
                  </w:pPr>
                  <w:r>
                    <w:rPr>
                      <w:spacing w:val="-10"/>
                      <w:szCs w:val="21"/>
                    </w:rPr>
                    <w:t>污染源名称</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降噪措施</w:t>
                  </w:r>
                </w:p>
              </w:tc>
              <w:tc>
                <w:tcPr>
                  <w:tcW w:w="1657" w:type="pct"/>
                  <w:tcBorders>
                    <w:tl2br w:val="nil"/>
                    <w:tr2bl w:val="nil"/>
                  </w:tcBorders>
                  <w:vAlign w:val="center"/>
                </w:tcPr>
                <w:p>
                  <w:pPr>
                    <w:topLinePunct/>
                    <w:spacing w:line="240" w:lineRule="atLeast"/>
                    <w:jc w:val="center"/>
                    <w:rPr>
                      <w:spacing w:val="-10"/>
                      <w:szCs w:val="21"/>
                    </w:rPr>
                  </w:pPr>
                  <w:r>
                    <w:rPr>
                      <w:spacing w:val="-10"/>
                      <w:szCs w:val="21"/>
                    </w:rPr>
                    <w:t>排放特征</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1</w:t>
                  </w:r>
                </w:p>
              </w:tc>
              <w:tc>
                <w:tcPr>
                  <w:tcW w:w="1279" w:type="pct"/>
                  <w:tcBorders>
                    <w:tl2br w:val="nil"/>
                    <w:tr2bl w:val="nil"/>
                  </w:tcBorders>
                  <w:vAlign w:val="center"/>
                </w:tcPr>
                <w:p>
                  <w:pPr>
                    <w:topLinePunct/>
                    <w:spacing w:line="240" w:lineRule="atLeast"/>
                    <w:jc w:val="center"/>
                    <w:rPr>
                      <w:color w:val="auto"/>
                      <w:spacing w:val="-10"/>
                      <w:szCs w:val="21"/>
                    </w:rPr>
                  </w:pPr>
                  <w:r>
                    <w:rPr>
                      <w:rFonts w:hint="eastAsia"/>
                      <w:color w:val="auto"/>
                      <w:szCs w:val="21"/>
                    </w:rPr>
                    <w:t>电炉、退火炉、振动脱模工序、砂处理设备、震击式造型机、滚砂机、混砂机、天车、角磨机、风机、空压机</w:t>
                  </w:r>
                </w:p>
              </w:tc>
              <w:tc>
                <w:tcPr>
                  <w:tcW w:w="1155" w:type="pct"/>
                  <w:tcBorders>
                    <w:tl2br w:val="nil"/>
                    <w:tr2bl w:val="nil"/>
                  </w:tcBorders>
                  <w:vAlign w:val="center"/>
                </w:tcPr>
                <w:p>
                  <w:pPr>
                    <w:topLinePunct/>
                    <w:spacing w:line="240" w:lineRule="atLeast"/>
                    <w:jc w:val="center"/>
                    <w:rPr>
                      <w:color w:val="auto"/>
                      <w:spacing w:val="-10"/>
                      <w:szCs w:val="21"/>
                    </w:rPr>
                  </w:pPr>
                  <w:r>
                    <w:rPr>
                      <w:color w:val="auto"/>
                      <w:spacing w:val="-10"/>
                      <w:szCs w:val="21"/>
                    </w:rPr>
                    <w:t>厂房隔声</w:t>
                  </w:r>
                  <w:r>
                    <w:rPr>
                      <w:rFonts w:hint="eastAsia"/>
                      <w:color w:val="auto"/>
                      <w:spacing w:val="-10"/>
                      <w:szCs w:val="21"/>
                    </w:rPr>
                    <w:t>、基础减振</w:t>
                  </w:r>
                </w:p>
              </w:tc>
              <w:tc>
                <w:tcPr>
                  <w:tcW w:w="1657" w:type="pct"/>
                  <w:tcBorders>
                    <w:tl2br w:val="nil"/>
                    <w:tr2bl w:val="nil"/>
                  </w:tcBorders>
                  <w:vAlign w:val="center"/>
                </w:tcPr>
                <w:p>
                  <w:pPr>
                    <w:topLinePunct/>
                    <w:spacing w:line="240" w:lineRule="atLeast"/>
                    <w:jc w:val="center"/>
                    <w:rPr>
                      <w:spacing w:val="-10"/>
                      <w:szCs w:val="21"/>
                    </w:rPr>
                  </w:pPr>
                  <w:r>
                    <w:rPr>
                      <w:spacing w:val="-10"/>
                      <w:szCs w:val="21"/>
                    </w:rPr>
                    <w:t>连续</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序号</w:t>
                  </w:r>
                </w:p>
              </w:tc>
              <w:tc>
                <w:tcPr>
                  <w:tcW w:w="1279" w:type="pct"/>
                  <w:tcBorders>
                    <w:tl2br w:val="nil"/>
                    <w:tr2bl w:val="nil"/>
                  </w:tcBorders>
                  <w:vAlign w:val="center"/>
                </w:tcPr>
                <w:p>
                  <w:pPr>
                    <w:topLinePunct/>
                    <w:spacing w:line="240" w:lineRule="atLeast"/>
                    <w:jc w:val="center"/>
                    <w:rPr>
                      <w:spacing w:val="-10"/>
                      <w:szCs w:val="21"/>
                    </w:rPr>
                  </w:pPr>
                  <w:r>
                    <w:rPr>
                      <w:spacing w:val="-10"/>
                      <w:szCs w:val="21"/>
                    </w:rPr>
                    <w:t>污染源名称</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固废性质</w:t>
                  </w:r>
                </w:p>
              </w:tc>
              <w:tc>
                <w:tcPr>
                  <w:tcW w:w="1657" w:type="pct"/>
                  <w:tcBorders>
                    <w:tl2br w:val="nil"/>
                    <w:tr2bl w:val="nil"/>
                  </w:tcBorders>
                  <w:vAlign w:val="center"/>
                </w:tcPr>
                <w:p>
                  <w:pPr>
                    <w:topLinePunct/>
                    <w:spacing w:line="240" w:lineRule="atLeast"/>
                    <w:jc w:val="center"/>
                    <w:rPr>
                      <w:spacing w:val="-10"/>
                      <w:szCs w:val="21"/>
                    </w:rPr>
                  </w:pPr>
                  <w:r>
                    <w:rPr>
                      <w:spacing w:val="-10"/>
                      <w:szCs w:val="21"/>
                    </w:rPr>
                    <w:t>治理措施</w:t>
                  </w:r>
                </w:p>
              </w:tc>
              <w:tc>
                <w:tcPr>
                  <w:tcW w:w="575" w:type="pct"/>
                  <w:tcBorders>
                    <w:tl2br w:val="nil"/>
                    <w:tr2bl w:val="nil"/>
                  </w:tcBorders>
                  <w:vAlign w:val="center"/>
                </w:tcPr>
                <w:p>
                  <w:pPr>
                    <w:topLinePunct/>
                    <w:spacing w:line="240" w:lineRule="atLeast"/>
                    <w:jc w:val="center"/>
                    <w:rPr>
                      <w:spacing w:val="-10"/>
                      <w:szCs w:val="21"/>
                    </w:rPr>
                  </w:pPr>
                  <w:r>
                    <w:rPr>
                      <w:spacing w:val="-10"/>
                      <w:szCs w:val="21"/>
                    </w:rPr>
                    <w:t>处置去向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1</w:t>
                  </w:r>
                </w:p>
              </w:tc>
              <w:tc>
                <w:tcPr>
                  <w:tcW w:w="1279" w:type="pct"/>
                  <w:tcBorders>
                    <w:tl2br w:val="nil"/>
                    <w:tr2bl w:val="nil"/>
                  </w:tcBorders>
                  <w:vAlign w:val="center"/>
                </w:tcPr>
                <w:p>
                  <w:pPr>
                    <w:adjustRightInd w:val="0"/>
                    <w:contextualSpacing/>
                    <w:jc w:val="center"/>
                    <w:rPr>
                      <w:szCs w:val="21"/>
                    </w:rPr>
                  </w:pPr>
                  <w:r>
                    <w:rPr>
                      <w:szCs w:val="21"/>
                    </w:rPr>
                    <w:t>除尘灰</w:t>
                  </w:r>
                </w:p>
              </w:tc>
              <w:tc>
                <w:tcPr>
                  <w:tcW w:w="1155" w:type="pct"/>
                  <w:vMerge w:val="restart"/>
                  <w:tcBorders>
                    <w:tl2br w:val="nil"/>
                    <w:tr2bl w:val="nil"/>
                  </w:tcBorders>
                  <w:vAlign w:val="center"/>
                </w:tcPr>
                <w:p>
                  <w:pPr>
                    <w:topLinePunct/>
                    <w:spacing w:line="240" w:lineRule="atLeast"/>
                    <w:jc w:val="center"/>
                    <w:rPr>
                      <w:spacing w:val="-10"/>
                      <w:szCs w:val="21"/>
                    </w:rPr>
                  </w:pPr>
                  <w:r>
                    <w:rPr>
                      <w:spacing w:val="-10"/>
                      <w:szCs w:val="21"/>
                    </w:rPr>
                    <w:t>一般工业固体废物</w:t>
                  </w:r>
                </w:p>
              </w:tc>
              <w:tc>
                <w:tcPr>
                  <w:tcW w:w="1657" w:type="pct"/>
                  <w:tcBorders>
                    <w:tl2br w:val="nil"/>
                    <w:tr2bl w:val="nil"/>
                  </w:tcBorders>
                  <w:vAlign w:val="center"/>
                </w:tcPr>
                <w:p>
                  <w:pPr>
                    <w:adjustRightInd w:val="0"/>
                    <w:contextualSpacing/>
                    <w:jc w:val="center"/>
                    <w:rPr>
                      <w:szCs w:val="21"/>
                    </w:rPr>
                  </w:pPr>
                  <w:r>
                    <w:rPr>
                      <w:szCs w:val="21"/>
                    </w:rPr>
                    <w:t>外售综合利用</w:t>
                  </w:r>
                </w:p>
              </w:tc>
              <w:tc>
                <w:tcPr>
                  <w:tcW w:w="575" w:type="pct"/>
                  <w:vMerge w:val="restart"/>
                  <w:tcBorders>
                    <w:tl2br w:val="nil"/>
                    <w:tr2bl w:val="nil"/>
                  </w:tcBorders>
                  <w:vAlign w:val="center"/>
                </w:tcPr>
                <w:p>
                  <w:pPr>
                    <w:topLinePunct/>
                    <w:spacing w:line="240" w:lineRule="atLeast"/>
                    <w:jc w:val="center"/>
                    <w:rPr>
                      <w:spacing w:val="-10"/>
                      <w:szCs w:val="21"/>
                    </w:rPr>
                  </w:pPr>
                  <w:r>
                    <w:rPr>
                      <w:spacing w:val="-10"/>
                      <w:szCs w:val="21"/>
                    </w:rPr>
                    <w:t>全部综合利用或妥善处置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spacing w:val="-10"/>
                      <w:szCs w:val="21"/>
                    </w:rPr>
                    <w:t>2</w:t>
                  </w:r>
                </w:p>
              </w:tc>
              <w:tc>
                <w:tcPr>
                  <w:tcW w:w="1279" w:type="pct"/>
                  <w:tcBorders>
                    <w:tl2br w:val="nil"/>
                    <w:tr2bl w:val="nil"/>
                  </w:tcBorders>
                  <w:vAlign w:val="center"/>
                </w:tcPr>
                <w:p>
                  <w:pPr>
                    <w:adjustRightInd w:val="0"/>
                    <w:contextualSpacing/>
                    <w:jc w:val="center"/>
                    <w:rPr>
                      <w:color w:val="auto"/>
                      <w:szCs w:val="21"/>
                    </w:rPr>
                  </w:pPr>
                  <w:r>
                    <w:rPr>
                      <w:rFonts w:hint="eastAsia"/>
                      <w:color w:val="auto"/>
                      <w:szCs w:val="21"/>
                    </w:rPr>
                    <w:t>熔炼渣</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657" w:type="pct"/>
                  <w:tcBorders>
                    <w:tl2br w:val="nil"/>
                    <w:tr2bl w:val="nil"/>
                  </w:tcBorders>
                  <w:vAlign w:val="center"/>
                </w:tcPr>
                <w:p>
                  <w:pPr>
                    <w:adjustRightInd w:val="0"/>
                    <w:contextualSpacing/>
                    <w:jc w:val="center"/>
                    <w:rPr>
                      <w:color w:val="auto"/>
                      <w:szCs w:val="21"/>
                    </w:rPr>
                  </w:pPr>
                  <w:r>
                    <w:rPr>
                      <w:color w:val="auto"/>
                      <w:szCs w:val="21"/>
                    </w:rPr>
                    <w:t>外售综合利用</w:t>
                  </w: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spacing w:val="-10"/>
                      <w:szCs w:val="21"/>
                    </w:rPr>
                  </w:pPr>
                  <w:r>
                    <w:rPr>
                      <w:rFonts w:hint="eastAsia"/>
                      <w:spacing w:val="-10"/>
                      <w:szCs w:val="21"/>
                    </w:rPr>
                    <w:t>3</w:t>
                  </w:r>
                </w:p>
              </w:tc>
              <w:tc>
                <w:tcPr>
                  <w:tcW w:w="1279" w:type="pct"/>
                  <w:tcBorders>
                    <w:tl2br w:val="nil"/>
                    <w:tr2bl w:val="nil"/>
                  </w:tcBorders>
                  <w:vAlign w:val="center"/>
                </w:tcPr>
                <w:p>
                  <w:pPr>
                    <w:adjustRightInd w:val="0"/>
                    <w:contextualSpacing/>
                    <w:jc w:val="center"/>
                    <w:rPr>
                      <w:color w:val="auto"/>
                      <w:szCs w:val="21"/>
                    </w:rPr>
                  </w:pPr>
                  <w:r>
                    <w:rPr>
                      <w:rFonts w:hint="eastAsia"/>
                      <w:color w:val="auto"/>
                      <w:szCs w:val="21"/>
                      <w:lang w:val="en-US" w:eastAsia="zh-CN"/>
                    </w:rPr>
                    <w:t>打磨、</w:t>
                  </w:r>
                  <w:r>
                    <w:rPr>
                      <w:rFonts w:hint="eastAsia"/>
                      <w:color w:val="auto"/>
                      <w:szCs w:val="21"/>
                    </w:rPr>
                    <w:t>切冒口</w:t>
                  </w:r>
                  <w:r>
                    <w:rPr>
                      <w:rFonts w:hint="eastAsia"/>
                      <w:color w:val="auto"/>
                      <w:szCs w:val="21"/>
                      <w:lang w:val="en-US" w:eastAsia="zh-CN"/>
                    </w:rPr>
                    <w:t>产生的</w:t>
                  </w:r>
                  <w:r>
                    <w:rPr>
                      <w:rFonts w:hint="eastAsia"/>
                      <w:color w:val="auto"/>
                      <w:szCs w:val="21"/>
                    </w:rPr>
                    <w:t>废铁</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657" w:type="pct"/>
                  <w:tcBorders>
                    <w:tl2br w:val="nil"/>
                    <w:tr2bl w:val="nil"/>
                  </w:tcBorders>
                  <w:vAlign w:val="center"/>
                </w:tcPr>
                <w:p>
                  <w:pPr>
                    <w:adjustRightInd w:val="0"/>
                    <w:contextualSpacing/>
                    <w:jc w:val="center"/>
                    <w:rPr>
                      <w:color w:val="auto"/>
                      <w:szCs w:val="21"/>
                    </w:rPr>
                  </w:pPr>
                  <w:r>
                    <w:rPr>
                      <w:rFonts w:hint="eastAsia"/>
                      <w:color w:val="auto"/>
                      <w:szCs w:val="21"/>
                    </w:rPr>
                    <w:t>回用于生产</w:t>
                  </w: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4</w:t>
                  </w:r>
                </w:p>
              </w:tc>
              <w:tc>
                <w:tcPr>
                  <w:tcW w:w="1279" w:type="pct"/>
                  <w:tcBorders>
                    <w:tl2br w:val="nil"/>
                    <w:tr2bl w:val="nil"/>
                  </w:tcBorders>
                  <w:vAlign w:val="center"/>
                </w:tcPr>
                <w:p>
                  <w:pPr>
                    <w:adjustRightInd w:val="0"/>
                    <w:contextualSpacing/>
                    <w:jc w:val="center"/>
                    <w:rPr>
                      <w:color w:val="auto"/>
                      <w:szCs w:val="21"/>
                    </w:rPr>
                  </w:pPr>
                  <w:r>
                    <w:rPr>
                      <w:rFonts w:hint="eastAsia"/>
                      <w:color w:val="auto"/>
                      <w:szCs w:val="21"/>
                    </w:rPr>
                    <w:t>废砂</w:t>
                  </w:r>
                </w:p>
              </w:tc>
              <w:tc>
                <w:tcPr>
                  <w:tcW w:w="1155" w:type="pct"/>
                  <w:vMerge w:val="continue"/>
                  <w:tcBorders>
                    <w:tl2br w:val="nil"/>
                    <w:tr2bl w:val="nil"/>
                  </w:tcBorders>
                  <w:vAlign w:val="center"/>
                </w:tcPr>
                <w:p>
                  <w:pPr>
                    <w:topLinePunct/>
                    <w:spacing w:line="240" w:lineRule="atLeast"/>
                    <w:jc w:val="center"/>
                    <w:rPr>
                      <w:color w:val="auto"/>
                      <w:spacing w:val="-10"/>
                      <w:szCs w:val="21"/>
                    </w:rPr>
                  </w:pPr>
                </w:p>
              </w:tc>
              <w:tc>
                <w:tcPr>
                  <w:tcW w:w="1657" w:type="pct"/>
                  <w:tcBorders>
                    <w:tl2br w:val="nil"/>
                    <w:tr2bl w:val="nil"/>
                  </w:tcBorders>
                  <w:vAlign w:val="center"/>
                </w:tcPr>
                <w:p>
                  <w:pPr>
                    <w:adjustRightInd w:val="0"/>
                    <w:contextualSpacing/>
                    <w:jc w:val="center"/>
                    <w:rPr>
                      <w:color w:val="auto"/>
                      <w:szCs w:val="21"/>
                    </w:rPr>
                  </w:pPr>
                  <w:r>
                    <w:rPr>
                      <w:rFonts w:hint="eastAsia"/>
                      <w:color w:val="auto"/>
                      <w:szCs w:val="21"/>
                    </w:rPr>
                    <w:t>包装后作为原料外售于处理厂家</w:t>
                  </w: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5</w:t>
                  </w:r>
                </w:p>
              </w:tc>
              <w:tc>
                <w:tcPr>
                  <w:tcW w:w="1279" w:type="pct"/>
                  <w:tcBorders>
                    <w:tl2br w:val="nil"/>
                    <w:tr2bl w:val="nil"/>
                  </w:tcBorders>
                  <w:vAlign w:val="center"/>
                </w:tcPr>
                <w:p>
                  <w:pPr>
                    <w:adjustRightInd w:val="0"/>
                    <w:contextualSpacing/>
                    <w:jc w:val="center"/>
                    <w:rPr>
                      <w:szCs w:val="21"/>
                    </w:rPr>
                  </w:pPr>
                  <w:r>
                    <w:rPr>
                      <w:rFonts w:hint="eastAsia"/>
                      <w:szCs w:val="21"/>
                    </w:rPr>
                    <w:t>废布袋</w:t>
                  </w:r>
                </w:p>
              </w:tc>
              <w:tc>
                <w:tcPr>
                  <w:tcW w:w="1155" w:type="pct"/>
                  <w:vMerge w:val="continue"/>
                  <w:tcBorders>
                    <w:tl2br w:val="nil"/>
                    <w:tr2bl w:val="nil"/>
                  </w:tcBorders>
                  <w:vAlign w:val="center"/>
                </w:tcPr>
                <w:p>
                  <w:pPr>
                    <w:topLinePunct/>
                    <w:spacing w:line="240" w:lineRule="atLeast"/>
                    <w:jc w:val="center"/>
                    <w:rPr>
                      <w:spacing w:val="-10"/>
                      <w:szCs w:val="21"/>
                    </w:rPr>
                  </w:pPr>
                </w:p>
              </w:tc>
              <w:tc>
                <w:tcPr>
                  <w:tcW w:w="1657" w:type="pct"/>
                  <w:tcBorders>
                    <w:tl2br w:val="nil"/>
                    <w:tr2bl w:val="nil"/>
                  </w:tcBorders>
                  <w:vAlign w:val="center"/>
                </w:tcPr>
                <w:p>
                  <w:pPr>
                    <w:adjustRightInd w:val="0"/>
                    <w:contextualSpacing/>
                    <w:jc w:val="center"/>
                    <w:rPr>
                      <w:szCs w:val="21"/>
                    </w:rPr>
                  </w:pPr>
                  <w:r>
                    <w:rPr>
                      <w:szCs w:val="21"/>
                    </w:rPr>
                    <w:t>定期由厂家回收处理</w:t>
                  </w: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6</w:t>
                  </w:r>
                </w:p>
              </w:tc>
              <w:tc>
                <w:tcPr>
                  <w:tcW w:w="1279" w:type="pct"/>
                  <w:tcBorders>
                    <w:tl2br w:val="nil"/>
                    <w:tr2bl w:val="nil"/>
                  </w:tcBorders>
                  <w:vAlign w:val="center"/>
                </w:tcPr>
                <w:p>
                  <w:pPr>
                    <w:adjustRightInd w:val="0"/>
                    <w:contextualSpacing/>
                    <w:jc w:val="center"/>
                    <w:rPr>
                      <w:szCs w:val="21"/>
                    </w:rPr>
                  </w:pPr>
                  <w:r>
                    <w:rPr>
                      <w:szCs w:val="21"/>
                    </w:rPr>
                    <w:t>废矿物油</w:t>
                  </w:r>
                </w:p>
              </w:tc>
              <w:tc>
                <w:tcPr>
                  <w:tcW w:w="1155" w:type="pct"/>
                  <w:vMerge w:val="restart"/>
                  <w:tcBorders>
                    <w:tl2br w:val="nil"/>
                    <w:tr2bl w:val="nil"/>
                  </w:tcBorders>
                  <w:vAlign w:val="center"/>
                </w:tcPr>
                <w:p>
                  <w:pPr>
                    <w:topLinePunct/>
                    <w:spacing w:line="240" w:lineRule="atLeast"/>
                    <w:jc w:val="center"/>
                    <w:rPr>
                      <w:spacing w:val="-10"/>
                      <w:szCs w:val="21"/>
                    </w:rPr>
                  </w:pPr>
                  <w:r>
                    <w:rPr>
                      <w:rFonts w:hint="eastAsia"/>
                      <w:spacing w:val="-10"/>
                      <w:szCs w:val="21"/>
                    </w:rPr>
                    <w:t>危险废物</w:t>
                  </w:r>
                </w:p>
              </w:tc>
              <w:tc>
                <w:tcPr>
                  <w:tcW w:w="1657" w:type="pct"/>
                  <w:vMerge w:val="restart"/>
                  <w:tcBorders>
                    <w:tl2br w:val="nil"/>
                    <w:tr2bl w:val="nil"/>
                  </w:tcBorders>
                  <w:vAlign w:val="center"/>
                </w:tcPr>
                <w:p>
                  <w:pPr>
                    <w:topLinePunct/>
                    <w:spacing w:line="240" w:lineRule="atLeast"/>
                    <w:jc w:val="center"/>
                    <w:rPr>
                      <w:spacing w:val="-10"/>
                      <w:szCs w:val="21"/>
                    </w:rPr>
                  </w:pPr>
                  <w:r>
                    <w:rPr>
                      <w:rFonts w:hint="eastAsia"/>
                      <w:spacing w:val="-10"/>
                      <w:szCs w:val="21"/>
                    </w:rPr>
                    <w:t>暂存于危险废物暂存间由有资质的单位处置</w:t>
                  </w: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7</w:t>
                  </w:r>
                </w:p>
              </w:tc>
              <w:tc>
                <w:tcPr>
                  <w:tcW w:w="1279" w:type="pct"/>
                  <w:tcBorders>
                    <w:tl2br w:val="nil"/>
                    <w:tr2bl w:val="nil"/>
                  </w:tcBorders>
                  <w:vAlign w:val="center"/>
                </w:tcPr>
                <w:p>
                  <w:pPr>
                    <w:adjustRightInd w:val="0"/>
                    <w:contextualSpacing/>
                    <w:jc w:val="center"/>
                    <w:rPr>
                      <w:szCs w:val="21"/>
                    </w:rPr>
                  </w:pPr>
                  <w:r>
                    <w:rPr>
                      <w:szCs w:val="21"/>
                    </w:rPr>
                    <w:t>废油桶</w:t>
                  </w:r>
                </w:p>
              </w:tc>
              <w:tc>
                <w:tcPr>
                  <w:tcW w:w="1155" w:type="pct"/>
                  <w:vMerge w:val="continue"/>
                  <w:tcBorders>
                    <w:tl2br w:val="nil"/>
                    <w:tr2bl w:val="nil"/>
                  </w:tcBorders>
                  <w:vAlign w:val="center"/>
                </w:tcPr>
                <w:p>
                  <w:pPr>
                    <w:topLinePunct/>
                    <w:spacing w:line="240" w:lineRule="atLeast"/>
                    <w:jc w:val="center"/>
                    <w:rPr>
                      <w:spacing w:val="-10"/>
                      <w:szCs w:val="21"/>
                    </w:rPr>
                  </w:pPr>
                </w:p>
              </w:tc>
              <w:tc>
                <w:tcPr>
                  <w:tcW w:w="1657" w:type="pct"/>
                  <w:vMerge w:val="continue"/>
                  <w:tcBorders>
                    <w:tl2br w:val="nil"/>
                    <w:tr2bl w:val="nil"/>
                  </w:tcBorders>
                  <w:vAlign w:val="center"/>
                </w:tcPr>
                <w:p>
                  <w:pPr>
                    <w:topLinePunct/>
                    <w:spacing w:line="240" w:lineRule="atLeast"/>
                    <w:jc w:val="center"/>
                    <w:rPr>
                      <w:spacing w:val="-10"/>
                      <w:szCs w:val="21"/>
                    </w:rPr>
                  </w:pP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rFonts w:hint="eastAsia" w:eastAsia="宋体"/>
                      <w:spacing w:val="-10"/>
                      <w:szCs w:val="21"/>
                      <w:lang w:val="en-US" w:eastAsia="zh-CN"/>
                    </w:rPr>
                  </w:pPr>
                  <w:r>
                    <w:rPr>
                      <w:rFonts w:hint="eastAsia"/>
                      <w:spacing w:val="-10"/>
                      <w:szCs w:val="21"/>
                      <w:lang w:val="en-US" w:eastAsia="zh-CN"/>
                    </w:rPr>
                    <w:t>8</w:t>
                  </w:r>
                </w:p>
              </w:tc>
              <w:tc>
                <w:tcPr>
                  <w:tcW w:w="1279" w:type="pct"/>
                  <w:tcBorders>
                    <w:tl2br w:val="nil"/>
                    <w:tr2bl w:val="nil"/>
                  </w:tcBorders>
                  <w:vAlign w:val="center"/>
                </w:tcPr>
                <w:p>
                  <w:pPr>
                    <w:topLinePunct/>
                    <w:spacing w:line="240" w:lineRule="atLeast"/>
                    <w:jc w:val="center"/>
                    <w:rPr>
                      <w:spacing w:val="-10"/>
                      <w:szCs w:val="21"/>
                    </w:rPr>
                  </w:pPr>
                  <w:r>
                    <w:rPr>
                      <w:spacing w:val="-10"/>
                      <w:szCs w:val="21"/>
                    </w:rPr>
                    <w:t>生活垃圾</w:t>
                  </w:r>
                </w:p>
              </w:tc>
              <w:tc>
                <w:tcPr>
                  <w:tcW w:w="1155" w:type="pct"/>
                  <w:tcBorders>
                    <w:tl2br w:val="nil"/>
                    <w:tr2bl w:val="nil"/>
                  </w:tcBorders>
                  <w:vAlign w:val="center"/>
                </w:tcPr>
                <w:p>
                  <w:pPr>
                    <w:topLinePunct/>
                    <w:spacing w:line="240" w:lineRule="atLeast"/>
                    <w:jc w:val="center"/>
                    <w:rPr>
                      <w:spacing w:val="-10"/>
                      <w:szCs w:val="21"/>
                    </w:rPr>
                  </w:pPr>
                  <w:r>
                    <w:rPr>
                      <w:spacing w:val="-10"/>
                      <w:szCs w:val="21"/>
                    </w:rPr>
                    <w:t>-</w:t>
                  </w:r>
                </w:p>
              </w:tc>
              <w:tc>
                <w:tcPr>
                  <w:tcW w:w="1657" w:type="pct"/>
                  <w:tcBorders>
                    <w:tl2br w:val="nil"/>
                    <w:tr2bl w:val="nil"/>
                  </w:tcBorders>
                  <w:vAlign w:val="center"/>
                </w:tcPr>
                <w:p>
                  <w:pPr>
                    <w:topLinePunct/>
                    <w:spacing w:line="240" w:lineRule="atLeast"/>
                    <w:jc w:val="center"/>
                    <w:rPr>
                      <w:spacing w:val="-10"/>
                      <w:szCs w:val="21"/>
                    </w:rPr>
                  </w:pPr>
                  <w:r>
                    <w:rPr>
                      <w:szCs w:val="21"/>
                    </w:rPr>
                    <w:t>委托环卫部门处置</w:t>
                  </w:r>
                </w:p>
              </w:tc>
              <w:tc>
                <w:tcPr>
                  <w:tcW w:w="575" w:type="pct"/>
                  <w:vMerge w:val="continue"/>
                  <w:tcBorders>
                    <w:tl2br w:val="nil"/>
                    <w:tr2bl w:val="nil"/>
                  </w:tcBorders>
                  <w:vAlign w:val="center"/>
                </w:tcPr>
                <w:p>
                  <w:pPr>
                    <w:topLinePunct/>
                    <w:spacing w:line="240" w:lineRule="atLeast"/>
                    <w:jc w:val="center"/>
                    <w:rPr>
                      <w:spacing w:val="-10"/>
                      <w:szCs w:val="21"/>
                      <w:highlight w:val="green"/>
                    </w:rPr>
                  </w:pPr>
                </w:p>
              </w:tc>
            </w:tr>
          </w:tbl>
          <w:p>
            <w:pPr>
              <w:spacing w:line="500" w:lineRule="exact"/>
              <w:rPr>
                <w:szCs w:val="21"/>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853" w:type="dxa"/>
            <w:gridSpan w:val="2"/>
            <w:vAlign w:val="center"/>
          </w:tcPr>
          <w:p>
            <w:pPr>
              <w:pStyle w:val="28"/>
              <w:adjustRightInd w:val="0"/>
              <w:snapToGrid w:val="0"/>
              <w:spacing w:before="0" w:beforeAutospacing="0" w:after="0" w:afterAutospacing="0" w:line="360" w:lineRule="exact"/>
              <w:jc w:val="center"/>
              <w:rPr>
                <w:rFonts w:ascii="Times New Roman" w:hAnsi="Times New Roman"/>
                <w:szCs w:val="24"/>
              </w:rPr>
            </w:pPr>
            <w:r>
              <w:rPr>
                <w:rFonts w:ascii="Times New Roman" w:hAnsi="Times New Roman"/>
                <w:bCs/>
                <w:kern w:val="2"/>
                <w:szCs w:val="24"/>
              </w:rPr>
              <w:t>与项目有关的原有环境污染问题</w:t>
            </w:r>
          </w:p>
        </w:tc>
        <w:tc>
          <w:tcPr>
            <w:tcW w:w="8206" w:type="dxa"/>
            <w:vAlign w:val="center"/>
          </w:tcPr>
          <w:p>
            <w:pPr>
              <w:spacing w:line="480" w:lineRule="exact"/>
              <w:ind w:firstLine="480" w:firstLineChars="200"/>
              <w:rPr>
                <w:color w:val="auto"/>
                <w:sz w:val="24"/>
              </w:rPr>
            </w:pPr>
            <w:r>
              <w:rPr>
                <w:rFonts w:hint="eastAsia"/>
                <w:sz w:val="24"/>
              </w:rPr>
              <w:t>本项目为</w:t>
            </w:r>
            <w:r>
              <w:rPr>
                <w:rFonts w:hint="eastAsia"/>
                <w:color w:val="auto"/>
                <w:sz w:val="24"/>
              </w:rPr>
              <w:t>新建项目，</w:t>
            </w:r>
            <w:r>
              <w:rPr>
                <w:rFonts w:hint="eastAsia"/>
                <w:color w:val="FF0000"/>
                <w:sz w:val="24"/>
                <w:lang w:val="en-US" w:eastAsia="zh-CN"/>
              </w:rPr>
              <w:t>占用场地原为编织袋厂，编织袋已停产多年，</w:t>
            </w:r>
            <w:r>
              <w:rPr>
                <w:rFonts w:hint="eastAsia"/>
                <w:color w:val="FF0000"/>
                <w:sz w:val="24"/>
              </w:rPr>
              <w:t>现有废弃已久厂房，</w:t>
            </w:r>
            <w:r>
              <w:rPr>
                <w:rFonts w:hint="eastAsia"/>
                <w:color w:val="FF0000"/>
                <w:sz w:val="24"/>
                <w:lang w:val="en-US" w:eastAsia="zh-CN"/>
              </w:rPr>
              <w:t>现厂房内无生产装置及设备；</w:t>
            </w:r>
            <w:r>
              <w:rPr>
                <w:rFonts w:hint="eastAsia"/>
                <w:color w:val="FF0000"/>
                <w:sz w:val="24"/>
              </w:rPr>
              <w:t>原厂区无遗留环保问题，不存在与本项目相关的原有环境污染问题</w:t>
            </w:r>
            <w:r>
              <w:rPr>
                <w:rFonts w:hint="eastAsia"/>
                <w:color w:val="auto"/>
                <w:sz w:val="24"/>
              </w:rPr>
              <w:t>。</w:t>
            </w: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spacing w:line="480" w:lineRule="exact"/>
              <w:ind w:firstLine="480" w:firstLineChars="200"/>
              <w:rPr>
                <w:color w:val="auto"/>
                <w:sz w:val="24"/>
              </w:rPr>
            </w:pPr>
          </w:p>
          <w:p>
            <w:pPr>
              <w:pStyle w:val="31"/>
              <w:spacing w:line="480" w:lineRule="exact"/>
              <w:ind w:left="0" w:leftChars="0" w:firstLine="480"/>
              <w:rPr>
                <w:szCs w:val="21"/>
              </w:rPr>
            </w:pPr>
          </w:p>
        </w:tc>
      </w:tr>
    </w:tbl>
    <w:p>
      <w:pPr>
        <w:pStyle w:val="28"/>
        <w:jc w:val="center"/>
        <w:rPr>
          <w:rFonts w:ascii="Times New Roman" w:hAnsi="Times New Roman" w:eastAsia="黑体"/>
          <w:snapToGrid w:val="0"/>
          <w:sz w:val="36"/>
          <w:szCs w:val="36"/>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8"/>
        <w:keepNext/>
        <w:widowControl w:val="0"/>
        <w:jc w:val="center"/>
        <w:outlineLvl w:val="0"/>
        <w:rPr>
          <w:rFonts w:ascii="Times New Roman" w:hAnsi="Times New Roman" w:eastAsia="黑体"/>
          <w:snapToGrid w:val="0"/>
          <w:sz w:val="30"/>
          <w:szCs w:val="30"/>
        </w:rPr>
      </w:pPr>
      <w:bookmarkStart w:id="14" w:name="_Toc30819"/>
      <w:bookmarkStart w:id="15" w:name="_Toc26788"/>
      <w:bookmarkStart w:id="16" w:name="_Toc4849"/>
      <w:r>
        <w:rPr>
          <w:rFonts w:ascii="Times New Roman" w:hAnsi="Times New Roman" w:eastAsia="黑体"/>
          <w:snapToGrid w:val="0"/>
          <w:sz w:val="30"/>
          <w:szCs w:val="30"/>
        </w:rPr>
        <w:t>三、区域环境质量现状、环境保护目标及评价标准</w:t>
      </w:r>
      <w:bookmarkEnd w:id="14"/>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5" w:type="dxa"/>
            <w:vAlign w:val="center"/>
          </w:tcPr>
          <w:p>
            <w:pPr>
              <w:keepNext/>
              <w:widowControl/>
              <w:adjustRightInd w:val="0"/>
              <w:snapToGrid w:val="0"/>
              <w:spacing w:line="480" w:lineRule="exact"/>
              <w:jc w:val="center"/>
              <w:rPr>
                <w:kern w:val="0"/>
                <w:sz w:val="24"/>
              </w:rPr>
            </w:pPr>
            <w:r>
              <w:rPr>
                <w:kern w:val="0"/>
                <w:sz w:val="24"/>
              </w:rPr>
              <w:t>区</w:t>
            </w:r>
          </w:p>
          <w:p>
            <w:pPr>
              <w:keepNext/>
              <w:widowControl/>
              <w:adjustRightInd w:val="0"/>
              <w:snapToGrid w:val="0"/>
              <w:spacing w:line="480" w:lineRule="exact"/>
              <w:jc w:val="center"/>
              <w:rPr>
                <w:kern w:val="0"/>
                <w:sz w:val="24"/>
              </w:rPr>
            </w:pPr>
            <w:r>
              <w:rPr>
                <w:kern w:val="0"/>
                <w:sz w:val="24"/>
              </w:rPr>
              <w:t>域</w:t>
            </w:r>
          </w:p>
          <w:p>
            <w:pPr>
              <w:keepNext/>
              <w:widowControl/>
              <w:adjustRightInd w:val="0"/>
              <w:snapToGrid w:val="0"/>
              <w:spacing w:line="480" w:lineRule="exact"/>
              <w:jc w:val="center"/>
              <w:rPr>
                <w:kern w:val="0"/>
                <w:sz w:val="24"/>
              </w:rPr>
            </w:pPr>
            <w:r>
              <w:rPr>
                <w:kern w:val="0"/>
                <w:sz w:val="24"/>
              </w:rPr>
              <w:t>环</w:t>
            </w:r>
          </w:p>
          <w:p>
            <w:pPr>
              <w:keepNext/>
              <w:widowControl/>
              <w:adjustRightInd w:val="0"/>
              <w:snapToGrid w:val="0"/>
              <w:spacing w:line="480" w:lineRule="exact"/>
              <w:jc w:val="center"/>
              <w:rPr>
                <w:kern w:val="0"/>
                <w:sz w:val="24"/>
              </w:rPr>
            </w:pPr>
            <w:r>
              <w:rPr>
                <w:kern w:val="0"/>
                <w:sz w:val="24"/>
              </w:rPr>
              <w:t>境</w:t>
            </w:r>
          </w:p>
          <w:p>
            <w:pPr>
              <w:keepNext/>
              <w:widowControl/>
              <w:adjustRightInd w:val="0"/>
              <w:snapToGrid w:val="0"/>
              <w:spacing w:line="480" w:lineRule="exact"/>
              <w:jc w:val="center"/>
              <w:rPr>
                <w:kern w:val="0"/>
                <w:sz w:val="24"/>
              </w:rPr>
            </w:pPr>
            <w:r>
              <w:rPr>
                <w:kern w:val="0"/>
                <w:sz w:val="24"/>
              </w:rPr>
              <w:t>质</w:t>
            </w:r>
          </w:p>
          <w:p>
            <w:pPr>
              <w:keepNext/>
              <w:widowControl/>
              <w:adjustRightInd w:val="0"/>
              <w:snapToGrid w:val="0"/>
              <w:spacing w:line="480" w:lineRule="exact"/>
              <w:jc w:val="center"/>
              <w:rPr>
                <w:kern w:val="0"/>
                <w:sz w:val="24"/>
              </w:rPr>
            </w:pPr>
            <w:r>
              <w:rPr>
                <w:kern w:val="0"/>
                <w:sz w:val="24"/>
              </w:rPr>
              <w:t>量</w:t>
            </w:r>
          </w:p>
          <w:p>
            <w:pPr>
              <w:keepNext/>
              <w:widowControl/>
              <w:adjustRightInd w:val="0"/>
              <w:snapToGrid w:val="0"/>
              <w:spacing w:line="480" w:lineRule="exact"/>
              <w:jc w:val="center"/>
              <w:rPr>
                <w:kern w:val="0"/>
                <w:sz w:val="24"/>
              </w:rPr>
            </w:pPr>
            <w:r>
              <w:rPr>
                <w:kern w:val="0"/>
                <w:sz w:val="24"/>
              </w:rPr>
              <w:t>现</w:t>
            </w:r>
          </w:p>
          <w:p>
            <w:pPr>
              <w:keepNext/>
              <w:widowControl/>
              <w:adjustRightInd w:val="0"/>
              <w:snapToGrid w:val="0"/>
              <w:spacing w:line="480" w:lineRule="exact"/>
              <w:jc w:val="center"/>
              <w:rPr>
                <w:kern w:val="0"/>
                <w:szCs w:val="21"/>
              </w:rPr>
            </w:pPr>
            <w:r>
              <w:rPr>
                <w:kern w:val="0"/>
                <w:sz w:val="24"/>
              </w:rPr>
              <w:t>状</w:t>
            </w:r>
          </w:p>
        </w:tc>
        <w:tc>
          <w:tcPr>
            <w:tcW w:w="8544" w:type="dxa"/>
            <w:vAlign w:val="center"/>
          </w:tcPr>
          <w:p>
            <w:pPr>
              <w:keepNext/>
              <w:widowControl/>
              <w:spacing w:line="500" w:lineRule="exact"/>
              <w:ind w:firstLine="482" w:firstLineChars="200"/>
              <w:rPr>
                <w:b/>
                <w:sz w:val="24"/>
              </w:rPr>
            </w:pPr>
            <w:r>
              <w:rPr>
                <w:b/>
                <w:sz w:val="24"/>
              </w:rPr>
              <w:t>1环境空气</w:t>
            </w:r>
          </w:p>
          <w:p>
            <w:pPr>
              <w:pStyle w:val="15"/>
              <w:spacing w:line="500" w:lineRule="exact"/>
              <w:ind w:left="0" w:right="0" w:firstLine="480" w:firstLineChars="200"/>
              <w:rPr>
                <w:sz w:val="24"/>
              </w:rPr>
            </w:pPr>
            <w:r>
              <w:rPr>
                <w:rFonts w:hint="eastAsia"/>
                <w:sz w:val="24"/>
              </w:rPr>
              <w:t>（1）</w:t>
            </w:r>
            <w:r>
              <w:rPr>
                <w:sz w:val="24"/>
              </w:rPr>
              <w:t>空气质量达标区判定</w:t>
            </w:r>
          </w:p>
          <w:p>
            <w:pPr>
              <w:spacing w:line="500" w:lineRule="exact"/>
              <w:ind w:firstLine="480" w:firstLineChars="200"/>
              <w:rPr>
                <w:sz w:val="24"/>
              </w:rPr>
            </w:pPr>
            <w:r>
              <w:rPr>
                <w:kern w:val="21"/>
                <w:sz w:val="24"/>
              </w:rPr>
              <w:t>根据《202</w:t>
            </w:r>
            <w:r>
              <w:rPr>
                <w:rFonts w:hint="eastAsia"/>
                <w:kern w:val="21"/>
                <w:sz w:val="24"/>
              </w:rPr>
              <w:t>2</w:t>
            </w:r>
            <w:r>
              <w:rPr>
                <w:kern w:val="21"/>
                <w:sz w:val="24"/>
              </w:rPr>
              <w:t>年唐山市生态环境状况公报》，202</w:t>
            </w:r>
            <w:r>
              <w:rPr>
                <w:rFonts w:hint="eastAsia"/>
                <w:kern w:val="21"/>
                <w:sz w:val="24"/>
              </w:rPr>
              <w:t>2</w:t>
            </w:r>
            <w:r>
              <w:rPr>
                <w:kern w:val="21"/>
                <w:sz w:val="24"/>
              </w:rPr>
              <w:t>年全市细颗粒物（PM</w:t>
            </w:r>
            <w:r>
              <w:rPr>
                <w:kern w:val="21"/>
                <w:sz w:val="24"/>
                <w:vertAlign w:val="subscript"/>
              </w:rPr>
              <w:t>2.5</w:t>
            </w:r>
            <w:r>
              <w:rPr>
                <w:kern w:val="21"/>
                <w:sz w:val="24"/>
              </w:rPr>
              <w:t>）年平均浓度为</w:t>
            </w:r>
            <w:r>
              <w:rPr>
                <w:rFonts w:hint="eastAsia"/>
                <w:kern w:val="21"/>
                <w:sz w:val="24"/>
              </w:rPr>
              <w:t>37</w:t>
            </w:r>
            <w:r>
              <w:rPr>
                <w:kern w:val="21"/>
                <w:sz w:val="24"/>
              </w:rPr>
              <w:t>微克/立方米，可吸入颗粒物（PM</w:t>
            </w:r>
            <w:r>
              <w:rPr>
                <w:kern w:val="21"/>
                <w:sz w:val="24"/>
                <w:vertAlign w:val="subscript"/>
              </w:rPr>
              <w:t>10</w:t>
            </w:r>
            <w:r>
              <w:rPr>
                <w:kern w:val="21"/>
                <w:sz w:val="24"/>
              </w:rPr>
              <w:t>）年平均浓度为</w:t>
            </w:r>
            <w:r>
              <w:rPr>
                <w:rFonts w:hint="eastAsia"/>
                <w:kern w:val="21"/>
                <w:sz w:val="24"/>
              </w:rPr>
              <w:t>67</w:t>
            </w:r>
            <w:r>
              <w:rPr>
                <w:kern w:val="21"/>
                <w:sz w:val="24"/>
              </w:rPr>
              <w:t>微克/立方米，二氧化硫（SO</w:t>
            </w:r>
            <w:r>
              <w:rPr>
                <w:kern w:val="21"/>
                <w:sz w:val="24"/>
                <w:vertAlign w:val="subscript"/>
              </w:rPr>
              <w:t>2</w:t>
            </w:r>
            <w:r>
              <w:rPr>
                <w:kern w:val="21"/>
                <w:sz w:val="24"/>
              </w:rPr>
              <w:t>）年平均浓度为</w:t>
            </w:r>
            <w:r>
              <w:rPr>
                <w:rFonts w:hint="eastAsia"/>
                <w:kern w:val="21"/>
                <w:sz w:val="24"/>
              </w:rPr>
              <w:t>8</w:t>
            </w:r>
            <w:r>
              <w:rPr>
                <w:kern w:val="21"/>
                <w:sz w:val="24"/>
              </w:rPr>
              <w:t>微克/立方米，二氧化氮（NO</w:t>
            </w:r>
            <w:r>
              <w:rPr>
                <w:kern w:val="21"/>
                <w:sz w:val="24"/>
                <w:vertAlign w:val="subscript"/>
              </w:rPr>
              <w:t>2</w:t>
            </w:r>
            <w:r>
              <w:rPr>
                <w:kern w:val="21"/>
                <w:sz w:val="24"/>
              </w:rPr>
              <w:t>）年平均浓度为</w:t>
            </w:r>
            <w:r>
              <w:rPr>
                <w:rFonts w:hint="eastAsia"/>
                <w:kern w:val="21"/>
                <w:sz w:val="24"/>
              </w:rPr>
              <w:t>32</w:t>
            </w:r>
            <w:r>
              <w:rPr>
                <w:kern w:val="21"/>
                <w:sz w:val="24"/>
              </w:rPr>
              <w:t>微克/立方米，一氧化碳（CO）日均值第95百分位浓度平均为</w:t>
            </w:r>
            <w:r>
              <w:rPr>
                <w:rFonts w:hint="eastAsia"/>
                <w:kern w:val="21"/>
                <w:sz w:val="24"/>
              </w:rPr>
              <w:t>1.5</w:t>
            </w:r>
            <w:r>
              <w:rPr>
                <w:kern w:val="21"/>
                <w:sz w:val="24"/>
              </w:rPr>
              <w:t>毫克/立方米，臭氧（O</w:t>
            </w:r>
            <w:r>
              <w:rPr>
                <w:kern w:val="21"/>
                <w:sz w:val="24"/>
                <w:vertAlign w:val="subscript"/>
              </w:rPr>
              <w:t>3</w:t>
            </w:r>
            <w:r>
              <w:rPr>
                <w:kern w:val="21"/>
                <w:sz w:val="24"/>
              </w:rPr>
              <w:t>）日最大8小时平均第90百分位浓度平均为</w:t>
            </w:r>
            <w:r>
              <w:rPr>
                <w:rFonts w:hint="eastAsia"/>
                <w:kern w:val="21"/>
                <w:sz w:val="24"/>
              </w:rPr>
              <w:t>182</w:t>
            </w:r>
            <w:r>
              <w:rPr>
                <w:kern w:val="21"/>
                <w:sz w:val="24"/>
              </w:rPr>
              <w:t>微克/立方米。PM</w:t>
            </w:r>
            <w:r>
              <w:rPr>
                <w:kern w:val="21"/>
                <w:sz w:val="24"/>
                <w:vertAlign w:val="subscript"/>
              </w:rPr>
              <w:t>2.5</w:t>
            </w:r>
            <w:r>
              <w:rPr>
                <w:kern w:val="21"/>
                <w:sz w:val="24"/>
              </w:rPr>
              <w:t>、PM</w:t>
            </w:r>
            <w:r>
              <w:rPr>
                <w:kern w:val="21"/>
                <w:sz w:val="24"/>
                <w:vertAlign w:val="subscript"/>
              </w:rPr>
              <w:t>10</w:t>
            </w:r>
            <w:r>
              <w:rPr>
                <w:kern w:val="21"/>
                <w:sz w:val="24"/>
              </w:rPr>
              <w:t>、SO</w:t>
            </w:r>
            <w:r>
              <w:rPr>
                <w:kern w:val="21"/>
                <w:sz w:val="24"/>
                <w:vertAlign w:val="subscript"/>
              </w:rPr>
              <w:t>2</w:t>
            </w:r>
            <w:r>
              <w:rPr>
                <w:kern w:val="21"/>
                <w:sz w:val="24"/>
              </w:rPr>
              <w:t>、NO</w:t>
            </w:r>
            <w:r>
              <w:rPr>
                <w:kern w:val="21"/>
                <w:sz w:val="24"/>
                <w:vertAlign w:val="subscript"/>
              </w:rPr>
              <w:t>2</w:t>
            </w:r>
            <w:r>
              <w:rPr>
                <w:kern w:val="21"/>
                <w:sz w:val="24"/>
              </w:rPr>
              <w:t>、CO-95per平均浓度分别下降</w:t>
            </w:r>
            <w:r>
              <w:rPr>
                <w:rFonts w:hint="eastAsia"/>
                <w:kern w:val="21"/>
                <w:sz w:val="24"/>
              </w:rPr>
              <w:t>13.95</w:t>
            </w:r>
            <w:r>
              <w:rPr>
                <w:kern w:val="21"/>
                <w:sz w:val="24"/>
              </w:rPr>
              <w:t>%、1</w:t>
            </w:r>
            <w:r>
              <w:rPr>
                <w:rFonts w:hint="eastAsia"/>
                <w:kern w:val="21"/>
                <w:sz w:val="24"/>
              </w:rPr>
              <w:t>5.19</w:t>
            </w:r>
            <w:r>
              <w:rPr>
                <w:kern w:val="21"/>
                <w:sz w:val="24"/>
              </w:rPr>
              <w:t>%、</w:t>
            </w:r>
            <w:r>
              <w:rPr>
                <w:rFonts w:hint="eastAsia"/>
                <w:kern w:val="21"/>
                <w:sz w:val="24"/>
              </w:rPr>
              <w:t>20</w:t>
            </w:r>
            <w:r>
              <w:rPr>
                <w:kern w:val="21"/>
                <w:sz w:val="24"/>
              </w:rPr>
              <w:t>%、</w:t>
            </w:r>
            <w:r>
              <w:rPr>
                <w:rFonts w:hint="eastAsia"/>
                <w:kern w:val="21"/>
                <w:sz w:val="24"/>
              </w:rPr>
              <w:t>17.95</w:t>
            </w:r>
            <w:r>
              <w:rPr>
                <w:kern w:val="21"/>
                <w:sz w:val="24"/>
              </w:rPr>
              <w:t>%、</w:t>
            </w:r>
            <w:r>
              <w:rPr>
                <w:rFonts w:hint="eastAsia"/>
                <w:kern w:val="21"/>
                <w:sz w:val="24"/>
              </w:rPr>
              <w:t>21.05</w:t>
            </w:r>
            <w:r>
              <w:rPr>
                <w:kern w:val="21"/>
                <w:sz w:val="24"/>
              </w:rPr>
              <w:t>%</w:t>
            </w:r>
            <w:r>
              <w:rPr>
                <w:rFonts w:hint="eastAsia"/>
                <w:kern w:val="21"/>
                <w:sz w:val="24"/>
              </w:rPr>
              <w:t>，</w:t>
            </w:r>
            <w:r>
              <w:rPr>
                <w:kern w:val="21"/>
                <w:sz w:val="24"/>
              </w:rPr>
              <w:t>、O</w:t>
            </w:r>
            <w:r>
              <w:rPr>
                <w:kern w:val="21"/>
                <w:sz w:val="24"/>
                <w:vertAlign w:val="subscript"/>
              </w:rPr>
              <w:t>3</w:t>
            </w:r>
            <w:r>
              <w:rPr>
                <w:kern w:val="21"/>
                <w:sz w:val="24"/>
              </w:rPr>
              <w:t>-8H-90per平均浓度分别</w:t>
            </w:r>
            <w:r>
              <w:rPr>
                <w:rFonts w:hint="eastAsia"/>
                <w:kern w:val="21"/>
                <w:sz w:val="24"/>
              </w:rPr>
              <w:t>上升13.04</w:t>
            </w:r>
            <w:r>
              <w:rPr>
                <w:kern w:val="21"/>
                <w:sz w:val="24"/>
              </w:rPr>
              <w:t>%</w:t>
            </w:r>
            <w:r>
              <w:rPr>
                <w:sz w:val="24"/>
              </w:rPr>
              <w:t>。评价结果见</w:t>
            </w:r>
            <w:r>
              <w:rPr>
                <w:rFonts w:hint="eastAsia"/>
                <w:sz w:val="24"/>
              </w:rPr>
              <w:t>下</w:t>
            </w:r>
            <w:r>
              <w:rPr>
                <w:sz w:val="24"/>
              </w:rPr>
              <w:t>表。</w:t>
            </w:r>
          </w:p>
          <w:p>
            <w:pPr>
              <w:spacing w:line="500" w:lineRule="exact"/>
              <w:jc w:val="center"/>
              <w:rPr>
                <w:b/>
                <w:kern w:val="0"/>
                <w:sz w:val="24"/>
              </w:rPr>
            </w:pPr>
            <w:r>
              <w:rPr>
                <w:b/>
                <w:kern w:val="0"/>
                <w:sz w:val="24"/>
              </w:rPr>
              <w:t>表</w:t>
            </w:r>
            <w:r>
              <w:rPr>
                <w:rFonts w:hint="eastAsia"/>
                <w:b/>
                <w:kern w:val="0"/>
                <w:sz w:val="24"/>
              </w:rPr>
              <w:t>1</w:t>
            </w:r>
            <w:r>
              <w:rPr>
                <w:rFonts w:hint="eastAsia"/>
                <w:b/>
                <w:kern w:val="0"/>
                <w:sz w:val="24"/>
                <w:lang w:val="en-US" w:eastAsia="zh-CN"/>
              </w:rPr>
              <w:t>9</w:t>
            </w:r>
            <w:r>
              <w:rPr>
                <w:b/>
                <w:kern w:val="0"/>
                <w:sz w:val="24"/>
              </w:rPr>
              <w:t xml:space="preserve">   区域空气质量现状评价一览表</w:t>
            </w:r>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9"/>
              <w:gridCol w:w="1141"/>
              <w:gridCol w:w="946"/>
              <w:gridCol w:w="1211"/>
              <w:gridCol w:w="1175"/>
              <w:gridCol w:w="967"/>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vAlign w:val="center"/>
                </w:tcPr>
                <w:p>
                  <w:pPr>
                    <w:jc w:val="center"/>
                    <w:rPr>
                      <w:szCs w:val="21"/>
                    </w:rPr>
                  </w:pPr>
                  <w:r>
                    <w:rPr>
                      <w:szCs w:val="21"/>
                    </w:rPr>
                    <w:t>指标</w:t>
                  </w:r>
                </w:p>
              </w:tc>
              <w:tc>
                <w:tcPr>
                  <w:tcW w:w="687" w:type="pct"/>
                  <w:vAlign w:val="center"/>
                </w:tcPr>
                <w:p>
                  <w:pPr>
                    <w:jc w:val="center"/>
                    <w:rPr>
                      <w:szCs w:val="21"/>
                    </w:rPr>
                  </w:pPr>
                  <w:r>
                    <w:rPr>
                      <w:szCs w:val="21"/>
                    </w:rPr>
                    <w:t>SO</w:t>
                  </w:r>
                  <w:r>
                    <w:rPr>
                      <w:szCs w:val="21"/>
                      <w:vertAlign w:val="subscript"/>
                    </w:rPr>
                    <w:t>2</w:t>
                  </w:r>
                  <w:r>
                    <w:rPr>
                      <w:szCs w:val="21"/>
                    </w:rPr>
                    <w:t>μg/m</w:t>
                  </w:r>
                  <w:r>
                    <w:rPr>
                      <w:szCs w:val="21"/>
                      <w:vertAlign w:val="superscript"/>
                    </w:rPr>
                    <w:t>3</w:t>
                  </w:r>
                </w:p>
              </w:tc>
              <w:tc>
                <w:tcPr>
                  <w:tcW w:w="570" w:type="pct"/>
                  <w:vAlign w:val="center"/>
                </w:tcPr>
                <w:p>
                  <w:pPr>
                    <w:jc w:val="center"/>
                    <w:rPr>
                      <w:szCs w:val="21"/>
                    </w:rPr>
                  </w:pPr>
                  <w:r>
                    <w:rPr>
                      <w:szCs w:val="21"/>
                    </w:rPr>
                    <w:t>NO</w:t>
                  </w:r>
                  <w:r>
                    <w:rPr>
                      <w:szCs w:val="21"/>
                      <w:vertAlign w:val="subscript"/>
                    </w:rPr>
                    <w:t>2</w:t>
                  </w:r>
                  <w:r>
                    <w:rPr>
                      <w:szCs w:val="21"/>
                    </w:rPr>
                    <w:t>μg/m</w:t>
                  </w:r>
                  <w:r>
                    <w:rPr>
                      <w:szCs w:val="21"/>
                      <w:vertAlign w:val="superscript"/>
                    </w:rPr>
                    <w:t>3</w:t>
                  </w:r>
                </w:p>
              </w:tc>
              <w:tc>
                <w:tcPr>
                  <w:tcW w:w="730" w:type="pct"/>
                  <w:vAlign w:val="center"/>
                </w:tcPr>
                <w:p>
                  <w:pPr>
                    <w:jc w:val="center"/>
                    <w:rPr>
                      <w:szCs w:val="21"/>
                    </w:rPr>
                  </w:pPr>
                  <w:r>
                    <w:rPr>
                      <w:szCs w:val="21"/>
                    </w:rPr>
                    <w:t>PM</w:t>
                  </w:r>
                  <w:r>
                    <w:rPr>
                      <w:szCs w:val="21"/>
                      <w:vertAlign w:val="subscript"/>
                    </w:rPr>
                    <w:t>10</w:t>
                  </w:r>
                  <w:r>
                    <w:rPr>
                      <w:szCs w:val="21"/>
                    </w:rPr>
                    <w:t>μg/m</w:t>
                  </w:r>
                  <w:r>
                    <w:rPr>
                      <w:szCs w:val="21"/>
                      <w:vertAlign w:val="superscript"/>
                    </w:rPr>
                    <w:t>3</w:t>
                  </w:r>
                </w:p>
              </w:tc>
              <w:tc>
                <w:tcPr>
                  <w:tcW w:w="708" w:type="pct"/>
                  <w:vAlign w:val="center"/>
                </w:tcPr>
                <w:p>
                  <w:pPr>
                    <w:jc w:val="center"/>
                    <w:rPr>
                      <w:szCs w:val="21"/>
                    </w:rPr>
                  </w:pPr>
                  <w:r>
                    <w:rPr>
                      <w:szCs w:val="21"/>
                    </w:rPr>
                    <w:t>PM</w:t>
                  </w:r>
                  <w:r>
                    <w:rPr>
                      <w:szCs w:val="21"/>
                      <w:vertAlign w:val="subscript"/>
                    </w:rPr>
                    <w:t>2.5</w:t>
                  </w:r>
                  <w:r>
                    <w:rPr>
                      <w:szCs w:val="21"/>
                    </w:rPr>
                    <w:t>μg/m</w:t>
                  </w:r>
                  <w:r>
                    <w:rPr>
                      <w:szCs w:val="21"/>
                      <w:vertAlign w:val="superscript"/>
                    </w:rPr>
                    <w:t>3</w:t>
                  </w:r>
                </w:p>
              </w:tc>
              <w:tc>
                <w:tcPr>
                  <w:tcW w:w="583" w:type="pct"/>
                  <w:vAlign w:val="center"/>
                </w:tcPr>
                <w:p>
                  <w:pPr>
                    <w:jc w:val="center"/>
                    <w:rPr>
                      <w:szCs w:val="21"/>
                    </w:rPr>
                  </w:pPr>
                  <w:r>
                    <w:rPr>
                      <w:szCs w:val="21"/>
                    </w:rPr>
                    <w:t>CO</w:t>
                  </w:r>
                  <w:r>
                    <w:rPr>
                      <w:rFonts w:hint="eastAsia"/>
                      <w:szCs w:val="21"/>
                    </w:rPr>
                    <w:t>m</w:t>
                  </w:r>
                  <w:r>
                    <w:rPr>
                      <w:szCs w:val="21"/>
                    </w:rPr>
                    <w:t>g/m</w:t>
                  </w:r>
                  <w:r>
                    <w:rPr>
                      <w:szCs w:val="21"/>
                      <w:vertAlign w:val="superscript"/>
                    </w:rPr>
                    <w:t>3</w:t>
                  </w:r>
                </w:p>
              </w:tc>
              <w:tc>
                <w:tcPr>
                  <w:tcW w:w="986" w:type="pct"/>
                  <w:tcBorders>
                    <w:right w:val="nil"/>
                  </w:tcBorders>
                  <w:vAlign w:val="center"/>
                </w:tcPr>
                <w:p>
                  <w:pPr>
                    <w:jc w:val="center"/>
                    <w:rPr>
                      <w:szCs w:val="21"/>
                    </w:rPr>
                  </w:pPr>
                  <w:r>
                    <w:rPr>
                      <w:szCs w:val="21"/>
                    </w:rPr>
                    <w:t>O</w:t>
                  </w:r>
                  <w:r>
                    <w:rPr>
                      <w:szCs w:val="21"/>
                      <w:vertAlign w:val="subscript"/>
                    </w:rPr>
                    <w:t>3</w:t>
                  </w:r>
                  <w:r>
                    <w:rPr>
                      <w:szCs w:val="21"/>
                    </w:rPr>
                    <w:t>（μg/m</w:t>
                  </w:r>
                  <w:r>
                    <w:rPr>
                      <w:szCs w:val="21"/>
                      <w:vertAlign w:val="superscript"/>
                    </w:rPr>
                    <w:t>3</w:t>
                  </w:r>
                  <w:r>
                    <w:rPr>
                      <w:szCs w:val="21"/>
                    </w:rPr>
                    <w:t>）（日最大8小时平均）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left w:val="nil"/>
                  </w:tcBorders>
                  <w:vAlign w:val="center"/>
                </w:tcPr>
                <w:p>
                  <w:pPr>
                    <w:jc w:val="center"/>
                    <w:rPr>
                      <w:szCs w:val="21"/>
                    </w:rPr>
                  </w:pPr>
                  <w:r>
                    <w:rPr>
                      <w:szCs w:val="21"/>
                    </w:rPr>
                    <w:t>202</w:t>
                  </w:r>
                  <w:r>
                    <w:rPr>
                      <w:rFonts w:hint="eastAsia"/>
                      <w:szCs w:val="21"/>
                    </w:rPr>
                    <w:t>2</w:t>
                  </w:r>
                  <w:r>
                    <w:rPr>
                      <w:szCs w:val="21"/>
                    </w:rPr>
                    <w:t>平均值</w:t>
                  </w:r>
                </w:p>
              </w:tc>
              <w:tc>
                <w:tcPr>
                  <w:tcW w:w="687" w:type="pct"/>
                  <w:vAlign w:val="center"/>
                </w:tcPr>
                <w:p>
                  <w:pPr>
                    <w:jc w:val="center"/>
                    <w:rPr>
                      <w:szCs w:val="21"/>
                    </w:rPr>
                  </w:pPr>
                  <w:r>
                    <w:rPr>
                      <w:rFonts w:hint="eastAsia"/>
                      <w:szCs w:val="21"/>
                    </w:rPr>
                    <w:t>8</w:t>
                  </w:r>
                </w:p>
              </w:tc>
              <w:tc>
                <w:tcPr>
                  <w:tcW w:w="570" w:type="pct"/>
                  <w:vAlign w:val="center"/>
                </w:tcPr>
                <w:p>
                  <w:pPr>
                    <w:jc w:val="center"/>
                    <w:rPr>
                      <w:szCs w:val="21"/>
                    </w:rPr>
                  </w:pPr>
                  <w:r>
                    <w:rPr>
                      <w:rFonts w:hint="eastAsia"/>
                      <w:szCs w:val="21"/>
                    </w:rPr>
                    <w:t>32</w:t>
                  </w:r>
                </w:p>
              </w:tc>
              <w:tc>
                <w:tcPr>
                  <w:tcW w:w="730" w:type="pct"/>
                  <w:vAlign w:val="center"/>
                </w:tcPr>
                <w:p>
                  <w:pPr>
                    <w:jc w:val="center"/>
                    <w:rPr>
                      <w:szCs w:val="21"/>
                    </w:rPr>
                  </w:pPr>
                  <w:r>
                    <w:rPr>
                      <w:rFonts w:hint="eastAsia"/>
                      <w:szCs w:val="21"/>
                    </w:rPr>
                    <w:t>67</w:t>
                  </w:r>
                </w:p>
              </w:tc>
              <w:tc>
                <w:tcPr>
                  <w:tcW w:w="708" w:type="pct"/>
                  <w:vAlign w:val="center"/>
                </w:tcPr>
                <w:p>
                  <w:pPr>
                    <w:jc w:val="center"/>
                    <w:rPr>
                      <w:szCs w:val="21"/>
                    </w:rPr>
                  </w:pPr>
                  <w:r>
                    <w:rPr>
                      <w:rFonts w:hint="eastAsia"/>
                      <w:szCs w:val="21"/>
                    </w:rPr>
                    <w:t>37</w:t>
                  </w:r>
                </w:p>
              </w:tc>
              <w:tc>
                <w:tcPr>
                  <w:tcW w:w="583" w:type="pct"/>
                  <w:vAlign w:val="center"/>
                </w:tcPr>
                <w:p>
                  <w:pPr>
                    <w:jc w:val="center"/>
                    <w:rPr>
                      <w:szCs w:val="21"/>
                    </w:rPr>
                  </w:pPr>
                  <w:r>
                    <w:rPr>
                      <w:rFonts w:hint="eastAsia"/>
                      <w:szCs w:val="21"/>
                    </w:rPr>
                    <w:t>1.5</w:t>
                  </w:r>
                </w:p>
              </w:tc>
              <w:tc>
                <w:tcPr>
                  <w:tcW w:w="986" w:type="pct"/>
                  <w:tcBorders>
                    <w:right w:val="nil"/>
                  </w:tcBorders>
                  <w:vAlign w:val="center"/>
                </w:tcPr>
                <w:p>
                  <w:pPr>
                    <w:jc w:val="center"/>
                    <w:rPr>
                      <w:szCs w:val="21"/>
                    </w:rPr>
                  </w:pPr>
                  <w:r>
                    <w:rPr>
                      <w:rFonts w:hint="eastAsia"/>
                      <w:szCs w:val="21"/>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szCs w:val="21"/>
                    </w:rPr>
                  </w:pPr>
                  <w:r>
                    <w:rPr>
                      <w:szCs w:val="21"/>
                    </w:rPr>
                    <w:t>年均值标准</w:t>
                  </w:r>
                </w:p>
              </w:tc>
              <w:tc>
                <w:tcPr>
                  <w:tcW w:w="687" w:type="pct"/>
                  <w:vAlign w:val="center"/>
                </w:tcPr>
                <w:p>
                  <w:pPr>
                    <w:jc w:val="center"/>
                    <w:rPr>
                      <w:szCs w:val="21"/>
                    </w:rPr>
                  </w:pPr>
                  <w:r>
                    <w:rPr>
                      <w:szCs w:val="21"/>
                    </w:rPr>
                    <w:t>60</w:t>
                  </w:r>
                </w:p>
              </w:tc>
              <w:tc>
                <w:tcPr>
                  <w:tcW w:w="570" w:type="pct"/>
                  <w:vAlign w:val="center"/>
                </w:tcPr>
                <w:p>
                  <w:pPr>
                    <w:jc w:val="center"/>
                    <w:rPr>
                      <w:szCs w:val="21"/>
                    </w:rPr>
                  </w:pPr>
                  <w:r>
                    <w:rPr>
                      <w:szCs w:val="21"/>
                    </w:rPr>
                    <w:t>40</w:t>
                  </w:r>
                </w:p>
              </w:tc>
              <w:tc>
                <w:tcPr>
                  <w:tcW w:w="730" w:type="pct"/>
                  <w:vAlign w:val="center"/>
                </w:tcPr>
                <w:p>
                  <w:pPr>
                    <w:jc w:val="center"/>
                    <w:rPr>
                      <w:szCs w:val="21"/>
                    </w:rPr>
                  </w:pPr>
                  <w:r>
                    <w:rPr>
                      <w:szCs w:val="21"/>
                    </w:rPr>
                    <w:t>70</w:t>
                  </w:r>
                </w:p>
              </w:tc>
              <w:tc>
                <w:tcPr>
                  <w:tcW w:w="708" w:type="pct"/>
                  <w:vAlign w:val="center"/>
                </w:tcPr>
                <w:p>
                  <w:pPr>
                    <w:jc w:val="center"/>
                    <w:rPr>
                      <w:szCs w:val="21"/>
                    </w:rPr>
                  </w:pPr>
                  <w:r>
                    <w:rPr>
                      <w:szCs w:val="21"/>
                    </w:rPr>
                    <w:t>35</w:t>
                  </w:r>
                </w:p>
              </w:tc>
              <w:tc>
                <w:tcPr>
                  <w:tcW w:w="583" w:type="pct"/>
                  <w:vAlign w:val="center"/>
                </w:tcPr>
                <w:p>
                  <w:pPr>
                    <w:jc w:val="center"/>
                    <w:rPr>
                      <w:szCs w:val="21"/>
                    </w:rPr>
                  </w:pPr>
                  <w:r>
                    <w:rPr>
                      <w:szCs w:val="21"/>
                    </w:rPr>
                    <w:t>—</w:t>
                  </w:r>
                </w:p>
              </w:tc>
              <w:tc>
                <w:tcPr>
                  <w:tcW w:w="986" w:type="pct"/>
                  <w:tcBorders>
                    <w:right w:val="nil"/>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szCs w:val="21"/>
                    </w:rPr>
                  </w:pPr>
                  <w:r>
                    <w:rPr>
                      <w:szCs w:val="21"/>
                    </w:rPr>
                    <w:t>达标情况</w:t>
                  </w:r>
                </w:p>
              </w:tc>
              <w:tc>
                <w:tcPr>
                  <w:tcW w:w="687" w:type="pct"/>
                  <w:vAlign w:val="center"/>
                </w:tcPr>
                <w:p>
                  <w:pPr>
                    <w:jc w:val="center"/>
                    <w:rPr>
                      <w:szCs w:val="21"/>
                    </w:rPr>
                  </w:pPr>
                  <w:r>
                    <w:rPr>
                      <w:szCs w:val="21"/>
                    </w:rPr>
                    <w:t>达标</w:t>
                  </w:r>
                </w:p>
              </w:tc>
              <w:tc>
                <w:tcPr>
                  <w:tcW w:w="570" w:type="pct"/>
                  <w:vAlign w:val="center"/>
                </w:tcPr>
                <w:p>
                  <w:pPr>
                    <w:jc w:val="center"/>
                    <w:rPr>
                      <w:szCs w:val="21"/>
                    </w:rPr>
                  </w:pPr>
                  <w:r>
                    <w:rPr>
                      <w:szCs w:val="21"/>
                    </w:rPr>
                    <w:t>达标</w:t>
                  </w:r>
                </w:p>
              </w:tc>
              <w:tc>
                <w:tcPr>
                  <w:tcW w:w="730" w:type="pct"/>
                  <w:vAlign w:val="center"/>
                </w:tcPr>
                <w:p>
                  <w:pPr>
                    <w:jc w:val="center"/>
                    <w:rPr>
                      <w:szCs w:val="21"/>
                    </w:rPr>
                  </w:pPr>
                  <w:r>
                    <w:rPr>
                      <w:rFonts w:hint="eastAsia"/>
                      <w:szCs w:val="21"/>
                    </w:rPr>
                    <w:t>达标</w:t>
                  </w:r>
                </w:p>
              </w:tc>
              <w:tc>
                <w:tcPr>
                  <w:tcW w:w="708" w:type="pct"/>
                  <w:vAlign w:val="center"/>
                </w:tcPr>
                <w:p>
                  <w:pPr>
                    <w:jc w:val="center"/>
                    <w:rPr>
                      <w:szCs w:val="21"/>
                    </w:rPr>
                  </w:pPr>
                  <w:r>
                    <w:rPr>
                      <w:szCs w:val="21"/>
                    </w:rPr>
                    <w:t>超标</w:t>
                  </w:r>
                </w:p>
              </w:tc>
              <w:tc>
                <w:tcPr>
                  <w:tcW w:w="583" w:type="pct"/>
                  <w:vAlign w:val="center"/>
                </w:tcPr>
                <w:p>
                  <w:pPr>
                    <w:jc w:val="center"/>
                    <w:rPr>
                      <w:szCs w:val="21"/>
                    </w:rPr>
                  </w:pPr>
                  <w:r>
                    <w:rPr>
                      <w:szCs w:val="21"/>
                    </w:rPr>
                    <w:t>—</w:t>
                  </w:r>
                </w:p>
              </w:tc>
              <w:tc>
                <w:tcPr>
                  <w:tcW w:w="986" w:type="pct"/>
                  <w:tcBorders>
                    <w:right w:val="nil"/>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szCs w:val="21"/>
                    </w:rPr>
                  </w:pPr>
                  <w:r>
                    <w:rPr>
                      <w:szCs w:val="21"/>
                    </w:rPr>
                    <w:t>超标百分数</w:t>
                  </w:r>
                </w:p>
              </w:tc>
              <w:tc>
                <w:tcPr>
                  <w:tcW w:w="687" w:type="pct"/>
                  <w:vAlign w:val="center"/>
                </w:tcPr>
                <w:p>
                  <w:pPr>
                    <w:jc w:val="center"/>
                    <w:rPr>
                      <w:szCs w:val="21"/>
                    </w:rPr>
                  </w:pPr>
                  <w:r>
                    <w:rPr>
                      <w:szCs w:val="21"/>
                    </w:rPr>
                    <w:t>—</w:t>
                  </w:r>
                </w:p>
              </w:tc>
              <w:tc>
                <w:tcPr>
                  <w:tcW w:w="570" w:type="pct"/>
                  <w:vAlign w:val="center"/>
                </w:tcPr>
                <w:p>
                  <w:pPr>
                    <w:jc w:val="center"/>
                    <w:rPr>
                      <w:szCs w:val="21"/>
                    </w:rPr>
                  </w:pPr>
                  <w:r>
                    <w:rPr>
                      <w:szCs w:val="21"/>
                    </w:rPr>
                    <w:t>—</w:t>
                  </w:r>
                </w:p>
              </w:tc>
              <w:tc>
                <w:tcPr>
                  <w:tcW w:w="730" w:type="pct"/>
                  <w:vAlign w:val="center"/>
                </w:tcPr>
                <w:p>
                  <w:pPr>
                    <w:jc w:val="center"/>
                    <w:rPr>
                      <w:szCs w:val="21"/>
                    </w:rPr>
                  </w:pPr>
                  <w:r>
                    <w:rPr>
                      <w:szCs w:val="21"/>
                    </w:rPr>
                    <w:t>—</w:t>
                  </w:r>
                </w:p>
              </w:tc>
              <w:tc>
                <w:tcPr>
                  <w:tcW w:w="708" w:type="pct"/>
                  <w:vAlign w:val="center"/>
                </w:tcPr>
                <w:p>
                  <w:pPr>
                    <w:jc w:val="center"/>
                    <w:rPr>
                      <w:szCs w:val="21"/>
                    </w:rPr>
                  </w:pPr>
                  <w:r>
                    <w:rPr>
                      <w:rFonts w:hint="eastAsia"/>
                      <w:szCs w:val="21"/>
                    </w:rPr>
                    <w:t>5.71</w:t>
                  </w:r>
                  <w:r>
                    <w:rPr>
                      <w:szCs w:val="21"/>
                    </w:rPr>
                    <w:t>%</w:t>
                  </w:r>
                </w:p>
              </w:tc>
              <w:tc>
                <w:tcPr>
                  <w:tcW w:w="583" w:type="pct"/>
                  <w:vAlign w:val="center"/>
                </w:tcPr>
                <w:p>
                  <w:pPr>
                    <w:jc w:val="center"/>
                    <w:rPr>
                      <w:szCs w:val="21"/>
                    </w:rPr>
                  </w:pPr>
                  <w:r>
                    <w:rPr>
                      <w:szCs w:val="21"/>
                    </w:rPr>
                    <w:t>—</w:t>
                  </w:r>
                </w:p>
              </w:tc>
              <w:tc>
                <w:tcPr>
                  <w:tcW w:w="986" w:type="pct"/>
                  <w:tcBorders>
                    <w:right w:val="nil"/>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szCs w:val="21"/>
                    </w:rPr>
                  </w:pPr>
                  <w:r>
                    <w:rPr>
                      <w:szCs w:val="21"/>
                    </w:rPr>
                    <w:t>日均值标准</w:t>
                  </w:r>
                </w:p>
              </w:tc>
              <w:tc>
                <w:tcPr>
                  <w:tcW w:w="687" w:type="pct"/>
                  <w:vAlign w:val="center"/>
                </w:tcPr>
                <w:p>
                  <w:pPr>
                    <w:jc w:val="center"/>
                    <w:rPr>
                      <w:szCs w:val="21"/>
                    </w:rPr>
                  </w:pPr>
                  <w:r>
                    <w:rPr>
                      <w:szCs w:val="21"/>
                    </w:rPr>
                    <w:t>150</w:t>
                  </w:r>
                </w:p>
              </w:tc>
              <w:tc>
                <w:tcPr>
                  <w:tcW w:w="570" w:type="pct"/>
                  <w:vAlign w:val="center"/>
                </w:tcPr>
                <w:p>
                  <w:pPr>
                    <w:jc w:val="center"/>
                    <w:rPr>
                      <w:szCs w:val="21"/>
                    </w:rPr>
                  </w:pPr>
                  <w:r>
                    <w:rPr>
                      <w:szCs w:val="21"/>
                    </w:rPr>
                    <w:t>80</w:t>
                  </w:r>
                </w:p>
              </w:tc>
              <w:tc>
                <w:tcPr>
                  <w:tcW w:w="730" w:type="pct"/>
                  <w:vAlign w:val="center"/>
                </w:tcPr>
                <w:p>
                  <w:pPr>
                    <w:jc w:val="center"/>
                    <w:rPr>
                      <w:szCs w:val="21"/>
                    </w:rPr>
                  </w:pPr>
                  <w:r>
                    <w:rPr>
                      <w:szCs w:val="21"/>
                    </w:rPr>
                    <w:t>150</w:t>
                  </w:r>
                </w:p>
              </w:tc>
              <w:tc>
                <w:tcPr>
                  <w:tcW w:w="708" w:type="pct"/>
                  <w:vAlign w:val="center"/>
                </w:tcPr>
                <w:p>
                  <w:pPr>
                    <w:jc w:val="center"/>
                    <w:rPr>
                      <w:szCs w:val="21"/>
                    </w:rPr>
                  </w:pPr>
                  <w:r>
                    <w:rPr>
                      <w:szCs w:val="21"/>
                    </w:rPr>
                    <w:t>75</w:t>
                  </w:r>
                </w:p>
              </w:tc>
              <w:tc>
                <w:tcPr>
                  <w:tcW w:w="583" w:type="pct"/>
                  <w:vAlign w:val="center"/>
                </w:tcPr>
                <w:p>
                  <w:pPr>
                    <w:jc w:val="center"/>
                    <w:rPr>
                      <w:szCs w:val="21"/>
                    </w:rPr>
                  </w:pPr>
                  <w:r>
                    <w:rPr>
                      <w:szCs w:val="21"/>
                    </w:rPr>
                    <w:t>4</w:t>
                  </w:r>
                </w:p>
              </w:tc>
              <w:tc>
                <w:tcPr>
                  <w:tcW w:w="986" w:type="pct"/>
                  <w:tcBorders>
                    <w:right w:val="nil"/>
                  </w:tcBorders>
                  <w:vAlign w:val="center"/>
                </w:tcPr>
                <w:p>
                  <w:pPr>
                    <w:jc w:val="center"/>
                    <w:rPr>
                      <w:szCs w:val="21"/>
                    </w:rPr>
                  </w:pPr>
                  <w:r>
                    <w:rPr>
                      <w:szCs w:val="21"/>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szCs w:val="21"/>
                    </w:rPr>
                  </w:pPr>
                  <w:r>
                    <w:rPr>
                      <w:szCs w:val="21"/>
                    </w:rPr>
                    <w:t>达标情况</w:t>
                  </w:r>
                </w:p>
              </w:tc>
              <w:tc>
                <w:tcPr>
                  <w:tcW w:w="687" w:type="pct"/>
                  <w:vAlign w:val="center"/>
                </w:tcPr>
                <w:p>
                  <w:pPr>
                    <w:jc w:val="center"/>
                    <w:rPr>
                      <w:szCs w:val="21"/>
                    </w:rPr>
                  </w:pPr>
                  <w:r>
                    <w:rPr>
                      <w:szCs w:val="21"/>
                    </w:rPr>
                    <w:t>—</w:t>
                  </w:r>
                </w:p>
              </w:tc>
              <w:tc>
                <w:tcPr>
                  <w:tcW w:w="570" w:type="pct"/>
                  <w:vAlign w:val="center"/>
                </w:tcPr>
                <w:p>
                  <w:pPr>
                    <w:jc w:val="center"/>
                    <w:rPr>
                      <w:szCs w:val="21"/>
                    </w:rPr>
                  </w:pPr>
                  <w:r>
                    <w:rPr>
                      <w:szCs w:val="21"/>
                    </w:rPr>
                    <w:t>—</w:t>
                  </w:r>
                </w:p>
              </w:tc>
              <w:tc>
                <w:tcPr>
                  <w:tcW w:w="730" w:type="pct"/>
                  <w:vAlign w:val="center"/>
                </w:tcPr>
                <w:p>
                  <w:pPr>
                    <w:jc w:val="center"/>
                    <w:rPr>
                      <w:szCs w:val="21"/>
                    </w:rPr>
                  </w:pPr>
                  <w:r>
                    <w:rPr>
                      <w:szCs w:val="21"/>
                    </w:rPr>
                    <w:t>—</w:t>
                  </w:r>
                </w:p>
              </w:tc>
              <w:tc>
                <w:tcPr>
                  <w:tcW w:w="708" w:type="pct"/>
                  <w:vAlign w:val="center"/>
                </w:tcPr>
                <w:p>
                  <w:pPr>
                    <w:jc w:val="center"/>
                    <w:rPr>
                      <w:szCs w:val="21"/>
                    </w:rPr>
                  </w:pPr>
                  <w:r>
                    <w:rPr>
                      <w:szCs w:val="21"/>
                    </w:rPr>
                    <w:t>—</w:t>
                  </w:r>
                </w:p>
              </w:tc>
              <w:tc>
                <w:tcPr>
                  <w:tcW w:w="583" w:type="pct"/>
                  <w:vAlign w:val="center"/>
                </w:tcPr>
                <w:p>
                  <w:pPr>
                    <w:jc w:val="center"/>
                    <w:rPr>
                      <w:szCs w:val="21"/>
                    </w:rPr>
                  </w:pPr>
                  <w:r>
                    <w:rPr>
                      <w:szCs w:val="21"/>
                    </w:rPr>
                    <w:t>达标</w:t>
                  </w:r>
                </w:p>
              </w:tc>
              <w:tc>
                <w:tcPr>
                  <w:tcW w:w="986" w:type="pct"/>
                  <w:tcBorders>
                    <w:right w:val="nil"/>
                  </w:tcBorders>
                  <w:vAlign w:val="center"/>
                </w:tcPr>
                <w:p>
                  <w:pPr>
                    <w:jc w:val="center"/>
                    <w:rPr>
                      <w:szCs w:val="21"/>
                    </w:rPr>
                  </w:pPr>
                  <w:r>
                    <w:rPr>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szCs w:val="21"/>
                    </w:rPr>
                  </w:pPr>
                  <w:r>
                    <w:rPr>
                      <w:szCs w:val="21"/>
                    </w:rPr>
                    <w:t>超标百分数</w:t>
                  </w:r>
                </w:p>
              </w:tc>
              <w:tc>
                <w:tcPr>
                  <w:tcW w:w="687" w:type="pct"/>
                  <w:vAlign w:val="center"/>
                </w:tcPr>
                <w:p>
                  <w:pPr>
                    <w:jc w:val="center"/>
                    <w:rPr>
                      <w:szCs w:val="21"/>
                    </w:rPr>
                  </w:pPr>
                  <w:r>
                    <w:rPr>
                      <w:szCs w:val="21"/>
                    </w:rPr>
                    <w:t>—</w:t>
                  </w:r>
                </w:p>
              </w:tc>
              <w:tc>
                <w:tcPr>
                  <w:tcW w:w="570" w:type="pct"/>
                  <w:vAlign w:val="center"/>
                </w:tcPr>
                <w:p>
                  <w:pPr>
                    <w:jc w:val="center"/>
                    <w:rPr>
                      <w:szCs w:val="21"/>
                    </w:rPr>
                  </w:pPr>
                  <w:r>
                    <w:rPr>
                      <w:szCs w:val="21"/>
                    </w:rPr>
                    <w:t>—</w:t>
                  </w:r>
                </w:p>
              </w:tc>
              <w:tc>
                <w:tcPr>
                  <w:tcW w:w="730" w:type="pct"/>
                  <w:vAlign w:val="center"/>
                </w:tcPr>
                <w:p>
                  <w:pPr>
                    <w:jc w:val="center"/>
                    <w:rPr>
                      <w:szCs w:val="21"/>
                    </w:rPr>
                  </w:pPr>
                  <w:r>
                    <w:rPr>
                      <w:szCs w:val="21"/>
                    </w:rPr>
                    <w:t>—</w:t>
                  </w:r>
                </w:p>
              </w:tc>
              <w:tc>
                <w:tcPr>
                  <w:tcW w:w="708" w:type="pct"/>
                  <w:vAlign w:val="center"/>
                </w:tcPr>
                <w:p>
                  <w:pPr>
                    <w:jc w:val="center"/>
                    <w:rPr>
                      <w:szCs w:val="21"/>
                    </w:rPr>
                  </w:pPr>
                  <w:r>
                    <w:rPr>
                      <w:szCs w:val="21"/>
                    </w:rPr>
                    <w:t>—</w:t>
                  </w:r>
                </w:p>
              </w:tc>
              <w:tc>
                <w:tcPr>
                  <w:tcW w:w="583" w:type="pct"/>
                  <w:vAlign w:val="center"/>
                </w:tcPr>
                <w:p>
                  <w:pPr>
                    <w:jc w:val="center"/>
                    <w:rPr>
                      <w:szCs w:val="21"/>
                    </w:rPr>
                  </w:pPr>
                  <w:r>
                    <w:rPr>
                      <w:szCs w:val="21"/>
                    </w:rPr>
                    <w:t>—</w:t>
                  </w:r>
                </w:p>
              </w:tc>
              <w:tc>
                <w:tcPr>
                  <w:tcW w:w="986" w:type="pct"/>
                  <w:tcBorders>
                    <w:right w:val="nil"/>
                  </w:tcBorders>
                  <w:vAlign w:val="center"/>
                </w:tcPr>
                <w:p>
                  <w:pPr>
                    <w:jc w:val="center"/>
                    <w:rPr>
                      <w:szCs w:val="21"/>
                    </w:rPr>
                  </w:pPr>
                  <w:r>
                    <w:rPr>
                      <w:rFonts w:hint="eastAsia"/>
                      <w:szCs w:val="21"/>
                    </w:rPr>
                    <w:t>13.75</w:t>
                  </w:r>
                  <w:r>
                    <w:rPr>
                      <w:szCs w:val="21"/>
                    </w:rPr>
                    <w:t>%</w:t>
                  </w:r>
                </w:p>
              </w:tc>
            </w:tr>
          </w:tbl>
          <w:p>
            <w:pPr>
              <w:adjustRightInd w:val="0"/>
              <w:snapToGrid w:val="0"/>
              <w:spacing w:line="500" w:lineRule="exact"/>
              <w:ind w:firstLine="480" w:firstLineChars="200"/>
              <w:rPr>
                <w:sz w:val="24"/>
              </w:rPr>
            </w:pPr>
            <w:r>
              <w:rPr>
                <w:sz w:val="24"/>
              </w:rPr>
              <w:t>由上表可知，项目所在区域一氧化碳年均浓度值、二氧化氮、二氧化硫、PM</w:t>
            </w:r>
            <w:r>
              <w:rPr>
                <w:sz w:val="24"/>
                <w:vertAlign w:val="subscript"/>
              </w:rPr>
              <w:t>10</w:t>
            </w:r>
            <w:r>
              <w:rPr>
                <w:sz w:val="24"/>
              </w:rPr>
              <w:t>年均浓度值满足空气质量标准要求；臭氧日最大8小时年均浓度值、PM</w:t>
            </w:r>
            <w:r>
              <w:rPr>
                <w:sz w:val="24"/>
                <w:vertAlign w:val="subscript"/>
              </w:rPr>
              <w:t>2.5</w:t>
            </w:r>
            <w:r>
              <w:rPr>
                <w:sz w:val="24"/>
              </w:rPr>
              <w:t>超过环境质量标准要求，即项目所在区域为不达标区。</w:t>
            </w:r>
          </w:p>
          <w:p>
            <w:pPr>
              <w:pStyle w:val="77"/>
              <w:tabs>
                <w:tab w:val="left" w:pos="4200"/>
              </w:tabs>
              <w:spacing w:line="500" w:lineRule="exact"/>
              <w:ind w:firstLine="504" w:firstLineChars="200"/>
              <w:rPr>
                <w:spacing w:val="6"/>
                <w:sz w:val="24"/>
              </w:rPr>
            </w:pPr>
            <w:r>
              <w:rPr>
                <w:rFonts w:hint="eastAsia"/>
                <w:spacing w:val="6"/>
                <w:sz w:val="24"/>
              </w:rPr>
              <w:t>（2）</w:t>
            </w:r>
            <w:r>
              <w:rPr>
                <w:spacing w:val="6"/>
                <w:sz w:val="24"/>
              </w:rPr>
              <w:t>项目所在区域污染物环境质量现状</w:t>
            </w:r>
          </w:p>
          <w:p>
            <w:pPr>
              <w:adjustRightInd w:val="0"/>
              <w:snapToGrid w:val="0"/>
              <w:spacing w:line="480" w:lineRule="exact"/>
              <w:ind w:firstLine="480" w:firstLineChars="200"/>
              <w:rPr>
                <w:sz w:val="24"/>
              </w:rPr>
            </w:pPr>
            <w:r>
              <w:rPr>
                <w:sz w:val="24"/>
              </w:rPr>
              <w:t>本项目基本</w:t>
            </w:r>
            <w:r>
              <w:rPr>
                <w:rFonts w:hint="eastAsia"/>
                <w:sz w:val="24"/>
              </w:rPr>
              <w:t>污</w:t>
            </w:r>
            <w:r>
              <w:rPr>
                <w:sz w:val="24"/>
              </w:rPr>
              <w:t>染物环境质量现状数据使用唐山市生态环境局网站公布的《202</w:t>
            </w:r>
            <w:r>
              <w:rPr>
                <w:rFonts w:hint="eastAsia"/>
                <w:sz w:val="24"/>
              </w:rPr>
              <w:t>2</w:t>
            </w:r>
            <w:r>
              <w:rPr>
                <w:sz w:val="24"/>
              </w:rPr>
              <w:t>年唐山市环境状况公报》中</w:t>
            </w:r>
            <w:r>
              <w:rPr>
                <w:rFonts w:hint="eastAsia"/>
                <w:sz w:val="24"/>
              </w:rPr>
              <w:t>遵化市</w:t>
            </w:r>
            <w:r>
              <w:rPr>
                <w:sz w:val="24"/>
              </w:rPr>
              <w:t>202</w:t>
            </w:r>
            <w:r>
              <w:rPr>
                <w:rFonts w:hint="eastAsia"/>
                <w:sz w:val="24"/>
              </w:rPr>
              <w:t>2</w:t>
            </w:r>
            <w:r>
              <w:rPr>
                <w:sz w:val="24"/>
              </w:rPr>
              <w:t>年常规污染物年均浓度以及在相应保证率下各个污染物的日均浓度的达标情况，结果见下表。</w:t>
            </w:r>
          </w:p>
          <w:p>
            <w:pPr>
              <w:pStyle w:val="43"/>
              <w:spacing w:line="480" w:lineRule="exact"/>
              <w:jc w:val="center"/>
              <w:rPr>
                <w:rFonts w:ascii="Times New Roman"/>
                <w:b/>
                <w:bCs/>
                <w:sz w:val="24"/>
                <w:szCs w:val="24"/>
              </w:rPr>
            </w:pPr>
          </w:p>
          <w:p>
            <w:pPr>
              <w:pStyle w:val="43"/>
              <w:spacing w:line="480" w:lineRule="exact"/>
              <w:jc w:val="center"/>
              <w:rPr>
                <w:rFonts w:ascii="Times New Roman"/>
                <w:b/>
                <w:bCs/>
                <w:sz w:val="24"/>
                <w:szCs w:val="24"/>
              </w:rPr>
            </w:pPr>
          </w:p>
          <w:p>
            <w:pPr>
              <w:pStyle w:val="43"/>
              <w:spacing w:line="480" w:lineRule="exact"/>
              <w:jc w:val="center"/>
              <w:rPr>
                <w:rFonts w:ascii="Times New Roman"/>
                <w:b/>
                <w:bCs/>
                <w:sz w:val="24"/>
                <w:szCs w:val="24"/>
              </w:rPr>
            </w:pPr>
            <w:r>
              <w:rPr>
                <w:rFonts w:ascii="Times New Roman"/>
                <w:b/>
                <w:bCs/>
                <w:sz w:val="24"/>
                <w:szCs w:val="24"/>
              </w:rPr>
              <w:t>表</w:t>
            </w:r>
            <w:r>
              <w:rPr>
                <w:rFonts w:hint="eastAsia" w:ascii="Times New Roman"/>
                <w:b/>
                <w:bCs/>
                <w:sz w:val="24"/>
                <w:szCs w:val="24"/>
                <w:lang w:val="en-US" w:eastAsia="zh-CN"/>
              </w:rPr>
              <w:t>20</w:t>
            </w:r>
            <w:r>
              <w:rPr>
                <w:rFonts w:hint="eastAsia" w:ascii="Times New Roman"/>
                <w:b/>
                <w:bCs/>
                <w:sz w:val="24"/>
                <w:szCs w:val="24"/>
              </w:rPr>
              <w:t xml:space="preserve">   </w:t>
            </w:r>
            <w:r>
              <w:rPr>
                <w:rFonts w:ascii="Times New Roman"/>
                <w:b/>
                <w:bCs/>
                <w:sz w:val="24"/>
                <w:szCs w:val="24"/>
              </w:rPr>
              <w:t xml:space="preserve">  </w:t>
            </w:r>
            <w:r>
              <w:rPr>
                <w:rFonts w:hint="eastAsia" w:ascii="Times New Roman"/>
                <w:b/>
                <w:bCs/>
                <w:sz w:val="24"/>
                <w:szCs w:val="24"/>
              </w:rPr>
              <w:t>遵化市</w:t>
            </w:r>
            <w:r>
              <w:rPr>
                <w:rFonts w:ascii="Times New Roman"/>
                <w:b/>
                <w:bCs/>
                <w:sz w:val="24"/>
                <w:szCs w:val="24"/>
              </w:rPr>
              <w:t>202</w:t>
            </w:r>
            <w:r>
              <w:rPr>
                <w:rFonts w:hint="eastAsia" w:ascii="Times New Roman"/>
                <w:b/>
                <w:bCs/>
                <w:sz w:val="24"/>
                <w:szCs w:val="24"/>
              </w:rPr>
              <w:t>2</w:t>
            </w:r>
            <w:r>
              <w:rPr>
                <w:rFonts w:ascii="Times New Roman"/>
                <w:b/>
                <w:bCs/>
                <w:sz w:val="24"/>
                <w:szCs w:val="24"/>
              </w:rPr>
              <w:t>年常规污染物年均值统计</w:t>
            </w:r>
          </w:p>
          <w:tbl>
            <w:tblPr>
              <w:tblStyle w:val="33"/>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pStyle w:val="43"/>
                    <w:jc w:val="center"/>
                    <w:rPr>
                      <w:rFonts w:ascii="Times New Roman"/>
                      <w:szCs w:val="21"/>
                    </w:rPr>
                  </w:pPr>
                  <w:r>
                    <w:rPr>
                      <w:rFonts w:ascii="Times New Roman"/>
                      <w:szCs w:val="21"/>
                    </w:rPr>
                    <w:t>污染物</w:t>
                  </w:r>
                </w:p>
              </w:tc>
              <w:tc>
                <w:tcPr>
                  <w:tcW w:w="3357" w:type="dxa"/>
                  <w:vAlign w:val="center"/>
                </w:tcPr>
                <w:p>
                  <w:pPr>
                    <w:pStyle w:val="43"/>
                    <w:jc w:val="center"/>
                    <w:rPr>
                      <w:rFonts w:ascii="Times New Roman"/>
                      <w:szCs w:val="21"/>
                    </w:rPr>
                  </w:pPr>
                  <w:r>
                    <w:rPr>
                      <w:rFonts w:ascii="Times New Roman"/>
                      <w:szCs w:val="21"/>
                    </w:rPr>
                    <w:t>年评价指标</w:t>
                  </w:r>
                </w:p>
              </w:tc>
              <w:tc>
                <w:tcPr>
                  <w:tcW w:w="1102" w:type="dxa"/>
                  <w:vAlign w:val="center"/>
                </w:tcPr>
                <w:p>
                  <w:pPr>
                    <w:pStyle w:val="43"/>
                    <w:jc w:val="center"/>
                    <w:rPr>
                      <w:rFonts w:ascii="Times New Roman"/>
                      <w:szCs w:val="21"/>
                    </w:rPr>
                  </w:pPr>
                  <w:r>
                    <w:rPr>
                      <w:rFonts w:ascii="Times New Roman"/>
                      <w:szCs w:val="21"/>
                    </w:rPr>
                    <w:t>现状浓度</w:t>
                  </w:r>
                </w:p>
                <w:p>
                  <w:pPr>
                    <w:pStyle w:val="43"/>
                    <w:jc w:val="center"/>
                    <w:rPr>
                      <w:rFonts w:ascii="Times New Roman"/>
                      <w:szCs w:val="21"/>
                    </w:rPr>
                  </w:pPr>
                  <w:r>
                    <w:rPr>
                      <w:rFonts w:ascii="Times New Roman"/>
                      <w:szCs w:val="21"/>
                    </w:rPr>
                    <w:t>（μg/m</w:t>
                  </w:r>
                  <w:r>
                    <w:rPr>
                      <w:rFonts w:ascii="Times New Roman"/>
                      <w:szCs w:val="21"/>
                      <w:vertAlign w:val="superscript"/>
                    </w:rPr>
                    <w:t>3</w:t>
                  </w:r>
                  <w:r>
                    <w:rPr>
                      <w:rFonts w:ascii="Times New Roman"/>
                      <w:szCs w:val="21"/>
                    </w:rPr>
                    <w:t>）</w:t>
                  </w:r>
                </w:p>
              </w:tc>
              <w:tc>
                <w:tcPr>
                  <w:tcW w:w="1275" w:type="dxa"/>
                  <w:vAlign w:val="center"/>
                </w:tcPr>
                <w:p>
                  <w:pPr>
                    <w:pStyle w:val="43"/>
                    <w:jc w:val="center"/>
                    <w:rPr>
                      <w:rFonts w:ascii="Times New Roman"/>
                      <w:szCs w:val="21"/>
                    </w:rPr>
                  </w:pPr>
                  <w:r>
                    <w:rPr>
                      <w:rFonts w:ascii="Times New Roman"/>
                      <w:szCs w:val="21"/>
                    </w:rPr>
                    <w:t>标准值</w:t>
                  </w:r>
                </w:p>
                <w:p>
                  <w:pPr>
                    <w:pStyle w:val="43"/>
                    <w:jc w:val="center"/>
                    <w:rPr>
                      <w:rFonts w:ascii="Times New Roman"/>
                      <w:szCs w:val="21"/>
                    </w:rPr>
                  </w:pPr>
                  <w:r>
                    <w:rPr>
                      <w:rFonts w:ascii="Times New Roman"/>
                      <w:szCs w:val="21"/>
                    </w:rPr>
                    <w:t>（μg/m</w:t>
                  </w:r>
                  <w:r>
                    <w:rPr>
                      <w:rFonts w:ascii="Times New Roman"/>
                      <w:szCs w:val="21"/>
                      <w:vertAlign w:val="superscript"/>
                    </w:rPr>
                    <w:t>3</w:t>
                  </w:r>
                  <w:r>
                    <w:rPr>
                      <w:rFonts w:ascii="Times New Roman"/>
                      <w:szCs w:val="21"/>
                    </w:rPr>
                    <w:t>）</w:t>
                  </w:r>
                </w:p>
              </w:tc>
              <w:tc>
                <w:tcPr>
                  <w:tcW w:w="1200" w:type="dxa"/>
                  <w:tcBorders>
                    <w:right w:val="nil"/>
                  </w:tcBorders>
                  <w:vAlign w:val="center"/>
                </w:tcPr>
                <w:p>
                  <w:pPr>
                    <w:pStyle w:val="43"/>
                    <w:jc w:val="center"/>
                    <w:rPr>
                      <w:rFonts w:ascii="Times New Roman"/>
                      <w:szCs w:val="21"/>
                    </w:rPr>
                  </w:pPr>
                  <w:r>
                    <w:rPr>
                      <w:rFonts w:ascii="Times New Roman"/>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szCs w:val="21"/>
                      <w:vertAlign w:val="subscript"/>
                    </w:rPr>
                  </w:pPr>
                  <w:r>
                    <w:rPr>
                      <w:szCs w:val="21"/>
                    </w:rPr>
                    <w:t>SO</w:t>
                  </w:r>
                  <w:r>
                    <w:rPr>
                      <w:szCs w:val="21"/>
                      <w:vertAlign w:val="subscript"/>
                    </w:rPr>
                    <w:t>2</w:t>
                  </w:r>
                </w:p>
              </w:tc>
              <w:tc>
                <w:tcPr>
                  <w:tcW w:w="3357" w:type="dxa"/>
                  <w:vAlign w:val="center"/>
                </w:tcPr>
                <w:p>
                  <w:pPr>
                    <w:pStyle w:val="43"/>
                    <w:jc w:val="center"/>
                    <w:rPr>
                      <w:rFonts w:ascii="Times New Roman"/>
                      <w:szCs w:val="21"/>
                    </w:rPr>
                  </w:pPr>
                  <w:r>
                    <w:rPr>
                      <w:rFonts w:ascii="Times New Roman"/>
                      <w:szCs w:val="21"/>
                    </w:rPr>
                    <w:t>年平均质量浓度值</w:t>
                  </w:r>
                </w:p>
              </w:tc>
              <w:tc>
                <w:tcPr>
                  <w:tcW w:w="1102" w:type="dxa"/>
                  <w:vAlign w:val="center"/>
                </w:tcPr>
                <w:p>
                  <w:pPr>
                    <w:jc w:val="center"/>
                    <w:rPr>
                      <w:szCs w:val="21"/>
                    </w:rPr>
                  </w:pPr>
                  <w:r>
                    <w:rPr>
                      <w:rFonts w:hint="eastAsia"/>
                      <w:szCs w:val="21"/>
                    </w:rPr>
                    <w:t>10</w:t>
                  </w:r>
                </w:p>
              </w:tc>
              <w:tc>
                <w:tcPr>
                  <w:tcW w:w="1275" w:type="dxa"/>
                  <w:vAlign w:val="center"/>
                </w:tcPr>
                <w:p>
                  <w:pPr>
                    <w:pStyle w:val="43"/>
                    <w:jc w:val="center"/>
                    <w:rPr>
                      <w:rFonts w:ascii="Times New Roman"/>
                      <w:szCs w:val="21"/>
                    </w:rPr>
                  </w:pPr>
                  <w:r>
                    <w:rPr>
                      <w:rFonts w:ascii="Times New Roman"/>
                      <w:szCs w:val="21"/>
                    </w:rPr>
                    <w:t>60</w:t>
                  </w:r>
                </w:p>
              </w:tc>
              <w:tc>
                <w:tcPr>
                  <w:tcW w:w="1200" w:type="dxa"/>
                  <w:tcBorders>
                    <w:right w:val="nil"/>
                  </w:tcBorders>
                  <w:vAlign w:val="center"/>
                </w:tcPr>
                <w:p>
                  <w:pPr>
                    <w:pStyle w:val="43"/>
                    <w:jc w:val="center"/>
                    <w:rPr>
                      <w:rFonts w:ascii="Times New Roman"/>
                      <w:szCs w:val="21"/>
                    </w:rPr>
                  </w:pPr>
                  <w:r>
                    <w:rPr>
                      <w:rFonts w:ascii="Times New Roman"/>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szCs w:val="21"/>
                      <w:vertAlign w:val="subscript"/>
                    </w:rPr>
                  </w:pPr>
                  <w:r>
                    <w:rPr>
                      <w:szCs w:val="21"/>
                    </w:rPr>
                    <w:t>NO</w:t>
                  </w:r>
                  <w:r>
                    <w:rPr>
                      <w:szCs w:val="21"/>
                      <w:vertAlign w:val="subscript"/>
                    </w:rPr>
                    <w:t>2</w:t>
                  </w:r>
                </w:p>
              </w:tc>
              <w:tc>
                <w:tcPr>
                  <w:tcW w:w="3357" w:type="dxa"/>
                  <w:vAlign w:val="center"/>
                </w:tcPr>
                <w:p>
                  <w:pPr>
                    <w:pStyle w:val="43"/>
                    <w:jc w:val="center"/>
                    <w:rPr>
                      <w:rFonts w:ascii="Times New Roman"/>
                      <w:szCs w:val="21"/>
                    </w:rPr>
                  </w:pPr>
                  <w:r>
                    <w:rPr>
                      <w:rFonts w:ascii="Times New Roman"/>
                      <w:szCs w:val="21"/>
                    </w:rPr>
                    <w:t>年平均质量浓度值</w:t>
                  </w:r>
                </w:p>
              </w:tc>
              <w:tc>
                <w:tcPr>
                  <w:tcW w:w="1102" w:type="dxa"/>
                  <w:vAlign w:val="center"/>
                </w:tcPr>
                <w:p>
                  <w:pPr>
                    <w:pStyle w:val="31"/>
                    <w:spacing w:after="0"/>
                    <w:ind w:left="0" w:leftChars="0" w:firstLine="0" w:firstLineChars="0"/>
                    <w:jc w:val="center"/>
                    <w:rPr>
                      <w:kern w:val="0"/>
                      <w:szCs w:val="21"/>
                    </w:rPr>
                  </w:pPr>
                  <w:r>
                    <w:rPr>
                      <w:rFonts w:hint="eastAsia"/>
                      <w:kern w:val="0"/>
                      <w:szCs w:val="21"/>
                    </w:rPr>
                    <w:t>32</w:t>
                  </w:r>
                </w:p>
              </w:tc>
              <w:tc>
                <w:tcPr>
                  <w:tcW w:w="1275" w:type="dxa"/>
                  <w:vAlign w:val="center"/>
                </w:tcPr>
                <w:p>
                  <w:pPr>
                    <w:pStyle w:val="43"/>
                    <w:jc w:val="center"/>
                    <w:rPr>
                      <w:rFonts w:ascii="Times New Roman"/>
                      <w:szCs w:val="21"/>
                    </w:rPr>
                  </w:pPr>
                  <w:r>
                    <w:rPr>
                      <w:rFonts w:ascii="Times New Roman"/>
                      <w:szCs w:val="21"/>
                    </w:rPr>
                    <w:t>40</w:t>
                  </w:r>
                </w:p>
              </w:tc>
              <w:tc>
                <w:tcPr>
                  <w:tcW w:w="1200" w:type="dxa"/>
                  <w:tcBorders>
                    <w:right w:val="nil"/>
                  </w:tcBorders>
                  <w:vAlign w:val="center"/>
                </w:tcPr>
                <w:p>
                  <w:pPr>
                    <w:pStyle w:val="43"/>
                    <w:jc w:val="center"/>
                    <w:rPr>
                      <w:rFonts w:ascii="Times New Roman"/>
                      <w:szCs w:val="21"/>
                    </w:rPr>
                  </w:pPr>
                  <w:r>
                    <w:rPr>
                      <w:rFonts w:ascii="Times New Roman"/>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szCs w:val="21"/>
                    </w:rPr>
                  </w:pPr>
                  <w:r>
                    <w:rPr>
                      <w:szCs w:val="21"/>
                    </w:rPr>
                    <w:t>CO</w:t>
                  </w:r>
                </w:p>
              </w:tc>
              <w:tc>
                <w:tcPr>
                  <w:tcW w:w="3357" w:type="dxa"/>
                  <w:vAlign w:val="center"/>
                </w:tcPr>
                <w:p>
                  <w:pPr>
                    <w:pStyle w:val="43"/>
                    <w:jc w:val="center"/>
                    <w:rPr>
                      <w:rFonts w:ascii="Times New Roman"/>
                      <w:szCs w:val="21"/>
                    </w:rPr>
                  </w:pPr>
                  <w:r>
                    <w:rPr>
                      <w:rFonts w:ascii="Times New Roman"/>
                      <w:szCs w:val="21"/>
                    </w:rPr>
                    <w:t>第95百分位浓度日平均浓度值</w:t>
                  </w:r>
                </w:p>
              </w:tc>
              <w:tc>
                <w:tcPr>
                  <w:tcW w:w="1102" w:type="dxa"/>
                  <w:vAlign w:val="center"/>
                </w:tcPr>
                <w:p>
                  <w:pPr>
                    <w:pStyle w:val="31"/>
                    <w:spacing w:after="0"/>
                    <w:ind w:left="0" w:leftChars="0" w:firstLine="0" w:firstLineChars="0"/>
                    <w:jc w:val="center"/>
                    <w:rPr>
                      <w:kern w:val="0"/>
                      <w:szCs w:val="21"/>
                    </w:rPr>
                  </w:pPr>
                  <w:r>
                    <w:rPr>
                      <w:rFonts w:hint="eastAsia"/>
                      <w:kern w:val="0"/>
                      <w:szCs w:val="21"/>
                    </w:rPr>
                    <w:t>1600</w:t>
                  </w:r>
                </w:p>
              </w:tc>
              <w:tc>
                <w:tcPr>
                  <w:tcW w:w="1275" w:type="dxa"/>
                  <w:vAlign w:val="center"/>
                </w:tcPr>
                <w:p>
                  <w:pPr>
                    <w:pStyle w:val="43"/>
                    <w:jc w:val="center"/>
                    <w:rPr>
                      <w:rFonts w:ascii="Times New Roman"/>
                      <w:szCs w:val="21"/>
                    </w:rPr>
                  </w:pPr>
                  <w:r>
                    <w:rPr>
                      <w:rFonts w:ascii="Times New Roman"/>
                      <w:szCs w:val="21"/>
                    </w:rPr>
                    <w:t>4000</w:t>
                  </w:r>
                </w:p>
              </w:tc>
              <w:tc>
                <w:tcPr>
                  <w:tcW w:w="1200" w:type="dxa"/>
                  <w:tcBorders>
                    <w:right w:val="nil"/>
                  </w:tcBorders>
                  <w:vAlign w:val="center"/>
                </w:tcPr>
                <w:p>
                  <w:pPr>
                    <w:pStyle w:val="43"/>
                    <w:jc w:val="center"/>
                    <w:rPr>
                      <w:rFonts w:ascii="Times New Roman"/>
                      <w:szCs w:val="21"/>
                    </w:rPr>
                  </w:pPr>
                  <w:r>
                    <w:rPr>
                      <w:rFonts w:ascii="Times New Roman"/>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szCs w:val="21"/>
                      <w:vertAlign w:val="subscript"/>
                    </w:rPr>
                  </w:pPr>
                  <w:r>
                    <w:rPr>
                      <w:szCs w:val="21"/>
                    </w:rPr>
                    <w:t>O</w:t>
                  </w:r>
                  <w:r>
                    <w:rPr>
                      <w:szCs w:val="21"/>
                      <w:vertAlign w:val="subscript"/>
                    </w:rPr>
                    <w:t>3</w:t>
                  </w:r>
                </w:p>
              </w:tc>
              <w:tc>
                <w:tcPr>
                  <w:tcW w:w="3357" w:type="dxa"/>
                  <w:vAlign w:val="center"/>
                </w:tcPr>
                <w:p>
                  <w:pPr>
                    <w:pStyle w:val="43"/>
                    <w:jc w:val="center"/>
                    <w:rPr>
                      <w:rFonts w:ascii="Times New Roman"/>
                      <w:szCs w:val="21"/>
                    </w:rPr>
                  </w:pPr>
                  <w:r>
                    <w:rPr>
                      <w:rFonts w:ascii="Times New Roman"/>
                      <w:szCs w:val="21"/>
                    </w:rPr>
                    <w:t>日最大8小时平均第90百分位浓度</w:t>
                  </w:r>
                </w:p>
              </w:tc>
              <w:tc>
                <w:tcPr>
                  <w:tcW w:w="1102" w:type="dxa"/>
                  <w:vAlign w:val="center"/>
                </w:tcPr>
                <w:p>
                  <w:pPr>
                    <w:pStyle w:val="31"/>
                    <w:spacing w:after="0"/>
                    <w:ind w:left="0" w:leftChars="0" w:firstLine="0" w:firstLineChars="0"/>
                    <w:jc w:val="center"/>
                    <w:rPr>
                      <w:kern w:val="0"/>
                      <w:szCs w:val="21"/>
                    </w:rPr>
                  </w:pPr>
                  <w:r>
                    <w:rPr>
                      <w:rFonts w:hint="eastAsia"/>
                      <w:kern w:val="0"/>
                      <w:szCs w:val="21"/>
                    </w:rPr>
                    <w:t>179</w:t>
                  </w:r>
                </w:p>
              </w:tc>
              <w:tc>
                <w:tcPr>
                  <w:tcW w:w="1275" w:type="dxa"/>
                  <w:vAlign w:val="center"/>
                </w:tcPr>
                <w:p>
                  <w:pPr>
                    <w:pStyle w:val="43"/>
                    <w:jc w:val="center"/>
                    <w:rPr>
                      <w:rFonts w:ascii="Times New Roman"/>
                      <w:szCs w:val="21"/>
                    </w:rPr>
                  </w:pPr>
                  <w:r>
                    <w:rPr>
                      <w:rFonts w:ascii="Times New Roman"/>
                      <w:szCs w:val="21"/>
                    </w:rPr>
                    <w:t>160</w:t>
                  </w:r>
                </w:p>
              </w:tc>
              <w:tc>
                <w:tcPr>
                  <w:tcW w:w="1200" w:type="dxa"/>
                  <w:tcBorders>
                    <w:right w:val="nil"/>
                  </w:tcBorders>
                  <w:vAlign w:val="center"/>
                </w:tcPr>
                <w:p>
                  <w:pPr>
                    <w:pStyle w:val="43"/>
                    <w:jc w:val="center"/>
                    <w:rPr>
                      <w:rFonts w:ascii="Times New Roman"/>
                      <w:szCs w:val="21"/>
                    </w:rPr>
                  </w:pPr>
                  <w:r>
                    <w:rPr>
                      <w:rFonts w:hint="eastAsia" w:ascii="Times New Roman"/>
                      <w:szCs w:val="21"/>
                    </w:rPr>
                    <w:t>不</w:t>
                  </w:r>
                  <w:r>
                    <w:rPr>
                      <w:rFonts w:ascii="Times New Roman"/>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left w:val="nil"/>
                  </w:tcBorders>
                  <w:vAlign w:val="center"/>
                </w:tcPr>
                <w:p>
                  <w:pPr>
                    <w:jc w:val="center"/>
                    <w:rPr>
                      <w:szCs w:val="21"/>
                      <w:vertAlign w:val="subscript"/>
                    </w:rPr>
                  </w:pPr>
                  <w:r>
                    <w:rPr>
                      <w:szCs w:val="21"/>
                    </w:rPr>
                    <w:t>PM</w:t>
                  </w:r>
                  <w:r>
                    <w:rPr>
                      <w:szCs w:val="21"/>
                      <w:vertAlign w:val="subscript"/>
                    </w:rPr>
                    <w:t>10</w:t>
                  </w:r>
                </w:p>
              </w:tc>
              <w:tc>
                <w:tcPr>
                  <w:tcW w:w="3357" w:type="dxa"/>
                  <w:vAlign w:val="center"/>
                </w:tcPr>
                <w:p>
                  <w:pPr>
                    <w:pStyle w:val="43"/>
                    <w:jc w:val="center"/>
                    <w:rPr>
                      <w:rFonts w:ascii="Times New Roman"/>
                      <w:szCs w:val="21"/>
                    </w:rPr>
                  </w:pPr>
                  <w:r>
                    <w:rPr>
                      <w:rFonts w:ascii="Times New Roman"/>
                      <w:szCs w:val="21"/>
                    </w:rPr>
                    <w:t>年平均质量浓度值</w:t>
                  </w:r>
                </w:p>
              </w:tc>
              <w:tc>
                <w:tcPr>
                  <w:tcW w:w="1102" w:type="dxa"/>
                  <w:vAlign w:val="center"/>
                </w:tcPr>
                <w:p>
                  <w:pPr>
                    <w:pStyle w:val="31"/>
                    <w:spacing w:after="0"/>
                    <w:ind w:left="0" w:leftChars="0" w:firstLine="0" w:firstLineChars="0"/>
                    <w:jc w:val="center"/>
                    <w:rPr>
                      <w:kern w:val="0"/>
                      <w:szCs w:val="21"/>
                    </w:rPr>
                  </w:pPr>
                  <w:r>
                    <w:rPr>
                      <w:rFonts w:hint="eastAsia"/>
                      <w:kern w:val="0"/>
                      <w:szCs w:val="21"/>
                    </w:rPr>
                    <w:t>65</w:t>
                  </w:r>
                </w:p>
              </w:tc>
              <w:tc>
                <w:tcPr>
                  <w:tcW w:w="1275" w:type="dxa"/>
                  <w:vAlign w:val="center"/>
                </w:tcPr>
                <w:p>
                  <w:pPr>
                    <w:pStyle w:val="43"/>
                    <w:jc w:val="center"/>
                    <w:rPr>
                      <w:rFonts w:ascii="Times New Roman"/>
                      <w:szCs w:val="21"/>
                    </w:rPr>
                  </w:pPr>
                  <w:r>
                    <w:rPr>
                      <w:rFonts w:ascii="Times New Roman"/>
                      <w:szCs w:val="21"/>
                    </w:rPr>
                    <w:t>70</w:t>
                  </w:r>
                </w:p>
              </w:tc>
              <w:tc>
                <w:tcPr>
                  <w:tcW w:w="1200" w:type="dxa"/>
                  <w:tcBorders>
                    <w:right w:val="nil"/>
                  </w:tcBorders>
                  <w:vAlign w:val="center"/>
                </w:tcPr>
                <w:p>
                  <w:pPr>
                    <w:pStyle w:val="43"/>
                    <w:jc w:val="center"/>
                    <w:rPr>
                      <w:rFonts w:ascii="Times New Roman"/>
                      <w:szCs w:val="21"/>
                    </w:rPr>
                  </w:pPr>
                  <w:r>
                    <w:rPr>
                      <w:rFonts w:ascii="Times New Roman"/>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szCs w:val="21"/>
                      <w:vertAlign w:val="subscript"/>
                    </w:rPr>
                  </w:pPr>
                  <w:r>
                    <w:rPr>
                      <w:szCs w:val="21"/>
                    </w:rPr>
                    <w:t>PM</w:t>
                  </w:r>
                  <w:r>
                    <w:rPr>
                      <w:szCs w:val="21"/>
                      <w:vertAlign w:val="subscript"/>
                    </w:rPr>
                    <w:t>2.5</w:t>
                  </w:r>
                </w:p>
              </w:tc>
              <w:tc>
                <w:tcPr>
                  <w:tcW w:w="3357" w:type="dxa"/>
                  <w:vAlign w:val="center"/>
                </w:tcPr>
                <w:p>
                  <w:pPr>
                    <w:jc w:val="center"/>
                    <w:rPr>
                      <w:szCs w:val="21"/>
                    </w:rPr>
                  </w:pPr>
                  <w:r>
                    <w:rPr>
                      <w:szCs w:val="21"/>
                    </w:rPr>
                    <w:t>年平均质量浓度值</w:t>
                  </w:r>
                </w:p>
              </w:tc>
              <w:tc>
                <w:tcPr>
                  <w:tcW w:w="1102" w:type="dxa"/>
                  <w:vAlign w:val="center"/>
                </w:tcPr>
                <w:p>
                  <w:pPr>
                    <w:pStyle w:val="31"/>
                    <w:spacing w:after="0"/>
                    <w:ind w:left="0" w:leftChars="0" w:firstLine="0" w:firstLineChars="0"/>
                    <w:jc w:val="center"/>
                    <w:rPr>
                      <w:kern w:val="0"/>
                      <w:szCs w:val="21"/>
                    </w:rPr>
                  </w:pPr>
                  <w:r>
                    <w:rPr>
                      <w:rFonts w:hint="eastAsia"/>
                      <w:kern w:val="0"/>
                      <w:szCs w:val="21"/>
                    </w:rPr>
                    <w:t>29</w:t>
                  </w:r>
                </w:p>
              </w:tc>
              <w:tc>
                <w:tcPr>
                  <w:tcW w:w="1275" w:type="dxa"/>
                  <w:vAlign w:val="center"/>
                </w:tcPr>
                <w:p>
                  <w:pPr>
                    <w:pStyle w:val="43"/>
                    <w:jc w:val="center"/>
                    <w:rPr>
                      <w:rFonts w:ascii="Times New Roman"/>
                      <w:szCs w:val="21"/>
                    </w:rPr>
                  </w:pPr>
                  <w:r>
                    <w:rPr>
                      <w:rFonts w:ascii="Times New Roman"/>
                      <w:szCs w:val="21"/>
                    </w:rPr>
                    <w:t>35</w:t>
                  </w:r>
                </w:p>
              </w:tc>
              <w:tc>
                <w:tcPr>
                  <w:tcW w:w="1200" w:type="dxa"/>
                  <w:tcBorders>
                    <w:right w:val="nil"/>
                  </w:tcBorders>
                  <w:vAlign w:val="center"/>
                </w:tcPr>
                <w:p>
                  <w:pPr>
                    <w:pStyle w:val="43"/>
                    <w:jc w:val="center"/>
                    <w:rPr>
                      <w:rFonts w:ascii="Times New Roman"/>
                      <w:szCs w:val="21"/>
                    </w:rPr>
                  </w:pPr>
                  <w:r>
                    <w:rPr>
                      <w:rFonts w:ascii="Times New Roman"/>
                      <w:szCs w:val="21"/>
                    </w:rPr>
                    <w:t>达标</w:t>
                  </w:r>
                </w:p>
              </w:tc>
            </w:tr>
          </w:tbl>
          <w:p>
            <w:pPr>
              <w:spacing w:line="500" w:lineRule="exact"/>
              <w:ind w:firstLine="480" w:firstLineChars="200"/>
              <w:rPr>
                <w:sz w:val="24"/>
                <w:highlight w:val="none"/>
              </w:rPr>
            </w:pPr>
            <w:r>
              <w:rPr>
                <w:sz w:val="24"/>
              </w:rPr>
              <w:t>由上表可知，202</w:t>
            </w:r>
            <w:r>
              <w:rPr>
                <w:rFonts w:hint="eastAsia"/>
                <w:sz w:val="24"/>
              </w:rPr>
              <w:t>2</w:t>
            </w:r>
            <w:r>
              <w:rPr>
                <w:sz w:val="24"/>
              </w:rPr>
              <w:t>年</w:t>
            </w:r>
            <w:r>
              <w:rPr>
                <w:rFonts w:hint="eastAsia"/>
                <w:sz w:val="24"/>
              </w:rPr>
              <w:t>遵化市</w:t>
            </w:r>
            <w:r>
              <w:rPr>
                <w:sz w:val="24"/>
              </w:rPr>
              <w:t>常规污染物监测数据显示，</w:t>
            </w:r>
            <w:r>
              <w:rPr>
                <w:rFonts w:hint="eastAsia"/>
                <w:sz w:val="24"/>
              </w:rPr>
              <w:t>遵化市</w:t>
            </w:r>
            <w:r>
              <w:rPr>
                <w:sz w:val="24"/>
              </w:rPr>
              <w:t>PM</w:t>
            </w:r>
            <w:r>
              <w:rPr>
                <w:sz w:val="24"/>
                <w:vertAlign w:val="subscript"/>
              </w:rPr>
              <w:t>10</w:t>
            </w:r>
            <w:r>
              <w:rPr>
                <w:sz w:val="24"/>
              </w:rPr>
              <w:t>年平均质量浓度、PM</w:t>
            </w:r>
            <w:r>
              <w:rPr>
                <w:sz w:val="24"/>
                <w:vertAlign w:val="subscript"/>
              </w:rPr>
              <w:t>2.5</w:t>
            </w:r>
            <w:r>
              <w:rPr>
                <w:sz w:val="24"/>
              </w:rPr>
              <w:t>年平均质量浓度</w:t>
            </w:r>
            <w:r>
              <w:rPr>
                <w:rFonts w:hint="eastAsia"/>
                <w:sz w:val="24"/>
              </w:rPr>
              <w:t>、</w:t>
            </w:r>
            <w:r>
              <w:rPr>
                <w:sz w:val="24"/>
              </w:rPr>
              <w:t>SO</w:t>
            </w:r>
            <w:r>
              <w:rPr>
                <w:sz w:val="24"/>
                <w:vertAlign w:val="subscript"/>
              </w:rPr>
              <w:t>2</w:t>
            </w:r>
            <w:r>
              <w:rPr>
                <w:sz w:val="24"/>
              </w:rPr>
              <w:t>年平均质量浓度、NO</w:t>
            </w:r>
            <w:r>
              <w:rPr>
                <w:sz w:val="24"/>
                <w:vertAlign w:val="subscript"/>
              </w:rPr>
              <w:t>2</w:t>
            </w:r>
            <w:r>
              <w:rPr>
                <w:sz w:val="24"/>
              </w:rPr>
              <w:t>年平均质量浓度、CO第</w:t>
            </w:r>
            <w:r>
              <w:rPr>
                <w:sz w:val="24"/>
                <w:highlight w:val="none"/>
              </w:rPr>
              <w:t>95百分位浓度日平均浓度值</w:t>
            </w:r>
            <w:r>
              <w:rPr>
                <w:rFonts w:hint="eastAsia"/>
                <w:sz w:val="24"/>
                <w:highlight w:val="none"/>
              </w:rPr>
              <w:t>均</w:t>
            </w:r>
            <w:r>
              <w:rPr>
                <w:sz w:val="24"/>
                <w:highlight w:val="none"/>
              </w:rPr>
              <w:t>满足《环境空气质量标准》（GB3095-2012）二级标准。O</w:t>
            </w:r>
            <w:r>
              <w:rPr>
                <w:sz w:val="24"/>
                <w:highlight w:val="none"/>
                <w:vertAlign w:val="subscript"/>
              </w:rPr>
              <w:t>3</w:t>
            </w:r>
            <w:r>
              <w:rPr>
                <w:sz w:val="24"/>
                <w:highlight w:val="none"/>
              </w:rPr>
              <w:t>日最大8小时平均第90百分位浓度不满足《环境空气质量标准》（GB3095-2012）二级标准</w:t>
            </w:r>
            <w:r>
              <w:rPr>
                <w:rFonts w:hint="eastAsia"/>
                <w:sz w:val="24"/>
                <w:highlight w:val="none"/>
              </w:rPr>
              <w:t>。</w:t>
            </w:r>
          </w:p>
          <w:p>
            <w:pPr>
              <w:tabs>
                <w:tab w:val="left" w:pos="1200"/>
              </w:tabs>
              <w:adjustRightInd w:val="0"/>
              <w:snapToGrid w:val="0"/>
              <w:spacing w:line="500" w:lineRule="exact"/>
              <w:ind w:firstLine="496" w:firstLineChars="200"/>
              <w:rPr>
                <w:color w:val="FF0000"/>
                <w:spacing w:val="4"/>
                <w:kern w:val="0"/>
                <w:sz w:val="24"/>
                <w:highlight w:val="none"/>
              </w:rPr>
            </w:pPr>
            <w:r>
              <w:rPr>
                <w:rFonts w:hint="eastAsia"/>
                <w:color w:val="FF0000"/>
                <w:spacing w:val="4"/>
                <w:kern w:val="0"/>
                <w:sz w:val="24"/>
                <w:highlight w:val="none"/>
              </w:rPr>
              <w:t>（3）</w:t>
            </w:r>
            <w:r>
              <w:rPr>
                <w:color w:val="FF0000"/>
                <w:spacing w:val="4"/>
                <w:kern w:val="0"/>
                <w:sz w:val="24"/>
                <w:highlight w:val="none"/>
              </w:rPr>
              <w:t>其他污染物环境质量现状监测与评价</w:t>
            </w:r>
          </w:p>
          <w:p>
            <w:pPr>
              <w:tabs>
                <w:tab w:val="left" w:pos="1200"/>
              </w:tabs>
              <w:adjustRightInd w:val="0"/>
              <w:snapToGrid w:val="0"/>
              <w:spacing w:line="500" w:lineRule="exact"/>
              <w:ind w:firstLine="496" w:firstLineChars="200"/>
              <w:rPr>
                <w:color w:val="FF0000"/>
                <w:spacing w:val="4"/>
                <w:kern w:val="0"/>
                <w:sz w:val="24"/>
                <w:highlight w:val="none"/>
                <w:lang w:val="zh-CN"/>
              </w:rPr>
            </w:pPr>
            <w:r>
              <w:rPr>
                <w:color w:val="FF0000"/>
                <w:spacing w:val="4"/>
                <w:kern w:val="0"/>
                <w:sz w:val="24"/>
                <w:highlight w:val="none"/>
              </w:rPr>
              <w:t>环境空气质量现状监</w:t>
            </w:r>
            <w:r>
              <w:rPr>
                <w:rFonts w:ascii="Times New Roman" w:hAnsi="Times New Roman" w:eastAsia="宋体" w:cs="Times New Roman"/>
                <w:color w:val="FF0000"/>
                <w:spacing w:val="4"/>
                <w:kern w:val="0"/>
                <w:sz w:val="24"/>
                <w:highlight w:val="none"/>
              </w:rPr>
              <w:t>测于</w:t>
            </w:r>
            <w:r>
              <w:rPr>
                <w:rFonts w:hint="eastAsia" w:ascii="Times New Roman" w:hAnsi="Times New Roman" w:eastAsia="宋体" w:cs="Times New Roman"/>
                <w:color w:val="FF0000"/>
                <w:spacing w:val="4"/>
                <w:kern w:val="0"/>
                <w:sz w:val="24"/>
                <w:highlight w:val="none"/>
                <w:lang w:val="en-US" w:eastAsia="zh-CN"/>
              </w:rPr>
              <w:t>2024.05.24-2024.05.26</w:t>
            </w:r>
            <w:r>
              <w:rPr>
                <w:rFonts w:ascii="Times New Roman" w:hAnsi="Times New Roman" w:eastAsia="宋体" w:cs="Times New Roman"/>
                <w:color w:val="FF0000"/>
                <w:spacing w:val="4"/>
                <w:kern w:val="0"/>
                <w:sz w:val="24"/>
                <w:highlight w:val="none"/>
              </w:rPr>
              <w:t>委托河北尚</w:t>
            </w:r>
            <w:r>
              <w:rPr>
                <w:color w:val="FF0000"/>
                <w:spacing w:val="4"/>
                <w:kern w:val="0"/>
                <w:sz w:val="24"/>
                <w:highlight w:val="none"/>
              </w:rPr>
              <w:t>源检测技术服务有限公司</w:t>
            </w:r>
            <w:r>
              <w:rPr>
                <w:rFonts w:hint="eastAsia"/>
                <w:color w:val="FF0000"/>
                <w:spacing w:val="4"/>
                <w:kern w:val="0"/>
                <w:sz w:val="24"/>
                <w:highlight w:val="none"/>
              </w:rPr>
              <w:t>进行了监测</w:t>
            </w:r>
            <w:r>
              <w:rPr>
                <w:color w:val="FF0000"/>
                <w:spacing w:val="4"/>
                <w:kern w:val="0"/>
                <w:sz w:val="24"/>
                <w:highlight w:val="none"/>
                <w:lang w:val="zh-CN"/>
              </w:rPr>
              <w:t>。</w:t>
            </w:r>
          </w:p>
          <w:p>
            <w:pPr>
              <w:pStyle w:val="28"/>
              <w:spacing w:before="0" w:beforeAutospacing="0" w:after="0" w:afterAutospacing="0" w:line="480" w:lineRule="exact"/>
              <w:ind w:left="8" w:right="113" w:firstLine="408" w:firstLineChars="170"/>
              <w:rPr>
                <w:rFonts w:ascii="Times New Roman" w:hAnsi="Times New Roman"/>
                <w:color w:val="FF0000"/>
                <w:kern w:val="2"/>
                <w:szCs w:val="24"/>
                <w:highlight w:val="none"/>
                <w:lang w:val="zh-CN"/>
              </w:rPr>
            </w:pPr>
            <w:r>
              <w:rPr>
                <w:rFonts w:hint="eastAsia" w:ascii="Times New Roman" w:hAnsi="Times New Roman"/>
                <w:color w:val="FF0000"/>
                <w:kern w:val="2"/>
                <w:szCs w:val="24"/>
                <w:highlight w:val="none"/>
                <w:lang w:val="zh-CN"/>
              </w:rPr>
              <w:t>①</w:t>
            </w:r>
            <w:r>
              <w:rPr>
                <w:rFonts w:ascii="Times New Roman" w:hAnsi="Times New Roman"/>
                <w:color w:val="FF0000"/>
                <w:szCs w:val="24"/>
                <w:highlight w:val="none"/>
              </w:rPr>
              <w:t>监测位置、监测因子、监测频率见下表</w:t>
            </w:r>
            <w:r>
              <w:rPr>
                <w:rFonts w:ascii="Times New Roman" w:hAnsi="Times New Roman"/>
                <w:color w:val="FF0000"/>
                <w:kern w:val="2"/>
                <w:szCs w:val="24"/>
                <w:highlight w:val="none"/>
                <w:lang w:val="zh-CN"/>
              </w:rPr>
              <w:t>。</w:t>
            </w:r>
          </w:p>
          <w:p>
            <w:pPr>
              <w:spacing w:line="480" w:lineRule="exact"/>
              <w:ind w:firstLine="482" w:firstLineChars="200"/>
              <w:jc w:val="center"/>
              <w:rPr>
                <w:rFonts w:hAnsi="宋体"/>
                <w:b/>
                <w:bCs/>
                <w:color w:val="FF0000"/>
                <w:sz w:val="24"/>
                <w:highlight w:val="none"/>
                <w:lang w:val="zh-CN" w:bidi="ar"/>
              </w:rPr>
            </w:pPr>
            <w:r>
              <w:rPr>
                <w:rFonts w:hint="eastAsia" w:hAnsi="宋体"/>
                <w:b/>
                <w:bCs/>
                <w:color w:val="FF0000"/>
                <w:sz w:val="24"/>
                <w:highlight w:val="none"/>
                <w:lang w:val="zh-CN" w:bidi="ar"/>
              </w:rPr>
              <w:t>表</w:t>
            </w:r>
            <w:r>
              <w:rPr>
                <w:rFonts w:hint="eastAsia" w:hAnsi="宋体"/>
                <w:b/>
                <w:bCs/>
                <w:color w:val="FF0000"/>
                <w:sz w:val="24"/>
                <w:highlight w:val="none"/>
                <w:lang w:val="en-US" w:eastAsia="zh-CN" w:bidi="ar"/>
              </w:rPr>
              <w:t>21</w:t>
            </w:r>
            <w:r>
              <w:rPr>
                <w:rFonts w:hint="eastAsia" w:hAnsi="宋体"/>
                <w:b/>
                <w:bCs/>
                <w:color w:val="FF0000"/>
                <w:sz w:val="24"/>
                <w:highlight w:val="none"/>
                <w:lang w:bidi="ar"/>
              </w:rPr>
              <w:t xml:space="preserve">     </w:t>
            </w:r>
            <w:r>
              <w:rPr>
                <w:rFonts w:hAnsi="宋体"/>
                <w:b/>
                <w:bCs/>
                <w:color w:val="FF0000"/>
                <w:sz w:val="24"/>
                <w:highlight w:val="none"/>
                <w:lang w:val="zh-CN" w:bidi="ar"/>
              </w:rPr>
              <w:t>其他污染物监测点位基本信息</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72"/>
              <w:gridCol w:w="3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2" w:type="dxa"/>
                  <w:tcBorders>
                    <w:top w:val="single" w:color="auto" w:sz="12" w:space="0"/>
                  </w:tcBorders>
                  <w:vAlign w:val="center"/>
                </w:tcPr>
                <w:p>
                  <w:pPr>
                    <w:jc w:val="center"/>
                    <w:rPr>
                      <w:color w:val="FF0000"/>
                      <w:szCs w:val="21"/>
                      <w:highlight w:val="none"/>
                    </w:rPr>
                  </w:pPr>
                  <w:r>
                    <w:rPr>
                      <w:color w:val="FF0000"/>
                      <w:szCs w:val="21"/>
                      <w:highlight w:val="none"/>
                    </w:rPr>
                    <w:t>监测点位</w:t>
                  </w:r>
                </w:p>
              </w:tc>
              <w:tc>
                <w:tcPr>
                  <w:tcW w:w="3986" w:type="dxa"/>
                  <w:tcBorders>
                    <w:top w:val="single" w:color="auto" w:sz="12" w:space="0"/>
                    <w:right w:val="nil"/>
                  </w:tcBorders>
                  <w:vAlign w:val="center"/>
                </w:tcPr>
                <w:p>
                  <w:pPr>
                    <w:jc w:val="center"/>
                    <w:rPr>
                      <w:rFonts w:hint="eastAsia" w:eastAsia="宋体"/>
                      <w:color w:val="FF0000"/>
                      <w:szCs w:val="21"/>
                      <w:highlight w:val="none"/>
                      <w:lang w:eastAsia="zh-CN"/>
                    </w:rPr>
                  </w:pPr>
                  <w:r>
                    <w:rPr>
                      <w:color w:val="FF0000"/>
                      <w:szCs w:val="21"/>
                      <w:highlight w:val="none"/>
                    </w:rPr>
                    <w:t>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2" w:type="dxa"/>
                  <w:tcBorders>
                    <w:left w:val="nil"/>
                    <w:bottom w:val="single" w:color="auto" w:sz="12" w:space="0"/>
                  </w:tcBorders>
                  <w:vAlign w:val="center"/>
                </w:tcPr>
                <w:p>
                  <w:pPr>
                    <w:jc w:val="center"/>
                    <w:rPr>
                      <w:color w:val="FF0000"/>
                      <w:szCs w:val="21"/>
                      <w:highlight w:val="none"/>
                    </w:rPr>
                  </w:pPr>
                  <w:r>
                    <w:rPr>
                      <w:rFonts w:hint="eastAsia"/>
                      <w:color w:val="FF0000"/>
                      <w:szCs w:val="21"/>
                      <w:highlight w:val="none"/>
                    </w:rPr>
                    <w:t>项目所在</w:t>
                  </w:r>
                  <w:r>
                    <w:rPr>
                      <w:rFonts w:hint="eastAsia" w:ascii="Times New Roman" w:hAnsi="Times New Roman" w:cs="Times New Roman"/>
                      <w:color w:val="FF0000"/>
                      <w:sz w:val="21"/>
                      <w:szCs w:val="21"/>
                      <w:highlight w:val="none"/>
                      <w:lang w:val="en-US" w:eastAsia="zh-CN"/>
                    </w:rPr>
                    <w:t>厂区当季主导风向下风向</w:t>
                  </w:r>
                </w:p>
              </w:tc>
              <w:tc>
                <w:tcPr>
                  <w:tcW w:w="3986" w:type="dxa"/>
                  <w:tcBorders>
                    <w:bottom w:val="single" w:color="auto" w:sz="12" w:space="0"/>
                    <w:right w:val="nil"/>
                  </w:tcBorders>
                  <w:vAlign w:val="center"/>
                </w:tcPr>
                <w:p>
                  <w:pPr>
                    <w:jc w:val="center"/>
                    <w:rPr>
                      <w:color w:val="FF0000"/>
                      <w:szCs w:val="21"/>
                      <w:highlight w:val="none"/>
                    </w:rPr>
                  </w:pPr>
                  <w:r>
                    <w:rPr>
                      <w:color w:val="FF0000"/>
                      <w:szCs w:val="21"/>
                      <w:highlight w:val="none"/>
                    </w:rPr>
                    <w:t>TSP</w:t>
                  </w:r>
                  <w:r>
                    <w:rPr>
                      <w:rFonts w:hint="eastAsia"/>
                      <w:color w:val="FF0000"/>
                      <w:szCs w:val="21"/>
                      <w:highlight w:val="none"/>
                      <w:lang w:eastAsia="zh-CN"/>
                    </w:rPr>
                    <w:t>（</w:t>
                  </w:r>
                  <w:r>
                    <w:rPr>
                      <w:color w:val="FF0000"/>
                      <w:szCs w:val="21"/>
                      <w:highlight w:val="none"/>
                    </w:rPr>
                    <w:t>24小时平均浓度</w:t>
                  </w:r>
                  <w:r>
                    <w:rPr>
                      <w:rFonts w:hint="eastAsia"/>
                      <w:color w:val="FF0000"/>
                      <w:szCs w:val="21"/>
                      <w:highlight w:val="none"/>
                      <w:lang w:eastAsia="zh-CN"/>
                    </w:rPr>
                    <w:t>）</w:t>
                  </w:r>
                </w:p>
              </w:tc>
            </w:tr>
          </w:tbl>
          <w:p>
            <w:pPr>
              <w:tabs>
                <w:tab w:val="left" w:pos="1200"/>
              </w:tabs>
              <w:adjustRightInd w:val="0"/>
              <w:snapToGrid w:val="0"/>
              <w:spacing w:line="480" w:lineRule="exact"/>
              <w:ind w:firstLine="480" w:firstLineChars="200"/>
              <w:rPr>
                <w:color w:val="FF0000"/>
                <w:sz w:val="24"/>
                <w:highlight w:val="none"/>
              </w:rPr>
            </w:pPr>
            <w:r>
              <w:rPr>
                <w:rFonts w:hint="eastAsia"/>
                <w:color w:val="FF0000"/>
                <w:sz w:val="24"/>
                <w:highlight w:val="none"/>
              </w:rPr>
              <w:t>②</w:t>
            </w:r>
            <w:r>
              <w:rPr>
                <w:color w:val="FF0000"/>
                <w:sz w:val="24"/>
                <w:highlight w:val="none"/>
              </w:rPr>
              <w:t>监测及分析</w:t>
            </w:r>
          </w:p>
          <w:p>
            <w:pPr>
              <w:spacing w:line="480" w:lineRule="exact"/>
              <w:ind w:firstLine="480" w:firstLineChars="200"/>
              <w:rPr>
                <w:color w:val="FF0000"/>
                <w:sz w:val="24"/>
                <w:highlight w:val="none"/>
              </w:rPr>
            </w:pPr>
            <w:r>
              <w:rPr>
                <w:color w:val="FF0000"/>
                <w:sz w:val="24"/>
                <w:highlight w:val="none"/>
              </w:rPr>
              <w:t>监测采样方法按照《环境空气质量标准》（GB3095-2012）、《环境监测技术规范》和《空气及废气监测分析方法》中规定的方法进行。</w:t>
            </w:r>
          </w:p>
          <w:p>
            <w:pPr>
              <w:spacing w:line="480" w:lineRule="exact"/>
              <w:ind w:firstLine="480" w:firstLineChars="200"/>
              <w:rPr>
                <w:color w:val="FF0000"/>
                <w:sz w:val="24"/>
                <w:highlight w:val="none"/>
              </w:rPr>
            </w:pPr>
            <w:r>
              <w:rPr>
                <w:rFonts w:hint="eastAsia"/>
                <w:color w:val="FF0000"/>
                <w:sz w:val="24"/>
                <w:highlight w:val="none"/>
              </w:rPr>
              <w:t>③</w:t>
            </w:r>
            <w:r>
              <w:rPr>
                <w:color w:val="FF0000"/>
                <w:sz w:val="24"/>
                <w:highlight w:val="none"/>
              </w:rPr>
              <w:t>监测结果数据统计分析与评价</w:t>
            </w:r>
          </w:p>
          <w:p>
            <w:pPr>
              <w:spacing w:line="480" w:lineRule="exact"/>
              <w:ind w:firstLine="480" w:firstLineChars="200"/>
              <w:rPr>
                <w:color w:val="FF0000"/>
                <w:sz w:val="24"/>
                <w:highlight w:val="none"/>
              </w:rPr>
            </w:pPr>
            <w:r>
              <w:rPr>
                <w:color w:val="FF0000"/>
                <w:sz w:val="24"/>
                <w:highlight w:val="none"/>
              </w:rPr>
              <w:t>评价方法：采用单因子污染指数法进行评价。</w:t>
            </w:r>
          </w:p>
          <w:p>
            <w:pPr>
              <w:spacing w:line="480" w:lineRule="exact"/>
              <w:ind w:firstLine="480" w:firstLineChars="200"/>
              <w:rPr>
                <w:color w:val="FF0000"/>
                <w:sz w:val="24"/>
                <w:highlight w:val="none"/>
              </w:rPr>
            </w:pPr>
            <w:r>
              <w:rPr>
                <w:color w:val="FF0000"/>
                <w:sz w:val="24"/>
                <w:highlight w:val="none"/>
              </w:rPr>
              <w:t>污染指数P</w:t>
            </w:r>
            <w:r>
              <w:rPr>
                <w:color w:val="FF0000"/>
                <w:sz w:val="24"/>
                <w:highlight w:val="none"/>
                <w:vertAlign w:val="subscript"/>
              </w:rPr>
              <w:t>i</w:t>
            </w:r>
            <w:r>
              <w:rPr>
                <w:color w:val="FF0000"/>
                <w:sz w:val="24"/>
                <w:highlight w:val="none"/>
              </w:rPr>
              <w:t>的定义如下：</w:t>
            </w:r>
          </w:p>
          <w:p>
            <w:pPr>
              <w:spacing w:line="480" w:lineRule="exact"/>
              <w:ind w:firstLine="1920" w:firstLineChars="800"/>
              <w:rPr>
                <w:color w:val="FF0000"/>
                <w:sz w:val="24"/>
                <w:highlight w:val="none"/>
              </w:rPr>
            </w:pPr>
            <w:r>
              <w:rPr>
                <w:color w:val="FF0000"/>
                <w:sz w:val="24"/>
                <w:highlight w:val="none"/>
              </w:rPr>
              <w:t>P</w:t>
            </w:r>
            <w:r>
              <w:rPr>
                <w:color w:val="FF0000"/>
                <w:sz w:val="24"/>
                <w:highlight w:val="none"/>
                <w:vertAlign w:val="subscript"/>
              </w:rPr>
              <w:t>i</w:t>
            </w:r>
            <w:r>
              <w:rPr>
                <w:color w:val="FF0000"/>
                <w:sz w:val="24"/>
                <w:highlight w:val="none"/>
              </w:rPr>
              <w:t>=C</w:t>
            </w:r>
            <w:r>
              <w:rPr>
                <w:color w:val="FF0000"/>
                <w:sz w:val="24"/>
                <w:highlight w:val="none"/>
                <w:vertAlign w:val="subscript"/>
              </w:rPr>
              <w:t>i</w:t>
            </w:r>
            <w:r>
              <w:rPr>
                <w:color w:val="FF0000"/>
                <w:sz w:val="24"/>
                <w:highlight w:val="none"/>
              </w:rPr>
              <w:t>/C</w:t>
            </w:r>
            <w:r>
              <w:rPr>
                <w:color w:val="FF0000"/>
                <w:sz w:val="24"/>
                <w:highlight w:val="none"/>
                <w:vertAlign w:val="subscript"/>
              </w:rPr>
              <w:t>oi</w:t>
            </w:r>
          </w:p>
          <w:p>
            <w:pPr>
              <w:spacing w:line="480" w:lineRule="exact"/>
              <w:ind w:firstLine="480" w:firstLineChars="200"/>
              <w:rPr>
                <w:color w:val="FF0000"/>
                <w:sz w:val="24"/>
                <w:highlight w:val="none"/>
              </w:rPr>
            </w:pPr>
            <w:r>
              <w:rPr>
                <w:color w:val="FF0000"/>
                <w:sz w:val="24"/>
                <w:highlight w:val="none"/>
              </w:rPr>
              <w:t>式中：P</w:t>
            </w:r>
            <w:r>
              <w:rPr>
                <w:color w:val="FF0000"/>
                <w:sz w:val="24"/>
                <w:highlight w:val="none"/>
                <w:vertAlign w:val="subscript"/>
              </w:rPr>
              <w:t>i</w:t>
            </w:r>
            <w:r>
              <w:rPr>
                <w:color w:val="FF0000"/>
                <w:sz w:val="24"/>
                <w:highlight w:val="none"/>
              </w:rPr>
              <w:t>―某污染物的标准指数；</w:t>
            </w:r>
          </w:p>
          <w:p>
            <w:pPr>
              <w:spacing w:line="480" w:lineRule="exact"/>
              <w:ind w:firstLine="1200" w:firstLineChars="500"/>
              <w:rPr>
                <w:color w:val="FF0000"/>
                <w:sz w:val="24"/>
                <w:highlight w:val="none"/>
              </w:rPr>
            </w:pPr>
            <w:r>
              <w:rPr>
                <w:color w:val="FF0000"/>
                <w:sz w:val="24"/>
                <w:highlight w:val="none"/>
              </w:rPr>
              <w:t>C</w:t>
            </w:r>
            <w:r>
              <w:rPr>
                <w:color w:val="FF0000"/>
                <w:sz w:val="24"/>
                <w:highlight w:val="none"/>
                <w:vertAlign w:val="subscript"/>
              </w:rPr>
              <w:t>i</w:t>
            </w:r>
            <w:r>
              <w:rPr>
                <w:color w:val="FF0000"/>
                <w:sz w:val="24"/>
                <w:highlight w:val="none"/>
              </w:rPr>
              <w:t>―某污染因子现状监测浓度，mg/m</w:t>
            </w:r>
            <w:r>
              <w:rPr>
                <w:color w:val="FF0000"/>
                <w:sz w:val="24"/>
                <w:highlight w:val="none"/>
                <w:vertAlign w:val="superscript"/>
              </w:rPr>
              <w:t>3</w:t>
            </w:r>
            <w:r>
              <w:rPr>
                <w:color w:val="FF0000"/>
                <w:sz w:val="24"/>
                <w:highlight w:val="none"/>
              </w:rPr>
              <w:t>；</w:t>
            </w:r>
          </w:p>
          <w:p>
            <w:pPr>
              <w:spacing w:line="480" w:lineRule="exact"/>
              <w:ind w:firstLine="1200" w:firstLineChars="500"/>
              <w:rPr>
                <w:color w:val="FF0000"/>
                <w:sz w:val="24"/>
                <w:highlight w:val="none"/>
              </w:rPr>
            </w:pPr>
            <w:r>
              <w:rPr>
                <w:color w:val="FF0000"/>
                <w:sz w:val="24"/>
                <w:highlight w:val="none"/>
              </w:rPr>
              <w:t>C</w:t>
            </w:r>
            <w:r>
              <w:rPr>
                <w:color w:val="FF0000"/>
                <w:sz w:val="24"/>
                <w:highlight w:val="none"/>
                <w:vertAlign w:val="subscript"/>
              </w:rPr>
              <w:t>oi</w:t>
            </w:r>
            <w:r>
              <w:rPr>
                <w:color w:val="FF0000"/>
                <w:sz w:val="24"/>
                <w:highlight w:val="none"/>
              </w:rPr>
              <w:t>―某污染因子的环境质量标准，mg/m</w:t>
            </w:r>
            <w:r>
              <w:rPr>
                <w:color w:val="FF0000"/>
                <w:sz w:val="24"/>
                <w:highlight w:val="none"/>
                <w:vertAlign w:val="superscript"/>
              </w:rPr>
              <w:t>3</w:t>
            </w:r>
            <w:r>
              <w:rPr>
                <w:color w:val="FF0000"/>
                <w:sz w:val="24"/>
                <w:highlight w:val="none"/>
              </w:rPr>
              <w:t>。</w:t>
            </w:r>
          </w:p>
          <w:p>
            <w:pPr>
              <w:spacing w:line="480" w:lineRule="exact"/>
              <w:ind w:firstLine="480" w:firstLineChars="200"/>
              <w:rPr>
                <w:color w:val="FF0000"/>
                <w:sz w:val="24"/>
                <w:highlight w:val="none"/>
              </w:rPr>
            </w:pPr>
            <w:r>
              <w:rPr>
                <w:color w:val="FF0000"/>
                <w:sz w:val="24"/>
                <w:highlight w:val="none"/>
              </w:rPr>
              <w:t>评价标准：常规项目采用《环境空气质量标准》（GB3095-2012）中的二级标准及修改单要求。</w:t>
            </w:r>
          </w:p>
          <w:p>
            <w:pPr>
              <w:spacing w:line="360" w:lineRule="exact"/>
              <w:ind w:firstLine="482" w:firstLineChars="200"/>
              <w:jc w:val="center"/>
              <w:rPr>
                <w:rFonts w:hAnsi="宋体"/>
                <w:b/>
                <w:bCs/>
                <w:color w:val="FF0000"/>
                <w:sz w:val="24"/>
                <w:highlight w:val="none"/>
              </w:rPr>
            </w:pPr>
            <w:r>
              <w:rPr>
                <w:rFonts w:hAnsi="宋体"/>
                <w:b/>
                <w:bCs/>
                <w:color w:val="FF0000"/>
                <w:sz w:val="24"/>
                <w:highlight w:val="none"/>
              </w:rPr>
              <w:t>表</w:t>
            </w:r>
            <w:r>
              <w:rPr>
                <w:rFonts w:hint="eastAsia" w:hAnsi="宋体"/>
                <w:b/>
                <w:bCs/>
                <w:color w:val="FF0000"/>
                <w:sz w:val="24"/>
                <w:highlight w:val="none"/>
                <w:lang w:val="en-US" w:eastAsia="zh-CN"/>
              </w:rPr>
              <w:t>22</w:t>
            </w:r>
            <w:r>
              <w:rPr>
                <w:rFonts w:hint="eastAsia" w:hAnsi="宋体"/>
                <w:b/>
                <w:bCs/>
                <w:color w:val="FF0000"/>
                <w:sz w:val="24"/>
                <w:highlight w:val="none"/>
              </w:rPr>
              <w:t xml:space="preserve">  大气环境质量现状监测统计结果一览表</w:t>
            </w:r>
          </w:p>
          <w:tbl>
            <w:tblPr>
              <w:tblStyle w:val="3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7"/>
              <w:gridCol w:w="633"/>
              <w:gridCol w:w="950"/>
              <w:gridCol w:w="967"/>
              <w:gridCol w:w="1183"/>
              <w:gridCol w:w="1281"/>
              <w:gridCol w:w="67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807" w:type="dxa"/>
                  <w:tcBorders>
                    <w:top w:val="single" w:color="auto" w:sz="12" w:space="0"/>
                    <w:left w:val="single" w:color="auto" w:sz="4" w:space="0"/>
                    <w:right w:val="single" w:color="auto" w:sz="4" w:space="0"/>
                  </w:tcBorders>
                  <w:vAlign w:val="center"/>
                </w:tcPr>
                <w:p>
                  <w:pPr>
                    <w:jc w:val="center"/>
                    <w:rPr>
                      <w:color w:val="FF0000"/>
                      <w:szCs w:val="21"/>
                      <w:highlight w:val="none"/>
                    </w:rPr>
                  </w:pPr>
                  <w:r>
                    <w:rPr>
                      <w:color w:val="FF0000"/>
                      <w:szCs w:val="21"/>
                      <w:highlight w:val="none"/>
                    </w:rPr>
                    <w:t>监测点</w:t>
                  </w:r>
                </w:p>
                <w:p>
                  <w:pPr>
                    <w:jc w:val="center"/>
                    <w:rPr>
                      <w:color w:val="FF0000"/>
                      <w:szCs w:val="21"/>
                      <w:highlight w:val="none"/>
                    </w:rPr>
                  </w:pPr>
                  <w:r>
                    <w:rPr>
                      <w:color w:val="FF0000"/>
                      <w:szCs w:val="21"/>
                      <w:highlight w:val="none"/>
                    </w:rPr>
                    <w:t>名称</w:t>
                  </w:r>
                </w:p>
              </w:tc>
              <w:tc>
                <w:tcPr>
                  <w:tcW w:w="633" w:type="dxa"/>
                  <w:tcBorders>
                    <w:top w:val="single" w:color="auto" w:sz="12" w:space="0"/>
                    <w:left w:val="single" w:color="auto" w:sz="4" w:space="0"/>
                    <w:right w:val="single" w:color="auto" w:sz="4" w:space="0"/>
                  </w:tcBorders>
                  <w:vAlign w:val="center"/>
                </w:tcPr>
                <w:p>
                  <w:pPr>
                    <w:jc w:val="center"/>
                    <w:rPr>
                      <w:color w:val="FF0000"/>
                      <w:szCs w:val="21"/>
                      <w:highlight w:val="none"/>
                    </w:rPr>
                  </w:pPr>
                  <w:r>
                    <w:rPr>
                      <w:color w:val="FF0000"/>
                      <w:szCs w:val="21"/>
                      <w:highlight w:val="none"/>
                    </w:rPr>
                    <w:t>监测因子</w:t>
                  </w:r>
                </w:p>
              </w:tc>
              <w:tc>
                <w:tcPr>
                  <w:tcW w:w="950" w:type="dxa"/>
                  <w:tcBorders>
                    <w:top w:val="single" w:color="auto" w:sz="12" w:space="0"/>
                    <w:left w:val="single" w:color="auto" w:sz="4" w:space="0"/>
                    <w:right w:val="single" w:color="auto" w:sz="4" w:space="0"/>
                  </w:tcBorders>
                  <w:vAlign w:val="center"/>
                </w:tcPr>
                <w:p>
                  <w:pPr>
                    <w:jc w:val="center"/>
                    <w:rPr>
                      <w:color w:val="FF0000"/>
                      <w:szCs w:val="21"/>
                      <w:highlight w:val="none"/>
                    </w:rPr>
                  </w:pPr>
                  <w:r>
                    <w:rPr>
                      <w:color w:val="FF0000"/>
                      <w:szCs w:val="21"/>
                      <w:highlight w:val="none"/>
                    </w:rPr>
                    <w:t>平均时间</w:t>
                  </w:r>
                </w:p>
              </w:tc>
              <w:tc>
                <w:tcPr>
                  <w:tcW w:w="967" w:type="dxa"/>
                  <w:tcBorders>
                    <w:top w:val="single" w:color="auto" w:sz="12" w:space="0"/>
                    <w:left w:val="single" w:color="auto" w:sz="4" w:space="0"/>
                    <w:right w:val="single" w:color="auto" w:sz="4" w:space="0"/>
                  </w:tcBorders>
                  <w:vAlign w:val="center"/>
                </w:tcPr>
                <w:p>
                  <w:pPr>
                    <w:jc w:val="center"/>
                    <w:rPr>
                      <w:color w:val="FF0000"/>
                      <w:szCs w:val="21"/>
                      <w:highlight w:val="none"/>
                    </w:rPr>
                  </w:pPr>
                  <w:r>
                    <w:rPr>
                      <w:color w:val="FF0000"/>
                      <w:szCs w:val="21"/>
                      <w:highlight w:val="none"/>
                    </w:rPr>
                    <w:t>评价标准(μg/m</w:t>
                  </w:r>
                  <w:r>
                    <w:rPr>
                      <w:color w:val="FF0000"/>
                      <w:szCs w:val="21"/>
                      <w:highlight w:val="none"/>
                      <w:vertAlign w:val="superscript"/>
                    </w:rPr>
                    <w:t>3</w:t>
                  </w:r>
                  <w:r>
                    <w:rPr>
                      <w:color w:val="FF0000"/>
                      <w:szCs w:val="21"/>
                      <w:highlight w:val="none"/>
                    </w:rPr>
                    <w:t>)</w:t>
                  </w:r>
                </w:p>
              </w:tc>
              <w:tc>
                <w:tcPr>
                  <w:tcW w:w="1183" w:type="dxa"/>
                  <w:tcBorders>
                    <w:top w:val="single" w:color="auto" w:sz="12" w:space="0"/>
                    <w:left w:val="single" w:color="auto" w:sz="4" w:space="0"/>
                    <w:right w:val="single" w:color="auto" w:sz="4" w:space="0"/>
                  </w:tcBorders>
                  <w:vAlign w:val="center"/>
                </w:tcPr>
                <w:p>
                  <w:pPr>
                    <w:jc w:val="center"/>
                    <w:rPr>
                      <w:color w:val="FF0000"/>
                      <w:szCs w:val="21"/>
                      <w:highlight w:val="none"/>
                    </w:rPr>
                  </w:pPr>
                  <w:r>
                    <w:rPr>
                      <w:color w:val="FF0000"/>
                      <w:szCs w:val="21"/>
                      <w:highlight w:val="none"/>
                    </w:rPr>
                    <w:t>监测浓度范围(μg/m</w:t>
                  </w:r>
                  <w:r>
                    <w:rPr>
                      <w:color w:val="FF0000"/>
                      <w:szCs w:val="21"/>
                      <w:highlight w:val="none"/>
                      <w:vertAlign w:val="superscript"/>
                    </w:rPr>
                    <w:t>3</w:t>
                  </w:r>
                  <w:r>
                    <w:rPr>
                      <w:color w:val="FF0000"/>
                      <w:szCs w:val="21"/>
                      <w:highlight w:val="none"/>
                    </w:rPr>
                    <w:t>)</w:t>
                  </w:r>
                </w:p>
              </w:tc>
              <w:tc>
                <w:tcPr>
                  <w:tcW w:w="1281" w:type="dxa"/>
                  <w:tcBorders>
                    <w:top w:val="single" w:color="auto" w:sz="12" w:space="0"/>
                    <w:left w:val="single" w:color="auto" w:sz="4" w:space="0"/>
                    <w:right w:val="single" w:color="auto" w:sz="4" w:space="0"/>
                  </w:tcBorders>
                  <w:vAlign w:val="center"/>
                </w:tcPr>
                <w:p>
                  <w:pPr>
                    <w:jc w:val="center"/>
                    <w:rPr>
                      <w:color w:val="FF0000"/>
                      <w:szCs w:val="21"/>
                      <w:highlight w:val="none"/>
                    </w:rPr>
                  </w:pPr>
                  <w:r>
                    <w:rPr>
                      <w:color w:val="FF0000"/>
                      <w:szCs w:val="21"/>
                      <w:highlight w:val="none"/>
                    </w:rPr>
                    <w:t>标准指数Pi</w:t>
                  </w:r>
                </w:p>
              </w:tc>
              <w:tc>
                <w:tcPr>
                  <w:tcW w:w="670" w:type="dxa"/>
                  <w:tcBorders>
                    <w:top w:val="single" w:color="auto" w:sz="12" w:space="0"/>
                    <w:left w:val="single" w:color="auto" w:sz="4" w:space="0"/>
                    <w:right w:val="single" w:color="auto" w:sz="4" w:space="0"/>
                  </w:tcBorders>
                  <w:vAlign w:val="center"/>
                </w:tcPr>
                <w:p>
                  <w:pPr>
                    <w:adjustRightInd w:val="0"/>
                    <w:snapToGrid w:val="0"/>
                    <w:jc w:val="center"/>
                    <w:rPr>
                      <w:color w:val="FF0000"/>
                      <w:szCs w:val="21"/>
                      <w:highlight w:val="none"/>
                    </w:rPr>
                  </w:pPr>
                  <w:r>
                    <w:rPr>
                      <w:color w:val="FF0000"/>
                      <w:szCs w:val="21"/>
                      <w:highlight w:val="none"/>
                    </w:rPr>
                    <w:t>超标率</w:t>
                  </w:r>
                </w:p>
                <w:p>
                  <w:pPr>
                    <w:jc w:val="center"/>
                    <w:rPr>
                      <w:color w:val="FF0000"/>
                      <w:szCs w:val="21"/>
                      <w:highlight w:val="none"/>
                    </w:rPr>
                  </w:pPr>
                  <w:r>
                    <w:rPr>
                      <w:color w:val="FF0000"/>
                      <w:szCs w:val="21"/>
                      <w:highlight w:val="none"/>
                    </w:rPr>
                    <w:t>(%)</w:t>
                  </w:r>
                </w:p>
              </w:tc>
              <w:tc>
                <w:tcPr>
                  <w:tcW w:w="836" w:type="dxa"/>
                  <w:tcBorders>
                    <w:top w:val="single" w:color="auto" w:sz="12" w:space="0"/>
                    <w:left w:val="single" w:color="auto" w:sz="4" w:space="0"/>
                    <w:right w:val="nil"/>
                  </w:tcBorders>
                  <w:vAlign w:val="center"/>
                </w:tcPr>
                <w:p>
                  <w:pPr>
                    <w:jc w:val="center"/>
                    <w:rPr>
                      <w:color w:val="FF0000"/>
                      <w:szCs w:val="21"/>
                      <w:highlight w:val="none"/>
                    </w:rPr>
                  </w:pPr>
                  <w:r>
                    <w:rPr>
                      <w:color w:val="FF0000"/>
                      <w:szCs w:val="21"/>
                      <w:highlight w:val="none"/>
                    </w:rPr>
                    <w:t>达标</w:t>
                  </w:r>
                </w:p>
                <w:p>
                  <w:pPr>
                    <w:jc w:val="center"/>
                    <w:rPr>
                      <w:color w:val="FF0000"/>
                      <w:szCs w:val="21"/>
                      <w:highlight w:val="none"/>
                    </w:rPr>
                  </w:pPr>
                  <w:r>
                    <w:rPr>
                      <w:color w:val="FF0000"/>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07" w:type="dxa"/>
                  <w:tcBorders>
                    <w:top w:val="single" w:color="auto" w:sz="4" w:space="0"/>
                    <w:left w:val="nil"/>
                    <w:bottom w:val="single" w:color="auto" w:sz="12" w:space="0"/>
                    <w:right w:val="single" w:color="auto" w:sz="4" w:space="0"/>
                  </w:tcBorders>
                  <w:vAlign w:val="center"/>
                </w:tcPr>
                <w:p>
                  <w:pPr>
                    <w:tabs>
                      <w:tab w:val="left" w:pos="3580"/>
                    </w:tabs>
                    <w:topLinePunct/>
                    <w:jc w:val="center"/>
                    <w:rPr>
                      <w:color w:val="FF0000"/>
                      <w:szCs w:val="21"/>
                      <w:highlight w:val="none"/>
                    </w:rPr>
                  </w:pPr>
                  <w:r>
                    <w:rPr>
                      <w:rFonts w:hint="eastAsia"/>
                      <w:color w:val="FF0000"/>
                      <w:szCs w:val="21"/>
                      <w:highlight w:val="none"/>
                    </w:rPr>
                    <w:t>项目所在</w:t>
                  </w:r>
                  <w:r>
                    <w:rPr>
                      <w:rFonts w:hint="eastAsia" w:ascii="Times New Roman" w:hAnsi="Times New Roman" w:cs="Times New Roman"/>
                      <w:color w:val="FF0000"/>
                      <w:sz w:val="21"/>
                      <w:szCs w:val="21"/>
                      <w:highlight w:val="none"/>
                      <w:lang w:val="en-US" w:eastAsia="zh-CN"/>
                    </w:rPr>
                    <w:t>厂区当季主导风向下风向</w:t>
                  </w:r>
                </w:p>
              </w:tc>
              <w:tc>
                <w:tcPr>
                  <w:tcW w:w="633"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FF0000"/>
                      <w:szCs w:val="21"/>
                      <w:highlight w:val="none"/>
                    </w:rPr>
                  </w:pPr>
                  <w:r>
                    <w:rPr>
                      <w:color w:val="FF0000"/>
                      <w:szCs w:val="21"/>
                      <w:highlight w:val="none"/>
                    </w:rPr>
                    <w:t>TSP</w:t>
                  </w:r>
                </w:p>
              </w:tc>
              <w:tc>
                <w:tcPr>
                  <w:tcW w:w="950"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FF0000"/>
                      <w:szCs w:val="21"/>
                      <w:highlight w:val="none"/>
                    </w:rPr>
                  </w:pPr>
                  <w:r>
                    <w:rPr>
                      <w:color w:val="FF0000"/>
                      <w:szCs w:val="21"/>
                      <w:highlight w:val="none"/>
                    </w:rPr>
                    <w:t>24h平均</w:t>
                  </w:r>
                </w:p>
              </w:tc>
              <w:tc>
                <w:tcPr>
                  <w:tcW w:w="967"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FF0000"/>
                      <w:szCs w:val="21"/>
                      <w:highlight w:val="none"/>
                    </w:rPr>
                  </w:pPr>
                  <w:r>
                    <w:rPr>
                      <w:color w:val="FF0000"/>
                      <w:szCs w:val="21"/>
                      <w:highlight w:val="none"/>
                    </w:rPr>
                    <w:t>300</w:t>
                  </w:r>
                </w:p>
              </w:tc>
              <w:tc>
                <w:tcPr>
                  <w:tcW w:w="1183" w:type="dxa"/>
                  <w:tcBorders>
                    <w:top w:val="single" w:color="auto" w:sz="4" w:space="0"/>
                    <w:left w:val="single" w:color="auto" w:sz="4" w:space="0"/>
                    <w:bottom w:val="single" w:color="auto" w:sz="12" w:space="0"/>
                    <w:right w:val="single" w:color="auto" w:sz="4" w:space="0"/>
                  </w:tcBorders>
                  <w:vAlign w:val="center"/>
                </w:tcPr>
                <w:p>
                  <w:pPr>
                    <w:jc w:val="center"/>
                    <w:rPr>
                      <w:rFonts w:hint="default" w:eastAsia="宋体"/>
                      <w:color w:val="FF0000"/>
                      <w:szCs w:val="21"/>
                      <w:highlight w:val="none"/>
                      <w:lang w:val="en-US" w:eastAsia="zh-CN"/>
                    </w:rPr>
                  </w:pPr>
                  <w:r>
                    <w:rPr>
                      <w:rFonts w:hint="eastAsia"/>
                      <w:color w:val="FF0000"/>
                      <w:szCs w:val="21"/>
                      <w:highlight w:val="none"/>
                      <w:lang w:val="en-US" w:eastAsia="zh-CN"/>
                    </w:rPr>
                    <w:t>95~106</w:t>
                  </w:r>
                </w:p>
              </w:tc>
              <w:tc>
                <w:tcPr>
                  <w:tcW w:w="1281" w:type="dxa"/>
                  <w:tcBorders>
                    <w:top w:val="single" w:color="auto" w:sz="4" w:space="0"/>
                    <w:left w:val="single" w:color="auto" w:sz="4" w:space="0"/>
                    <w:bottom w:val="single" w:color="auto" w:sz="12" w:space="0"/>
                    <w:right w:val="single" w:color="auto" w:sz="4" w:space="0"/>
                  </w:tcBorders>
                  <w:vAlign w:val="center"/>
                </w:tcPr>
                <w:p>
                  <w:pPr>
                    <w:jc w:val="center"/>
                    <w:rPr>
                      <w:rFonts w:hint="eastAsia" w:eastAsia="宋体"/>
                      <w:color w:val="FF0000"/>
                      <w:szCs w:val="21"/>
                      <w:highlight w:val="none"/>
                      <w:lang w:val="en-US" w:eastAsia="zh-CN"/>
                    </w:rPr>
                  </w:pPr>
                  <w:r>
                    <w:rPr>
                      <w:color w:val="FF0000"/>
                      <w:szCs w:val="21"/>
                      <w:highlight w:val="none"/>
                    </w:rPr>
                    <w:t>0.</w:t>
                  </w:r>
                  <w:r>
                    <w:rPr>
                      <w:rFonts w:hint="eastAsia"/>
                      <w:color w:val="FF0000"/>
                      <w:szCs w:val="21"/>
                      <w:highlight w:val="none"/>
                      <w:lang w:val="en-US" w:eastAsia="zh-CN"/>
                    </w:rPr>
                    <w:t>317</w:t>
                  </w:r>
                  <w:r>
                    <w:rPr>
                      <w:color w:val="FF0000"/>
                      <w:szCs w:val="21"/>
                      <w:highlight w:val="none"/>
                    </w:rPr>
                    <w:t>~0.</w:t>
                  </w:r>
                  <w:r>
                    <w:rPr>
                      <w:rFonts w:hint="eastAsia"/>
                      <w:color w:val="FF0000"/>
                      <w:szCs w:val="21"/>
                      <w:highlight w:val="none"/>
                    </w:rPr>
                    <w:t>35</w:t>
                  </w:r>
                  <w:r>
                    <w:rPr>
                      <w:rFonts w:hint="eastAsia"/>
                      <w:color w:val="FF0000"/>
                      <w:szCs w:val="21"/>
                      <w:highlight w:val="none"/>
                      <w:lang w:val="en-US" w:eastAsia="zh-CN"/>
                    </w:rPr>
                    <w:t>3</w:t>
                  </w:r>
                </w:p>
              </w:tc>
              <w:tc>
                <w:tcPr>
                  <w:tcW w:w="670"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FF0000"/>
                      <w:szCs w:val="21"/>
                      <w:highlight w:val="none"/>
                    </w:rPr>
                  </w:pPr>
                  <w:r>
                    <w:rPr>
                      <w:color w:val="FF0000"/>
                      <w:szCs w:val="21"/>
                      <w:highlight w:val="none"/>
                    </w:rPr>
                    <w:t>0</w:t>
                  </w:r>
                </w:p>
              </w:tc>
              <w:tc>
                <w:tcPr>
                  <w:tcW w:w="836" w:type="dxa"/>
                  <w:tcBorders>
                    <w:top w:val="single" w:color="auto" w:sz="4" w:space="0"/>
                    <w:left w:val="single" w:color="auto" w:sz="4" w:space="0"/>
                    <w:bottom w:val="single" w:color="auto" w:sz="12" w:space="0"/>
                    <w:right w:val="nil"/>
                  </w:tcBorders>
                  <w:vAlign w:val="center"/>
                </w:tcPr>
                <w:p>
                  <w:pPr>
                    <w:tabs>
                      <w:tab w:val="left" w:pos="3580"/>
                    </w:tabs>
                    <w:topLinePunct/>
                    <w:jc w:val="center"/>
                    <w:rPr>
                      <w:color w:val="FF0000"/>
                      <w:szCs w:val="21"/>
                      <w:highlight w:val="none"/>
                    </w:rPr>
                  </w:pPr>
                  <w:r>
                    <w:rPr>
                      <w:color w:val="FF0000"/>
                      <w:szCs w:val="21"/>
                      <w:highlight w:val="none"/>
                    </w:rPr>
                    <w:t>达标</w:t>
                  </w:r>
                </w:p>
              </w:tc>
            </w:tr>
          </w:tbl>
          <w:p>
            <w:pPr>
              <w:spacing w:line="500" w:lineRule="exact"/>
              <w:ind w:firstLine="480" w:firstLineChars="200"/>
              <w:rPr>
                <w:color w:val="FF0000"/>
                <w:sz w:val="24"/>
                <w:highlight w:val="none"/>
              </w:rPr>
            </w:pPr>
            <w:r>
              <w:rPr>
                <w:rFonts w:hint="eastAsia"/>
                <w:color w:val="FF0000"/>
                <w:sz w:val="24"/>
                <w:highlight w:val="none"/>
              </w:rPr>
              <w:t>根据检测结果，监测期间评价区域内环境空气中TSP24小时平均监测值满足《环境空气质量标准》（GB3095-2012）二级标准及修改单要求</w:t>
            </w:r>
            <w:r>
              <w:rPr>
                <w:color w:val="FF0000"/>
                <w:sz w:val="24"/>
                <w:highlight w:val="none"/>
              </w:rPr>
              <w:t>。</w:t>
            </w:r>
          </w:p>
          <w:p>
            <w:pPr>
              <w:pStyle w:val="9"/>
              <w:widowControl w:val="0"/>
              <w:snapToGrid/>
              <w:spacing w:before="0" w:after="0" w:line="500" w:lineRule="exact"/>
              <w:ind w:right="0" w:firstLine="482" w:firstLineChars="200"/>
              <w:rPr>
                <w:b/>
                <w:sz w:val="24"/>
                <w:szCs w:val="24"/>
              </w:rPr>
            </w:pPr>
            <w:r>
              <w:rPr>
                <w:rFonts w:hint="eastAsia"/>
                <w:b/>
                <w:sz w:val="24"/>
                <w:szCs w:val="24"/>
              </w:rPr>
              <w:t>2、</w:t>
            </w:r>
            <w:r>
              <w:rPr>
                <w:b/>
                <w:sz w:val="24"/>
                <w:szCs w:val="24"/>
              </w:rPr>
              <w:t>地表水环境</w:t>
            </w:r>
          </w:p>
          <w:p>
            <w:pPr>
              <w:pStyle w:val="107"/>
              <w:spacing w:line="500" w:lineRule="exact"/>
              <w:ind w:firstLine="482"/>
              <w:jc w:val="left"/>
              <w:rPr>
                <w:b w:val="0"/>
                <w:sz w:val="24"/>
                <w:szCs w:val="24"/>
              </w:rPr>
            </w:pPr>
            <w:r>
              <w:rPr>
                <w:rFonts w:hint="eastAsia"/>
                <w:b w:val="0"/>
                <w:sz w:val="24"/>
                <w:szCs w:val="24"/>
              </w:rPr>
              <w:t>本项目冷却水经冷却后循环利用不外排，</w:t>
            </w:r>
            <w:r>
              <w:rPr>
                <w:b w:val="0"/>
                <w:sz w:val="24"/>
                <w:szCs w:val="24"/>
              </w:rPr>
              <w:t>职工</w:t>
            </w:r>
            <w:r>
              <w:rPr>
                <w:rFonts w:hint="eastAsia"/>
                <w:b w:val="0"/>
                <w:sz w:val="24"/>
                <w:szCs w:val="24"/>
              </w:rPr>
              <w:t>盥洗废水就地泼洒抑尘不外排，项目</w:t>
            </w:r>
            <w:r>
              <w:rPr>
                <w:b w:val="0"/>
                <w:sz w:val="24"/>
                <w:szCs w:val="24"/>
              </w:rPr>
              <w:t>无废水直接排入地表水，因此未对区域地表水环境质量现状进行调查。</w:t>
            </w:r>
          </w:p>
          <w:p>
            <w:pPr>
              <w:pStyle w:val="9"/>
              <w:widowControl w:val="0"/>
              <w:snapToGrid/>
              <w:spacing w:before="0" w:after="0" w:line="500" w:lineRule="exact"/>
              <w:ind w:right="0" w:firstLine="482" w:firstLineChars="200"/>
              <w:rPr>
                <w:b/>
                <w:sz w:val="24"/>
                <w:szCs w:val="24"/>
              </w:rPr>
            </w:pPr>
            <w:r>
              <w:rPr>
                <w:rFonts w:hint="eastAsia"/>
                <w:b/>
                <w:sz w:val="24"/>
                <w:szCs w:val="24"/>
              </w:rPr>
              <w:t>3、</w:t>
            </w:r>
            <w:r>
              <w:rPr>
                <w:b/>
                <w:sz w:val="24"/>
                <w:szCs w:val="24"/>
              </w:rPr>
              <w:t>声环境质量现状</w:t>
            </w:r>
          </w:p>
          <w:p>
            <w:pPr>
              <w:pStyle w:val="9"/>
              <w:widowControl w:val="0"/>
              <w:snapToGrid/>
              <w:spacing w:before="0" w:after="0" w:line="500" w:lineRule="exact"/>
              <w:ind w:right="0" w:firstLine="480" w:firstLineChars="200"/>
              <w:rPr>
                <w:snapToGrid w:val="0"/>
                <w:sz w:val="24"/>
                <w:szCs w:val="24"/>
                <w:highlight w:val="none"/>
                <w:lang w:val="zh-CN"/>
              </w:rPr>
            </w:pPr>
            <w:r>
              <w:rPr>
                <w:rFonts w:hint="eastAsia"/>
                <w:bCs/>
                <w:sz w:val="24"/>
                <w:szCs w:val="24"/>
              </w:rPr>
              <w:t>本</w:t>
            </w:r>
            <w:r>
              <w:rPr>
                <w:bCs/>
                <w:sz w:val="24"/>
              </w:rPr>
              <w:t>项目所在</w:t>
            </w:r>
            <w:r>
              <w:rPr>
                <w:sz w:val="24"/>
              </w:rPr>
              <w:t>区域</w:t>
            </w:r>
            <w:r>
              <w:rPr>
                <w:bCs/>
                <w:sz w:val="24"/>
              </w:rPr>
              <w:t>声环境</w:t>
            </w:r>
            <w:r>
              <w:rPr>
                <w:bCs/>
                <w:sz w:val="24"/>
                <w:lang w:val="zh-CN"/>
              </w:rPr>
              <w:t>满足《声环境质量标准》（GB3096-2008）中</w:t>
            </w:r>
            <w:r>
              <w:rPr>
                <w:rFonts w:hint="eastAsia"/>
                <w:bCs/>
                <w:sz w:val="24"/>
              </w:rPr>
              <w:t>2</w:t>
            </w:r>
            <w:r>
              <w:rPr>
                <w:bCs/>
                <w:sz w:val="24"/>
                <w:lang w:val="zh-CN"/>
              </w:rPr>
              <w:t>类区标准要求</w:t>
            </w:r>
            <w:r>
              <w:rPr>
                <w:bCs/>
                <w:sz w:val="24"/>
              </w:rPr>
              <w:t>。</w:t>
            </w:r>
            <w:r>
              <w:rPr>
                <w:rFonts w:hint="eastAsia"/>
                <w:bCs/>
                <w:sz w:val="24"/>
                <w:szCs w:val="24"/>
              </w:rPr>
              <w:t>项目厂界50m范围内无声环境敏感点，不需要对声环境质量现状进行监测。</w:t>
            </w:r>
          </w:p>
          <w:p>
            <w:pPr>
              <w:pStyle w:val="9"/>
              <w:widowControl w:val="0"/>
              <w:snapToGrid/>
              <w:spacing w:before="0" w:after="0" w:line="500" w:lineRule="exact"/>
              <w:ind w:right="0" w:firstLine="482" w:firstLineChars="200"/>
              <w:rPr>
                <w:b/>
                <w:sz w:val="24"/>
                <w:szCs w:val="24"/>
                <w:highlight w:val="none"/>
              </w:rPr>
            </w:pPr>
            <w:r>
              <w:rPr>
                <w:rFonts w:hint="eastAsia"/>
                <w:b/>
                <w:sz w:val="24"/>
                <w:szCs w:val="24"/>
                <w:highlight w:val="none"/>
              </w:rPr>
              <w:t>4、</w:t>
            </w:r>
            <w:r>
              <w:rPr>
                <w:b/>
                <w:sz w:val="24"/>
                <w:szCs w:val="24"/>
                <w:highlight w:val="none"/>
              </w:rPr>
              <w:t>生态环境</w:t>
            </w:r>
          </w:p>
          <w:p>
            <w:pPr>
              <w:autoSpaceDE w:val="0"/>
              <w:autoSpaceDN w:val="0"/>
              <w:adjustRightInd w:val="0"/>
              <w:snapToGrid w:val="0"/>
              <w:spacing w:line="500" w:lineRule="exact"/>
              <w:ind w:firstLine="480" w:firstLineChars="200"/>
              <w:rPr>
                <w:snapToGrid w:val="0"/>
                <w:kern w:val="0"/>
                <w:sz w:val="24"/>
                <w:highlight w:val="none"/>
                <w:lang w:val="zh-CN"/>
              </w:rPr>
            </w:pPr>
            <w:r>
              <w:rPr>
                <w:sz w:val="24"/>
                <w:highlight w:val="none"/>
              </w:rPr>
              <w:t>本项目为</w:t>
            </w:r>
            <w:r>
              <w:rPr>
                <w:rFonts w:hint="eastAsia"/>
                <w:sz w:val="24"/>
                <w:highlight w:val="none"/>
              </w:rPr>
              <w:t>新建</w:t>
            </w:r>
            <w:r>
              <w:rPr>
                <w:sz w:val="24"/>
                <w:highlight w:val="none"/>
              </w:rPr>
              <w:t>项目，</w:t>
            </w:r>
            <w:r>
              <w:rPr>
                <w:rFonts w:hint="eastAsia"/>
                <w:sz w:val="24"/>
                <w:highlight w:val="none"/>
              </w:rPr>
              <w:t>项目租用现有建设用地</w:t>
            </w:r>
            <w:r>
              <w:rPr>
                <w:rFonts w:hint="eastAsia"/>
                <w:bCs/>
                <w:sz w:val="24"/>
                <w:highlight w:val="none"/>
              </w:rPr>
              <w:t>，</w:t>
            </w:r>
            <w:r>
              <w:rPr>
                <w:snapToGrid w:val="0"/>
                <w:kern w:val="0"/>
                <w:sz w:val="24"/>
                <w:highlight w:val="none"/>
              </w:rPr>
              <w:t>因此，不进行生态现状调查。</w:t>
            </w:r>
          </w:p>
          <w:p>
            <w:pPr>
              <w:pStyle w:val="9"/>
              <w:widowControl w:val="0"/>
              <w:snapToGrid/>
              <w:spacing w:before="0" w:after="0" w:line="500" w:lineRule="exact"/>
              <w:ind w:right="0" w:firstLine="482" w:firstLineChars="200"/>
              <w:rPr>
                <w:b/>
                <w:sz w:val="24"/>
                <w:szCs w:val="24"/>
                <w:highlight w:val="none"/>
              </w:rPr>
            </w:pPr>
            <w:r>
              <w:rPr>
                <w:rFonts w:hint="eastAsia"/>
                <w:b/>
                <w:sz w:val="24"/>
                <w:szCs w:val="24"/>
                <w:highlight w:val="none"/>
              </w:rPr>
              <w:t>5、</w:t>
            </w:r>
            <w:r>
              <w:rPr>
                <w:b/>
                <w:sz w:val="24"/>
                <w:szCs w:val="24"/>
                <w:highlight w:val="none"/>
              </w:rPr>
              <w:t>电磁辐射</w:t>
            </w:r>
          </w:p>
          <w:p>
            <w:pPr>
              <w:autoSpaceDE w:val="0"/>
              <w:autoSpaceDN w:val="0"/>
              <w:adjustRightInd w:val="0"/>
              <w:snapToGrid w:val="0"/>
              <w:spacing w:line="500" w:lineRule="exact"/>
              <w:ind w:firstLine="480" w:firstLineChars="200"/>
              <w:rPr>
                <w:snapToGrid w:val="0"/>
                <w:kern w:val="0"/>
                <w:sz w:val="24"/>
                <w:highlight w:val="none"/>
              </w:rPr>
            </w:pPr>
            <w:r>
              <w:rPr>
                <w:snapToGrid w:val="0"/>
                <w:kern w:val="0"/>
                <w:sz w:val="24"/>
                <w:highlight w:val="none"/>
              </w:rPr>
              <w:t>项目不属于电磁辐射类项目，因此不开展电磁辐射现状监测与评价。</w:t>
            </w:r>
          </w:p>
          <w:p>
            <w:pPr>
              <w:pStyle w:val="9"/>
              <w:widowControl w:val="0"/>
              <w:snapToGrid/>
              <w:spacing w:before="0" w:after="0" w:line="500" w:lineRule="exact"/>
              <w:ind w:right="0" w:firstLine="482" w:firstLineChars="200"/>
              <w:rPr>
                <w:b/>
                <w:sz w:val="24"/>
                <w:szCs w:val="24"/>
                <w:highlight w:val="none"/>
              </w:rPr>
            </w:pPr>
            <w:r>
              <w:rPr>
                <w:rFonts w:hint="eastAsia"/>
                <w:b/>
                <w:sz w:val="24"/>
                <w:szCs w:val="24"/>
                <w:highlight w:val="none"/>
              </w:rPr>
              <w:t>6、</w:t>
            </w:r>
            <w:r>
              <w:rPr>
                <w:b/>
                <w:sz w:val="24"/>
                <w:szCs w:val="24"/>
                <w:highlight w:val="none"/>
              </w:rPr>
              <w:t>地下水、土壤环境</w:t>
            </w:r>
          </w:p>
          <w:p>
            <w:pPr>
              <w:autoSpaceDE w:val="0"/>
              <w:autoSpaceDN w:val="0"/>
              <w:adjustRightInd w:val="0"/>
              <w:snapToGrid w:val="0"/>
              <w:spacing w:line="500" w:lineRule="exact"/>
              <w:ind w:firstLine="480" w:firstLineChars="200"/>
              <w:rPr>
                <w:szCs w:val="21"/>
              </w:rPr>
            </w:pPr>
            <w:r>
              <w:rPr>
                <w:snapToGrid w:val="0"/>
                <w:kern w:val="0"/>
                <w:sz w:val="24"/>
              </w:rPr>
              <w:t>项目</w:t>
            </w:r>
            <w:r>
              <w:rPr>
                <w:rFonts w:hint="eastAsia"/>
                <w:snapToGrid w:val="0"/>
                <w:kern w:val="0"/>
                <w:sz w:val="24"/>
              </w:rPr>
              <w:t>危废间、冷却循环水池、生产车间区域地面严格执行环评提出的分区防渗措施后，无</w:t>
            </w:r>
            <w:r>
              <w:rPr>
                <w:snapToGrid w:val="0"/>
                <w:kern w:val="0"/>
                <w:sz w:val="24"/>
              </w:rPr>
              <w:t>土壤、地下水环境污染途径，因此不开展环境质量现状调查</w:t>
            </w:r>
            <w:r>
              <w:rPr>
                <w:rFonts w:hint="eastAsia"/>
                <w:spacing w:val="4"/>
                <w:kern w:val="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kern w:val="0"/>
                <w:sz w:val="24"/>
              </w:rPr>
            </w:pPr>
            <w:r>
              <w:rPr>
                <w:kern w:val="0"/>
                <w:sz w:val="24"/>
              </w:rPr>
              <w:t>环境</w:t>
            </w:r>
          </w:p>
          <w:p>
            <w:pPr>
              <w:keepNext/>
              <w:widowControl/>
              <w:adjustRightInd w:val="0"/>
              <w:snapToGrid w:val="0"/>
              <w:spacing w:line="480" w:lineRule="exact"/>
              <w:jc w:val="center"/>
              <w:rPr>
                <w:kern w:val="0"/>
                <w:sz w:val="24"/>
              </w:rPr>
            </w:pPr>
            <w:r>
              <w:rPr>
                <w:kern w:val="0"/>
                <w:sz w:val="24"/>
              </w:rPr>
              <w:t>保护</w:t>
            </w:r>
          </w:p>
          <w:p>
            <w:pPr>
              <w:keepNext/>
              <w:widowControl/>
              <w:adjustRightInd w:val="0"/>
              <w:snapToGrid w:val="0"/>
              <w:spacing w:line="480" w:lineRule="exact"/>
              <w:jc w:val="center"/>
              <w:rPr>
                <w:kern w:val="0"/>
                <w:szCs w:val="21"/>
              </w:rPr>
            </w:pPr>
            <w:r>
              <w:rPr>
                <w:kern w:val="0"/>
                <w:sz w:val="24"/>
              </w:rPr>
              <w:t>目标</w:t>
            </w:r>
          </w:p>
        </w:tc>
        <w:tc>
          <w:tcPr>
            <w:tcW w:w="8544" w:type="dxa"/>
            <w:vAlign w:val="center"/>
          </w:tcPr>
          <w:p>
            <w:pPr>
              <w:spacing w:line="500" w:lineRule="exact"/>
              <w:ind w:firstLine="480" w:firstLineChars="200"/>
              <w:jc w:val="left"/>
              <w:rPr>
                <w:snapToGrid w:val="0"/>
                <w:kern w:val="0"/>
                <w:sz w:val="24"/>
              </w:rPr>
            </w:pPr>
            <w:r>
              <w:rPr>
                <w:snapToGrid w:val="0"/>
                <w:kern w:val="0"/>
                <w:sz w:val="24"/>
              </w:rPr>
              <w:t>本项目厂界外50米范围内没有声环境保护目标。本项目厂界外500米范围内没有地下集中式饮用水水源和热水、矿泉水、温泉等特殊地下水资源。本项目</w:t>
            </w:r>
            <w:r>
              <w:rPr>
                <w:rFonts w:hint="eastAsia"/>
                <w:snapToGrid w:val="0"/>
                <w:kern w:val="0"/>
                <w:sz w:val="24"/>
              </w:rPr>
              <w:t>位于</w:t>
            </w:r>
            <w:r>
              <w:rPr>
                <w:rFonts w:hint="eastAsia"/>
                <w:snapToGrid w:val="0"/>
                <w:kern w:val="0"/>
                <w:sz w:val="24"/>
                <w:szCs w:val="22"/>
                <w:lang w:eastAsia="zh-CN"/>
              </w:rPr>
              <w:t>河北省遵化市铁厂镇铁厂村</w:t>
            </w:r>
            <w:r>
              <w:rPr>
                <w:rFonts w:hint="eastAsia"/>
                <w:snapToGrid w:val="0"/>
                <w:kern w:val="0"/>
                <w:sz w:val="24"/>
                <w:szCs w:val="22"/>
              </w:rPr>
              <w:t>北</w:t>
            </w:r>
            <w:r>
              <w:rPr>
                <w:snapToGrid w:val="0"/>
                <w:kern w:val="0"/>
                <w:sz w:val="24"/>
              </w:rPr>
              <w:t>，根据工程性质和周围环境特征，确定环境保护目标和保护级别见下表。</w:t>
            </w:r>
          </w:p>
          <w:p>
            <w:pPr>
              <w:spacing w:line="500" w:lineRule="exact"/>
              <w:ind w:firstLine="480" w:firstLineChars="200"/>
              <w:jc w:val="left"/>
              <w:rPr>
                <w:snapToGrid w:val="0"/>
                <w:kern w:val="0"/>
                <w:sz w:val="24"/>
              </w:rPr>
            </w:pPr>
            <w:r>
              <w:rPr>
                <w:snapToGrid w:val="0"/>
                <w:kern w:val="0"/>
                <w:sz w:val="24"/>
              </w:rPr>
              <w:t>1、大气环境保护目标</w:t>
            </w:r>
          </w:p>
          <w:p>
            <w:pPr>
              <w:spacing w:line="500" w:lineRule="exact"/>
              <w:jc w:val="center"/>
              <w:rPr>
                <w:b/>
                <w:bCs/>
                <w:snapToGrid w:val="0"/>
                <w:kern w:val="0"/>
                <w:sz w:val="24"/>
              </w:rPr>
            </w:pPr>
            <w:r>
              <w:rPr>
                <w:b/>
                <w:bCs/>
                <w:snapToGrid w:val="0"/>
                <w:kern w:val="0"/>
                <w:sz w:val="24"/>
              </w:rPr>
              <w:t>表</w:t>
            </w:r>
            <w:r>
              <w:rPr>
                <w:rFonts w:hint="eastAsia"/>
                <w:b/>
                <w:bCs/>
                <w:snapToGrid w:val="0"/>
                <w:kern w:val="0"/>
                <w:sz w:val="24"/>
              </w:rPr>
              <w:t>2</w:t>
            </w:r>
            <w:r>
              <w:rPr>
                <w:rFonts w:hint="eastAsia"/>
                <w:b/>
                <w:bCs/>
                <w:snapToGrid w:val="0"/>
                <w:kern w:val="0"/>
                <w:sz w:val="24"/>
                <w:lang w:val="en-US" w:eastAsia="zh-CN"/>
              </w:rPr>
              <w:t xml:space="preserve">3   </w:t>
            </w:r>
            <w:r>
              <w:rPr>
                <w:b/>
                <w:bCs/>
                <w:snapToGrid w:val="0"/>
                <w:kern w:val="0"/>
                <w:sz w:val="24"/>
              </w:rPr>
              <w:t xml:space="preserve"> </w:t>
            </w:r>
            <w:r>
              <w:rPr>
                <w:rFonts w:hint="eastAsia"/>
                <w:b/>
                <w:bCs/>
                <w:snapToGrid w:val="0"/>
                <w:kern w:val="0"/>
                <w:sz w:val="24"/>
              </w:rPr>
              <w:t>大气</w:t>
            </w:r>
            <w:r>
              <w:rPr>
                <w:b/>
                <w:bCs/>
                <w:snapToGrid w:val="0"/>
                <w:kern w:val="0"/>
                <w:sz w:val="24"/>
              </w:rPr>
              <w:t>环境保护目标一览表</w:t>
            </w:r>
          </w:p>
          <w:tbl>
            <w:tblPr>
              <w:tblStyle w:val="32"/>
              <w:tblW w:w="83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16"/>
              <w:gridCol w:w="887"/>
              <w:gridCol w:w="804"/>
              <w:gridCol w:w="655"/>
              <w:gridCol w:w="709"/>
              <w:gridCol w:w="2147"/>
              <w:gridCol w:w="868"/>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vAlign w:val="center"/>
                </w:tcPr>
                <w:p>
                  <w:pPr>
                    <w:wordWrap w:val="0"/>
                    <w:jc w:val="center"/>
                  </w:pPr>
                  <w:r>
                    <w:t>环境要素</w:t>
                  </w:r>
                </w:p>
              </w:tc>
              <w:tc>
                <w:tcPr>
                  <w:tcW w:w="716" w:type="dxa"/>
                  <w:vMerge w:val="restart"/>
                  <w:tcBorders>
                    <w:tl2br w:val="nil"/>
                    <w:tr2bl w:val="nil"/>
                  </w:tcBorders>
                  <w:vAlign w:val="center"/>
                </w:tcPr>
                <w:p>
                  <w:pPr>
                    <w:wordWrap w:val="0"/>
                    <w:jc w:val="center"/>
                  </w:pPr>
                  <w:r>
                    <w:t>名称</w:t>
                  </w:r>
                </w:p>
              </w:tc>
              <w:tc>
                <w:tcPr>
                  <w:tcW w:w="1691" w:type="dxa"/>
                  <w:gridSpan w:val="2"/>
                  <w:tcBorders>
                    <w:tl2br w:val="nil"/>
                    <w:tr2bl w:val="nil"/>
                  </w:tcBorders>
                  <w:vAlign w:val="center"/>
                </w:tcPr>
                <w:p>
                  <w:pPr>
                    <w:wordWrap w:val="0"/>
                    <w:jc w:val="center"/>
                  </w:pPr>
                  <w:r>
                    <w:t>坐标/m</w:t>
                  </w:r>
                </w:p>
              </w:tc>
              <w:tc>
                <w:tcPr>
                  <w:tcW w:w="655" w:type="dxa"/>
                  <w:vMerge w:val="restart"/>
                  <w:tcBorders>
                    <w:tl2br w:val="nil"/>
                    <w:tr2bl w:val="nil"/>
                  </w:tcBorders>
                  <w:vAlign w:val="center"/>
                </w:tcPr>
                <w:p>
                  <w:pPr>
                    <w:wordWrap w:val="0"/>
                    <w:jc w:val="center"/>
                  </w:pPr>
                  <w:r>
                    <w:t>保护对象</w:t>
                  </w:r>
                </w:p>
              </w:tc>
              <w:tc>
                <w:tcPr>
                  <w:tcW w:w="709" w:type="dxa"/>
                  <w:vMerge w:val="restart"/>
                  <w:tcBorders>
                    <w:tl2br w:val="nil"/>
                    <w:tr2bl w:val="nil"/>
                  </w:tcBorders>
                  <w:vAlign w:val="center"/>
                </w:tcPr>
                <w:p>
                  <w:pPr>
                    <w:wordWrap w:val="0"/>
                    <w:jc w:val="center"/>
                  </w:pPr>
                  <w:r>
                    <w:t>保护内容</w:t>
                  </w:r>
                </w:p>
              </w:tc>
              <w:tc>
                <w:tcPr>
                  <w:tcW w:w="2147" w:type="dxa"/>
                  <w:vMerge w:val="restart"/>
                  <w:tcBorders>
                    <w:tl2br w:val="nil"/>
                    <w:tr2bl w:val="nil"/>
                  </w:tcBorders>
                  <w:vAlign w:val="center"/>
                </w:tcPr>
                <w:p>
                  <w:pPr>
                    <w:wordWrap w:val="0"/>
                    <w:jc w:val="center"/>
                  </w:pPr>
                  <w:r>
                    <w:t>环境功能区</w:t>
                  </w:r>
                </w:p>
              </w:tc>
              <w:tc>
                <w:tcPr>
                  <w:tcW w:w="868" w:type="dxa"/>
                  <w:vMerge w:val="restart"/>
                  <w:tcBorders>
                    <w:tl2br w:val="nil"/>
                    <w:tr2bl w:val="nil"/>
                  </w:tcBorders>
                  <w:vAlign w:val="center"/>
                </w:tcPr>
                <w:p>
                  <w:pPr>
                    <w:wordWrap w:val="0"/>
                    <w:jc w:val="center"/>
                  </w:pPr>
                  <w:r>
                    <w:t>相对厂址方位</w:t>
                  </w:r>
                </w:p>
              </w:tc>
              <w:tc>
                <w:tcPr>
                  <w:tcW w:w="897" w:type="dxa"/>
                  <w:vMerge w:val="restart"/>
                  <w:tcBorders>
                    <w:tl2br w:val="nil"/>
                    <w:tr2bl w:val="nil"/>
                  </w:tcBorders>
                  <w:vAlign w:val="center"/>
                </w:tcPr>
                <w:p>
                  <w:pPr>
                    <w:wordWrap w:val="0"/>
                    <w:jc w:val="center"/>
                  </w:pPr>
                  <w: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vAlign w:val="center"/>
                </w:tcPr>
                <w:p>
                  <w:pPr>
                    <w:wordWrap w:val="0"/>
                    <w:jc w:val="center"/>
                  </w:pPr>
                </w:p>
              </w:tc>
              <w:tc>
                <w:tcPr>
                  <w:tcW w:w="716" w:type="dxa"/>
                  <w:vMerge w:val="continue"/>
                  <w:tcBorders>
                    <w:tl2br w:val="nil"/>
                    <w:tr2bl w:val="nil"/>
                  </w:tcBorders>
                  <w:vAlign w:val="center"/>
                </w:tcPr>
                <w:p>
                  <w:pPr>
                    <w:wordWrap w:val="0"/>
                    <w:jc w:val="center"/>
                  </w:pPr>
                </w:p>
              </w:tc>
              <w:tc>
                <w:tcPr>
                  <w:tcW w:w="887" w:type="dxa"/>
                  <w:tcBorders>
                    <w:tl2br w:val="nil"/>
                    <w:tr2bl w:val="nil"/>
                  </w:tcBorders>
                  <w:vAlign w:val="center"/>
                </w:tcPr>
                <w:p>
                  <w:pPr>
                    <w:wordWrap w:val="0"/>
                    <w:jc w:val="center"/>
                  </w:pPr>
                  <w:r>
                    <w:t>东经/°</w:t>
                  </w:r>
                </w:p>
              </w:tc>
              <w:tc>
                <w:tcPr>
                  <w:tcW w:w="804" w:type="dxa"/>
                  <w:tcBorders>
                    <w:tl2br w:val="nil"/>
                    <w:tr2bl w:val="nil"/>
                  </w:tcBorders>
                  <w:vAlign w:val="center"/>
                </w:tcPr>
                <w:p>
                  <w:pPr>
                    <w:wordWrap w:val="0"/>
                    <w:jc w:val="center"/>
                  </w:pPr>
                  <w:r>
                    <w:t>北纬/°</w:t>
                  </w:r>
                </w:p>
              </w:tc>
              <w:tc>
                <w:tcPr>
                  <w:tcW w:w="655" w:type="dxa"/>
                  <w:vMerge w:val="continue"/>
                  <w:tcBorders>
                    <w:tl2br w:val="nil"/>
                    <w:tr2bl w:val="nil"/>
                  </w:tcBorders>
                  <w:vAlign w:val="center"/>
                </w:tcPr>
                <w:p>
                  <w:pPr>
                    <w:wordWrap w:val="0"/>
                    <w:jc w:val="center"/>
                  </w:pPr>
                </w:p>
              </w:tc>
              <w:tc>
                <w:tcPr>
                  <w:tcW w:w="709" w:type="dxa"/>
                  <w:vMerge w:val="continue"/>
                  <w:tcBorders>
                    <w:tl2br w:val="nil"/>
                    <w:tr2bl w:val="nil"/>
                  </w:tcBorders>
                  <w:vAlign w:val="center"/>
                </w:tcPr>
                <w:p>
                  <w:pPr>
                    <w:wordWrap w:val="0"/>
                    <w:jc w:val="center"/>
                  </w:pPr>
                </w:p>
              </w:tc>
              <w:tc>
                <w:tcPr>
                  <w:tcW w:w="2147" w:type="dxa"/>
                  <w:vMerge w:val="continue"/>
                  <w:tcBorders>
                    <w:tl2br w:val="nil"/>
                    <w:tr2bl w:val="nil"/>
                  </w:tcBorders>
                  <w:vAlign w:val="center"/>
                </w:tcPr>
                <w:p>
                  <w:pPr>
                    <w:wordWrap w:val="0"/>
                    <w:jc w:val="center"/>
                  </w:pPr>
                </w:p>
              </w:tc>
              <w:tc>
                <w:tcPr>
                  <w:tcW w:w="868" w:type="dxa"/>
                  <w:vMerge w:val="continue"/>
                  <w:tcBorders>
                    <w:tl2br w:val="nil"/>
                    <w:tr2bl w:val="nil"/>
                  </w:tcBorders>
                  <w:vAlign w:val="center"/>
                </w:tcPr>
                <w:p>
                  <w:pPr>
                    <w:wordWrap w:val="0"/>
                    <w:jc w:val="center"/>
                  </w:pPr>
                </w:p>
              </w:tc>
              <w:tc>
                <w:tcPr>
                  <w:tcW w:w="897" w:type="dxa"/>
                  <w:vMerge w:val="continue"/>
                  <w:tcBorders>
                    <w:tl2br w:val="nil"/>
                    <w:tr2bl w:val="nil"/>
                  </w:tcBorders>
                  <w:vAlign w:val="center"/>
                </w:tcPr>
                <w:p>
                  <w:pPr>
                    <w:wordWrap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pPr>
                  <w:r>
                    <w:t>环境空气</w:t>
                  </w:r>
                </w:p>
              </w:tc>
              <w:tc>
                <w:tcPr>
                  <w:tcW w:w="716" w:type="dxa"/>
                  <w:tcBorders>
                    <w:tl2br w:val="nil"/>
                    <w:tr2bl w:val="nil"/>
                  </w:tcBorders>
                  <w:vAlign w:val="center"/>
                </w:tcPr>
                <w:p>
                  <w:pPr>
                    <w:wordWrap w:val="0"/>
                    <w:jc w:val="center"/>
                  </w:pPr>
                  <w:r>
                    <w:rPr>
                      <w:rFonts w:hint="eastAsia"/>
                      <w:lang w:val="zh-CN"/>
                    </w:rPr>
                    <w:t>铁厂村</w:t>
                  </w:r>
                </w:p>
              </w:tc>
              <w:tc>
                <w:tcPr>
                  <w:tcW w:w="887" w:type="dxa"/>
                  <w:tcBorders>
                    <w:tl2br w:val="nil"/>
                    <w:tr2bl w:val="nil"/>
                  </w:tcBorders>
                  <w:vAlign w:val="center"/>
                </w:tcPr>
                <w:p>
                  <w:pPr>
                    <w:wordWrap w:val="0"/>
                    <w:jc w:val="center"/>
                    <w:rPr>
                      <w:rFonts w:hint="default" w:eastAsia="宋体"/>
                      <w:lang w:val="en-US" w:eastAsia="zh-CN"/>
                    </w:rPr>
                  </w:pPr>
                  <w:r>
                    <w:rPr>
                      <w:rFonts w:hint="eastAsia"/>
                      <w:lang w:val="en-US" w:eastAsia="zh-CN"/>
                    </w:rPr>
                    <w:t>118.182043</w:t>
                  </w:r>
                </w:p>
              </w:tc>
              <w:tc>
                <w:tcPr>
                  <w:tcW w:w="804" w:type="dxa"/>
                  <w:tcBorders>
                    <w:tl2br w:val="nil"/>
                    <w:tr2bl w:val="nil"/>
                  </w:tcBorders>
                  <w:vAlign w:val="center"/>
                </w:tcPr>
                <w:p>
                  <w:pPr>
                    <w:wordWrap w:val="0"/>
                    <w:jc w:val="center"/>
                    <w:rPr>
                      <w:rFonts w:hint="default" w:eastAsia="宋体"/>
                      <w:lang w:val="en-US" w:eastAsia="zh-CN"/>
                    </w:rPr>
                  </w:pPr>
                  <w:r>
                    <w:rPr>
                      <w:rFonts w:hint="eastAsia"/>
                      <w:lang w:val="en-US" w:eastAsia="zh-CN"/>
                    </w:rPr>
                    <w:t>40.060761</w:t>
                  </w:r>
                </w:p>
              </w:tc>
              <w:tc>
                <w:tcPr>
                  <w:tcW w:w="655" w:type="dxa"/>
                  <w:tcBorders>
                    <w:tl2br w:val="nil"/>
                    <w:tr2bl w:val="nil"/>
                  </w:tcBorders>
                  <w:vAlign w:val="center"/>
                </w:tcPr>
                <w:p>
                  <w:pPr>
                    <w:wordWrap w:val="0"/>
                    <w:jc w:val="center"/>
                    <w:rPr>
                      <w:color w:val="auto"/>
                    </w:rPr>
                  </w:pPr>
                  <w:r>
                    <w:rPr>
                      <w:color w:val="auto"/>
                    </w:rPr>
                    <w:t>居住区</w:t>
                  </w:r>
                </w:p>
              </w:tc>
              <w:tc>
                <w:tcPr>
                  <w:tcW w:w="709" w:type="dxa"/>
                  <w:tcBorders>
                    <w:tl2br w:val="nil"/>
                    <w:tr2bl w:val="nil"/>
                  </w:tcBorders>
                  <w:vAlign w:val="center"/>
                </w:tcPr>
                <w:p>
                  <w:pPr>
                    <w:wordWrap w:val="0"/>
                    <w:jc w:val="center"/>
                    <w:rPr>
                      <w:color w:val="auto"/>
                    </w:rPr>
                  </w:pPr>
                  <w:r>
                    <w:rPr>
                      <w:rFonts w:hint="eastAsia"/>
                      <w:color w:val="auto"/>
                      <w:lang w:val="en-US" w:eastAsia="zh-CN"/>
                    </w:rPr>
                    <w:t>2058</w:t>
                  </w:r>
                  <w:r>
                    <w:rPr>
                      <w:rFonts w:hint="eastAsia"/>
                      <w:color w:val="auto"/>
                    </w:rPr>
                    <w:t>人</w:t>
                  </w:r>
                </w:p>
              </w:tc>
              <w:tc>
                <w:tcPr>
                  <w:tcW w:w="2147" w:type="dxa"/>
                  <w:tcBorders>
                    <w:tl2br w:val="nil"/>
                    <w:tr2bl w:val="nil"/>
                  </w:tcBorders>
                  <w:vAlign w:val="center"/>
                </w:tcPr>
                <w:p>
                  <w:pPr>
                    <w:wordWrap w:val="0"/>
                    <w:jc w:val="center"/>
                  </w:pPr>
                  <w:r>
                    <w:t>《环境空气质量标准》(GB3095-2012)二级标准</w:t>
                  </w:r>
                </w:p>
              </w:tc>
              <w:tc>
                <w:tcPr>
                  <w:tcW w:w="868" w:type="dxa"/>
                  <w:tcBorders>
                    <w:tl2br w:val="nil"/>
                    <w:tr2bl w:val="nil"/>
                  </w:tcBorders>
                  <w:vAlign w:val="center"/>
                </w:tcPr>
                <w:p>
                  <w:pPr>
                    <w:wordWrap w:val="0"/>
                    <w:jc w:val="center"/>
                    <w:rPr>
                      <w:rFonts w:hint="default" w:eastAsia="宋体"/>
                      <w:lang w:val="en-US" w:eastAsia="zh-CN"/>
                    </w:rPr>
                  </w:pPr>
                  <w:r>
                    <w:rPr>
                      <w:rFonts w:hint="eastAsia"/>
                      <w:lang w:val="en-US" w:eastAsia="zh-CN"/>
                    </w:rPr>
                    <w:t>SE</w:t>
                  </w:r>
                </w:p>
              </w:tc>
              <w:tc>
                <w:tcPr>
                  <w:tcW w:w="897" w:type="dxa"/>
                  <w:tcBorders>
                    <w:tl2br w:val="nil"/>
                    <w:tr2bl w:val="nil"/>
                  </w:tcBorders>
                  <w:vAlign w:val="center"/>
                </w:tcPr>
                <w:p>
                  <w:pPr>
                    <w:wordWrap w:val="0"/>
                    <w:jc w:val="center"/>
                  </w:pPr>
                  <w:r>
                    <w:rPr>
                      <w:rFonts w:hint="eastAsia"/>
                      <w:lang w:val="en-US" w:eastAsia="zh-CN"/>
                    </w:rPr>
                    <w:t>403</w:t>
                  </w:r>
                  <w:r>
                    <w:rPr>
                      <w:rFonts w:hint="eastAsia"/>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pPr>
                  <w:r>
                    <w:rPr>
                      <w:rFonts w:hint="eastAsia"/>
                    </w:rPr>
                    <w:t>地下水</w:t>
                  </w:r>
                </w:p>
              </w:tc>
              <w:tc>
                <w:tcPr>
                  <w:tcW w:w="3062" w:type="dxa"/>
                  <w:gridSpan w:val="4"/>
                  <w:tcBorders>
                    <w:tl2br w:val="nil"/>
                    <w:tr2bl w:val="nil"/>
                  </w:tcBorders>
                  <w:vAlign w:val="center"/>
                </w:tcPr>
                <w:p>
                  <w:pPr>
                    <w:wordWrap w:val="0"/>
                    <w:jc w:val="center"/>
                  </w:pPr>
                  <w:r>
                    <w:rPr>
                      <w:rFonts w:hint="eastAsia"/>
                    </w:rPr>
                    <w:t>厂区占地范围内地下水</w:t>
                  </w:r>
                </w:p>
              </w:tc>
              <w:tc>
                <w:tcPr>
                  <w:tcW w:w="709" w:type="dxa"/>
                  <w:tcBorders>
                    <w:tl2br w:val="nil"/>
                    <w:tr2bl w:val="nil"/>
                  </w:tcBorders>
                  <w:vAlign w:val="center"/>
                </w:tcPr>
                <w:p>
                  <w:pPr>
                    <w:wordWrap w:val="0"/>
                    <w:jc w:val="center"/>
                  </w:pPr>
                  <w:r>
                    <w:rPr>
                      <w:rFonts w:hint="eastAsia"/>
                    </w:rPr>
                    <w:t>潜水</w:t>
                  </w:r>
                </w:p>
              </w:tc>
              <w:tc>
                <w:tcPr>
                  <w:tcW w:w="2147" w:type="dxa"/>
                  <w:tcBorders>
                    <w:tl2br w:val="nil"/>
                    <w:tr2bl w:val="nil"/>
                  </w:tcBorders>
                  <w:vAlign w:val="center"/>
                </w:tcPr>
                <w:p>
                  <w:pPr>
                    <w:wordWrap w:val="0"/>
                    <w:jc w:val="center"/>
                  </w:pPr>
                  <w:r>
                    <w:rPr>
                      <w:rFonts w:hint="eastAsia"/>
                    </w:rPr>
                    <w:t>《地下水质量标准》（GB/T14848-2017）</w:t>
                  </w:r>
                  <w:r>
                    <w:rPr>
                      <w:rFonts w:hint="eastAsia"/>
                    </w:rPr>
                    <w:fldChar w:fldCharType="begin"/>
                  </w:r>
                  <w:r>
                    <w:rPr>
                      <w:rFonts w:hint="eastAsia"/>
                    </w:rPr>
                    <w:instrText xml:space="preserve"> = 3 \* ROMAN \* MERGEFORMAT </w:instrText>
                  </w:r>
                  <w:r>
                    <w:rPr>
                      <w:rFonts w:hint="eastAsia"/>
                    </w:rPr>
                    <w:fldChar w:fldCharType="separate"/>
                  </w:r>
                  <w:r>
                    <w:rPr>
                      <w:rFonts w:hint="eastAsia"/>
                    </w:rPr>
                    <w:t>III</w:t>
                  </w:r>
                  <w:r>
                    <w:rPr>
                      <w:rFonts w:hint="eastAsia"/>
                    </w:rPr>
                    <w:fldChar w:fldCharType="end"/>
                  </w:r>
                  <w:r>
                    <w:rPr>
                      <w:rFonts w:hint="eastAsia"/>
                    </w:rPr>
                    <w:t>类</w:t>
                  </w:r>
                </w:p>
              </w:tc>
              <w:tc>
                <w:tcPr>
                  <w:tcW w:w="868" w:type="dxa"/>
                  <w:tcBorders>
                    <w:tl2br w:val="nil"/>
                    <w:tr2bl w:val="nil"/>
                  </w:tcBorders>
                  <w:vAlign w:val="center"/>
                </w:tcPr>
                <w:p>
                  <w:pPr>
                    <w:wordWrap w:val="0"/>
                    <w:jc w:val="center"/>
                  </w:pPr>
                  <w:r>
                    <w:rPr>
                      <w:rFonts w:hint="eastAsia"/>
                    </w:rPr>
                    <w:t>/</w:t>
                  </w:r>
                </w:p>
              </w:tc>
              <w:tc>
                <w:tcPr>
                  <w:tcW w:w="897" w:type="dxa"/>
                  <w:tcBorders>
                    <w:tl2br w:val="nil"/>
                    <w:tr2bl w:val="nil"/>
                  </w:tcBorders>
                  <w:vAlign w:val="center"/>
                </w:tcPr>
                <w:p>
                  <w:pPr>
                    <w:wordWrap w:val="0"/>
                    <w:jc w:val="center"/>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pPr>
                  <w:r>
                    <w:rPr>
                      <w:rFonts w:hint="eastAsia"/>
                    </w:rPr>
                    <w:t>土壤</w:t>
                  </w:r>
                </w:p>
              </w:tc>
              <w:tc>
                <w:tcPr>
                  <w:tcW w:w="3062" w:type="dxa"/>
                  <w:gridSpan w:val="4"/>
                  <w:tcBorders>
                    <w:tl2br w:val="nil"/>
                    <w:tr2bl w:val="nil"/>
                  </w:tcBorders>
                  <w:vAlign w:val="center"/>
                </w:tcPr>
                <w:p>
                  <w:pPr>
                    <w:wordWrap w:val="0"/>
                    <w:jc w:val="center"/>
                  </w:pPr>
                  <w:r>
                    <w:rPr>
                      <w:rFonts w:hint="eastAsia"/>
                    </w:rPr>
                    <w:t>项目占地区域</w:t>
                  </w:r>
                </w:p>
              </w:tc>
              <w:tc>
                <w:tcPr>
                  <w:tcW w:w="709" w:type="dxa"/>
                  <w:tcBorders>
                    <w:tl2br w:val="nil"/>
                    <w:tr2bl w:val="nil"/>
                  </w:tcBorders>
                  <w:vAlign w:val="center"/>
                </w:tcPr>
                <w:p>
                  <w:pPr>
                    <w:wordWrap w:val="0"/>
                    <w:jc w:val="center"/>
                  </w:pPr>
                  <w:r>
                    <w:rPr>
                      <w:rFonts w:hint="eastAsia"/>
                    </w:rPr>
                    <w:t>土壤</w:t>
                  </w:r>
                </w:p>
              </w:tc>
              <w:tc>
                <w:tcPr>
                  <w:tcW w:w="2147" w:type="dxa"/>
                  <w:tcBorders>
                    <w:tl2br w:val="nil"/>
                    <w:tr2bl w:val="nil"/>
                  </w:tcBorders>
                  <w:vAlign w:val="center"/>
                </w:tcPr>
                <w:p>
                  <w:pPr>
                    <w:wordWrap w:val="0"/>
                    <w:jc w:val="center"/>
                  </w:pPr>
                  <w:r>
                    <w:rPr>
                      <w:rFonts w:hint="eastAsia"/>
                    </w:rPr>
                    <w:t>《土壤环境质量 建设用地土壤污染风险管控标准（试行）》(GB36600-2018)表1第二类用地筛选值</w:t>
                  </w:r>
                </w:p>
              </w:tc>
              <w:tc>
                <w:tcPr>
                  <w:tcW w:w="868" w:type="dxa"/>
                  <w:tcBorders>
                    <w:tl2br w:val="nil"/>
                    <w:tr2bl w:val="nil"/>
                  </w:tcBorders>
                  <w:vAlign w:val="center"/>
                </w:tcPr>
                <w:p>
                  <w:pPr>
                    <w:wordWrap w:val="0"/>
                    <w:jc w:val="center"/>
                  </w:pPr>
                  <w:r>
                    <w:rPr>
                      <w:rFonts w:hint="eastAsia"/>
                    </w:rPr>
                    <w:t>/</w:t>
                  </w:r>
                </w:p>
              </w:tc>
              <w:tc>
                <w:tcPr>
                  <w:tcW w:w="897" w:type="dxa"/>
                  <w:tcBorders>
                    <w:tl2br w:val="nil"/>
                    <w:tr2bl w:val="nil"/>
                  </w:tcBorders>
                  <w:vAlign w:val="center"/>
                </w:tcPr>
                <w:p>
                  <w:pPr>
                    <w:wordWrap w:val="0"/>
                    <w:jc w:val="center"/>
                  </w:pPr>
                  <w:r>
                    <w:rPr>
                      <w:rFonts w:hint="eastAsia"/>
                    </w:rPr>
                    <w:t>/</w:t>
                  </w:r>
                </w:p>
              </w:tc>
            </w:tr>
          </w:tbl>
          <w:p>
            <w:pPr>
              <w:spacing w:line="500" w:lineRule="exact"/>
              <w:ind w:firstLine="480" w:firstLineChars="200"/>
              <w:jc w:val="left"/>
              <w:rPr>
                <w:snapToGrid w:val="0"/>
                <w:kern w:val="0"/>
                <w:sz w:val="24"/>
              </w:rPr>
            </w:pPr>
            <w:r>
              <w:rPr>
                <w:snapToGrid w:val="0"/>
                <w:kern w:val="0"/>
                <w:sz w:val="24"/>
              </w:rPr>
              <w:t>2、声环境保护目标</w:t>
            </w:r>
          </w:p>
          <w:p>
            <w:pPr>
              <w:spacing w:line="500" w:lineRule="exact"/>
              <w:ind w:firstLine="480" w:firstLineChars="200"/>
              <w:jc w:val="left"/>
              <w:rPr>
                <w:snapToGrid w:val="0"/>
                <w:kern w:val="0"/>
                <w:sz w:val="24"/>
              </w:rPr>
            </w:pPr>
            <w:r>
              <w:rPr>
                <w:snapToGrid w:val="0"/>
                <w:kern w:val="0"/>
                <w:sz w:val="24"/>
              </w:rPr>
              <w:t>建设项目厂界外50米范围内无声环境保护目标。</w:t>
            </w:r>
          </w:p>
          <w:p>
            <w:pPr>
              <w:spacing w:line="500" w:lineRule="exact"/>
              <w:ind w:firstLine="480" w:firstLineChars="200"/>
              <w:jc w:val="left"/>
              <w:rPr>
                <w:snapToGrid w:val="0"/>
                <w:kern w:val="0"/>
                <w:sz w:val="24"/>
              </w:rPr>
            </w:pPr>
            <w:r>
              <w:rPr>
                <w:snapToGrid w:val="0"/>
                <w:kern w:val="0"/>
                <w:sz w:val="24"/>
              </w:rPr>
              <w:t>3、地下水环境保护目标</w:t>
            </w:r>
          </w:p>
          <w:p>
            <w:pPr>
              <w:spacing w:line="500" w:lineRule="exact"/>
              <w:ind w:firstLine="480" w:firstLineChars="200"/>
              <w:jc w:val="left"/>
              <w:rPr>
                <w:snapToGrid w:val="0"/>
                <w:kern w:val="0"/>
                <w:sz w:val="24"/>
              </w:rPr>
            </w:pPr>
            <w:r>
              <w:rPr>
                <w:snapToGrid w:val="0"/>
                <w:kern w:val="0"/>
                <w:sz w:val="24"/>
              </w:rPr>
              <w:t>本项目厂界外500米范围内无地下水集中式饮用水水源和热水、矿泉水、温泉等特殊地下水资源等地下水环境保护目标</w:t>
            </w:r>
            <w:r>
              <w:rPr>
                <w:rFonts w:hint="eastAsia"/>
                <w:snapToGrid w:val="0"/>
                <w:kern w:val="0"/>
                <w:sz w:val="24"/>
              </w:rPr>
              <w:t>，项目地下水保护目标为项目厂区范围内地下水环境</w:t>
            </w:r>
            <w:r>
              <w:rPr>
                <w:snapToGrid w:val="0"/>
                <w:kern w:val="0"/>
                <w:sz w:val="24"/>
              </w:rPr>
              <w:t>。</w:t>
            </w:r>
          </w:p>
          <w:p>
            <w:pPr>
              <w:spacing w:line="500" w:lineRule="exact"/>
              <w:ind w:firstLine="480" w:firstLineChars="200"/>
              <w:jc w:val="left"/>
              <w:rPr>
                <w:snapToGrid w:val="0"/>
                <w:kern w:val="0"/>
                <w:sz w:val="24"/>
                <w:highlight w:val="none"/>
              </w:rPr>
            </w:pPr>
            <w:r>
              <w:rPr>
                <w:snapToGrid w:val="0"/>
                <w:kern w:val="0"/>
                <w:sz w:val="24"/>
              </w:rPr>
              <w:t>4、生态环境保</w:t>
            </w:r>
            <w:r>
              <w:rPr>
                <w:snapToGrid w:val="0"/>
                <w:kern w:val="0"/>
                <w:sz w:val="24"/>
                <w:highlight w:val="none"/>
              </w:rPr>
              <w:t>护目标</w:t>
            </w:r>
          </w:p>
          <w:p>
            <w:pPr>
              <w:spacing w:line="500" w:lineRule="exact"/>
              <w:ind w:firstLine="480" w:firstLineChars="200"/>
              <w:jc w:val="left"/>
              <w:rPr>
                <w:snapToGrid w:val="0"/>
                <w:kern w:val="0"/>
                <w:sz w:val="24"/>
                <w:highlight w:val="none"/>
              </w:rPr>
            </w:pPr>
            <w:r>
              <w:rPr>
                <w:rFonts w:hint="eastAsia"/>
                <w:sz w:val="24"/>
                <w:highlight w:val="none"/>
              </w:rPr>
              <w:t>项目租用现有建设用地进行建设</w:t>
            </w:r>
            <w:r>
              <w:rPr>
                <w:snapToGrid w:val="0"/>
                <w:kern w:val="0"/>
                <w:sz w:val="24"/>
                <w:highlight w:val="none"/>
              </w:rPr>
              <w:t>，占地范围内无生态保护目标</w:t>
            </w:r>
            <w:r>
              <w:rPr>
                <w:rFonts w:hint="eastAsia"/>
                <w:snapToGrid w:val="0"/>
                <w:kern w:val="0"/>
                <w:sz w:val="24"/>
                <w:highlight w:val="none"/>
              </w:rPr>
              <w:t>。</w:t>
            </w:r>
          </w:p>
          <w:p>
            <w:pPr>
              <w:spacing w:line="500" w:lineRule="exact"/>
              <w:ind w:firstLine="480" w:firstLineChars="200"/>
              <w:jc w:val="left"/>
              <w:rPr>
                <w:snapToGrid w:val="0"/>
                <w:kern w:val="0"/>
                <w:sz w:val="24"/>
                <w:highlight w:val="none"/>
              </w:rPr>
            </w:pPr>
          </w:p>
          <w:p>
            <w:pPr>
              <w:spacing w:line="500" w:lineRule="exact"/>
              <w:ind w:firstLine="480" w:firstLineChars="200"/>
              <w:jc w:val="left"/>
              <w:rPr>
                <w:snapToGrid w:val="0"/>
                <w:kern w:val="0"/>
                <w:sz w:val="24"/>
                <w:highlight w:val="none"/>
              </w:rPr>
            </w:pPr>
          </w:p>
          <w:p>
            <w:pPr>
              <w:spacing w:line="500" w:lineRule="exact"/>
              <w:ind w:firstLine="480" w:firstLineChars="200"/>
              <w:jc w:val="left"/>
              <w:rPr>
                <w:snapToGrid w:val="0"/>
                <w:kern w:val="0"/>
                <w:sz w:val="24"/>
              </w:rPr>
            </w:pPr>
          </w:p>
          <w:p>
            <w:pPr>
              <w:spacing w:line="500" w:lineRule="exact"/>
              <w:ind w:firstLine="480" w:firstLineChars="200"/>
              <w:jc w:val="left"/>
              <w:rPr>
                <w:snapToGrid w:val="0"/>
                <w:kern w:val="0"/>
                <w:sz w:val="24"/>
                <w:highlight w:val="none"/>
              </w:rPr>
            </w:pPr>
          </w:p>
          <w:p>
            <w:pPr>
              <w:spacing w:line="500" w:lineRule="exact"/>
              <w:ind w:firstLine="480" w:firstLineChars="200"/>
              <w:jc w:val="left"/>
              <w:rPr>
                <w:snapToGrid w:val="0"/>
                <w:kern w:val="0"/>
                <w:sz w:val="24"/>
              </w:rPr>
            </w:pPr>
          </w:p>
          <w:p>
            <w:pPr>
              <w:spacing w:line="500" w:lineRule="exact"/>
              <w:ind w:firstLine="480" w:firstLineChars="200"/>
              <w:jc w:val="left"/>
              <w:rPr>
                <w:snapToGrid w:val="0"/>
                <w:kern w:val="0"/>
                <w:sz w:val="24"/>
                <w:highlight w:val="none"/>
              </w:rPr>
            </w:pPr>
          </w:p>
          <w:p>
            <w:pPr>
              <w:spacing w:line="500" w:lineRule="exact"/>
              <w:ind w:firstLine="480" w:firstLineChars="200"/>
              <w:jc w:val="left"/>
              <w:rPr>
                <w:snapToGrid w:val="0"/>
                <w:kern w:val="0"/>
                <w:sz w:val="24"/>
              </w:rPr>
            </w:pPr>
          </w:p>
          <w:p>
            <w:pPr>
              <w:spacing w:line="500" w:lineRule="exact"/>
              <w:ind w:firstLine="480" w:firstLineChars="200"/>
              <w:jc w:val="left"/>
              <w:rPr>
                <w:snapToGrid w:val="0"/>
                <w:kern w:val="0"/>
                <w:sz w:val="24"/>
              </w:rPr>
            </w:pPr>
          </w:p>
          <w:p>
            <w:pPr>
              <w:spacing w:line="500" w:lineRule="exact"/>
              <w:ind w:firstLine="480" w:firstLineChars="200"/>
              <w:jc w:val="left"/>
              <w:rPr>
                <w:snapToGrid w:val="0"/>
                <w:kern w:val="0"/>
                <w:sz w:val="24"/>
              </w:rPr>
            </w:pPr>
          </w:p>
          <w:p>
            <w:pPr>
              <w:spacing w:line="500" w:lineRule="exact"/>
              <w:jc w:val="left"/>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tcMar>
              <w:left w:w="28" w:type="dxa"/>
              <w:right w:w="28" w:type="dxa"/>
            </w:tcMar>
            <w:vAlign w:val="center"/>
          </w:tcPr>
          <w:p>
            <w:pPr>
              <w:keepNext/>
              <w:widowControl/>
              <w:adjustRightInd w:val="0"/>
              <w:snapToGrid w:val="0"/>
              <w:spacing w:line="480" w:lineRule="exact"/>
              <w:jc w:val="center"/>
              <w:rPr>
                <w:kern w:val="0"/>
                <w:sz w:val="24"/>
              </w:rPr>
            </w:pPr>
            <w:r>
              <w:rPr>
                <w:kern w:val="0"/>
                <w:sz w:val="24"/>
              </w:rPr>
              <w:t>污染</w:t>
            </w:r>
          </w:p>
          <w:p>
            <w:pPr>
              <w:keepNext/>
              <w:widowControl/>
              <w:adjustRightInd w:val="0"/>
              <w:snapToGrid w:val="0"/>
              <w:spacing w:line="480" w:lineRule="exact"/>
              <w:jc w:val="center"/>
              <w:rPr>
                <w:kern w:val="0"/>
                <w:sz w:val="24"/>
              </w:rPr>
            </w:pPr>
            <w:r>
              <w:rPr>
                <w:kern w:val="0"/>
                <w:sz w:val="24"/>
              </w:rPr>
              <w:t>物排</w:t>
            </w:r>
          </w:p>
          <w:p>
            <w:pPr>
              <w:keepNext/>
              <w:widowControl/>
              <w:adjustRightInd w:val="0"/>
              <w:snapToGrid w:val="0"/>
              <w:spacing w:line="480" w:lineRule="exact"/>
              <w:jc w:val="center"/>
              <w:rPr>
                <w:kern w:val="0"/>
                <w:sz w:val="24"/>
              </w:rPr>
            </w:pPr>
            <w:r>
              <w:rPr>
                <w:kern w:val="0"/>
                <w:sz w:val="24"/>
              </w:rPr>
              <w:t>放控</w:t>
            </w:r>
          </w:p>
          <w:p>
            <w:pPr>
              <w:keepNext/>
              <w:widowControl/>
              <w:adjustRightInd w:val="0"/>
              <w:snapToGrid w:val="0"/>
              <w:spacing w:line="480" w:lineRule="exact"/>
              <w:jc w:val="center"/>
              <w:rPr>
                <w:kern w:val="0"/>
                <w:sz w:val="24"/>
              </w:rPr>
            </w:pPr>
            <w:r>
              <w:rPr>
                <w:kern w:val="0"/>
                <w:sz w:val="24"/>
              </w:rPr>
              <w:t>制标</w:t>
            </w:r>
          </w:p>
          <w:p>
            <w:pPr>
              <w:keepNext/>
              <w:widowControl/>
              <w:adjustRightInd w:val="0"/>
              <w:snapToGrid w:val="0"/>
              <w:spacing w:line="480" w:lineRule="exact"/>
              <w:jc w:val="center"/>
              <w:rPr>
                <w:kern w:val="0"/>
                <w:szCs w:val="21"/>
              </w:rPr>
            </w:pPr>
            <w:r>
              <w:rPr>
                <w:kern w:val="0"/>
                <w:sz w:val="24"/>
              </w:rPr>
              <w:t>准</w:t>
            </w:r>
          </w:p>
        </w:tc>
        <w:tc>
          <w:tcPr>
            <w:tcW w:w="8544" w:type="dxa"/>
            <w:vAlign w:val="center"/>
          </w:tcPr>
          <w:p>
            <w:pPr>
              <w:adjustRightInd w:val="0"/>
              <w:snapToGrid w:val="0"/>
              <w:spacing w:line="480" w:lineRule="exact"/>
              <w:ind w:firstLine="482" w:firstLineChars="200"/>
              <w:textAlignment w:val="baseline"/>
              <w:rPr>
                <w:b/>
                <w:sz w:val="24"/>
              </w:rPr>
            </w:pPr>
            <w:bookmarkStart w:id="17" w:name="OLE_LINK74"/>
            <w:bookmarkStart w:id="18" w:name="OLE_LINK56"/>
            <w:r>
              <w:rPr>
                <w:rFonts w:hint="eastAsia"/>
                <w:b/>
                <w:sz w:val="24"/>
              </w:rPr>
              <w:t>1废气排放标准</w:t>
            </w:r>
          </w:p>
          <w:p>
            <w:pPr>
              <w:pStyle w:val="42"/>
              <w:spacing w:line="480" w:lineRule="exact"/>
              <w:ind w:firstLine="482" w:firstLineChars="200"/>
              <w:rPr>
                <w:rFonts w:ascii="Times New Roman" w:eastAsia="宋体" w:cs="Times New Roman"/>
                <w:b/>
                <w:bCs/>
                <w:color w:val="auto"/>
              </w:rPr>
            </w:pPr>
            <w:r>
              <w:rPr>
                <w:rFonts w:hint="eastAsia" w:ascii="Times New Roman" w:eastAsia="宋体" w:cs="Times New Roman"/>
                <w:b/>
                <w:bCs/>
                <w:color w:val="auto"/>
              </w:rPr>
              <w:t>（1）施工期</w:t>
            </w:r>
          </w:p>
          <w:p>
            <w:pPr>
              <w:pStyle w:val="42"/>
              <w:spacing w:line="480" w:lineRule="exact"/>
              <w:ind w:firstLine="480" w:firstLineChars="200"/>
              <w:rPr>
                <w:rFonts w:ascii="Times New Roman" w:eastAsia="宋体" w:cs="Times New Roman"/>
                <w:color w:val="auto"/>
              </w:rPr>
            </w:pPr>
            <w:r>
              <w:rPr>
                <w:rFonts w:ascii="Times New Roman" w:eastAsia="宋体" w:cs="Times New Roman"/>
                <w:color w:val="auto"/>
              </w:rPr>
              <w:t>施工期扬尘排放执行《施工场地扬尘排放标准》（DB13/2934—2019）规定的浓度限值，具体标准值见下表。</w:t>
            </w:r>
          </w:p>
          <w:p>
            <w:pPr>
              <w:tabs>
                <w:tab w:val="left" w:pos="0"/>
                <w:tab w:val="left" w:pos="1020"/>
              </w:tabs>
              <w:spacing w:line="480" w:lineRule="exact"/>
              <w:ind w:firstLine="2650" w:firstLineChars="1100"/>
              <w:rPr>
                <w:b/>
                <w:bCs/>
                <w:sz w:val="24"/>
              </w:rPr>
            </w:pPr>
            <w:r>
              <w:rPr>
                <w:b/>
                <w:bCs/>
                <w:sz w:val="24"/>
              </w:rPr>
              <w:t>表</w:t>
            </w:r>
            <w:r>
              <w:rPr>
                <w:rFonts w:hint="eastAsia"/>
                <w:b/>
                <w:bCs/>
                <w:sz w:val="24"/>
              </w:rPr>
              <w:t>2</w:t>
            </w:r>
            <w:r>
              <w:rPr>
                <w:rFonts w:hint="eastAsia"/>
                <w:b/>
                <w:bCs/>
                <w:sz w:val="24"/>
                <w:lang w:val="en-US" w:eastAsia="zh-CN"/>
              </w:rPr>
              <w:t>4</w:t>
            </w:r>
            <w:r>
              <w:rPr>
                <w:b/>
                <w:bCs/>
                <w:sz w:val="24"/>
              </w:rPr>
              <w:t xml:space="preserve">   扬尘排放浓度限值</w:t>
            </w:r>
          </w:p>
          <w:tbl>
            <w:tblPr>
              <w:tblStyle w:val="32"/>
              <w:tblW w:w="83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3053"/>
              <w:gridCol w:w="3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vAlign w:val="center"/>
                </w:tcPr>
                <w:p>
                  <w:pPr>
                    <w:pStyle w:val="15"/>
                    <w:ind w:left="0" w:right="0" w:firstLine="0"/>
                    <w:jc w:val="center"/>
                    <w:rPr>
                      <w:sz w:val="21"/>
                      <w:szCs w:val="21"/>
                    </w:rPr>
                  </w:pPr>
                  <w:r>
                    <w:rPr>
                      <w:sz w:val="21"/>
                      <w:szCs w:val="21"/>
                    </w:rPr>
                    <w:t>控制项目</w:t>
                  </w:r>
                </w:p>
              </w:tc>
              <w:tc>
                <w:tcPr>
                  <w:tcW w:w="3053" w:type="dxa"/>
                  <w:vAlign w:val="center"/>
                </w:tcPr>
                <w:p>
                  <w:pPr>
                    <w:pStyle w:val="15"/>
                    <w:ind w:left="0" w:right="0" w:firstLine="0"/>
                    <w:jc w:val="center"/>
                    <w:rPr>
                      <w:sz w:val="21"/>
                      <w:szCs w:val="21"/>
                    </w:rPr>
                  </w:pPr>
                  <w:r>
                    <w:rPr>
                      <w:sz w:val="21"/>
                      <w:szCs w:val="21"/>
                    </w:rPr>
                    <w:t>监测点浓度限值</w:t>
                  </w:r>
                  <w:r>
                    <w:rPr>
                      <w:rFonts w:hint="eastAsia"/>
                      <w:kern w:val="0"/>
                      <w:sz w:val="21"/>
                      <w:szCs w:val="21"/>
                      <w:vertAlign w:val="superscript"/>
                      <w:lang w:bidi="ar"/>
                    </w:rPr>
                    <w:t>a</w:t>
                  </w:r>
                  <w:r>
                    <w:rPr>
                      <w:sz w:val="21"/>
                      <w:szCs w:val="21"/>
                    </w:rPr>
                    <w:t>（µg/m</w:t>
                  </w:r>
                  <w:r>
                    <w:rPr>
                      <w:sz w:val="21"/>
                      <w:szCs w:val="21"/>
                      <w:vertAlign w:val="superscript"/>
                    </w:rPr>
                    <w:t>3</w:t>
                  </w:r>
                  <w:r>
                    <w:rPr>
                      <w:sz w:val="21"/>
                      <w:szCs w:val="21"/>
                    </w:rPr>
                    <w:t xml:space="preserve"> ）</w:t>
                  </w:r>
                </w:p>
              </w:tc>
              <w:tc>
                <w:tcPr>
                  <w:tcW w:w="3082" w:type="dxa"/>
                  <w:tcBorders>
                    <w:right w:val="nil"/>
                  </w:tcBorders>
                  <w:vAlign w:val="center"/>
                </w:tcPr>
                <w:p>
                  <w:pPr>
                    <w:pStyle w:val="15"/>
                    <w:ind w:left="0" w:right="0" w:firstLine="0"/>
                    <w:jc w:val="center"/>
                    <w:rPr>
                      <w:sz w:val="21"/>
                      <w:szCs w:val="21"/>
                    </w:rPr>
                  </w:pPr>
                  <w:r>
                    <w:rPr>
                      <w:sz w:val="21"/>
                      <w:szCs w:val="21"/>
                    </w:rPr>
                    <w:t>达标判定依据（次/天）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tcBorders>
                    <w:left w:val="nil"/>
                  </w:tcBorders>
                  <w:vAlign w:val="center"/>
                </w:tcPr>
                <w:p>
                  <w:pPr>
                    <w:pStyle w:val="15"/>
                    <w:ind w:left="0" w:right="0" w:firstLine="0"/>
                    <w:jc w:val="center"/>
                    <w:rPr>
                      <w:sz w:val="21"/>
                      <w:szCs w:val="21"/>
                    </w:rPr>
                  </w:pPr>
                  <w:r>
                    <w:rPr>
                      <w:rFonts w:hint="eastAsia"/>
                      <w:sz w:val="21"/>
                      <w:szCs w:val="21"/>
                    </w:rPr>
                    <w:t>PM</w:t>
                  </w:r>
                  <w:r>
                    <w:rPr>
                      <w:rFonts w:hint="eastAsia"/>
                      <w:sz w:val="21"/>
                      <w:szCs w:val="21"/>
                      <w:vertAlign w:val="subscript"/>
                    </w:rPr>
                    <w:t>10</w:t>
                  </w:r>
                </w:p>
              </w:tc>
              <w:tc>
                <w:tcPr>
                  <w:tcW w:w="3053" w:type="dxa"/>
                  <w:vAlign w:val="center"/>
                </w:tcPr>
                <w:p>
                  <w:pPr>
                    <w:pStyle w:val="15"/>
                    <w:ind w:left="0" w:right="0" w:firstLine="0"/>
                    <w:jc w:val="center"/>
                    <w:rPr>
                      <w:sz w:val="21"/>
                      <w:szCs w:val="21"/>
                    </w:rPr>
                  </w:pPr>
                  <w:r>
                    <w:rPr>
                      <w:sz w:val="21"/>
                      <w:szCs w:val="21"/>
                    </w:rPr>
                    <w:t>80</w:t>
                  </w:r>
                </w:p>
              </w:tc>
              <w:tc>
                <w:tcPr>
                  <w:tcW w:w="3082" w:type="dxa"/>
                  <w:tcBorders>
                    <w:right w:val="nil"/>
                  </w:tcBorders>
                  <w:vAlign w:val="center"/>
                </w:tcPr>
                <w:p>
                  <w:pPr>
                    <w:pStyle w:val="15"/>
                    <w:ind w:left="0" w:right="0" w:firstLine="0"/>
                    <w:jc w:val="center"/>
                    <w:rPr>
                      <w:sz w:val="21"/>
                      <w:szCs w:val="21"/>
                    </w:rPr>
                  </w:pPr>
                  <w:r>
                    <w:rPr>
                      <w:sz w:val="21"/>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6" w:type="dxa"/>
                  <w:gridSpan w:val="3"/>
                  <w:tcBorders>
                    <w:left w:val="nil"/>
                    <w:right w:val="nil"/>
                  </w:tcBorders>
                  <w:vAlign w:val="center"/>
                </w:tcPr>
                <w:p>
                  <w:pPr>
                    <w:widowControl/>
                    <w:jc w:val="left"/>
                    <w:rPr>
                      <w:szCs w:val="21"/>
                    </w:rPr>
                  </w:pPr>
                  <w:r>
                    <w:rPr>
                      <w:rFonts w:hint="eastAsia"/>
                      <w:kern w:val="0"/>
                      <w:szCs w:val="21"/>
                      <w:vertAlign w:val="superscript"/>
                      <w:lang w:bidi="ar"/>
                    </w:rPr>
                    <w:t>a</w:t>
                  </w:r>
                  <w:r>
                    <w:rPr>
                      <w:kern w:val="0"/>
                      <w:szCs w:val="21"/>
                      <w:lang w:bidi="ar"/>
                    </w:rPr>
                    <w:t>指监测点PM</w:t>
                  </w:r>
                  <w:r>
                    <w:rPr>
                      <w:kern w:val="0"/>
                      <w:szCs w:val="21"/>
                      <w:vertAlign w:val="subscript"/>
                      <w:lang w:bidi="ar"/>
                    </w:rPr>
                    <w:t>10</w:t>
                  </w:r>
                  <w:r>
                    <w:rPr>
                      <w:kern w:val="0"/>
                      <w:szCs w:val="21"/>
                      <w:lang w:bidi="ar"/>
                    </w:rPr>
                    <w:t>小时平均浓度实测值与同时段所属县（市、区）PM</w:t>
                  </w:r>
                  <w:r>
                    <w:rPr>
                      <w:kern w:val="0"/>
                      <w:szCs w:val="21"/>
                      <w:vertAlign w:val="subscript"/>
                      <w:lang w:bidi="ar"/>
                    </w:rPr>
                    <w:t>10</w:t>
                  </w:r>
                  <w:r>
                    <w:rPr>
                      <w:kern w:val="0"/>
                      <w:szCs w:val="21"/>
                      <w:lang w:bidi="ar"/>
                    </w:rPr>
                    <w:t>小时平均浓度的差值。当县（市、区）PM</w:t>
                  </w:r>
                  <w:r>
                    <w:rPr>
                      <w:kern w:val="0"/>
                      <w:szCs w:val="21"/>
                      <w:vertAlign w:val="subscript"/>
                      <w:lang w:bidi="ar"/>
                    </w:rPr>
                    <w:t>10</w:t>
                  </w:r>
                  <w:r>
                    <w:rPr>
                      <w:kern w:val="0"/>
                      <w:szCs w:val="21"/>
                      <w:lang w:bidi="ar"/>
                    </w:rPr>
                    <w:t>小时平均浓度值大于150µg/m</w:t>
                  </w:r>
                  <w:r>
                    <w:rPr>
                      <w:kern w:val="0"/>
                      <w:szCs w:val="21"/>
                      <w:vertAlign w:val="superscript"/>
                      <w:lang w:bidi="ar"/>
                    </w:rPr>
                    <w:t>3</w:t>
                  </w:r>
                  <w:r>
                    <w:rPr>
                      <w:kern w:val="0"/>
                      <w:szCs w:val="21"/>
                      <w:lang w:bidi="ar"/>
                    </w:rPr>
                    <w:t>时，以150µg/m</w:t>
                  </w:r>
                  <w:r>
                    <w:rPr>
                      <w:kern w:val="0"/>
                      <w:szCs w:val="21"/>
                      <w:vertAlign w:val="superscript"/>
                      <w:lang w:bidi="ar"/>
                    </w:rPr>
                    <w:t>3</w:t>
                  </w:r>
                  <w:r>
                    <w:rPr>
                      <w:kern w:val="0"/>
                      <w:szCs w:val="21"/>
                      <w:lang w:bidi="ar"/>
                    </w:rPr>
                    <w:t xml:space="preserve">计。 </w:t>
                  </w:r>
                </w:p>
              </w:tc>
            </w:tr>
          </w:tbl>
          <w:p>
            <w:pPr>
              <w:adjustRightInd w:val="0"/>
              <w:snapToGrid w:val="0"/>
              <w:spacing w:line="480" w:lineRule="exact"/>
              <w:ind w:firstLine="482" w:firstLineChars="200"/>
              <w:textAlignment w:val="baseline"/>
              <w:rPr>
                <w:b/>
                <w:bCs/>
                <w:sz w:val="24"/>
              </w:rPr>
            </w:pPr>
            <w:r>
              <w:rPr>
                <w:rFonts w:hint="eastAsia"/>
                <w:b/>
                <w:bCs/>
                <w:sz w:val="24"/>
              </w:rPr>
              <w:t>（2）运营期</w:t>
            </w:r>
          </w:p>
          <w:p>
            <w:pPr>
              <w:spacing w:line="480" w:lineRule="exact"/>
              <w:ind w:firstLine="480" w:firstLineChars="200"/>
              <w:rPr>
                <w:color w:val="auto"/>
                <w:sz w:val="24"/>
              </w:rPr>
            </w:pPr>
            <w:r>
              <w:rPr>
                <w:rFonts w:hint="eastAsia"/>
                <w:sz w:val="24"/>
              </w:rPr>
              <w:t>①有</w:t>
            </w:r>
            <w:r>
              <w:rPr>
                <w:rFonts w:hint="eastAsia"/>
                <w:color w:val="auto"/>
                <w:sz w:val="24"/>
              </w:rPr>
              <w:t>组织</w:t>
            </w:r>
          </w:p>
          <w:p>
            <w:pPr>
              <w:spacing w:line="480" w:lineRule="exact"/>
              <w:ind w:firstLine="480" w:firstLineChars="200"/>
              <w:rPr>
                <w:color w:val="auto"/>
                <w:sz w:val="24"/>
              </w:rPr>
            </w:pPr>
            <w:r>
              <w:rPr>
                <w:rFonts w:hint="eastAsia"/>
                <w:color w:val="auto"/>
                <w:sz w:val="24"/>
              </w:rPr>
              <w:t>各工序有组织</w:t>
            </w:r>
            <w:r>
              <w:rPr>
                <w:color w:val="auto"/>
                <w:sz w:val="24"/>
              </w:rPr>
              <w:t>颗粒物执行《铸造工业大气污染物排放标准》（GB 39726—2020）表1排放限值要求，同时</w:t>
            </w:r>
            <w:r>
              <w:rPr>
                <w:rFonts w:hint="eastAsia"/>
                <w:color w:val="auto"/>
                <w:sz w:val="24"/>
              </w:rPr>
              <w:t>需</w:t>
            </w:r>
            <w:r>
              <w:rPr>
                <w:color w:val="auto"/>
                <w:sz w:val="24"/>
              </w:rPr>
              <w:t>满足《唐山市大气污染防治工作领导小组</w:t>
            </w:r>
            <w:r>
              <w:rPr>
                <w:rFonts w:hint="eastAsia"/>
                <w:color w:val="auto"/>
                <w:sz w:val="24"/>
                <w:lang w:eastAsia="zh-CN"/>
              </w:rPr>
              <w:t>办公楼</w:t>
            </w:r>
            <w:r>
              <w:rPr>
                <w:color w:val="auto"/>
                <w:sz w:val="24"/>
              </w:rPr>
              <w:t>&lt;唐山市钢铁行业整治提升工作方案&gt;等10项方案的通知》（唐气领办〔2021〕15号）中附件9《唐山市铸造行业整治提升工作方案》相关标准要求：10mg/m</w:t>
            </w:r>
            <w:r>
              <w:rPr>
                <w:color w:val="auto"/>
                <w:sz w:val="24"/>
                <w:vertAlign w:val="superscript"/>
              </w:rPr>
              <w:t>3</w:t>
            </w:r>
            <w:r>
              <w:rPr>
                <w:rFonts w:hint="eastAsia"/>
                <w:color w:val="auto"/>
                <w:sz w:val="24"/>
              </w:rPr>
              <w:t>。</w:t>
            </w:r>
          </w:p>
          <w:p>
            <w:pPr>
              <w:spacing w:line="480" w:lineRule="exact"/>
              <w:ind w:firstLine="480" w:firstLineChars="200"/>
              <w:rPr>
                <w:color w:val="auto"/>
                <w:sz w:val="24"/>
              </w:rPr>
            </w:pPr>
            <w:r>
              <w:rPr>
                <w:rFonts w:hint="eastAsia"/>
                <w:color w:val="auto"/>
                <w:sz w:val="24"/>
              </w:rPr>
              <w:t>②无组织</w:t>
            </w:r>
          </w:p>
          <w:p>
            <w:pPr>
              <w:autoSpaceDE w:val="0"/>
              <w:autoSpaceDN w:val="0"/>
              <w:adjustRightInd w:val="0"/>
              <w:spacing w:line="480" w:lineRule="exact"/>
              <w:ind w:firstLine="480" w:firstLineChars="200"/>
              <w:jc w:val="left"/>
              <w:rPr>
                <w:color w:val="auto"/>
                <w:sz w:val="24"/>
                <w:highlight w:val="yellow"/>
              </w:rPr>
            </w:pPr>
            <w:r>
              <w:rPr>
                <w:color w:val="auto"/>
                <w:sz w:val="24"/>
              </w:rPr>
              <w:t>无组织颗粒物排放</w:t>
            </w:r>
            <w:r>
              <w:rPr>
                <w:rFonts w:hint="eastAsia"/>
                <w:color w:val="auto"/>
                <w:sz w:val="24"/>
              </w:rPr>
              <w:t>需</w:t>
            </w:r>
            <w:r>
              <w:rPr>
                <w:color w:val="auto"/>
                <w:sz w:val="24"/>
              </w:rPr>
              <w:t>满足《铸造工业大气污染物排放标准》（GB39726—2020）附录A限值要求，同时</w:t>
            </w:r>
            <w:r>
              <w:rPr>
                <w:rFonts w:hint="eastAsia"/>
                <w:color w:val="auto"/>
                <w:sz w:val="24"/>
              </w:rPr>
              <w:t>需</w:t>
            </w:r>
            <w:r>
              <w:rPr>
                <w:color w:val="auto"/>
                <w:sz w:val="24"/>
              </w:rPr>
              <w:t>满足《唐山市大气污染防治工作领导小组</w:t>
            </w:r>
            <w:r>
              <w:rPr>
                <w:rFonts w:hint="eastAsia"/>
                <w:color w:val="auto"/>
                <w:sz w:val="24"/>
                <w:lang w:eastAsia="zh-CN"/>
              </w:rPr>
              <w:t>办公楼</w:t>
            </w:r>
            <w:r>
              <w:rPr>
                <w:color w:val="auto"/>
                <w:sz w:val="24"/>
              </w:rPr>
              <w:t>&lt;唐山市钢铁行业整治提升工作方案&gt;等10项方案的通知》（唐气领办〔2021〕15号）中附件9《唐山市铸造行业整治提升工作方案》相关标准要求：厂区边界颗粒物浓度不高于0.5mg/m</w:t>
            </w:r>
            <w:r>
              <w:rPr>
                <w:color w:val="auto"/>
                <w:sz w:val="24"/>
                <w:vertAlign w:val="superscript"/>
              </w:rPr>
              <w:t>3</w:t>
            </w:r>
            <w:r>
              <w:rPr>
                <w:color w:val="auto"/>
                <w:sz w:val="24"/>
              </w:rPr>
              <w:t>，车间边界颗粒物浓度不高于1.0mg/m</w:t>
            </w:r>
            <w:r>
              <w:rPr>
                <w:color w:val="auto"/>
                <w:sz w:val="24"/>
                <w:vertAlign w:val="superscript"/>
              </w:rPr>
              <w:t>3</w:t>
            </w:r>
            <w:r>
              <w:rPr>
                <w:rFonts w:hint="eastAsia"/>
                <w:color w:val="auto"/>
                <w:sz w:val="24"/>
              </w:rPr>
              <w:t>。</w:t>
            </w:r>
          </w:p>
          <w:p>
            <w:pPr>
              <w:autoSpaceDE w:val="0"/>
              <w:autoSpaceDN w:val="0"/>
              <w:adjustRightInd w:val="0"/>
              <w:spacing w:line="480" w:lineRule="exact"/>
              <w:ind w:firstLine="480" w:firstLineChars="200"/>
              <w:jc w:val="left"/>
              <w:rPr>
                <w:color w:val="auto"/>
                <w:sz w:val="24"/>
              </w:rPr>
            </w:pPr>
            <w:r>
              <w:rPr>
                <w:color w:val="auto"/>
                <w:sz w:val="24"/>
              </w:rPr>
              <w:t>标准限值见</w:t>
            </w:r>
            <w:r>
              <w:rPr>
                <w:rFonts w:hint="eastAsia"/>
                <w:color w:val="auto"/>
                <w:sz w:val="24"/>
              </w:rPr>
              <w:t>下表：</w:t>
            </w:r>
          </w:p>
          <w:p>
            <w:pPr>
              <w:autoSpaceDE w:val="0"/>
              <w:autoSpaceDN w:val="0"/>
              <w:adjustRightInd w:val="0"/>
              <w:spacing w:line="480" w:lineRule="exact"/>
              <w:jc w:val="center"/>
              <w:rPr>
                <w:b/>
                <w:color w:val="auto"/>
                <w:sz w:val="24"/>
              </w:rPr>
            </w:pPr>
          </w:p>
          <w:p>
            <w:pPr>
              <w:autoSpaceDE w:val="0"/>
              <w:autoSpaceDN w:val="0"/>
              <w:adjustRightInd w:val="0"/>
              <w:spacing w:line="480" w:lineRule="exact"/>
              <w:jc w:val="center"/>
              <w:rPr>
                <w:b/>
                <w:color w:val="auto"/>
                <w:sz w:val="24"/>
              </w:rPr>
            </w:pPr>
          </w:p>
          <w:p>
            <w:pPr>
              <w:autoSpaceDE w:val="0"/>
              <w:autoSpaceDN w:val="0"/>
              <w:adjustRightInd w:val="0"/>
              <w:spacing w:line="480" w:lineRule="exact"/>
              <w:jc w:val="center"/>
              <w:rPr>
                <w:b/>
                <w:color w:val="auto"/>
                <w:sz w:val="24"/>
              </w:rPr>
            </w:pPr>
          </w:p>
          <w:p>
            <w:pPr>
              <w:autoSpaceDE w:val="0"/>
              <w:autoSpaceDN w:val="0"/>
              <w:adjustRightInd w:val="0"/>
              <w:spacing w:line="480" w:lineRule="exact"/>
              <w:jc w:val="center"/>
              <w:rPr>
                <w:b/>
                <w:color w:val="auto"/>
                <w:sz w:val="24"/>
              </w:rPr>
            </w:pPr>
          </w:p>
          <w:p>
            <w:pPr>
              <w:autoSpaceDE w:val="0"/>
              <w:autoSpaceDN w:val="0"/>
              <w:adjustRightInd w:val="0"/>
              <w:spacing w:line="480" w:lineRule="exact"/>
              <w:jc w:val="center"/>
              <w:rPr>
                <w:b/>
                <w:color w:val="auto"/>
                <w:sz w:val="24"/>
              </w:rPr>
            </w:pPr>
          </w:p>
          <w:p>
            <w:pPr>
              <w:autoSpaceDE w:val="0"/>
              <w:autoSpaceDN w:val="0"/>
              <w:adjustRightInd w:val="0"/>
              <w:spacing w:line="480" w:lineRule="exact"/>
              <w:jc w:val="center"/>
              <w:rPr>
                <w:b/>
                <w:color w:val="auto"/>
                <w:sz w:val="24"/>
              </w:rPr>
            </w:pPr>
          </w:p>
          <w:p>
            <w:pPr>
              <w:autoSpaceDE w:val="0"/>
              <w:autoSpaceDN w:val="0"/>
              <w:adjustRightInd w:val="0"/>
              <w:spacing w:line="480" w:lineRule="exact"/>
              <w:jc w:val="center"/>
              <w:rPr>
                <w:b/>
                <w:color w:val="auto"/>
                <w:sz w:val="24"/>
              </w:rPr>
            </w:pPr>
            <w:r>
              <w:rPr>
                <w:b/>
                <w:color w:val="auto"/>
                <w:sz w:val="24"/>
              </w:rPr>
              <w:t>表</w:t>
            </w:r>
            <w:r>
              <w:rPr>
                <w:rFonts w:hint="eastAsia"/>
                <w:b/>
                <w:color w:val="auto"/>
                <w:sz w:val="24"/>
              </w:rPr>
              <w:t>2</w:t>
            </w:r>
            <w:r>
              <w:rPr>
                <w:rFonts w:hint="eastAsia"/>
                <w:b/>
                <w:color w:val="auto"/>
                <w:sz w:val="24"/>
                <w:lang w:val="en-US" w:eastAsia="zh-CN"/>
              </w:rPr>
              <w:t>5</w:t>
            </w:r>
            <w:r>
              <w:rPr>
                <w:b/>
                <w:color w:val="auto"/>
                <w:sz w:val="24"/>
              </w:rPr>
              <w:t xml:space="preserve">    废气污染物排放标准</w:t>
            </w:r>
          </w:p>
          <w:tbl>
            <w:tblPr>
              <w:tblStyle w:val="32"/>
              <w:tblW w:w="8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4"/>
              <w:gridCol w:w="867"/>
              <w:gridCol w:w="1156"/>
              <w:gridCol w:w="697"/>
              <w:gridCol w:w="749"/>
              <w:gridCol w:w="44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tcBorders>
                    <w:tl2br w:val="nil"/>
                    <w:tr2bl w:val="nil"/>
                  </w:tcBorders>
                  <w:vAlign w:val="center"/>
                </w:tcPr>
                <w:p>
                  <w:pPr>
                    <w:jc w:val="center"/>
                    <w:rPr>
                      <w:color w:val="auto"/>
                      <w:szCs w:val="21"/>
                    </w:rPr>
                  </w:pPr>
                  <w:r>
                    <w:rPr>
                      <w:color w:val="auto"/>
                      <w:szCs w:val="21"/>
                    </w:rPr>
                    <w:t>类别</w:t>
                  </w:r>
                </w:p>
              </w:tc>
              <w:tc>
                <w:tcPr>
                  <w:tcW w:w="515" w:type="pct"/>
                  <w:tcBorders>
                    <w:tl2br w:val="nil"/>
                    <w:tr2bl w:val="nil"/>
                  </w:tcBorders>
                  <w:vAlign w:val="center"/>
                </w:tcPr>
                <w:p>
                  <w:pPr>
                    <w:jc w:val="center"/>
                    <w:rPr>
                      <w:color w:val="auto"/>
                      <w:szCs w:val="21"/>
                    </w:rPr>
                  </w:pPr>
                  <w:r>
                    <w:rPr>
                      <w:color w:val="auto"/>
                      <w:szCs w:val="21"/>
                    </w:rPr>
                    <w:t>污染源</w:t>
                  </w:r>
                </w:p>
              </w:tc>
              <w:tc>
                <w:tcPr>
                  <w:tcW w:w="687" w:type="pct"/>
                  <w:tcBorders>
                    <w:tl2br w:val="nil"/>
                    <w:tr2bl w:val="nil"/>
                  </w:tcBorders>
                  <w:vAlign w:val="center"/>
                </w:tcPr>
                <w:p>
                  <w:pPr>
                    <w:jc w:val="center"/>
                    <w:rPr>
                      <w:color w:val="auto"/>
                      <w:szCs w:val="21"/>
                    </w:rPr>
                  </w:pPr>
                  <w:r>
                    <w:rPr>
                      <w:color w:val="auto"/>
                      <w:szCs w:val="21"/>
                    </w:rPr>
                    <w:t>污染物名称</w:t>
                  </w:r>
                </w:p>
              </w:tc>
              <w:tc>
                <w:tcPr>
                  <w:tcW w:w="414" w:type="pct"/>
                  <w:tcBorders>
                    <w:tl2br w:val="nil"/>
                    <w:tr2bl w:val="nil"/>
                  </w:tcBorders>
                  <w:vAlign w:val="center"/>
                </w:tcPr>
                <w:p>
                  <w:pPr>
                    <w:jc w:val="center"/>
                    <w:rPr>
                      <w:color w:val="auto"/>
                      <w:szCs w:val="21"/>
                    </w:rPr>
                  </w:pPr>
                  <w:r>
                    <w:rPr>
                      <w:color w:val="auto"/>
                      <w:szCs w:val="21"/>
                    </w:rPr>
                    <w:t>标准值</w:t>
                  </w:r>
                </w:p>
              </w:tc>
              <w:tc>
                <w:tcPr>
                  <w:tcW w:w="445" w:type="pct"/>
                  <w:tcBorders>
                    <w:tl2br w:val="nil"/>
                    <w:tr2bl w:val="nil"/>
                  </w:tcBorders>
                  <w:vAlign w:val="center"/>
                </w:tcPr>
                <w:p>
                  <w:pPr>
                    <w:jc w:val="center"/>
                    <w:rPr>
                      <w:color w:val="auto"/>
                      <w:szCs w:val="21"/>
                    </w:rPr>
                  </w:pPr>
                  <w:r>
                    <w:rPr>
                      <w:color w:val="auto"/>
                      <w:szCs w:val="21"/>
                    </w:rPr>
                    <w:t>单位</w:t>
                  </w:r>
                </w:p>
              </w:tc>
              <w:tc>
                <w:tcPr>
                  <w:tcW w:w="2619" w:type="pct"/>
                  <w:tcBorders>
                    <w:tl2br w:val="nil"/>
                    <w:tr2bl w:val="nil"/>
                  </w:tcBorders>
                  <w:vAlign w:val="center"/>
                </w:tcPr>
                <w:p>
                  <w:pPr>
                    <w:pStyle w:val="16"/>
                    <w:jc w:val="center"/>
                    <w:rPr>
                      <w:rFonts w:ascii="Times New Roman" w:hAnsi="Times New Roman" w:cs="Times New Roman"/>
                      <w:color w:val="auto"/>
                    </w:rPr>
                  </w:pPr>
                  <w:r>
                    <w:rPr>
                      <w:rFonts w:ascii="Times New Roman" w:hAnsi="Times New Roman" w:cs="Times New Roman"/>
                      <w:color w:val="auto"/>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restart"/>
                  <w:tcBorders>
                    <w:tl2br w:val="nil"/>
                    <w:tr2bl w:val="nil"/>
                  </w:tcBorders>
                  <w:vAlign w:val="center"/>
                </w:tcPr>
                <w:p>
                  <w:pPr>
                    <w:jc w:val="center"/>
                    <w:rPr>
                      <w:color w:val="auto"/>
                      <w:szCs w:val="21"/>
                    </w:rPr>
                  </w:pPr>
                  <w:r>
                    <w:rPr>
                      <w:color w:val="auto"/>
                      <w:szCs w:val="21"/>
                    </w:rPr>
                    <w:t>废气</w:t>
                  </w:r>
                </w:p>
              </w:tc>
              <w:tc>
                <w:tcPr>
                  <w:tcW w:w="515" w:type="pct"/>
                  <w:tcBorders>
                    <w:tl2br w:val="nil"/>
                    <w:tr2bl w:val="nil"/>
                  </w:tcBorders>
                  <w:vAlign w:val="center"/>
                </w:tcPr>
                <w:p>
                  <w:pPr>
                    <w:jc w:val="center"/>
                    <w:rPr>
                      <w:color w:val="auto"/>
                      <w:szCs w:val="21"/>
                    </w:rPr>
                  </w:pPr>
                  <w:r>
                    <w:rPr>
                      <w:rFonts w:hint="eastAsia"/>
                      <w:color w:val="auto"/>
                      <w:szCs w:val="21"/>
                    </w:rPr>
                    <w:t>各工序有组织含尘废气</w:t>
                  </w:r>
                </w:p>
              </w:tc>
              <w:tc>
                <w:tcPr>
                  <w:tcW w:w="687" w:type="pct"/>
                  <w:tcBorders>
                    <w:tl2br w:val="nil"/>
                    <w:tr2bl w:val="nil"/>
                  </w:tcBorders>
                  <w:vAlign w:val="center"/>
                </w:tcPr>
                <w:p>
                  <w:pPr>
                    <w:jc w:val="center"/>
                    <w:rPr>
                      <w:color w:val="auto"/>
                      <w:szCs w:val="21"/>
                    </w:rPr>
                  </w:pPr>
                  <w:r>
                    <w:rPr>
                      <w:color w:val="auto"/>
                      <w:szCs w:val="21"/>
                    </w:rPr>
                    <w:t>颗粒物</w:t>
                  </w:r>
                </w:p>
              </w:tc>
              <w:tc>
                <w:tcPr>
                  <w:tcW w:w="414" w:type="pct"/>
                  <w:tcBorders>
                    <w:tl2br w:val="nil"/>
                    <w:tr2bl w:val="nil"/>
                  </w:tcBorders>
                  <w:vAlign w:val="center"/>
                </w:tcPr>
                <w:p>
                  <w:pPr>
                    <w:pStyle w:val="16"/>
                    <w:jc w:val="center"/>
                    <w:rPr>
                      <w:rFonts w:ascii="Times New Roman" w:hAnsi="Times New Roman" w:cs="Times New Roman"/>
                      <w:color w:val="auto"/>
                    </w:rPr>
                  </w:pPr>
                  <w:r>
                    <w:rPr>
                      <w:rFonts w:hint="eastAsia" w:ascii="Times New Roman" w:hAnsi="Times New Roman" w:cs="Times New Roman"/>
                      <w:color w:val="auto"/>
                    </w:rPr>
                    <w:t>1</w:t>
                  </w:r>
                  <w:r>
                    <w:rPr>
                      <w:rFonts w:ascii="Times New Roman" w:hAnsi="Times New Roman" w:cs="Times New Roman"/>
                      <w:color w:val="auto"/>
                    </w:rPr>
                    <w:t>0</w:t>
                  </w:r>
                </w:p>
              </w:tc>
              <w:tc>
                <w:tcPr>
                  <w:tcW w:w="445" w:type="pct"/>
                  <w:tcBorders>
                    <w:tl2br w:val="nil"/>
                    <w:tr2bl w:val="nil"/>
                  </w:tcBorders>
                  <w:vAlign w:val="center"/>
                </w:tcPr>
                <w:p>
                  <w:pPr>
                    <w:jc w:val="center"/>
                    <w:rPr>
                      <w:color w:val="auto"/>
                      <w:szCs w:val="21"/>
                    </w:rPr>
                  </w:pPr>
                  <w:r>
                    <w:rPr>
                      <w:color w:val="auto"/>
                      <w:szCs w:val="21"/>
                    </w:rPr>
                    <w:t>mg/m</w:t>
                  </w:r>
                  <w:r>
                    <w:rPr>
                      <w:color w:val="auto"/>
                      <w:szCs w:val="21"/>
                      <w:vertAlign w:val="superscript"/>
                    </w:rPr>
                    <w:t>3</w:t>
                  </w:r>
                </w:p>
              </w:tc>
              <w:tc>
                <w:tcPr>
                  <w:tcW w:w="2619" w:type="pct"/>
                  <w:tcBorders>
                    <w:tl2br w:val="nil"/>
                    <w:tr2bl w:val="nil"/>
                  </w:tcBorders>
                  <w:vAlign w:val="center"/>
                </w:tcPr>
                <w:p>
                  <w:pPr>
                    <w:pStyle w:val="16"/>
                    <w:jc w:val="center"/>
                    <w:rPr>
                      <w:rFonts w:ascii="Times New Roman" w:hAnsi="Times New Roman" w:cs="Times New Roman"/>
                      <w:color w:val="auto"/>
                    </w:rPr>
                  </w:pPr>
                  <w:r>
                    <w:rPr>
                      <w:rFonts w:ascii="Times New Roman" w:hAnsi="Times New Roman" w:cs="Times New Roman"/>
                      <w:bCs/>
                      <w:color w:val="auto"/>
                    </w:rPr>
                    <w:t>《铸造工业大气污染物排放标准》（GB 39726—2020）表1/《唐山市大气污染防治工作领导小组</w:t>
                  </w:r>
                  <w:r>
                    <w:rPr>
                      <w:rFonts w:hint="eastAsia" w:ascii="Times New Roman" w:hAnsi="Times New Roman" w:cs="Times New Roman"/>
                      <w:bCs/>
                      <w:color w:val="auto"/>
                      <w:lang w:eastAsia="zh-CN"/>
                    </w:rPr>
                    <w:t>办公楼</w:t>
                  </w:r>
                  <w:r>
                    <w:rPr>
                      <w:rFonts w:ascii="Times New Roman" w:hAnsi="Times New Roman" w:cs="Times New Roman"/>
                      <w:bCs/>
                      <w:color w:val="auto"/>
                    </w:rPr>
                    <w:t>&lt;唐山市钢铁行业整治提升工作方案&gt;等10项方案的通知》（唐气领办〔2021〕15号）中附件9《唐山市铸造行业整治提升工作方案》相关标准要求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vAlign w:val="center"/>
                </w:tcPr>
                <w:p>
                  <w:pPr>
                    <w:jc w:val="center"/>
                    <w:rPr>
                      <w:color w:val="auto"/>
                      <w:szCs w:val="21"/>
                    </w:rPr>
                  </w:pPr>
                </w:p>
              </w:tc>
              <w:tc>
                <w:tcPr>
                  <w:tcW w:w="515" w:type="pct"/>
                  <w:tcBorders>
                    <w:tl2br w:val="nil"/>
                    <w:tr2bl w:val="nil"/>
                  </w:tcBorders>
                  <w:vAlign w:val="center"/>
                </w:tcPr>
                <w:p>
                  <w:pPr>
                    <w:jc w:val="center"/>
                    <w:rPr>
                      <w:color w:val="auto"/>
                      <w:szCs w:val="21"/>
                    </w:rPr>
                  </w:pPr>
                  <w:r>
                    <w:rPr>
                      <w:color w:val="auto"/>
                      <w:szCs w:val="21"/>
                    </w:rPr>
                    <w:t>厂界无组织废气</w:t>
                  </w:r>
                </w:p>
              </w:tc>
              <w:tc>
                <w:tcPr>
                  <w:tcW w:w="687" w:type="pct"/>
                  <w:tcBorders>
                    <w:tl2br w:val="nil"/>
                    <w:tr2bl w:val="nil"/>
                  </w:tcBorders>
                  <w:vAlign w:val="center"/>
                </w:tcPr>
                <w:p>
                  <w:pPr>
                    <w:jc w:val="center"/>
                    <w:rPr>
                      <w:color w:val="auto"/>
                      <w:szCs w:val="21"/>
                    </w:rPr>
                  </w:pPr>
                  <w:r>
                    <w:rPr>
                      <w:color w:val="auto"/>
                      <w:szCs w:val="21"/>
                    </w:rPr>
                    <w:t>颗粒物</w:t>
                  </w:r>
                </w:p>
              </w:tc>
              <w:tc>
                <w:tcPr>
                  <w:tcW w:w="414" w:type="pct"/>
                  <w:tcBorders>
                    <w:tl2br w:val="nil"/>
                    <w:tr2bl w:val="nil"/>
                  </w:tcBorders>
                  <w:vAlign w:val="center"/>
                </w:tcPr>
                <w:p>
                  <w:pPr>
                    <w:pStyle w:val="16"/>
                    <w:jc w:val="center"/>
                    <w:rPr>
                      <w:rFonts w:ascii="Times New Roman" w:hAnsi="Times New Roman" w:cs="Times New Roman"/>
                      <w:color w:val="auto"/>
                    </w:rPr>
                  </w:pPr>
                  <w:r>
                    <w:rPr>
                      <w:rFonts w:hint="eastAsia" w:ascii="Times New Roman" w:hAnsi="Times New Roman" w:cs="Times New Roman"/>
                      <w:color w:val="auto"/>
                    </w:rPr>
                    <w:t>0.5</w:t>
                  </w:r>
                </w:p>
              </w:tc>
              <w:tc>
                <w:tcPr>
                  <w:tcW w:w="445" w:type="pct"/>
                  <w:tcBorders>
                    <w:tl2br w:val="nil"/>
                    <w:tr2bl w:val="nil"/>
                  </w:tcBorders>
                  <w:vAlign w:val="center"/>
                </w:tcPr>
                <w:p>
                  <w:pPr>
                    <w:jc w:val="center"/>
                    <w:rPr>
                      <w:color w:val="auto"/>
                      <w:szCs w:val="21"/>
                    </w:rPr>
                  </w:pPr>
                  <w:r>
                    <w:rPr>
                      <w:color w:val="auto"/>
                      <w:szCs w:val="21"/>
                    </w:rPr>
                    <w:t>mg/m</w:t>
                  </w:r>
                  <w:r>
                    <w:rPr>
                      <w:color w:val="auto"/>
                      <w:szCs w:val="21"/>
                      <w:vertAlign w:val="superscript"/>
                    </w:rPr>
                    <w:t>3</w:t>
                  </w:r>
                </w:p>
              </w:tc>
              <w:tc>
                <w:tcPr>
                  <w:tcW w:w="2619" w:type="pct"/>
                  <w:tcBorders>
                    <w:tl2br w:val="nil"/>
                    <w:tr2bl w:val="nil"/>
                  </w:tcBorders>
                  <w:vAlign w:val="center"/>
                </w:tcPr>
                <w:p>
                  <w:pPr>
                    <w:pStyle w:val="16"/>
                    <w:jc w:val="center"/>
                    <w:rPr>
                      <w:rFonts w:ascii="Times New Roman" w:hAnsi="Times New Roman" w:cs="Times New Roman"/>
                      <w:color w:val="auto"/>
                    </w:rPr>
                  </w:pPr>
                  <w:r>
                    <w:rPr>
                      <w:rFonts w:ascii="Times New Roman" w:hAnsi="Times New Roman" w:cs="Times New Roman"/>
                      <w:color w:val="auto"/>
                    </w:rPr>
                    <w:t>《唐山市大气污染防治工作领导小组</w:t>
                  </w:r>
                  <w:r>
                    <w:rPr>
                      <w:rFonts w:hint="eastAsia" w:ascii="Times New Roman" w:hAnsi="Times New Roman" w:cs="Times New Roman"/>
                      <w:color w:val="auto"/>
                      <w:lang w:eastAsia="zh-CN"/>
                    </w:rPr>
                    <w:t>办公楼</w:t>
                  </w:r>
                  <w:r>
                    <w:rPr>
                      <w:rFonts w:ascii="Times New Roman" w:hAnsi="Times New Roman" w:cs="Times New Roman"/>
                      <w:color w:val="auto"/>
                    </w:rPr>
                    <w:t>&lt;唐山市钢铁行业整治提升工作方案&gt;等10项方案的通知》（唐气领办〔2021〕15号）中附件9《唐山市铸造行业整治提升工作方案》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vAlign w:val="center"/>
                </w:tcPr>
                <w:p>
                  <w:pPr>
                    <w:jc w:val="center"/>
                    <w:rPr>
                      <w:szCs w:val="21"/>
                    </w:rPr>
                  </w:pPr>
                </w:p>
              </w:tc>
              <w:tc>
                <w:tcPr>
                  <w:tcW w:w="515" w:type="pct"/>
                  <w:tcBorders>
                    <w:tl2br w:val="nil"/>
                    <w:tr2bl w:val="nil"/>
                  </w:tcBorders>
                  <w:vAlign w:val="center"/>
                </w:tcPr>
                <w:p>
                  <w:pPr>
                    <w:jc w:val="center"/>
                    <w:rPr>
                      <w:color w:val="auto"/>
                      <w:szCs w:val="21"/>
                    </w:rPr>
                  </w:pPr>
                  <w:r>
                    <w:rPr>
                      <w:rFonts w:hint="eastAsia"/>
                      <w:color w:val="auto"/>
                      <w:szCs w:val="21"/>
                    </w:rPr>
                    <w:t>熔炼车间外1米</w:t>
                  </w:r>
                  <w:r>
                    <w:rPr>
                      <w:color w:val="auto"/>
                      <w:szCs w:val="21"/>
                    </w:rPr>
                    <w:t>无组织废气</w:t>
                  </w:r>
                </w:p>
              </w:tc>
              <w:tc>
                <w:tcPr>
                  <w:tcW w:w="687" w:type="pct"/>
                  <w:tcBorders>
                    <w:tl2br w:val="nil"/>
                    <w:tr2bl w:val="nil"/>
                  </w:tcBorders>
                  <w:vAlign w:val="center"/>
                </w:tcPr>
                <w:p>
                  <w:pPr>
                    <w:jc w:val="center"/>
                    <w:rPr>
                      <w:color w:val="auto"/>
                      <w:szCs w:val="21"/>
                    </w:rPr>
                  </w:pPr>
                  <w:r>
                    <w:rPr>
                      <w:rFonts w:hint="eastAsia"/>
                      <w:color w:val="auto"/>
                      <w:szCs w:val="21"/>
                    </w:rPr>
                    <w:t>颗粒物</w:t>
                  </w:r>
                </w:p>
              </w:tc>
              <w:tc>
                <w:tcPr>
                  <w:tcW w:w="414" w:type="pct"/>
                  <w:tcBorders>
                    <w:tl2br w:val="nil"/>
                    <w:tr2bl w:val="nil"/>
                  </w:tcBorders>
                  <w:vAlign w:val="center"/>
                </w:tcPr>
                <w:p>
                  <w:pPr>
                    <w:pStyle w:val="16"/>
                    <w:jc w:val="center"/>
                    <w:rPr>
                      <w:rFonts w:ascii="Times New Roman" w:hAnsi="Times New Roman" w:cs="Times New Roman"/>
                      <w:color w:val="auto"/>
                    </w:rPr>
                  </w:pPr>
                  <w:r>
                    <w:rPr>
                      <w:rFonts w:hint="eastAsia" w:ascii="Times New Roman" w:hAnsi="Times New Roman" w:cs="Times New Roman"/>
                      <w:color w:val="auto"/>
                    </w:rPr>
                    <w:t>1.0</w:t>
                  </w:r>
                </w:p>
              </w:tc>
              <w:tc>
                <w:tcPr>
                  <w:tcW w:w="445" w:type="pct"/>
                  <w:tcBorders>
                    <w:tl2br w:val="nil"/>
                    <w:tr2bl w:val="nil"/>
                  </w:tcBorders>
                  <w:vAlign w:val="center"/>
                </w:tcPr>
                <w:p>
                  <w:pPr>
                    <w:jc w:val="center"/>
                    <w:rPr>
                      <w:color w:val="auto"/>
                      <w:szCs w:val="21"/>
                    </w:rPr>
                  </w:pPr>
                  <w:r>
                    <w:rPr>
                      <w:color w:val="auto"/>
                      <w:szCs w:val="21"/>
                    </w:rPr>
                    <w:t>mg/m</w:t>
                  </w:r>
                  <w:r>
                    <w:rPr>
                      <w:color w:val="auto"/>
                      <w:szCs w:val="21"/>
                      <w:vertAlign w:val="superscript"/>
                    </w:rPr>
                    <w:t>3</w:t>
                  </w:r>
                </w:p>
              </w:tc>
              <w:tc>
                <w:tcPr>
                  <w:tcW w:w="2619" w:type="pct"/>
                  <w:tcBorders>
                    <w:tl2br w:val="nil"/>
                    <w:tr2bl w:val="nil"/>
                  </w:tcBorders>
                  <w:vAlign w:val="center"/>
                </w:tcPr>
                <w:p>
                  <w:pPr>
                    <w:pStyle w:val="16"/>
                    <w:jc w:val="center"/>
                    <w:rPr>
                      <w:rFonts w:ascii="Times New Roman" w:hAnsi="Times New Roman" w:cs="Times New Roman"/>
                      <w:color w:val="auto"/>
                    </w:rPr>
                  </w:pPr>
                  <w:r>
                    <w:rPr>
                      <w:rFonts w:ascii="Times New Roman" w:hAnsi="Times New Roman" w:cs="Times New Roman"/>
                      <w:bCs/>
                      <w:color w:val="auto"/>
                    </w:rPr>
                    <w:t>《铸造工业大气污染物排放标准》（GB 39726—2020）附录A</w:t>
                  </w:r>
                  <w:r>
                    <w:rPr>
                      <w:rFonts w:ascii="Times New Roman" w:hAnsi="Times New Roman" w:cs="Times New Roman"/>
                      <w:color w:val="auto"/>
                    </w:rPr>
                    <w:t>/《唐山市大气污染防治工作领导小组</w:t>
                  </w:r>
                  <w:r>
                    <w:rPr>
                      <w:rFonts w:hint="eastAsia" w:ascii="Times New Roman" w:hAnsi="Times New Roman" w:cs="Times New Roman"/>
                      <w:color w:val="auto"/>
                      <w:lang w:eastAsia="zh-CN"/>
                    </w:rPr>
                    <w:t>办公楼</w:t>
                  </w:r>
                  <w:r>
                    <w:rPr>
                      <w:rFonts w:ascii="Times New Roman" w:hAnsi="Times New Roman" w:cs="Times New Roman"/>
                      <w:color w:val="auto"/>
                    </w:rPr>
                    <w:t>&lt;唐山市钢铁行业整治提升工作方案&gt;等10项方案的通知》（唐气领办〔2021〕15号）中附件9《唐山市铸造行业整治提升工作方案》</w:t>
                  </w:r>
                </w:p>
              </w:tc>
            </w:tr>
          </w:tbl>
          <w:p>
            <w:pPr>
              <w:adjustRightInd w:val="0"/>
              <w:snapToGrid w:val="0"/>
              <w:spacing w:line="480" w:lineRule="exact"/>
              <w:ind w:firstLine="482" w:firstLineChars="200"/>
              <w:textAlignment w:val="baseline"/>
              <w:rPr>
                <w:sz w:val="24"/>
              </w:rPr>
            </w:pPr>
            <w:r>
              <w:rPr>
                <w:rFonts w:hint="eastAsia"/>
                <w:b/>
                <w:sz w:val="24"/>
              </w:rPr>
              <w:t>2</w:t>
            </w:r>
            <w:r>
              <w:rPr>
                <w:b/>
                <w:sz w:val="24"/>
              </w:rPr>
              <w:t>噪声排放标准</w:t>
            </w:r>
          </w:p>
          <w:p>
            <w:pPr>
              <w:spacing w:line="480" w:lineRule="exact"/>
              <w:ind w:firstLine="480" w:firstLineChars="200"/>
              <w:rPr>
                <w:sz w:val="24"/>
              </w:rPr>
            </w:pPr>
            <w:r>
              <w:rPr>
                <w:rFonts w:hint="eastAsia"/>
                <w:bCs/>
                <w:sz w:val="24"/>
              </w:rPr>
              <w:t>施工期噪声执行</w:t>
            </w:r>
            <w:r>
              <w:rPr>
                <w:sz w:val="24"/>
                <w:lang w:val="zh-CN"/>
              </w:rPr>
              <w:t>《建筑施工场界环境噪声排放标准》(GB12523-2011)</w:t>
            </w:r>
            <w:r>
              <w:rPr>
                <w:rFonts w:hint="eastAsia"/>
                <w:sz w:val="24"/>
                <w:lang w:val="zh-CN"/>
              </w:rPr>
              <w:t>的标准限值</w:t>
            </w:r>
            <w:r>
              <w:rPr>
                <w:sz w:val="24"/>
              </w:rPr>
              <w:t>。</w:t>
            </w:r>
          </w:p>
          <w:p>
            <w:pPr>
              <w:spacing w:line="480" w:lineRule="exact"/>
              <w:ind w:firstLine="482" w:firstLineChars="200"/>
              <w:jc w:val="center"/>
              <w:rPr>
                <w:b/>
                <w:sz w:val="24"/>
              </w:rPr>
            </w:pPr>
            <w:r>
              <w:rPr>
                <w:b/>
                <w:sz w:val="24"/>
              </w:rPr>
              <w:t>表</w:t>
            </w:r>
            <w:r>
              <w:rPr>
                <w:rFonts w:hint="eastAsia"/>
                <w:b/>
                <w:sz w:val="24"/>
              </w:rPr>
              <w:t>2</w:t>
            </w:r>
            <w:r>
              <w:rPr>
                <w:rFonts w:hint="eastAsia"/>
                <w:b/>
                <w:sz w:val="24"/>
                <w:lang w:val="en-US" w:eastAsia="zh-CN"/>
              </w:rPr>
              <w:t>6</w:t>
            </w:r>
            <w:r>
              <w:rPr>
                <w:b/>
                <w:sz w:val="24"/>
              </w:rPr>
              <w:t xml:space="preserve">  噪声污染物排放标准    单位：dB（A）</w:t>
            </w:r>
          </w:p>
          <w:tbl>
            <w:tblPr>
              <w:tblStyle w:val="32"/>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24"/>
              <w:gridCol w:w="732"/>
              <w:gridCol w:w="2044"/>
              <w:gridCol w:w="3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9" w:type="dxa"/>
                  <w:vAlign w:val="center"/>
                </w:tcPr>
                <w:p>
                  <w:pPr>
                    <w:autoSpaceDE w:val="0"/>
                    <w:autoSpaceDN w:val="0"/>
                    <w:adjustRightInd w:val="0"/>
                    <w:snapToGrid w:val="0"/>
                    <w:jc w:val="center"/>
                    <w:rPr>
                      <w:szCs w:val="21"/>
                    </w:rPr>
                  </w:pPr>
                  <w:r>
                    <w:rPr>
                      <w:szCs w:val="21"/>
                    </w:rPr>
                    <w:t>类别</w:t>
                  </w:r>
                </w:p>
              </w:tc>
              <w:tc>
                <w:tcPr>
                  <w:tcW w:w="1124" w:type="dxa"/>
                  <w:vAlign w:val="center"/>
                </w:tcPr>
                <w:p>
                  <w:pPr>
                    <w:autoSpaceDE w:val="0"/>
                    <w:autoSpaceDN w:val="0"/>
                    <w:adjustRightInd w:val="0"/>
                    <w:snapToGrid w:val="0"/>
                    <w:jc w:val="center"/>
                    <w:rPr>
                      <w:szCs w:val="21"/>
                    </w:rPr>
                  </w:pPr>
                  <w:r>
                    <w:rPr>
                      <w:szCs w:val="21"/>
                    </w:rPr>
                    <w:t>污染因子</w:t>
                  </w:r>
                </w:p>
              </w:tc>
              <w:tc>
                <w:tcPr>
                  <w:tcW w:w="732" w:type="dxa"/>
                  <w:vAlign w:val="center"/>
                </w:tcPr>
                <w:p>
                  <w:pPr>
                    <w:autoSpaceDE w:val="0"/>
                    <w:autoSpaceDN w:val="0"/>
                    <w:adjustRightInd w:val="0"/>
                    <w:snapToGrid w:val="0"/>
                    <w:jc w:val="center"/>
                    <w:rPr>
                      <w:szCs w:val="21"/>
                    </w:rPr>
                  </w:pPr>
                  <w:r>
                    <w:rPr>
                      <w:szCs w:val="21"/>
                    </w:rPr>
                    <w:t>级别</w:t>
                  </w:r>
                </w:p>
              </w:tc>
              <w:tc>
                <w:tcPr>
                  <w:tcW w:w="2044" w:type="dxa"/>
                  <w:vAlign w:val="center"/>
                </w:tcPr>
                <w:p>
                  <w:pPr>
                    <w:autoSpaceDE w:val="0"/>
                    <w:autoSpaceDN w:val="0"/>
                    <w:adjustRightInd w:val="0"/>
                    <w:snapToGrid w:val="0"/>
                    <w:jc w:val="center"/>
                    <w:rPr>
                      <w:szCs w:val="21"/>
                    </w:rPr>
                  </w:pPr>
                  <w:r>
                    <w:rPr>
                      <w:szCs w:val="21"/>
                    </w:rPr>
                    <w:t>标准值</w:t>
                  </w:r>
                </w:p>
              </w:tc>
              <w:tc>
                <w:tcPr>
                  <w:tcW w:w="3430" w:type="dxa"/>
                  <w:tcBorders>
                    <w:right w:val="nil"/>
                  </w:tcBorders>
                  <w:vAlign w:val="center"/>
                </w:tcPr>
                <w:p>
                  <w:pPr>
                    <w:autoSpaceDE w:val="0"/>
                    <w:autoSpaceDN w:val="0"/>
                    <w:adjustRightInd w:val="0"/>
                    <w:snapToGrid w:val="0"/>
                    <w:jc w:val="center"/>
                    <w:rPr>
                      <w:szCs w:val="21"/>
                    </w:rPr>
                  </w:pPr>
                  <w:r>
                    <w:rPr>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tcBorders>
                    <w:left w:val="nil"/>
                  </w:tcBorders>
                  <w:vAlign w:val="center"/>
                </w:tcPr>
                <w:p>
                  <w:pPr>
                    <w:widowControl/>
                    <w:adjustRightInd w:val="0"/>
                    <w:snapToGrid w:val="0"/>
                    <w:jc w:val="center"/>
                    <w:rPr>
                      <w:szCs w:val="21"/>
                    </w:rPr>
                  </w:pPr>
                  <w:r>
                    <w:t>施工期</w:t>
                  </w:r>
                </w:p>
              </w:tc>
              <w:tc>
                <w:tcPr>
                  <w:tcW w:w="1124" w:type="dxa"/>
                  <w:vAlign w:val="center"/>
                </w:tcPr>
                <w:p>
                  <w:pPr>
                    <w:widowControl/>
                    <w:adjustRightInd w:val="0"/>
                    <w:snapToGrid w:val="0"/>
                    <w:jc w:val="center"/>
                    <w:rPr>
                      <w:szCs w:val="21"/>
                    </w:rPr>
                  </w:pPr>
                  <w:r>
                    <w:rPr>
                      <w:szCs w:val="21"/>
                    </w:rPr>
                    <w:t>Leq</w:t>
                  </w:r>
                </w:p>
              </w:tc>
              <w:tc>
                <w:tcPr>
                  <w:tcW w:w="732" w:type="dxa"/>
                  <w:vAlign w:val="center"/>
                </w:tcPr>
                <w:p>
                  <w:pPr>
                    <w:widowControl/>
                    <w:adjustRightInd w:val="0"/>
                    <w:snapToGrid w:val="0"/>
                    <w:jc w:val="center"/>
                    <w:rPr>
                      <w:szCs w:val="21"/>
                    </w:rPr>
                  </w:pPr>
                  <w:r>
                    <w:rPr>
                      <w:rFonts w:hint="eastAsia"/>
                    </w:rPr>
                    <w:t>-</w:t>
                  </w:r>
                </w:p>
              </w:tc>
              <w:tc>
                <w:tcPr>
                  <w:tcW w:w="2044" w:type="dxa"/>
                  <w:vAlign w:val="center"/>
                </w:tcPr>
                <w:p>
                  <w:pPr>
                    <w:widowControl/>
                    <w:adjustRightInd w:val="0"/>
                    <w:snapToGrid w:val="0"/>
                    <w:jc w:val="center"/>
                    <w:rPr>
                      <w:szCs w:val="21"/>
                    </w:rPr>
                  </w:pPr>
                  <w:r>
                    <w:rPr>
                      <w:szCs w:val="21"/>
                    </w:rPr>
                    <w:t>昼间70；夜间55</w:t>
                  </w:r>
                </w:p>
              </w:tc>
              <w:tc>
                <w:tcPr>
                  <w:tcW w:w="3430" w:type="dxa"/>
                  <w:tcBorders>
                    <w:right w:val="nil"/>
                  </w:tcBorders>
                  <w:vAlign w:val="center"/>
                </w:tcPr>
                <w:p>
                  <w:pPr>
                    <w:widowControl/>
                    <w:adjustRightInd w:val="0"/>
                    <w:snapToGrid w:val="0"/>
                    <w:jc w:val="center"/>
                    <w:rPr>
                      <w:szCs w:val="21"/>
                    </w:rPr>
                  </w:pPr>
                  <w:r>
                    <w:rPr>
                      <w:lang w:val="zh-CN"/>
                    </w:rPr>
                    <w:t>《建筑施工场界环境噪声排放标准》(GB12523-2011)</w:t>
                  </w:r>
                </w:p>
              </w:tc>
            </w:tr>
          </w:tbl>
          <w:p>
            <w:pPr>
              <w:spacing w:line="480" w:lineRule="exact"/>
              <w:ind w:firstLine="480" w:firstLineChars="200"/>
              <w:rPr>
                <w:b/>
                <w:sz w:val="24"/>
              </w:rPr>
            </w:pPr>
            <w:r>
              <w:rPr>
                <w:sz w:val="24"/>
                <w:lang w:val="zh-CN"/>
              </w:rPr>
              <w:t>营运期</w:t>
            </w:r>
            <w:r>
              <w:rPr>
                <w:sz w:val="24"/>
              </w:rPr>
              <w:t>厂界噪声执行《工业企业厂界环境噪声排放标准》(GB12348-2008)</w:t>
            </w:r>
            <w:r>
              <w:rPr>
                <w:rFonts w:hint="eastAsia"/>
                <w:sz w:val="24"/>
              </w:rPr>
              <w:t>2</w:t>
            </w:r>
            <w:r>
              <w:rPr>
                <w:sz w:val="24"/>
              </w:rPr>
              <w:t>类标准。其标准值见</w:t>
            </w:r>
            <w:r>
              <w:rPr>
                <w:rFonts w:hint="eastAsia"/>
                <w:sz w:val="24"/>
              </w:rPr>
              <w:t>下表</w:t>
            </w:r>
            <w:r>
              <w:rPr>
                <w:sz w:val="24"/>
              </w:rPr>
              <w:t>。</w:t>
            </w:r>
          </w:p>
          <w:p>
            <w:pPr>
              <w:spacing w:line="480" w:lineRule="exact"/>
              <w:ind w:firstLine="482" w:firstLineChars="200"/>
              <w:jc w:val="center"/>
              <w:rPr>
                <w:b/>
                <w:sz w:val="24"/>
              </w:rPr>
            </w:pPr>
            <w:r>
              <w:rPr>
                <w:b/>
                <w:sz w:val="24"/>
              </w:rPr>
              <w:t>表</w:t>
            </w:r>
            <w:r>
              <w:rPr>
                <w:rFonts w:hint="eastAsia"/>
                <w:b/>
                <w:sz w:val="24"/>
              </w:rPr>
              <w:t>2</w:t>
            </w:r>
            <w:r>
              <w:rPr>
                <w:rFonts w:hint="eastAsia"/>
                <w:b/>
                <w:sz w:val="24"/>
                <w:lang w:val="en-US" w:eastAsia="zh-CN"/>
              </w:rPr>
              <w:t>7</w:t>
            </w:r>
            <w:r>
              <w:rPr>
                <w:rFonts w:hint="eastAsia"/>
                <w:b/>
                <w:sz w:val="24"/>
              </w:rPr>
              <w:t xml:space="preserve">   </w:t>
            </w:r>
            <w:r>
              <w:rPr>
                <w:b/>
                <w:sz w:val="24"/>
              </w:rPr>
              <w:t xml:space="preserve"> 噪声污染物排放标准    单位：dB（A）</w:t>
            </w:r>
          </w:p>
          <w:tbl>
            <w:tblPr>
              <w:tblStyle w:val="32"/>
              <w:tblW w:w="83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075"/>
              <w:gridCol w:w="700"/>
              <w:gridCol w:w="1955"/>
              <w:gridCol w:w="3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8" w:type="dxa"/>
                  <w:vAlign w:val="center"/>
                </w:tcPr>
                <w:p>
                  <w:pPr>
                    <w:autoSpaceDE w:val="0"/>
                    <w:autoSpaceDN w:val="0"/>
                    <w:adjustRightInd w:val="0"/>
                    <w:snapToGrid w:val="0"/>
                    <w:jc w:val="center"/>
                    <w:rPr>
                      <w:szCs w:val="21"/>
                    </w:rPr>
                  </w:pPr>
                  <w:r>
                    <w:rPr>
                      <w:szCs w:val="21"/>
                    </w:rPr>
                    <w:t>类别</w:t>
                  </w:r>
                </w:p>
              </w:tc>
              <w:tc>
                <w:tcPr>
                  <w:tcW w:w="1075" w:type="dxa"/>
                  <w:vAlign w:val="center"/>
                </w:tcPr>
                <w:p>
                  <w:pPr>
                    <w:autoSpaceDE w:val="0"/>
                    <w:autoSpaceDN w:val="0"/>
                    <w:adjustRightInd w:val="0"/>
                    <w:snapToGrid w:val="0"/>
                    <w:jc w:val="center"/>
                    <w:rPr>
                      <w:szCs w:val="21"/>
                    </w:rPr>
                  </w:pPr>
                  <w:r>
                    <w:rPr>
                      <w:szCs w:val="21"/>
                    </w:rPr>
                    <w:t>污染因子</w:t>
                  </w:r>
                </w:p>
              </w:tc>
              <w:tc>
                <w:tcPr>
                  <w:tcW w:w="700" w:type="dxa"/>
                  <w:vAlign w:val="center"/>
                </w:tcPr>
                <w:p>
                  <w:pPr>
                    <w:autoSpaceDE w:val="0"/>
                    <w:autoSpaceDN w:val="0"/>
                    <w:adjustRightInd w:val="0"/>
                    <w:snapToGrid w:val="0"/>
                    <w:jc w:val="center"/>
                    <w:rPr>
                      <w:szCs w:val="21"/>
                    </w:rPr>
                  </w:pPr>
                  <w:r>
                    <w:rPr>
                      <w:szCs w:val="21"/>
                    </w:rPr>
                    <w:t>级别</w:t>
                  </w:r>
                </w:p>
              </w:tc>
              <w:tc>
                <w:tcPr>
                  <w:tcW w:w="1955" w:type="dxa"/>
                  <w:vAlign w:val="center"/>
                </w:tcPr>
                <w:p>
                  <w:pPr>
                    <w:autoSpaceDE w:val="0"/>
                    <w:autoSpaceDN w:val="0"/>
                    <w:adjustRightInd w:val="0"/>
                    <w:snapToGrid w:val="0"/>
                    <w:jc w:val="center"/>
                    <w:rPr>
                      <w:szCs w:val="21"/>
                    </w:rPr>
                  </w:pPr>
                  <w:r>
                    <w:rPr>
                      <w:szCs w:val="21"/>
                    </w:rPr>
                    <w:t>标准值</w:t>
                  </w:r>
                </w:p>
              </w:tc>
              <w:tc>
                <w:tcPr>
                  <w:tcW w:w="3748" w:type="dxa"/>
                  <w:tcBorders>
                    <w:right w:val="nil"/>
                  </w:tcBorders>
                  <w:vAlign w:val="center"/>
                </w:tcPr>
                <w:p>
                  <w:pPr>
                    <w:autoSpaceDE w:val="0"/>
                    <w:autoSpaceDN w:val="0"/>
                    <w:adjustRightInd w:val="0"/>
                    <w:snapToGrid w:val="0"/>
                    <w:jc w:val="center"/>
                    <w:rPr>
                      <w:szCs w:val="21"/>
                    </w:rPr>
                  </w:pPr>
                  <w:r>
                    <w:rPr>
                      <w:szCs w:val="21"/>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dxa"/>
                  <w:tcBorders>
                    <w:left w:val="nil"/>
                  </w:tcBorders>
                  <w:vAlign w:val="center"/>
                </w:tcPr>
                <w:p>
                  <w:pPr>
                    <w:adjustRightInd w:val="0"/>
                    <w:snapToGrid w:val="0"/>
                    <w:jc w:val="center"/>
                    <w:rPr>
                      <w:szCs w:val="21"/>
                    </w:rPr>
                  </w:pPr>
                  <w:r>
                    <w:rPr>
                      <w:szCs w:val="21"/>
                    </w:rPr>
                    <w:t>运营期</w:t>
                  </w:r>
                </w:p>
              </w:tc>
              <w:tc>
                <w:tcPr>
                  <w:tcW w:w="1075" w:type="dxa"/>
                  <w:vAlign w:val="center"/>
                </w:tcPr>
                <w:p>
                  <w:pPr>
                    <w:adjustRightInd w:val="0"/>
                    <w:snapToGrid w:val="0"/>
                    <w:jc w:val="center"/>
                    <w:rPr>
                      <w:szCs w:val="21"/>
                    </w:rPr>
                  </w:pPr>
                  <w:r>
                    <w:rPr>
                      <w:szCs w:val="21"/>
                    </w:rPr>
                    <w:t>Leq</w:t>
                  </w:r>
                </w:p>
              </w:tc>
              <w:tc>
                <w:tcPr>
                  <w:tcW w:w="700" w:type="dxa"/>
                  <w:vAlign w:val="center"/>
                </w:tcPr>
                <w:p>
                  <w:pPr>
                    <w:snapToGrid w:val="0"/>
                    <w:jc w:val="center"/>
                    <w:rPr>
                      <w:szCs w:val="21"/>
                    </w:rPr>
                  </w:pPr>
                  <w:r>
                    <w:rPr>
                      <w:rFonts w:hint="eastAsia"/>
                      <w:szCs w:val="21"/>
                    </w:rPr>
                    <w:t>2</w:t>
                  </w:r>
                  <w:r>
                    <w:rPr>
                      <w:szCs w:val="21"/>
                    </w:rPr>
                    <w:t>类</w:t>
                  </w:r>
                </w:p>
              </w:tc>
              <w:tc>
                <w:tcPr>
                  <w:tcW w:w="1955" w:type="dxa"/>
                  <w:vAlign w:val="center"/>
                </w:tcPr>
                <w:p>
                  <w:pPr>
                    <w:autoSpaceDE w:val="0"/>
                    <w:autoSpaceDN w:val="0"/>
                    <w:adjustRightInd w:val="0"/>
                    <w:snapToGrid w:val="0"/>
                    <w:jc w:val="center"/>
                    <w:rPr>
                      <w:szCs w:val="21"/>
                    </w:rPr>
                  </w:pPr>
                  <w:r>
                    <w:rPr>
                      <w:szCs w:val="21"/>
                    </w:rPr>
                    <w:t>昼间6</w:t>
                  </w:r>
                  <w:r>
                    <w:rPr>
                      <w:rFonts w:hint="eastAsia"/>
                      <w:szCs w:val="21"/>
                    </w:rPr>
                    <w:t>0</w:t>
                  </w:r>
                  <w:r>
                    <w:rPr>
                      <w:szCs w:val="21"/>
                    </w:rPr>
                    <w:t>；夜间5</w:t>
                  </w:r>
                  <w:r>
                    <w:rPr>
                      <w:rFonts w:hint="eastAsia"/>
                      <w:szCs w:val="21"/>
                    </w:rPr>
                    <w:t>0</w:t>
                  </w:r>
                </w:p>
              </w:tc>
              <w:tc>
                <w:tcPr>
                  <w:tcW w:w="3748" w:type="dxa"/>
                  <w:tcBorders>
                    <w:right w:val="nil"/>
                  </w:tcBorders>
                  <w:vAlign w:val="center"/>
                </w:tcPr>
                <w:p>
                  <w:pPr>
                    <w:autoSpaceDE w:val="0"/>
                    <w:autoSpaceDN w:val="0"/>
                    <w:adjustRightInd w:val="0"/>
                    <w:snapToGrid w:val="0"/>
                    <w:jc w:val="center"/>
                    <w:rPr>
                      <w:szCs w:val="21"/>
                    </w:rPr>
                  </w:pPr>
                  <w:r>
                    <w:rPr>
                      <w:szCs w:val="21"/>
                    </w:rPr>
                    <w:t>《工业企业厂界环境噪声排放标准》（GB12348-2008）</w:t>
                  </w:r>
                </w:p>
              </w:tc>
            </w:tr>
          </w:tbl>
          <w:p>
            <w:pPr>
              <w:adjustRightInd w:val="0"/>
              <w:snapToGrid w:val="0"/>
              <w:spacing w:line="480" w:lineRule="exact"/>
              <w:ind w:firstLine="482" w:firstLineChars="200"/>
              <w:textAlignment w:val="baseline"/>
              <w:rPr>
                <w:b/>
                <w:bCs/>
                <w:color w:val="auto"/>
                <w:kern w:val="0"/>
                <w:sz w:val="24"/>
              </w:rPr>
            </w:pPr>
            <w:r>
              <w:rPr>
                <w:rFonts w:hint="eastAsia"/>
                <w:b/>
                <w:bCs/>
                <w:kern w:val="0"/>
                <w:sz w:val="24"/>
              </w:rPr>
              <w:t>4</w:t>
            </w:r>
            <w:r>
              <w:rPr>
                <w:b/>
                <w:bCs/>
                <w:kern w:val="0"/>
                <w:sz w:val="24"/>
              </w:rPr>
              <w:t>固体废物</w:t>
            </w:r>
            <w:r>
              <w:rPr>
                <w:b/>
                <w:bCs/>
                <w:color w:val="auto"/>
                <w:kern w:val="0"/>
                <w:sz w:val="24"/>
              </w:rPr>
              <w:t>排放标准</w:t>
            </w:r>
          </w:p>
          <w:p>
            <w:pPr>
              <w:spacing w:line="480" w:lineRule="exact"/>
              <w:ind w:firstLine="480" w:firstLineChars="200"/>
              <w:rPr>
                <w:color w:val="auto"/>
                <w:sz w:val="24"/>
                <w:lang w:val="zh-CN"/>
              </w:rPr>
            </w:pPr>
            <w:r>
              <w:rPr>
                <w:color w:val="auto"/>
                <w:sz w:val="24"/>
                <w:lang w:val="zh-CN"/>
              </w:rPr>
              <w:t>一般</w:t>
            </w:r>
            <w:r>
              <w:rPr>
                <w:color w:val="auto"/>
                <w:kern w:val="24"/>
                <w:sz w:val="24"/>
              </w:rPr>
              <w:t>固体废物执行《中华人民共和国固体废物污染环境防治法》中</w:t>
            </w:r>
            <w:r>
              <w:rPr>
                <w:rFonts w:hint="eastAsia"/>
                <w:color w:val="auto"/>
                <w:kern w:val="24"/>
                <w:sz w:val="24"/>
              </w:rPr>
              <w:t>相关规定</w:t>
            </w:r>
            <w:r>
              <w:rPr>
                <w:color w:val="auto"/>
                <w:kern w:val="0"/>
                <w:sz w:val="24"/>
              </w:rPr>
              <w:t>。</w:t>
            </w:r>
          </w:p>
          <w:p>
            <w:pPr>
              <w:widowControl/>
              <w:spacing w:line="500" w:lineRule="exact"/>
              <w:ind w:firstLine="480" w:firstLineChars="200"/>
              <w:rPr>
                <w:bCs/>
                <w:color w:val="0000FF"/>
                <w:sz w:val="24"/>
              </w:rPr>
            </w:pPr>
            <w:r>
              <w:rPr>
                <w:rFonts w:hint="eastAsia"/>
                <w:color w:val="auto"/>
                <w:kern w:val="0"/>
                <w:sz w:val="24"/>
              </w:rPr>
              <w:t>危险废物执行《危险</w:t>
            </w:r>
            <w:r>
              <w:rPr>
                <w:rFonts w:hint="eastAsia"/>
                <w:kern w:val="0"/>
                <w:sz w:val="24"/>
              </w:rPr>
              <w:t>废物贮存污染控制标准》（GB 18597-2023）</w:t>
            </w:r>
            <w:r>
              <w:rPr>
                <w:sz w:val="24"/>
                <w:lang w:val="zh-CN"/>
              </w:rPr>
              <w:t>。</w:t>
            </w:r>
            <w:bookmarkEnd w:id="17"/>
            <w:bookmarkEnd w:id="18"/>
          </w:p>
          <w:p>
            <w:pPr>
              <w:widowControl/>
              <w:spacing w:line="500" w:lineRule="exact"/>
              <w:ind w:firstLine="480" w:firstLineChars="200"/>
              <w:rPr>
                <w:bCs/>
                <w:color w:val="0000FF"/>
                <w:sz w:val="24"/>
              </w:rPr>
            </w:pPr>
          </w:p>
          <w:p>
            <w:pPr>
              <w:widowControl/>
              <w:spacing w:line="500" w:lineRule="exact"/>
              <w:ind w:firstLine="480" w:firstLineChars="200"/>
              <w:rPr>
                <w:bCs/>
                <w:color w:val="0000FF"/>
                <w:sz w:val="24"/>
              </w:rPr>
            </w:pPr>
          </w:p>
          <w:p>
            <w:pPr>
              <w:widowControl/>
              <w:spacing w:line="500" w:lineRule="exact"/>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tcMar>
              <w:left w:w="28" w:type="dxa"/>
              <w:right w:w="28" w:type="dxa"/>
            </w:tcMar>
            <w:vAlign w:val="center"/>
          </w:tcPr>
          <w:p>
            <w:pPr>
              <w:keepNext/>
              <w:widowControl/>
              <w:adjustRightInd w:val="0"/>
              <w:snapToGrid w:val="0"/>
              <w:spacing w:line="480" w:lineRule="exact"/>
              <w:jc w:val="center"/>
              <w:rPr>
                <w:kern w:val="0"/>
                <w:sz w:val="24"/>
              </w:rPr>
            </w:pPr>
            <w:r>
              <w:rPr>
                <w:kern w:val="0"/>
                <w:sz w:val="24"/>
              </w:rPr>
              <w:t>总</w:t>
            </w:r>
          </w:p>
          <w:p>
            <w:pPr>
              <w:keepNext/>
              <w:widowControl/>
              <w:adjustRightInd w:val="0"/>
              <w:snapToGrid w:val="0"/>
              <w:spacing w:line="480" w:lineRule="exact"/>
              <w:jc w:val="center"/>
              <w:rPr>
                <w:kern w:val="0"/>
                <w:sz w:val="24"/>
              </w:rPr>
            </w:pPr>
            <w:r>
              <w:rPr>
                <w:kern w:val="0"/>
                <w:sz w:val="24"/>
              </w:rPr>
              <w:t>量</w:t>
            </w:r>
          </w:p>
          <w:p>
            <w:pPr>
              <w:keepNext/>
              <w:widowControl/>
              <w:adjustRightInd w:val="0"/>
              <w:snapToGrid w:val="0"/>
              <w:spacing w:line="480" w:lineRule="exact"/>
              <w:jc w:val="center"/>
              <w:rPr>
                <w:kern w:val="0"/>
                <w:sz w:val="24"/>
              </w:rPr>
            </w:pPr>
            <w:r>
              <w:rPr>
                <w:kern w:val="0"/>
                <w:sz w:val="24"/>
              </w:rPr>
              <w:t>控</w:t>
            </w:r>
          </w:p>
          <w:p>
            <w:pPr>
              <w:keepNext/>
              <w:widowControl/>
              <w:adjustRightInd w:val="0"/>
              <w:snapToGrid w:val="0"/>
              <w:spacing w:line="480" w:lineRule="exact"/>
              <w:jc w:val="center"/>
              <w:rPr>
                <w:kern w:val="0"/>
                <w:sz w:val="24"/>
              </w:rPr>
            </w:pPr>
            <w:r>
              <w:rPr>
                <w:kern w:val="0"/>
                <w:sz w:val="24"/>
              </w:rPr>
              <w:t>制</w:t>
            </w:r>
          </w:p>
          <w:p>
            <w:pPr>
              <w:keepNext/>
              <w:widowControl/>
              <w:adjustRightInd w:val="0"/>
              <w:snapToGrid w:val="0"/>
              <w:spacing w:line="480" w:lineRule="exact"/>
              <w:jc w:val="center"/>
              <w:rPr>
                <w:kern w:val="0"/>
                <w:sz w:val="24"/>
              </w:rPr>
            </w:pPr>
            <w:r>
              <w:rPr>
                <w:kern w:val="0"/>
                <w:sz w:val="24"/>
              </w:rPr>
              <w:t>指</w:t>
            </w:r>
          </w:p>
          <w:p>
            <w:pPr>
              <w:keepNext/>
              <w:widowControl/>
              <w:adjustRightInd w:val="0"/>
              <w:snapToGrid w:val="0"/>
              <w:spacing w:line="480" w:lineRule="exact"/>
              <w:jc w:val="center"/>
              <w:rPr>
                <w:kern w:val="0"/>
                <w:sz w:val="24"/>
              </w:rPr>
            </w:pPr>
            <w:r>
              <w:rPr>
                <w:kern w:val="0"/>
                <w:sz w:val="24"/>
              </w:rPr>
              <w:t>标</w:t>
            </w:r>
          </w:p>
        </w:tc>
        <w:tc>
          <w:tcPr>
            <w:tcW w:w="8544" w:type="dxa"/>
            <w:vAlign w:val="center"/>
          </w:tcPr>
          <w:p>
            <w:pPr>
              <w:spacing w:line="480" w:lineRule="exact"/>
              <w:ind w:firstLine="480" w:firstLineChars="200"/>
              <w:rPr>
                <w:sz w:val="24"/>
              </w:rPr>
            </w:pPr>
            <w:r>
              <w:rPr>
                <w:sz w:val="24"/>
              </w:rPr>
              <w:t>根据《关于印发&lt;建设项目主要污染物排放总量指标审核及管理暂行办法&gt;的通知》(环发[2014]197号)规定：“火电、钢铁、水泥、造纸、印染行业建设项目所需替代的主要污染物排放总量指标采用绩效方法核定。其他行业依据国家或地方污染物排放标准及单位产品基准排水量(行业最高允许排水量)、烟气量等予以核定。”本项目污染物排放总量按照国家或地方污染物排放标准核定。</w:t>
            </w:r>
          </w:p>
          <w:p>
            <w:pPr>
              <w:spacing w:line="480" w:lineRule="exact"/>
              <w:ind w:firstLine="480" w:firstLineChars="200"/>
              <w:rPr>
                <w:color w:val="auto"/>
                <w:sz w:val="24"/>
              </w:rPr>
            </w:pPr>
            <w:r>
              <w:rPr>
                <w:sz w:val="24"/>
              </w:rPr>
              <w:t>（1）大气污染物总量控制目</w:t>
            </w:r>
            <w:r>
              <w:rPr>
                <w:color w:val="auto"/>
                <w:sz w:val="24"/>
              </w:rPr>
              <w:t>标值的确定</w:t>
            </w:r>
          </w:p>
          <w:p>
            <w:pPr>
              <w:spacing w:line="480" w:lineRule="exact"/>
              <w:ind w:firstLine="480" w:firstLineChars="200"/>
              <w:rPr>
                <w:color w:val="auto"/>
                <w:sz w:val="24"/>
                <w:highlight w:val="none"/>
              </w:rPr>
            </w:pPr>
            <w:r>
              <w:rPr>
                <w:rFonts w:hint="eastAsia"/>
                <w:color w:val="auto"/>
                <w:sz w:val="24"/>
              </w:rPr>
              <w:t>本项目废气污染源污染因子不涉及二氧化硫和氮氧化物，因此本评价建议大气污染</w:t>
            </w:r>
            <w:r>
              <w:rPr>
                <w:rFonts w:hint="eastAsia"/>
                <w:color w:val="auto"/>
                <w:sz w:val="24"/>
                <w:highlight w:val="none"/>
              </w:rPr>
              <w:t>物总量控制目标值为：二氧化硫0t/a、氮氧化物0t/a。</w:t>
            </w:r>
          </w:p>
          <w:p>
            <w:pPr>
              <w:spacing w:line="48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本项目废气量为29367.5</w:t>
            </w:r>
            <w:r>
              <w:rPr>
                <w:rFonts w:hint="eastAsia"/>
                <w:color w:val="auto"/>
                <w:sz w:val="24"/>
                <w:highlight w:val="none"/>
              </w:rPr>
              <w:t>万m</w:t>
            </w:r>
            <w:r>
              <w:rPr>
                <w:rFonts w:hint="eastAsia"/>
                <w:color w:val="auto"/>
                <w:sz w:val="24"/>
                <w:highlight w:val="none"/>
                <w:vertAlign w:val="superscript"/>
              </w:rPr>
              <w:t>3</w:t>
            </w:r>
            <w:r>
              <w:rPr>
                <w:rFonts w:hint="eastAsia"/>
                <w:color w:val="auto"/>
                <w:sz w:val="24"/>
                <w:highlight w:val="none"/>
              </w:rPr>
              <w:t>/a</w:t>
            </w:r>
            <w:r>
              <w:rPr>
                <w:rFonts w:hint="eastAsia"/>
                <w:color w:val="auto"/>
                <w:sz w:val="24"/>
                <w:highlight w:val="none"/>
                <w:lang w:eastAsia="zh-CN"/>
              </w:rPr>
              <w:t>，</w:t>
            </w:r>
            <w:r>
              <w:rPr>
                <w:rFonts w:hint="eastAsia"/>
                <w:color w:val="auto"/>
                <w:sz w:val="24"/>
                <w:highlight w:val="none"/>
                <w:lang w:val="en-US" w:eastAsia="zh-CN"/>
              </w:rPr>
              <w:t>有组织废气排放执行</w:t>
            </w:r>
            <w:r>
              <w:rPr>
                <w:color w:val="auto"/>
                <w:sz w:val="24"/>
                <w:highlight w:val="none"/>
              </w:rPr>
              <w:t>《铸造工业大气污染物排放标准》（GB 39726—2020）表1排放限值要求，同时</w:t>
            </w:r>
            <w:r>
              <w:rPr>
                <w:rFonts w:hint="eastAsia"/>
                <w:color w:val="auto"/>
                <w:sz w:val="24"/>
                <w:highlight w:val="none"/>
              </w:rPr>
              <w:t>需</w:t>
            </w:r>
            <w:r>
              <w:rPr>
                <w:color w:val="auto"/>
                <w:sz w:val="24"/>
                <w:highlight w:val="none"/>
              </w:rPr>
              <w:t>满足《唐山市大气污染防治工作领导小组</w:t>
            </w:r>
            <w:r>
              <w:rPr>
                <w:rFonts w:hint="eastAsia"/>
                <w:color w:val="auto"/>
                <w:sz w:val="24"/>
                <w:highlight w:val="none"/>
                <w:lang w:eastAsia="zh-CN"/>
              </w:rPr>
              <w:t>办公楼</w:t>
            </w:r>
            <w:r>
              <w:rPr>
                <w:color w:val="auto"/>
                <w:sz w:val="24"/>
                <w:highlight w:val="none"/>
              </w:rPr>
              <w:t>&lt;唐山市钢铁行业整治提升工作方案&gt;等10项方案的通知》（唐气领办〔2021〕15号）中附件9《唐山市铸造行业整治提升工作方案》相关标准要求：10mg/m</w:t>
            </w:r>
            <w:r>
              <w:rPr>
                <w:color w:val="auto"/>
                <w:sz w:val="24"/>
                <w:highlight w:val="none"/>
                <w:vertAlign w:val="superscript"/>
              </w:rPr>
              <w:t>3</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特征污染物颗粒物排放总量计算过程如下：</w:t>
            </w:r>
          </w:p>
          <w:p>
            <w:pPr>
              <w:spacing w:line="480" w:lineRule="exact"/>
              <w:ind w:firstLine="480" w:firstLineChars="200"/>
              <w:jc w:val="left"/>
              <w:rPr>
                <w:color w:val="auto"/>
                <w:kern w:val="0"/>
                <w:sz w:val="24"/>
                <w:highlight w:val="none"/>
              </w:rPr>
            </w:pPr>
            <w:r>
              <w:rPr>
                <w:rFonts w:hint="eastAsia"/>
                <w:bCs/>
                <w:color w:val="auto"/>
                <w:sz w:val="24"/>
                <w:highlight w:val="none"/>
              </w:rPr>
              <w:t>颗粒物：</w:t>
            </w:r>
            <w:r>
              <w:rPr>
                <w:rFonts w:hint="eastAsia"/>
                <w:color w:val="auto"/>
                <w:sz w:val="24"/>
                <w:highlight w:val="none"/>
              </w:rPr>
              <w:t>10</w:t>
            </w:r>
            <w:r>
              <w:rPr>
                <w:color w:val="auto"/>
                <w:sz w:val="24"/>
                <w:highlight w:val="none"/>
              </w:rPr>
              <w:t>mg/</w:t>
            </w:r>
            <w:r>
              <w:rPr>
                <w:color w:val="auto"/>
                <w:kern w:val="24"/>
                <w:sz w:val="24"/>
                <w:highlight w:val="none"/>
              </w:rPr>
              <w:t>m</w:t>
            </w:r>
            <w:r>
              <w:rPr>
                <w:color w:val="auto"/>
                <w:kern w:val="24"/>
                <w:sz w:val="24"/>
                <w:highlight w:val="none"/>
                <w:vertAlign w:val="superscript"/>
              </w:rPr>
              <w:t>3</w:t>
            </w:r>
            <w:r>
              <w:rPr>
                <w:bCs/>
                <w:snapToGrid w:val="0"/>
                <w:color w:val="auto"/>
                <w:kern w:val="0"/>
                <w:sz w:val="24"/>
                <w:highlight w:val="none"/>
              </w:rPr>
              <w:t>×</w:t>
            </w:r>
            <w:r>
              <w:rPr>
                <w:rFonts w:hint="eastAsia"/>
                <w:color w:val="auto"/>
                <w:sz w:val="24"/>
                <w:highlight w:val="none"/>
                <w:lang w:val="en-US" w:eastAsia="zh-CN"/>
              </w:rPr>
              <w:t>29367.5</w:t>
            </w:r>
            <w:r>
              <w:rPr>
                <w:rFonts w:hint="eastAsia"/>
                <w:color w:val="auto"/>
                <w:sz w:val="24"/>
                <w:highlight w:val="none"/>
              </w:rPr>
              <w:t>万m</w:t>
            </w:r>
            <w:r>
              <w:rPr>
                <w:rFonts w:hint="eastAsia"/>
                <w:color w:val="auto"/>
                <w:sz w:val="24"/>
                <w:highlight w:val="none"/>
                <w:vertAlign w:val="superscript"/>
              </w:rPr>
              <w:t>3</w:t>
            </w:r>
            <w:r>
              <w:rPr>
                <w:rFonts w:hint="eastAsia"/>
                <w:color w:val="auto"/>
                <w:sz w:val="24"/>
                <w:highlight w:val="none"/>
              </w:rPr>
              <w:t>/a=</w:t>
            </w:r>
            <w:r>
              <w:rPr>
                <w:rFonts w:hint="eastAsia"/>
                <w:color w:val="auto"/>
                <w:sz w:val="24"/>
                <w:highlight w:val="none"/>
                <w:lang w:eastAsia="zh-CN"/>
              </w:rPr>
              <w:t>2.937</w:t>
            </w:r>
            <w:r>
              <w:rPr>
                <w:color w:val="auto"/>
                <w:kern w:val="0"/>
                <w:sz w:val="24"/>
                <w:highlight w:val="none"/>
              </w:rPr>
              <w:t>t/a</w:t>
            </w:r>
            <w:r>
              <w:rPr>
                <w:rFonts w:hint="eastAsia"/>
                <w:color w:val="auto"/>
                <w:kern w:val="0"/>
                <w:sz w:val="24"/>
                <w:highlight w:val="none"/>
              </w:rPr>
              <w:t>；</w:t>
            </w:r>
          </w:p>
          <w:p>
            <w:pPr>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废水污染物总量控制目标值的确定</w:t>
            </w:r>
          </w:p>
          <w:p>
            <w:pPr>
              <w:adjustRightInd w:val="0"/>
              <w:snapToGrid w:val="0"/>
              <w:spacing w:line="460" w:lineRule="exact"/>
              <w:ind w:firstLine="480" w:firstLineChars="200"/>
              <w:rPr>
                <w:sz w:val="24"/>
              </w:rPr>
            </w:pPr>
            <w:r>
              <w:rPr>
                <w:rFonts w:hint="eastAsia"/>
                <w:color w:val="auto"/>
                <w:sz w:val="24"/>
                <w:highlight w:val="none"/>
              </w:rPr>
              <w:t>本项目无生产废水外排，生活污水泼洒抑尘、不外排</w:t>
            </w:r>
            <w:r>
              <w:rPr>
                <w:color w:val="auto"/>
                <w:sz w:val="24"/>
                <w:highlight w:val="none"/>
              </w:rPr>
              <w:t>。因此本评价建议废水污染物总量控制目标值</w:t>
            </w:r>
            <w:r>
              <w:rPr>
                <w:rFonts w:hint="eastAsia"/>
                <w:color w:val="auto"/>
                <w:sz w:val="24"/>
                <w:highlight w:val="none"/>
              </w:rPr>
              <w:t>为：</w:t>
            </w:r>
            <w:r>
              <w:rPr>
                <w:color w:val="auto"/>
                <w:sz w:val="24"/>
                <w:highlight w:val="none"/>
              </w:rPr>
              <w:t>COD 0t</w:t>
            </w:r>
            <w:r>
              <w:rPr>
                <w:color w:val="auto"/>
                <w:sz w:val="24"/>
              </w:rPr>
              <w:t>/a、氨氮 0t/a。</w:t>
            </w:r>
          </w:p>
          <w:p>
            <w:pPr>
              <w:pStyle w:val="31"/>
              <w:spacing w:after="0" w:line="460" w:lineRule="exact"/>
              <w:ind w:left="0" w:leftChars="0" w:firstLine="0" w:firstLineChars="0"/>
              <w:jc w:val="center"/>
              <w:rPr>
                <w:b/>
                <w:bCs/>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460" w:lineRule="exact"/>
              <w:ind w:firstLine="480" w:firstLineChars="200"/>
              <w:rPr>
                <w:color w:val="0000FF"/>
                <w:kern w:val="0"/>
                <w:sz w:val="24"/>
                <w:szCs w:val="22"/>
              </w:rPr>
            </w:pPr>
          </w:p>
          <w:p>
            <w:pPr>
              <w:adjustRightInd w:val="0"/>
              <w:snapToGrid w:val="0"/>
              <w:spacing w:line="500" w:lineRule="exact"/>
              <w:rPr>
                <w:kern w:val="0"/>
                <w:szCs w:val="21"/>
              </w:rPr>
            </w:pPr>
          </w:p>
        </w:tc>
      </w:tr>
    </w:tbl>
    <w:p>
      <w:pPr>
        <w:pStyle w:val="18"/>
        <w:ind w:left="0" w:leftChars="0" w:firstLine="0" w:firstLineChars="0"/>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8"/>
        <w:numPr>
          <w:ilvl w:val="0"/>
          <w:numId w:val="4"/>
        </w:numPr>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主要环境影响和保护措施</w:t>
      </w:r>
      <w:bookmarkEnd w:id="15"/>
      <w:bookmarkEnd w:id="16"/>
    </w:p>
    <w:tbl>
      <w:tblPr>
        <w:tblStyle w:val="33"/>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rFonts w:cs="宋体"/>
                <w:bCs/>
                <w:sz w:val="24"/>
              </w:rPr>
            </w:pPr>
            <w:r>
              <w:rPr>
                <w:rFonts w:cs="宋体"/>
                <w:bCs/>
                <w:sz w:val="24"/>
              </w:rPr>
              <w:t>施工期环境保护</w:t>
            </w:r>
            <w:r>
              <w:rPr>
                <w:rFonts w:hint="eastAsia" w:cs="宋体"/>
                <w:bCs/>
                <w:sz w:val="24"/>
              </w:rPr>
              <w:t>措施</w:t>
            </w:r>
          </w:p>
        </w:tc>
        <w:tc>
          <w:tcPr>
            <w:tcW w:w="12648" w:type="dxa"/>
          </w:tcPr>
          <w:p>
            <w:pPr>
              <w:spacing w:before="240" w:line="480" w:lineRule="exact"/>
              <w:ind w:firstLine="480" w:firstLineChars="200"/>
              <w:rPr>
                <w:sz w:val="24"/>
              </w:rPr>
            </w:pPr>
            <w:r>
              <w:rPr>
                <w:rFonts w:hint="eastAsia"/>
                <w:sz w:val="24"/>
              </w:rPr>
              <w:t>本项目租用现有车间利旧改新进行建设。施工期基本不涉及土建施工，施工期主要工程内容为车间内部结构改造、设备安装，施工周期相对较短，施工期环境影响主要为施工期废水和噪声影响、固体废物影响。</w:t>
            </w:r>
          </w:p>
          <w:p>
            <w:pPr>
              <w:spacing w:line="480" w:lineRule="exact"/>
              <w:ind w:firstLine="480" w:firstLineChars="200"/>
              <w:rPr>
                <w:sz w:val="24"/>
              </w:rPr>
            </w:pPr>
            <w:r>
              <w:rPr>
                <w:rFonts w:hint="eastAsia"/>
                <w:sz w:val="24"/>
              </w:rPr>
              <w:t>1</w:t>
            </w:r>
            <w:r>
              <w:rPr>
                <w:sz w:val="24"/>
              </w:rPr>
              <w:t>、施工期废水影响分析</w:t>
            </w:r>
          </w:p>
          <w:p>
            <w:pPr>
              <w:spacing w:line="480" w:lineRule="exact"/>
              <w:ind w:firstLine="480" w:firstLineChars="200"/>
              <w:rPr>
                <w:sz w:val="24"/>
              </w:rPr>
            </w:pPr>
            <w:r>
              <w:rPr>
                <w:rFonts w:hint="eastAsia"/>
                <w:sz w:val="24"/>
              </w:rPr>
              <w:t>本项目</w:t>
            </w:r>
            <w:r>
              <w:rPr>
                <w:sz w:val="24"/>
              </w:rPr>
              <w:t>施工期产生的废水主要是清洗车辆废水和施工人员产生的少量生活污水。由于清洗车辆产生的废水量较小，且主要污染物为泥沙，采取施工过程中在临时施工区设置沉淀池，生产废水经沉淀池净化后，全部回用，不外排。生活污水主要为施工人员洗漱用水，</w:t>
            </w:r>
            <w:r>
              <w:rPr>
                <w:rFonts w:hint="eastAsia"/>
                <w:sz w:val="24"/>
              </w:rPr>
              <w:t>直接泼洒地面抑尘</w:t>
            </w:r>
            <w:r>
              <w:rPr>
                <w:sz w:val="24"/>
              </w:rPr>
              <w:t>，不会对周边环境产生明显影响。</w:t>
            </w:r>
          </w:p>
          <w:p>
            <w:pPr>
              <w:spacing w:line="480" w:lineRule="exact"/>
              <w:ind w:firstLine="480" w:firstLineChars="200"/>
              <w:rPr>
                <w:sz w:val="24"/>
              </w:rPr>
            </w:pPr>
            <w:r>
              <w:rPr>
                <w:rFonts w:hint="eastAsia"/>
                <w:sz w:val="24"/>
              </w:rPr>
              <w:t>2</w:t>
            </w:r>
            <w:r>
              <w:rPr>
                <w:sz w:val="24"/>
              </w:rPr>
              <w:t>、施工期噪声影响分析</w:t>
            </w:r>
          </w:p>
          <w:p>
            <w:pPr>
              <w:spacing w:line="480" w:lineRule="exact"/>
              <w:ind w:firstLine="480" w:firstLineChars="200"/>
              <w:rPr>
                <w:sz w:val="24"/>
              </w:rPr>
            </w:pPr>
            <w:r>
              <w:rPr>
                <w:sz w:val="24"/>
              </w:rPr>
              <w:t>施工噪声主要为设备吊装等施工机械产生的噪声。</w:t>
            </w:r>
          </w:p>
          <w:p>
            <w:pPr>
              <w:spacing w:line="480" w:lineRule="exact"/>
              <w:ind w:firstLine="480" w:firstLineChars="200"/>
              <w:rPr>
                <w:sz w:val="24"/>
              </w:rPr>
            </w:pPr>
            <w:r>
              <w:rPr>
                <w:sz w:val="24"/>
              </w:rPr>
              <w:t>本评价提出以下几点建议：</w:t>
            </w:r>
          </w:p>
          <w:p>
            <w:pPr>
              <w:numPr>
                <w:ilvl w:val="0"/>
                <w:numId w:val="5"/>
              </w:numPr>
              <w:spacing w:line="480" w:lineRule="exact"/>
              <w:ind w:firstLine="480" w:firstLineChars="200"/>
              <w:rPr>
                <w:sz w:val="24"/>
              </w:rPr>
            </w:pPr>
            <w:r>
              <w:rPr>
                <w:sz w:val="24"/>
              </w:rPr>
              <w:t>合理安排施工时间，尽量减轻对周围声环境的影响；</w:t>
            </w:r>
          </w:p>
          <w:p>
            <w:pPr>
              <w:numPr>
                <w:ilvl w:val="0"/>
                <w:numId w:val="5"/>
              </w:numPr>
              <w:spacing w:line="480" w:lineRule="exact"/>
              <w:ind w:firstLine="480" w:firstLineChars="200"/>
              <w:rPr>
                <w:sz w:val="24"/>
              </w:rPr>
            </w:pPr>
            <w:r>
              <w:rPr>
                <w:sz w:val="24"/>
              </w:rPr>
              <w:t>利用距离衰减措施，在不影响施工情况下，将强噪声设备尽量分散布置使用；</w:t>
            </w:r>
          </w:p>
          <w:p>
            <w:pPr>
              <w:numPr>
                <w:ilvl w:val="0"/>
                <w:numId w:val="5"/>
              </w:numPr>
              <w:spacing w:line="480" w:lineRule="exact"/>
              <w:ind w:firstLine="480" w:firstLineChars="200"/>
              <w:rPr>
                <w:sz w:val="24"/>
              </w:rPr>
            </w:pPr>
            <w:r>
              <w:rPr>
                <w:sz w:val="24"/>
              </w:rPr>
              <w:t>车辆出入现场时应低速、禁鸣；</w:t>
            </w:r>
          </w:p>
          <w:p>
            <w:pPr>
              <w:spacing w:line="480" w:lineRule="exact"/>
              <w:ind w:firstLine="480" w:firstLineChars="200"/>
              <w:rPr>
                <w:sz w:val="24"/>
              </w:rPr>
            </w:pPr>
            <w:r>
              <w:rPr>
                <w:sz w:val="24"/>
              </w:rPr>
              <w:t>(4)土石方或建筑材料、设备运输车辆通过时人口密集区应减速、禁鸣。通过采取以上降噪措施后，可最大限度的降低施工噪声对周围声环境的影响，随着施工期的结束，施工噪声的影响也将结束。</w:t>
            </w:r>
          </w:p>
          <w:p>
            <w:pPr>
              <w:spacing w:line="480" w:lineRule="exact"/>
              <w:ind w:firstLine="480" w:firstLineChars="200"/>
              <w:rPr>
                <w:sz w:val="24"/>
              </w:rPr>
            </w:pPr>
            <w:r>
              <w:rPr>
                <w:rFonts w:hint="eastAsia"/>
                <w:sz w:val="24"/>
              </w:rPr>
              <w:t>3</w:t>
            </w:r>
            <w:r>
              <w:rPr>
                <w:sz w:val="24"/>
              </w:rPr>
              <w:t>、固体废物影响分析</w:t>
            </w:r>
          </w:p>
          <w:p>
            <w:pPr>
              <w:spacing w:line="480" w:lineRule="exact"/>
              <w:ind w:firstLine="480" w:firstLineChars="200"/>
              <w:rPr>
                <w:sz w:val="24"/>
              </w:rPr>
            </w:pPr>
            <w:r>
              <w:rPr>
                <w:rFonts w:hint="eastAsia"/>
                <w:sz w:val="24"/>
              </w:rPr>
              <w:t>本项目</w:t>
            </w:r>
            <w:r>
              <w:rPr>
                <w:sz w:val="24"/>
              </w:rPr>
              <w:t>施工期产生的固体废物主要为施工人员产生的生活垃圾。根据《国家危险废物名录》及《危险废物鉴别标准》(GB5085.1～7-2019)，施工过程中产生的固体废物均属一般固体废物，不属于危险废物。</w:t>
            </w:r>
          </w:p>
          <w:p>
            <w:pPr>
              <w:spacing w:line="480" w:lineRule="exact"/>
              <w:ind w:firstLine="480" w:firstLineChars="200"/>
              <w:rPr>
                <w:sz w:val="24"/>
              </w:rPr>
            </w:pPr>
            <w:r>
              <w:rPr>
                <w:sz w:val="24"/>
              </w:rPr>
              <w:t>施工人员产生的生活垃圾送环卫部门指定地点处置。</w:t>
            </w:r>
          </w:p>
          <w:p>
            <w:pPr>
              <w:spacing w:line="480" w:lineRule="exact"/>
              <w:ind w:firstLine="480" w:firstLineChars="200"/>
              <w:rPr>
                <w:bCs/>
                <w:szCs w:val="21"/>
              </w:rPr>
            </w:pPr>
            <w:r>
              <w:rPr>
                <w:sz w:val="24"/>
              </w:rPr>
              <w:t>综上所述，施工期产生的固体废物全部得到妥善处置，不会对周围环境产生明显影响</w:t>
            </w:r>
            <w:r>
              <w:rPr>
                <w:rFonts w:hint="eastAsia"/>
                <w:bCs/>
                <w:spacing w:val="1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szCs w:val="21"/>
              </w:rPr>
            </w:pPr>
            <w:r>
              <w:rPr>
                <w:rFonts w:hint="eastAsia" w:cs="宋体"/>
                <w:bCs/>
                <w:sz w:val="24"/>
              </w:rPr>
              <w:t>运营期环境影响和保护措施</w:t>
            </w:r>
          </w:p>
        </w:tc>
        <w:tc>
          <w:tcPr>
            <w:tcW w:w="12648" w:type="dxa"/>
          </w:tcPr>
          <w:p>
            <w:pPr>
              <w:adjustRightInd w:val="0"/>
              <w:snapToGrid w:val="0"/>
              <w:spacing w:line="500" w:lineRule="exact"/>
              <w:rPr>
                <w:b/>
                <w:bCs/>
                <w:sz w:val="24"/>
              </w:rPr>
            </w:pPr>
            <w:r>
              <w:rPr>
                <w:rFonts w:hint="eastAsia"/>
                <w:b/>
                <w:bCs/>
                <w:sz w:val="24"/>
              </w:rPr>
              <w:t>1、废气</w:t>
            </w:r>
          </w:p>
          <w:p>
            <w:pPr>
              <w:adjustRightInd w:val="0"/>
              <w:snapToGrid w:val="0"/>
              <w:spacing w:line="500" w:lineRule="exact"/>
              <w:ind w:firstLine="480" w:firstLineChars="200"/>
              <w:rPr>
                <w:sz w:val="24"/>
              </w:rPr>
            </w:pPr>
            <w:r>
              <w:rPr>
                <w:rFonts w:hint="eastAsia"/>
                <w:sz w:val="24"/>
              </w:rPr>
              <w:t>1.1污染物排放情况</w:t>
            </w:r>
          </w:p>
          <w:p>
            <w:pPr>
              <w:spacing w:line="500" w:lineRule="exact"/>
              <w:jc w:val="center"/>
              <w:rPr>
                <w:b/>
                <w:bCs/>
                <w:sz w:val="24"/>
              </w:rPr>
            </w:pPr>
            <w:r>
              <w:rPr>
                <w:rFonts w:hint="eastAsia"/>
                <w:b/>
                <w:bCs/>
                <w:sz w:val="24"/>
              </w:rPr>
              <w:t>表2</w:t>
            </w:r>
            <w:r>
              <w:rPr>
                <w:rFonts w:hint="eastAsia"/>
                <w:b/>
                <w:bCs/>
                <w:sz w:val="24"/>
                <w:lang w:val="en-US" w:eastAsia="zh-CN"/>
              </w:rPr>
              <w:t>8</w:t>
            </w:r>
            <w:r>
              <w:rPr>
                <w:rFonts w:hint="eastAsia"/>
                <w:b/>
                <w:bCs/>
                <w:sz w:val="24"/>
              </w:rPr>
              <w:t xml:space="preserve">    废气污染物排放源情况一览表</w:t>
            </w:r>
          </w:p>
          <w:tbl>
            <w:tblPr>
              <w:tblStyle w:val="32"/>
              <w:tblW w:w="503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28"/>
              <w:gridCol w:w="833"/>
              <w:gridCol w:w="622"/>
              <w:gridCol w:w="642"/>
              <w:gridCol w:w="530"/>
              <w:gridCol w:w="738"/>
              <w:gridCol w:w="716"/>
              <w:gridCol w:w="589"/>
              <w:gridCol w:w="727"/>
              <w:gridCol w:w="529"/>
              <w:gridCol w:w="727"/>
              <w:gridCol w:w="491"/>
              <w:gridCol w:w="571"/>
              <w:gridCol w:w="749"/>
              <w:gridCol w:w="3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0" w:type="pct"/>
                  <w:vMerge w:val="restart"/>
                  <w:tcBorders>
                    <w:tl2br w:val="nil"/>
                    <w:tr2bl w:val="nil"/>
                  </w:tcBorders>
                  <w:vAlign w:val="center"/>
                </w:tcPr>
                <w:p>
                  <w:pPr>
                    <w:snapToGrid w:val="0"/>
                    <w:jc w:val="center"/>
                    <w:rPr>
                      <w:szCs w:val="21"/>
                      <w:highlight w:val="none"/>
                    </w:rPr>
                  </w:pPr>
                  <w:r>
                    <w:rPr>
                      <w:szCs w:val="21"/>
                      <w:highlight w:val="none"/>
                    </w:rPr>
                    <w:t>产污</w:t>
                  </w:r>
                  <w:r>
                    <w:rPr>
                      <w:rFonts w:hint="eastAsia"/>
                      <w:szCs w:val="21"/>
                      <w:highlight w:val="none"/>
                    </w:rPr>
                    <w:t>环节</w:t>
                  </w:r>
                </w:p>
              </w:tc>
              <w:tc>
                <w:tcPr>
                  <w:tcW w:w="332" w:type="pct"/>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污染物</w:t>
                  </w:r>
                  <w:r>
                    <w:rPr>
                      <w:rFonts w:hint="eastAsia"/>
                      <w:color w:val="auto"/>
                      <w:szCs w:val="21"/>
                      <w:highlight w:val="none"/>
                    </w:rPr>
                    <w:t>种类</w:t>
                  </w:r>
                </w:p>
              </w:tc>
              <w:tc>
                <w:tcPr>
                  <w:tcW w:w="504"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产生情况</w:t>
                  </w:r>
                </w:p>
              </w:tc>
              <w:tc>
                <w:tcPr>
                  <w:tcW w:w="211"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排放形式</w:t>
                  </w:r>
                </w:p>
              </w:tc>
              <w:tc>
                <w:tcPr>
                  <w:tcW w:w="1316" w:type="pct"/>
                  <w:gridSpan w:val="5"/>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污染治理设施</w:t>
                  </w:r>
                </w:p>
              </w:tc>
              <w:tc>
                <w:tcPr>
                  <w:tcW w:w="714" w:type="pct"/>
                  <w:gridSpan w:val="3"/>
                  <w:tcBorders>
                    <w:tl2br w:val="nil"/>
                    <w:tr2bl w:val="nil"/>
                  </w:tcBorders>
                  <w:vAlign w:val="center"/>
                </w:tcPr>
                <w:p>
                  <w:pPr>
                    <w:adjustRightInd w:val="0"/>
                    <w:snapToGrid w:val="0"/>
                    <w:jc w:val="center"/>
                    <w:rPr>
                      <w:color w:val="auto"/>
                      <w:szCs w:val="21"/>
                      <w:highlight w:val="none"/>
                    </w:rPr>
                  </w:pPr>
                  <w:r>
                    <w:rPr>
                      <w:color w:val="auto"/>
                      <w:szCs w:val="21"/>
                      <w:highlight w:val="none"/>
                    </w:rPr>
                    <w:t>排放情况</w:t>
                  </w:r>
                </w:p>
              </w:tc>
              <w:tc>
                <w:tcPr>
                  <w:tcW w:w="299"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有组织排放口编号</w:t>
                  </w:r>
                </w:p>
              </w:tc>
              <w:tc>
                <w:tcPr>
                  <w:tcW w:w="1330"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r>
                    <w:rPr>
                      <w:color w:val="auto"/>
                      <w:szCs w:val="21"/>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0" w:type="pct"/>
                  <w:vMerge w:val="continue"/>
                  <w:tcBorders>
                    <w:tl2br w:val="nil"/>
                    <w:tr2bl w:val="nil"/>
                  </w:tcBorders>
                  <w:vAlign w:val="center"/>
                </w:tcPr>
                <w:p>
                  <w:pPr>
                    <w:snapToGrid w:val="0"/>
                    <w:jc w:val="center"/>
                    <w:rPr>
                      <w:szCs w:val="21"/>
                      <w:highlight w:val="none"/>
                    </w:rPr>
                  </w:pPr>
                </w:p>
              </w:tc>
              <w:tc>
                <w:tcPr>
                  <w:tcW w:w="332" w:type="pct"/>
                  <w:vMerge w:val="continue"/>
                  <w:tcBorders>
                    <w:tl2br w:val="nil"/>
                    <w:tr2bl w:val="nil"/>
                  </w:tcBorders>
                  <w:vAlign w:val="center"/>
                </w:tcPr>
                <w:p>
                  <w:pPr>
                    <w:adjustRightInd w:val="0"/>
                    <w:snapToGrid w:val="0"/>
                    <w:jc w:val="center"/>
                    <w:rPr>
                      <w:color w:val="auto"/>
                      <w:szCs w:val="21"/>
                      <w:highlight w:val="none"/>
                    </w:rPr>
                  </w:pPr>
                </w:p>
              </w:tc>
              <w:tc>
                <w:tcPr>
                  <w:tcW w:w="248"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256"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r>
                    <w:rPr>
                      <w:color w:val="auto"/>
                      <w:szCs w:val="21"/>
                      <w:highlight w:val="none"/>
                    </w:rPr>
                    <w:t>量</w:t>
                  </w:r>
                </w:p>
                <w:p>
                  <w:pPr>
                    <w:adjustRightInd w:val="0"/>
                    <w:snapToGrid w:val="0"/>
                    <w:jc w:val="center"/>
                    <w:rPr>
                      <w:color w:val="auto"/>
                      <w:szCs w:val="21"/>
                      <w:highlight w:val="none"/>
                    </w:rPr>
                  </w:pPr>
                  <w:r>
                    <w:rPr>
                      <w:color w:val="auto"/>
                      <w:szCs w:val="21"/>
                      <w:highlight w:val="none"/>
                    </w:rPr>
                    <w:t>t/a</w:t>
                  </w:r>
                </w:p>
              </w:tc>
              <w:tc>
                <w:tcPr>
                  <w:tcW w:w="211" w:type="pct"/>
                  <w:vMerge w:val="continue"/>
                  <w:tcBorders>
                    <w:tl2br w:val="nil"/>
                    <w:tr2bl w:val="nil"/>
                  </w:tcBorders>
                  <w:vAlign w:val="center"/>
                </w:tcPr>
                <w:p>
                  <w:pPr>
                    <w:adjustRightInd w:val="0"/>
                    <w:snapToGrid w:val="0"/>
                    <w:jc w:val="center"/>
                    <w:rPr>
                      <w:color w:val="auto"/>
                      <w:szCs w:val="21"/>
                      <w:highlight w:val="none"/>
                    </w:rPr>
                  </w:pPr>
                </w:p>
              </w:tc>
              <w:tc>
                <w:tcPr>
                  <w:tcW w:w="294" w:type="pc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治理设施名称</w:t>
                  </w:r>
                </w:p>
              </w:tc>
              <w:tc>
                <w:tcPr>
                  <w:tcW w:w="28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处理能力(</w:t>
                  </w:r>
                  <w:r>
                    <w:rPr>
                      <w:color w:val="auto"/>
                      <w:szCs w:val="21"/>
                      <w:highlight w:val="none"/>
                    </w:rPr>
                    <w:t>m</w:t>
                  </w:r>
                  <w:r>
                    <w:rPr>
                      <w:color w:val="auto"/>
                      <w:szCs w:val="21"/>
                      <w:highlight w:val="none"/>
                      <w:vertAlign w:val="superscript"/>
                    </w:rPr>
                    <w:t>3</w:t>
                  </w:r>
                  <w:r>
                    <w:rPr>
                      <w:color w:val="auto"/>
                      <w:szCs w:val="21"/>
                      <w:highlight w:val="none"/>
                    </w:rPr>
                    <w:t>/h</w:t>
                  </w:r>
                  <w:r>
                    <w:rPr>
                      <w:rFonts w:hint="eastAsia"/>
                      <w:color w:val="auto"/>
                      <w:szCs w:val="21"/>
                      <w:highlight w:val="none"/>
                    </w:rPr>
                    <w:t>)</w:t>
                  </w:r>
                </w:p>
              </w:tc>
              <w:tc>
                <w:tcPr>
                  <w:tcW w:w="23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收集效率（%）</w:t>
                  </w:r>
                </w:p>
              </w:tc>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治理工艺去除率</w:t>
                  </w:r>
                </w:p>
              </w:tc>
              <w:tc>
                <w:tcPr>
                  <w:tcW w:w="211" w:type="pct"/>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是否可行技术</w:t>
                  </w:r>
                </w:p>
              </w:tc>
              <w:tc>
                <w:tcPr>
                  <w:tcW w:w="290"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196"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p>
                <w:p>
                  <w:pPr>
                    <w:adjustRightInd w:val="0"/>
                    <w:snapToGrid w:val="0"/>
                    <w:jc w:val="center"/>
                    <w:rPr>
                      <w:color w:val="auto"/>
                      <w:szCs w:val="21"/>
                      <w:highlight w:val="none"/>
                    </w:rPr>
                  </w:pPr>
                  <w:r>
                    <w:rPr>
                      <w:rFonts w:hint="eastAsia"/>
                      <w:color w:val="auto"/>
                      <w:szCs w:val="21"/>
                      <w:highlight w:val="none"/>
                    </w:rPr>
                    <w:t>速率</w:t>
                  </w:r>
                </w:p>
                <w:p>
                  <w:pPr>
                    <w:adjustRightInd w:val="0"/>
                    <w:snapToGrid w:val="0"/>
                    <w:jc w:val="center"/>
                    <w:rPr>
                      <w:color w:val="auto"/>
                      <w:szCs w:val="21"/>
                      <w:highlight w:val="none"/>
                    </w:rPr>
                  </w:pPr>
                  <w:r>
                    <w:rPr>
                      <w:rFonts w:hint="eastAsia"/>
                      <w:color w:val="auto"/>
                      <w:szCs w:val="21"/>
                      <w:highlight w:val="none"/>
                    </w:rPr>
                    <w:t>kg</w:t>
                  </w:r>
                  <w:r>
                    <w:rPr>
                      <w:color w:val="auto"/>
                      <w:szCs w:val="21"/>
                      <w:highlight w:val="none"/>
                    </w:rPr>
                    <w:t>/h</w:t>
                  </w:r>
                </w:p>
              </w:tc>
              <w:tc>
                <w:tcPr>
                  <w:tcW w:w="227"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排放量</w:t>
                  </w:r>
                </w:p>
                <w:p>
                  <w:pPr>
                    <w:adjustRightInd w:val="0"/>
                    <w:snapToGrid w:val="0"/>
                    <w:jc w:val="center"/>
                    <w:rPr>
                      <w:color w:val="auto"/>
                      <w:szCs w:val="21"/>
                      <w:highlight w:val="none"/>
                    </w:rPr>
                  </w:pPr>
                  <w:r>
                    <w:rPr>
                      <w:color w:val="auto"/>
                      <w:szCs w:val="21"/>
                      <w:highlight w:val="none"/>
                    </w:rPr>
                    <w:t>t/a</w:t>
                  </w:r>
                </w:p>
              </w:tc>
              <w:tc>
                <w:tcPr>
                  <w:tcW w:w="299" w:type="pct"/>
                  <w:vMerge w:val="continue"/>
                  <w:tcBorders>
                    <w:tl2br w:val="nil"/>
                    <w:tr2bl w:val="nil"/>
                  </w:tcBorders>
                  <w:vAlign w:val="center"/>
                </w:tcPr>
                <w:p>
                  <w:pPr>
                    <w:adjustRightInd w:val="0"/>
                    <w:snapToGrid w:val="0"/>
                    <w:jc w:val="center"/>
                    <w:rPr>
                      <w:color w:val="auto"/>
                      <w:szCs w:val="21"/>
                      <w:highlight w:val="none"/>
                    </w:rPr>
                  </w:pPr>
                </w:p>
              </w:tc>
              <w:tc>
                <w:tcPr>
                  <w:tcW w:w="1330"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42" w:hRule="atLeast"/>
                <w:jc w:val="center"/>
              </w:trPr>
              <w:tc>
                <w:tcPr>
                  <w:tcW w:w="290" w:type="pct"/>
                  <w:tcBorders>
                    <w:tl2br w:val="nil"/>
                    <w:tr2bl w:val="nil"/>
                  </w:tcBorders>
                  <w:vAlign w:val="center"/>
                </w:tcPr>
                <w:p>
                  <w:pPr>
                    <w:adjustRightInd w:val="0"/>
                    <w:snapToGrid w:val="0"/>
                    <w:jc w:val="center"/>
                    <w:rPr>
                      <w:szCs w:val="21"/>
                      <w:highlight w:val="none"/>
                    </w:rPr>
                  </w:pPr>
                  <w:r>
                    <w:rPr>
                      <w:rFonts w:hint="eastAsia"/>
                      <w:szCs w:val="21"/>
                      <w:highlight w:val="none"/>
                    </w:rPr>
                    <w:t>熔炼</w:t>
                  </w:r>
                </w:p>
              </w:tc>
              <w:tc>
                <w:tcPr>
                  <w:tcW w:w="332"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48"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FF0000"/>
                      <w:szCs w:val="21"/>
                      <w:highlight w:val="none"/>
                      <w:lang w:val="en-US" w:eastAsia="zh-CN"/>
                    </w:rPr>
                    <w:t>208.5</w:t>
                  </w:r>
                </w:p>
              </w:tc>
              <w:tc>
                <w:tcPr>
                  <w:tcW w:w="25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3.185</w:t>
                  </w:r>
                </w:p>
              </w:tc>
              <w:tc>
                <w:tcPr>
                  <w:tcW w:w="211"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294"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袋式除尘器(覆膜)</w:t>
                  </w:r>
                </w:p>
              </w:tc>
              <w:tc>
                <w:tcPr>
                  <w:tcW w:w="285" w:type="pct"/>
                  <w:tcBorders>
                    <w:tl2br w:val="nil"/>
                    <w:tr2bl w:val="nil"/>
                  </w:tcBorders>
                  <w:vAlign w:val="center"/>
                </w:tcPr>
                <w:p>
                  <w:pPr>
                    <w:adjustRightInd w:val="0"/>
                    <w:snapToGrid w:val="0"/>
                    <w:jc w:val="center"/>
                    <w:rPr>
                      <w:rFonts w:hint="eastAsia" w:eastAsia="宋体"/>
                      <w:color w:val="FF0000"/>
                      <w:szCs w:val="21"/>
                      <w:highlight w:val="none"/>
                      <w:lang w:eastAsia="zh-CN"/>
                    </w:rPr>
                  </w:pPr>
                  <w:r>
                    <w:rPr>
                      <w:rFonts w:hint="eastAsia"/>
                      <w:color w:val="FF0000"/>
                      <w:szCs w:val="21"/>
                      <w:highlight w:val="none"/>
                      <w:lang w:eastAsia="zh-CN"/>
                    </w:rPr>
                    <w:t>6500</w:t>
                  </w:r>
                </w:p>
              </w:tc>
              <w:tc>
                <w:tcPr>
                  <w:tcW w:w="235" w:type="pct"/>
                  <w:tcBorders>
                    <w:tl2br w:val="nil"/>
                    <w:tr2bl w:val="nil"/>
                  </w:tcBorders>
                  <w:vAlign w:val="center"/>
                </w:tcPr>
                <w:p>
                  <w:pPr>
                    <w:adjustRightInd w:val="0"/>
                    <w:snapToGrid w:val="0"/>
                    <w:jc w:val="center"/>
                    <w:rPr>
                      <w:color w:val="FF0000"/>
                      <w:szCs w:val="21"/>
                      <w:highlight w:val="none"/>
                    </w:rPr>
                  </w:pPr>
                  <w:r>
                    <w:rPr>
                      <w:rFonts w:hint="eastAsia"/>
                      <w:color w:val="FF0000"/>
                      <w:szCs w:val="21"/>
                      <w:highlight w:val="none"/>
                    </w:rPr>
                    <w:t>95</w:t>
                  </w:r>
                </w:p>
              </w:tc>
              <w:tc>
                <w:tcPr>
                  <w:tcW w:w="290" w:type="pct"/>
                  <w:tcBorders>
                    <w:tl2br w:val="nil"/>
                    <w:tr2bl w:val="nil"/>
                  </w:tcBorders>
                  <w:vAlign w:val="center"/>
                </w:tcPr>
                <w:p>
                  <w:pPr>
                    <w:adjustRightInd w:val="0"/>
                    <w:snapToGrid w:val="0"/>
                    <w:jc w:val="center"/>
                    <w:rPr>
                      <w:color w:val="FF0000"/>
                      <w:szCs w:val="21"/>
                      <w:highlight w:val="none"/>
                    </w:rPr>
                  </w:pPr>
                  <w:r>
                    <w:rPr>
                      <w:rFonts w:hint="eastAsia"/>
                      <w:color w:val="FF0000"/>
                      <w:szCs w:val="21"/>
                      <w:highlight w:val="none"/>
                    </w:rPr>
                    <w:t>99%</w:t>
                  </w:r>
                </w:p>
              </w:tc>
              <w:tc>
                <w:tcPr>
                  <w:tcW w:w="211" w:type="pct"/>
                  <w:tcBorders>
                    <w:tl2br w:val="nil"/>
                    <w:tr2bl w:val="nil"/>
                  </w:tcBorders>
                  <w:vAlign w:val="center"/>
                </w:tcPr>
                <w:p>
                  <w:pPr>
                    <w:adjustRightInd w:val="0"/>
                    <w:snapToGrid w:val="0"/>
                    <w:jc w:val="center"/>
                    <w:rPr>
                      <w:color w:val="FF0000"/>
                      <w:kern w:val="0"/>
                      <w:szCs w:val="21"/>
                      <w:highlight w:val="none"/>
                      <w:lang w:bidi="ar"/>
                    </w:rPr>
                  </w:pPr>
                  <w:r>
                    <w:rPr>
                      <w:rFonts w:hint="eastAsia"/>
                      <w:color w:val="FF0000"/>
                      <w:kern w:val="0"/>
                      <w:szCs w:val="21"/>
                      <w:highlight w:val="none"/>
                      <w:lang w:bidi="ar"/>
                    </w:rPr>
                    <w:t>是</w:t>
                  </w:r>
                </w:p>
              </w:tc>
              <w:tc>
                <w:tcPr>
                  <w:tcW w:w="290" w:type="pct"/>
                  <w:tcBorders>
                    <w:tl2br w:val="nil"/>
                    <w:tr2bl w:val="nil"/>
                  </w:tcBorders>
                  <w:vAlign w:val="center"/>
                </w:tcPr>
                <w:p>
                  <w:pPr>
                    <w:adjustRightInd w:val="0"/>
                    <w:snapToGrid w:val="0"/>
                    <w:jc w:val="center"/>
                    <w:rPr>
                      <w:rFonts w:hint="default" w:eastAsia="宋体"/>
                      <w:color w:val="FF0000"/>
                      <w:szCs w:val="21"/>
                      <w:highlight w:val="none"/>
                      <w:lang w:val="en-US" w:eastAsia="zh-CN"/>
                    </w:rPr>
                  </w:pPr>
                  <w:r>
                    <w:rPr>
                      <w:rFonts w:hint="eastAsia"/>
                      <w:color w:val="FF0000"/>
                      <w:szCs w:val="21"/>
                      <w:highlight w:val="none"/>
                      <w:lang w:val="en-US" w:eastAsia="zh-CN"/>
                    </w:rPr>
                    <w:t>2.154</w:t>
                  </w:r>
                </w:p>
              </w:tc>
              <w:tc>
                <w:tcPr>
                  <w:tcW w:w="19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0.014</w:t>
                  </w:r>
                </w:p>
              </w:tc>
              <w:tc>
                <w:tcPr>
                  <w:tcW w:w="227"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0.032</w:t>
                  </w:r>
                </w:p>
              </w:tc>
              <w:tc>
                <w:tcPr>
                  <w:tcW w:w="29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DA001</w:t>
                  </w:r>
                </w:p>
              </w:tc>
              <w:tc>
                <w:tcPr>
                  <w:tcW w:w="1330" w:type="pct"/>
                  <w:vMerge w:val="restart"/>
                  <w:tcBorders>
                    <w:tl2br w:val="nil"/>
                    <w:tr2bl w:val="nil"/>
                  </w:tcBorders>
                  <w:vAlign w:val="center"/>
                </w:tcPr>
                <w:p>
                  <w:pPr>
                    <w:adjustRightInd w:val="0"/>
                    <w:snapToGrid w:val="0"/>
                    <w:jc w:val="center"/>
                    <w:rPr>
                      <w:color w:val="auto"/>
                      <w:szCs w:val="21"/>
                      <w:highlight w:val="none"/>
                    </w:rPr>
                  </w:pPr>
                  <w:r>
                    <w:rPr>
                      <w:bCs/>
                      <w:color w:val="auto"/>
                      <w:szCs w:val="21"/>
                      <w:highlight w:val="none"/>
                    </w:rPr>
                    <w:t>《铸造工业大气污染物排放标准》（GB 39726—2020）表1/《唐山市大气污染防治工作领导小组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&lt;唐山市钢铁行业整治提升工作方案&gt;等10项方案的通知》（唐气领办〔2021〕15号）中附件9《唐山市铸造行业整治提升工作方案》相关标准要求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szCs w:val="21"/>
                      <w:highlight w:val="none"/>
                    </w:rPr>
                  </w:pPr>
                  <w:r>
                    <w:rPr>
                      <w:rFonts w:hint="eastAsia"/>
                      <w:spacing w:val="-10"/>
                      <w:szCs w:val="21"/>
                      <w:highlight w:val="none"/>
                    </w:rPr>
                    <w:t>浇注、打磨、</w:t>
                  </w:r>
                  <w:r>
                    <w:rPr>
                      <w:rFonts w:hint="eastAsia"/>
                      <w:spacing w:val="-10"/>
                      <w:szCs w:val="21"/>
                      <w:highlight w:val="none"/>
                      <w:lang w:val="en-US" w:eastAsia="zh-CN"/>
                    </w:rPr>
                    <w:t>车间环境</w:t>
                  </w:r>
                </w:p>
              </w:tc>
              <w:tc>
                <w:tcPr>
                  <w:tcW w:w="332"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48"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123.24</w:t>
                  </w:r>
                </w:p>
              </w:tc>
              <w:tc>
                <w:tcPr>
                  <w:tcW w:w="25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20.705</w:t>
                  </w:r>
                </w:p>
              </w:tc>
              <w:tc>
                <w:tcPr>
                  <w:tcW w:w="211"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294"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袋式除尘器(覆膜)</w:t>
                  </w:r>
                </w:p>
              </w:tc>
              <w:tc>
                <w:tcPr>
                  <w:tcW w:w="28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35</w:t>
                  </w:r>
                  <w:r>
                    <w:rPr>
                      <w:rFonts w:hint="eastAsia"/>
                      <w:color w:val="auto"/>
                      <w:szCs w:val="21"/>
                      <w:highlight w:val="none"/>
                    </w:rPr>
                    <w:t>000</w:t>
                  </w:r>
                </w:p>
              </w:tc>
              <w:tc>
                <w:tcPr>
                  <w:tcW w:w="23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95</w:t>
                  </w:r>
                </w:p>
              </w:tc>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w:t>
                  </w:r>
                </w:p>
              </w:tc>
              <w:tc>
                <w:tcPr>
                  <w:tcW w:w="211" w:type="pc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0"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1.23</w:t>
                  </w:r>
                </w:p>
              </w:tc>
              <w:tc>
                <w:tcPr>
                  <w:tcW w:w="19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0.043</w:t>
                  </w:r>
                </w:p>
              </w:tc>
              <w:tc>
                <w:tcPr>
                  <w:tcW w:w="227"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0.207</w:t>
                  </w:r>
                </w:p>
              </w:tc>
              <w:tc>
                <w:tcPr>
                  <w:tcW w:w="29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DA002</w:t>
                  </w:r>
                </w:p>
              </w:tc>
              <w:tc>
                <w:tcPr>
                  <w:tcW w:w="1330"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rFonts w:hint="eastAsia"/>
                      <w:spacing w:val="-10"/>
                      <w:szCs w:val="21"/>
                      <w:highlight w:val="none"/>
                    </w:rPr>
                  </w:pPr>
                  <w:r>
                    <w:rPr>
                      <w:rFonts w:hint="eastAsia"/>
                      <w:spacing w:val="-10"/>
                      <w:szCs w:val="21"/>
                      <w:highlight w:val="none"/>
                    </w:rPr>
                    <w:t>砂处理、混砂</w:t>
                  </w:r>
                  <w:r>
                    <w:rPr>
                      <w:spacing w:val="-10"/>
                      <w:szCs w:val="21"/>
                      <w:highlight w:val="none"/>
                    </w:rPr>
                    <w:t>废气</w:t>
                  </w:r>
                </w:p>
              </w:tc>
              <w:tc>
                <w:tcPr>
                  <w:tcW w:w="332" w:type="pct"/>
                  <w:tcBorders>
                    <w:tl2br w:val="nil"/>
                    <w:tr2bl w:val="nil"/>
                  </w:tcBorders>
                  <w:vAlign w:val="center"/>
                </w:tcPr>
                <w:p>
                  <w:pPr>
                    <w:adjustRightInd w:val="0"/>
                    <w:snapToGrid w:val="0"/>
                    <w:jc w:val="center"/>
                    <w:rPr>
                      <w:rFonts w:hint="eastAsia"/>
                      <w:color w:val="auto"/>
                      <w:szCs w:val="21"/>
                      <w:highlight w:val="none"/>
                    </w:rPr>
                  </w:pPr>
                  <w:r>
                    <w:rPr>
                      <w:rFonts w:hint="eastAsia"/>
                      <w:color w:val="auto"/>
                      <w:szCs w:val="21"/>
                      <w:highlight w:val="none"/>
                    </w:rPr>
                    <w:t>颗粒物</w:t>
                  </w:r>
                </w:p>
              </w:tc>
              <w:tc>
                <w:tcPr>
                  <w:tcW w:w="248"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FF0000"/>
                      <w:szCs w:val="21"/>
                      <w:highlight w:val="none"/>
                      <w:lang w:val="en-US" w:eastAsia="zh-CN"/>
                    </w:rPr>
                    <w:t>243.4</w:t>
                  </w:r>
                </w:p>
              </w:tc>
              <w:tc>
                <w:tcPr>
                  <w:tcW w:w="25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26.866</w:t>
                  </w:r>
                </w:p>
              </w:tc>
              <w:tc>
                <w:tcPr>
                  <w:tcW w:w="211"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有组织</w:t>
                  </w:r>
                </w:p>
              </w:tc>
              <w:tc>
                <w:tcPr>
                  <w:tcW w:w="294"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袋式除尘器(覆膜)</w:t>
                  </w:r>
                </w:p>
              </w:tc>
              <w:tc>
                <w:tcPr>
                  <w:tcW w:w="285" w:type="pct"/>
                  <w:tcBorders>
                    <w:tl2br w:val="nil"/>
                    <w:tr2bl w:val="nil"/>
                  </w:tcBorders>
                  <w:vAlign w:val="center"/>
                </w:tcPr>
                <w:p>
                  <w:pPr>
                    <w:adjustRightInd w:val="0"/>
                    <w:snapToGrid w:val="0"/>
                    <w:jc w:val="center"/>
                    <w:rPr>
                      <w:rFonts w:hint="default" w:eastAsia="宋体"/>
                      <w:color w:val="FF0000"/>
                      <w:szCs w:val="21"/>
                      <w:highlight w:val="none"/>
                      <w:lang w:val="en-US" w:eastAsia="zh-CN"/>
                    </w:rPr>
                  </w:pPr>
                  <w:r>
                    <w:rPr>
                      <w:rFonts w:hint="eastAsia"/>
                      <w:color w:val="FF0000"/>
                      <w:szCs w:val="21"/>
                      <w:highlight w:val="none"/>
                      <w:lang w:val="en-US" w:eastAsia="zh-CN"/>
                    </w:rPr>
                    <w:t>23000</w:t>
                  </w:r>
                </w:p>
              </w:tc>
              <w:tc>
                <w:tcPr>
                  <w:tcW w:w="235" w:type="pct"/>
                  <w:tcBorders>
                    <w:tl2br w:val="nil"/>
                    <w:tr2bl w:val="nil"/>
                  </w:tcBorders>
                  <w:vAlign w:val="center"/>
                </w:tcPr>
                <w:p>
                  <w:pPr>
                    <w:adjustRightInd w:val="0"/>
                    <w:snapToGrid w:val="0"/>
                    <w:jc w:val="center"/>
                    <w:rPr>
                      <w:rFonts w:hint="eastAsia" w:ascii="Times New Roman" w:hAnsi="Times New Roman" w:eastAsia="宋体" w:cs="Times New Roman"/>
                      <w:color w:val="FF0000"/>
                      <w:kern w:val="2"/>
                      <w:sz w:val="21"/>
                      <w:szCs w:val="21"/>
                      <w:highlight w:val="none"/>
                      <w:lang w:val="en-US" w:eastAsia="zh-CN" w:bidi="ar-SA"/>
                    </w:rPr>
                  </w:pPr>
                  <w:r>
                    <w:rPr>
                      <w:rFonts w:hint="eastAsia"/>
                      <w:color w:val="FF0000"/>
                      <w:szCs w:val="21"/>
                      <w:highlight w:val="none"/>
                    </w:rPr>
                    <w:t>95</w:t>
                  </w:r>
                </w:p>
              </w:tc>
              <w:tc>
                <w:tcPr>
                  <w:tcW w:w="290" w:type="pct"/>
                  <w:tcBorders>
                    <w:tl2br w:val="nil"/>
                    <w:tr2bl w:val="nil"/>
                  </w:tcBorders>
                  <w:vAlign w:val="center"/>
                </w:tcPr>
                <w:p>
                  <w:pPr>
                    <w:adjustRightInd w:val="0"/>
                    <w:snapToGrid w:val="0"/>
                    <w:jc w:val="center"/>
                    <w:rPr>
                      <w:rFonts w:hint="eastAsia" w:ascii="Times New Roman" w:hAnsi="Times New Roman" w:eastAsia="宋体" w:cs="Times New Roman"/>
                      <w:color w:val="FF0000"/>
                      <w:kern w:val="2"/>
                      <w:sz w:val="21"/>
                      <w:szCs w:val="21"/>
                      <w:highlight w:val="none"/>
                      <w:lang w:val="en-US" w:eastAsia="zh-CN" w:bidi="ar-SA"/>
                    </w:rPr>
                  </w:pPr>
                  <w:r>
                    <w:rPr>
                      <w:rFonts w:hint="eastAsia"/>
                      <w:color w:val="FF0000"/>
                      <w:szCs w:val="21"/>
                      <w:highlight w:val="none"/>
                    </w:rPr>
                    <w:t>99%</w:t>
                  </w:r>
                </w:p>
              </w:tc>
              <w:tc>
                <w:tcPr>
                  <w:tcW w:w="211" w:type="pct"/>
                  <w:tcBorders>
                    <w:tl2br w:val="nil"/>
                    <w:tr2bl w:val="nil"/>
                  </w:tcBorders>
                  <w:vAlign w:val="center"/>
                </w:tcPr>
                <w:p>
                  <w:pPr>
                    <w:adjustRightInd w:val="0"/>
                    <w:snapToGrid w:val="0"/>
                    <w:jc w:val="center"/>
                    <w:rPr>
                      <w:rFonts w:hint="eastAsia" w:ascii="Times New Roman" w:hAnsi="Times New Roman" w:eastAsia="宋体" w:cs="Times New Roman"/>
                      <w:color w:val="FF0000"/>
                      <w:kern w:val="0"/>
                      <w:sz w:val="21"/>
                      <w:szCs w:val="21"/>
                      <w:highlight w:val="none"/>
                      <w:lang w:val="en-US" w:eastAsia="zh-CN" w:bidi="ar"/>
                    </w:rPr>
                  </w:pPr>
                  <w:r>
                    <w:rPr>
                      <w:rFonts w:hint="eastAsia"/>
                      <w:color w:val="FF0000"/>
                      <w:kern w:val="0"/>
                      <w:szCs w:val="21"/>
                      <w:highlight w:val="none"/>
                      <w:lang w:bidi="ar"/>
                    </w:rPr>
                    <w:t>是</w:t>
                  </w:r>
                </w:p>
              </w:tc>
              <w:tc>
                <w:tcPr>
                  <w:tcW w:w="290" w:type="pct"/>
                  <w:tcBorders>
                    <w:tl2br w:val="nil"/>
                    <w:tr2bl w:val="nil"/>
                  </w:tcBorders>
                  <w:vAlign w:val="center"/>
                </w:tcPr>
                <w:p>
                  <w:pPr>
                    <w:adjustRightInd w:val="0"/>
                    <w:snapToGrid w:val="0"/>
                    <w:jc w:val="center"/>
                    <w:rPr>
                      <w:rFonts w:hint="default" w:eastAsia="宋体"/>
                      <w:color w:val="FF0000"/>
                      <w:szCs w:val="21"/>
                      <w:highlight w:val="none"/>
                      <w:lang w:val="en-US" w:eastAsia="zh-CN"/>
                    </w:rPr>
                  </w:pPr>
                  <w:r>
                    <w:rPr>
                      <w:rFonts w:hint="eastAsia"/>
                      <w:color w:val="FF0000"/>
                      <w:szCs w:val="21"/>
                      <w:highlight w:val="none"/>
                      <w:lang w:val="en-US" w:eastAsia="zh-CN"/>
                    </w:rPr>
                    <w:t>2.435</w:t>
                  </w:r>
                </w:p>
              </w:tc>
              <w:tc>
                <w:tcPr>
                  <w:tcW w:w="19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0.056</w:t>
                  </w:r>
                </w:p>
              </w:tc>
              <w:tc>
                <w:tcPr>
                  <w:tcW w:w="227"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0.268</w:t>
                  </w:r>
                </w:p>
              </w:tc>
              <w:tc>
                <w:tcPr>
                  <w:tcW w:w="299" w:type="pct"/>
                  <w:tcBorders>
                    <w:tl2br w:val="nil"/>
                    <w:tr2bl w:val="nil"/>
                  </w:tcBorders>
                  <w:vAlign w:val="center"/>
                </w:tcPr>
                <w:p>
                  <w:pPr>
                    <w:adjustRightInd w:val="0"/>
                    <w:snapToGrid w:val="0"/>
                    <w:jc w:val="center"/>
                    <w:rPr>
                      <w:rFonts w:hint="eastAsia" w:eastAsia="宋体"/>
                      <w:color w:val="auto"/>
                      <w:szCs w:val="21"/>
                      <w:highlight w:val="none"/>
                      <w:lang w:val="en-US" w:eastAsia="zh-CN"/>
                    </w:rPr>
                  </w:pPr>
                  <w:r>
                    <w:rPr>
                      <w:rFonts w:hint="eastAsia"/>
                      <w:color w:val="auto"/>
                      <w:szCs w:val="21"/>
                      <w:highlight w:val="none"/>
                    </w:rPr>
                    <w:t>DA00</w:t>
                  </w:r>
                  <w:r>
                    <w:rPr>
                      <w:rFonts w:hint="eastAsia"/>
                      <w:color w:val="auto"/>
                      <w:szCs w:val="21"/>
                      <w:highlight w:val="none"/>
                      <w:lang w:val="en-US" w:eastAsia="zh-CN"/>
                    </w:rPr>
                    <w:t>3</w:t>
                  </w:r>
                </w:p>
              </w:tc>
              <w:tc>
                <w:tcPr>
                  <w:tcW w:w="1330"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90" w:type="pct"/>
                  <w:vMerge w:val="restart"/>
                  <w:tcBorders>
                    <w:tl2br w:val="nil"/>
                    <w:tr2bl w:val="nil"/>
                  </w:tcBorders>
                  <w:vAlign w:val="center"/>
                </w:tcPr>
                <w:p>
                  <w:pPr>
                    <w:snapToGrid w:val="0"/>
                    <w:jc w:val="center"/>
                    <w:rPr>
                      <w:szCs w:val="21"/>
                      <w:highlight w:val="none"/>
                    </w:rPr>
                  </w:pPr>
                  <w:r>
                    <w:rPr>
                      <w:rFonts w:hint="eastAsia"/>
                      <w:szCs w:val="21"/>
                      <w:highlight w:val="none"/>
                    </w:rPr>
                    <w:t>无组织</w:t>
                  </w:r>
                </w:p>
              </w:tc>
              <w:tc>
                <w:tcPr>
                  <w:tcW w:w="332" w:type="pct"/>
                  <w:vMerge w:val="restart"/>
                  <w:tcBorders>
                    <w:tl2br w:val="nil"/>
                    <w:tr2bl w:val="nil"/>
                  </w:tcBorders>
                  <w:vAlign w:val="center"/>
                </w:tcPr>
                <w:p>
                  <w:pPr>
                    <w:jc w:val="center"/>
                    <w:rPr>
                      <w:color w:val="auto"/>
                      <w:szCs w:val="21"/>
                      <w:highlight w:val="none"/>
                    </w:rPr>
                  </w:pPr>
                  <w:r>
                    <w:rPr>
                      <w:color w:val="auto"/>
                      <w:szCs w:val="21"/>
                      <w:highlight w:val="none"/>
                    </w:rPr>
                    <w:t>颗粒物</w:t>
                  </w:r>
                </w:p>
              </w:tc>
              <w:tc>
                <w:tcPr>
                  <w:tcW w:w="248"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56"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0.1</w:t>
                  </w:r>
                </w:p>
              </w:tc>
              <w:tc>
                <w:tcPr>
                  <w:tcW w:w="211"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无组织</w:t>
                  </w:r>
                </w:p>
              </w:tc>
              <w:tc>
                <w:tcPr>
                  <w:tcW w:w="294" w:type="pct"/>
                  <w:vMerge w:val="restart"/>
                  <w:tcBorders>
                    <w:tl2br w:val="nil"/>
                    <w:tr2bl w:val="nil"/>
                  </w:tcBorders>
                  <w:vAlign w:val="center"/>
                </w:tcPr>
                <w:p>
                  <w:pPr>
                    <w:snapToGrid w:val="0"/>
                    <w:jc w:val="center"/>
                    <w:rPr>
                      <w:color w:val="auto"/>
                      <w:szCs w:val="21"/>
                      <w:highlight w:val="none"/>
                    </w:rPr>
                  </w:pPr>
                  <w:r>
                    <w:rPr>
                      <w:rFonts w:hint="eastAsia"/>
                      <w:bCs/>
                      <w:snapToGrid w:val="0"/>
                      <w:color w:val="auto"/>
                      <w:kern w:val="0"/>
                      <w:szCs w:val="21"/>
                      <w:highlight w:val="none"/>
                    </w:rPr>
                    <w:t>项目于封闭生产车间内运行</w:t>
                  </w:r>
                </w:p>
              </w:tc>
              <w:tc>
                <w:tcPr>
                  <w:tcW w:w="285"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35"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90"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99%</w:t>
                  </w:r>
                </w:p>
              </w:tc>
              <w:tc>
                <w:tcPr>
                  <w:tcW w:w="211"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是</w:t>
                  </w:r>
                </w:p>
              </w:tc>
              <w:tc>
                <w:tcPr>
                  <w:tcW w:w="290"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196" w:type="pct"/>
                  <w:vMerge w:val="restart"/>
                  <w:tcBorders>
                    <w:tl2br w:val="nil"/>
                    <w:tr2bl w:val="nil"/>
                  </w:tcBorders>
                  <w:vAlign w:val="center"/>
                </w:tcPr>
                <w:p>
                  <w:pPr>
                    <w:jc w:val="center"/>
                    <w:rPr>
                      <w:rFonts w:hint="eastAsia" w:eastAsia="宋体"/>
                      <w:color w:val="auto"/>
                      <w:szCs w:val="21"/>
                      <w:highlight w:val="none"/>
                      <w:lang w:eastAsia="zh-CN"/>
                    </w:rPr>
                  </w:pPr>
                  <w:r>
                    <w:rPr>
                      <w:rFonts w:hint="eastAsia"/>
                      <w:color w:val="auto"/>
                      <w:szCs w:val="21"/>
                      <w:highlight w:val="none"/>
                    </w:rPr>
                    <w:t>0.000</w:t>
                  </w:r>
                  <w:r>
                    <w:rPr>
                      <w:rFonts w:hint="eastAsia"/>
                      <w:color w:val="auto"/>
                      <w:szCs w:val="21"/>
                      <w:highlight w:val="none"/>
                      <w:lang w:val="en-US" w:eastAsia="zh-CN"/>
                    </w:rPr>
                    <w:t>2</w:t>
                  </w:r>
                </w:p>
              </w:tc>
              <w:tc>
                <w:tcPr>
                  <w:tcW w:w="227"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0.001</w:t>
                  </w:r>
                </w:p>
              </w:tc>
              <w:tc>
                <w:tcPr>
                  <w:tcW w:w="299"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w:t>
                  </w:r>
                </w:p>
              </w:tc>
              <w:tc>
                <w:tcPr>
                  <w:tcW w:w="1330" w:type="pct"/>
                  <w:tcBorders>
                    <w:tl2br w:val="nil"/>
                    <w:tr2bl w:val="nil"/>
                  </w:tcBorders>
                  <w:vAlign w:val="center"/>
                </w:tcPr>
                <w:p>
                  <w:pPr>
                    <w:jc w:val="center"/>
                    <w:rPr>
                      <w:color w:val="auto"/>
                      <w:szCs w:val="21"/>
                      <w:highlight w:val="none"/>
                    </w:rPr>
                  </w:pPr>
                  <w:r>
                    <w:rPr>
                      <w:rFonts w:hint="eastAsia"/>
                      <w:color w:val="auto"/>
                      <w:highlight w:val="none"/>
                    </w:rPr>
                    <w:t>厂界：</w:t>
                  </w:r>
                  <w:r>
                    <w:rPr>
                      <w:color w:val="auto"/>
                      <w:highlight w:val="none"/>
                    </w:rPr>
                    <w:t>《唐山市大气污染防治工作领导小组</w:t>
                  </w:r>
                  <w:r>
                    <w:rPr>
                      <w:rFonts w:hint="eastAsia"/>
                      <w:color w:val="auto"/>
                      <w:highlight w:val="none"/>
                      <w:lang w:eastAsia="zh-CN"/>
                    </w:rPr>
                    <w:t>办公楼</w:t>
                  </w:r>
                  <w:r>
                    <w:rPr>
                      <w:color w:val="auto"/>
                      <w:highlight w:val="none"/>
                    </w:rPr>
                    <w:t>&lt;唐山市钢铁行业整治提升工作方案&gt;等10项方案的通知》（唐气领办〔2021〕15号）中附件9《唐山市铸造行业整治提升工作方案》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70" w:hRule="atLeast"/>
                <w:jc w:val="center"/>
              </w:trPr>
              <w:tc>
                <w:tcPr>
                  <w:tcW w:w="290" w:type="pct"/>
                  <w:vMerge w:val="continue"/>
                  <w:tcBorders>
                    <w:tl2br w:val="nil"/>
                    <w:tr2bl w:val="nil"/>
                  </w:tcBorders>
                  <w:vAlign w:val="center"/>
                </w:tcPr>
                <w:p>
                  <w:pPr>
                    <w:jc w:val="center"/>
                    <w:rPr>
                      <w:highlight w:val="none"/>
                    </w:rPr>
                  </w:pPr>
                </w:p>
              </w:tc>
              <w:tc>
                <w:tcPr>
                  <w:tcW w:w="332" w:type="pct"/>
                  <w:vMerge w:val="continue"/>
                  <w:tcBorders>
                    <w:tl2br w:val="nil"/>
                    <w:tr2bl w:val="nil"/>
                  </w:tcBorders>
                  <w:vAlign w:val="center"/>
                </w:tcPr>
                <w:p>
                  <w:pPr>
                    <w:jc w:val="center"/>
                    <w:rPr>
                      <w:color w:val="auto"/>
                      <w:highlight w:val="none"/>
                    </w:rPr>
                  </w:pPr>
                </w:p>
              </w:tc>
              <w:tc>
                <w:tcPr>
                  <w:tcW w:w="248" w:type="pct"/>
                  <w:vMerge w:val="continue"/>
                  <w:tcBorders>
                    <w:tl2br w:val="nil"/>
                    <w:tr2bl w:val="nil"/>
                  </w:tcBorders>
                  <w:vAlign w:val="center"/>
                </w:tcPr>
                <w:p>
                  <w:pPr>
                    <w:jc w:val="center"/>
                    <w:rPr>
                      <w:color w:val="auto"/>
                      <w:highlight w:val="none"/>
                    </w:rPr>
                  </w:pPr>
                </w:p>
              </w:tc>
              <w:tc>
                <w:tcPr>
                  <w:tcW w:w="256" w:type="pct"/>
                  <w:vMerge w:val="continue"/>
                  <w:tcBorders>
                    <w:tl2br w:val="nil"/>
                    <w:tr2bl w:val="nil"/>
                  </w:tcBorders>
                  <w:vAlign w:val="center"/>
                </w:tcPr>
                <w:p>
                  <w:pPr>
                    <w:jc w:val="center"/>
                    <w:rPr>
                      <w:color w:val="auto"/>
                      <w:highlight w:val="none"/>
                    </w:rPr>
                  </w:pPr>
                </w:p>
              </w:tc>
              <w:tc>
                <w:tcPr>
                  <w:tcW w:w="211" w:type="pct"/>
                  <w:vMerge w:val="continue"/>
                  <w:tcBorders>
                    <w:tl2br w:val="nil"/>
                    <w:tr2bl w:val="nil"/>
                  </w:tcBorders>
                  <w:vAlign w:val="center"/>
                </w:tcPr>
                <w:p>
                  <w:pPr>
                    <w:jc w:val="center"/>
                    <w:rPr>
                      <w:color w:val="auto"/>
                      <w:highlight w:val="none"/>
                    </w:rPr>
                  </w:pPr>
                </w:p>
              </w:tc>
              <w:tc>
                <w:tcPr>
                  <w:tcW w:w="294" w:type="pct"/>
                  <w:vMerge w:val="continue"/>
                  <w:tcBorders>
                    <w:tl2br w:val="nil"/>
                    <w:tr2bl w:val="nil"/>
                  </w:tcBorders>
                  <w:vAlign w:val="center"/>
                </w:tcPr>
                <w:p>
                  <w:pPr>
                    <w:jc w:val="center"/>
                    <w:rPr>
                      <w:color w:val="auto"/>
                      <w:highlight w:val="none"/>
                    </w:rPr>
                  </w:pPr>
                </w:p>
              </w:tc>
              <w:tc>
                <w:tcPr>
                  <w:tcW w:w="285" w:type="pct"/>
                  <w:vMerge w:val="continue"/>
                  <w:tcBorders>
                    <w:tl2br w:val="nil"/>
                    <w:tr2bl w:val="nil"/>
                  </w:tcBorders>
                  <w:vAlign w:val="center"/>
                </w:tcPr>
                <w:p>
                  <w:pPr>
                    <w:jc w:val="center"/>
                    <w:rPr>
                      <w:color w:val="auto"/>
                      <w:highlight w:val="none"/>
                    </w:rPr>
                  </w:pPr>
                </w:p>
              </w:tc>
              <w:tc>
                <w:tcPr>
                  <w:tcW w:w="235" w:type="pct"/>
                  <w:vMerge w:val="continue"/>
                  <w:tcBorders>
                    <w:tl2br w:val="nil"/>
                    <w:tr2bl w:val="nil"/>
                  </w:tcBorders>
                  <w:vAlign w:val="center"/>
                </w:tcPr>
                <w:p>
                  <w:pPr>
                    <w:jc w:val="center"/>
                    <w:rPr>
                      <w:color w:val="auto"/>
                      <w:highlight w:val="none"/>
                    </w:rPr>
                  </w:pPr>
                </w:p>
              </w:tc>
              <w:tc>
                <w:tcPr>
                  <w:tcW w:w="290" w:type="pct"/>
                  <w:vMerge w:val="continue"/>
                  <w:tcBorders>
                    <w:tl2br w:val="nil"/>
                    <w:tr2bl w:val="nil"/>
                  </w:tcBorders>
                  <w:vAlign w:val="center"/>
                </w:tcPr>
                <w:p>
                  <w:pPr>
                    <w:jc w:val="center"/>
                    <w:rPr>
                      <w:color w:val="auto"/>
                      <w:highlight w:val="none"/>
                    </w:rPr>
                  </w:pPr>
                </w:p>
              </w:tc>
              <w:tc>
                <w:tcPr>
                  <w:tcW w:w="211" w:type="pct"/>
                  <w:vMerge w:val="continue"/>
                  <w:tcBorders>
                    <w:tl2br w:val="nil"/>
                    <w:tr2bl w:val="nil"/>
                  </w:tcBorders>
                  <w:vAlign w:val="center"/>
                </w:tcPr>
                <w:p>
                  <w:pPr>
                    <w:jc w:val="center"/>
                    <w:rPr>
                      <w:color w:val="auto"/>
                      <w:highlight w:val="none"/>
                    </w:rPr>
                  </w:pPr>
                </w:p>
              </w:tc>
              <w:tc>
                <w:tcPr>
                  <w:tcW w:w="290" w:type="pct"/>
                  <w:vMerge w:val="continue"/>
                  <w:tcBorders>
                    <w:tl2br w:val="nil"/>
                    <w:tr2bl w:val="nil"/>
                  </w:tcBorders>
                  <w:vAlign w:val="center"/>
                </w:tcPr>
                <w:p>
                  <w:pPr>
                    <w:jc w:val="center"/>
                    <w:rPr>
                      <w:color w:val="auto"/>
                      <w:highlight w:val="none"/>
                    </w:rPr>
                  </w:pPr>
                </w:p>
              </w:tc>
              <w:tc>
                <w:tcPr>
                  <w:tcW w:w="196" w:type="pct"/>
                  <w:vMerge w:val="continue"/>
                  <w:tcBorders>
                    <w:tl2br w:val="nil"/>
                    <w:tr2bl w:val="nil"/>
                  </w:tcBorders>
                  <w:vAlign w:val="center"/>
                </w:tcPr>
                <w:p>
                  <w:pPr>
                    <w:jc w:val="center"/>
                    <w:rPr>
                      <w:color w:val="auto"/>
                      <w:highlight w:val="none"/>
                    </w:rPr>
                  </w:pPr>
                </w:p>
              </w:tc>
              <w:tc>
                <w:tcPr>
                  <w:tcW w:w="227" w:type="pct"/>
                  <w:vMerge w:val="continue"/>
                  <w:tcBorders>
                    <w:tl2br w:val="nil"/>
                    <w:tr2bl w:val="nil"/>
                  </w:tcBorders>
                  <w:vAlign w:val="center"/>
                </w:tcPr>
                <w:p>
                  <w:pPr>
                    <w:jc w:val="center"/>
                    <w:rPr>
                      <w:color w:val="auto"/>
                      <w:highlight w:val="none"/>
                    </w:rPr>
                  </w:pPr>
                </w:p>
              </w:tc>
              <w:tc>
                <w:tcPr>
                  <w:tcW w:w="299" w:type="pct"/>
                  <w:vMerge w:val="continue"/>
                  <w:tcBorders>
                    <w:tl2br w:val="nil"/>
                    <w:tr2bl w:val="nil"/>
                  </w:tcBorders>
                  <w:vAlign w:val="center"/>
                </w:tcPr>
                <w:p>
                  <w:pPr>
                    <w:jc w:val="center"/>
                    <w:rPr>
                      <w:color w:val="auto"/>
                      <w:highlight w:val="none"/>
                    </w:rPr>
                  </w:pPr>
                </w:p>
              </w:tc>
              <w:tc>
                <w:tcPr>
                  <w:tcW w:w="1330" w:type="pct"/>
                  <w:tcBorders>
                    <w:tl2br w:val="nil"/>
                    <w:tr2bl w:val="nil"/>
                  </w:tcBorders>
                  <w:vAlign w:val="center"/>
                </w:tcPr>
                <w:p>
                  <w:pPr>
                    <w:jc w:val="center"/>
                    <w:rPr>
                      <w:color w:val="auto"/>
                      <w:highlight w:val="none"/>
                    </w:rPr>
                  </w:pPr>
                  <w:r>
                    <w:rPr>
                      <w:rFonts w:hint="eastAsia"/>
                      <w:bCs/>
                      <w:color w:val="auto"/>
                      <w:szCs w:val="21"/>
                      <w:highlight w:val="none"/>
                    </w:rPr>
                    <w:t>熔炼车间外1m：</w:t>
                  </w:r>
                  <w:r>
                    <w:rPr>
                      <w:bCs/>
                      <w:color w:val="auto"/>
                      <w:szCs w:val="21"/>
                      <w:highlight w:val="none"/>
                    </w:rPr>
                    <w:t>《铸造工业大气污染物排放标准》（GB 39726—2020）附录A</w:t>
                  </w:r>
                  <w:r>
                    <w:rPr>
                      <w:color w:val="auto"/>
                      <w:highlight w:val="none"/>
                    </w:rPr>
                    <w:t>/《唐山市大气污染防治工作领导小组</w:t>
                  </w:r>
                  <w:r>
                    <w:rPr>
                      <w:rFonts w:hint="eastAsia"/>
                      <w:color w:val="auto"/>
                      <w:highlight w:val="none"/>
                      <w:lang w:eastAsia="zh-CN"/>
                    </w:rPr>
                    <w:t>办公楼</w:t>
                  </w:r>
                  <w:r>
                    <w:rPr>
                      <w:color w:val="auto"/>
                      <w:highlight w:val="none"/>
                    </w:rPr>
                    <w:t>&lt;唐山市钢铁行业整治提升工作方案&gt;等10项方案的通知》（唐气领办〔2021〕15号）中附件9《唐山市铸造行业整治提升工作方案》</w:t>
                  </w:r>
                </w:p>
              </w:tc>
            </w:tr>
          </w:tbl>
          <w:p>
            <w:pPr>
              <w:tabs>
                <w:tab w:val="left" w:pos="1902"/>
              </w:tabs>
              <w:spacing w:line="480" w:lineRule="exact"/>
              <w:jc w:val="center"/>
              <w:rPr>
                <w:b/>
                <w:bCs/>
                <w:sz w:val="24"/>
              </w:rPr>
            </w:pPr>
            <w:r>
              <w:rPr>
                <w:rFonts w:hint="eastAsia"/>
                <w:b/>
                <w:bCs/>
                <w:sz w:val="24"/>
              </w:rPr>
              <w:t>表2</w:t>
            </w:r>
            <w:r>
              <w:rPr>
                <w:rFonts w:hint="eastAsia"/>
                <w:b/>
                <w:bCs/>
                <w:sz w:val="24"/>
                <w:lang w:val="en-US" w:eastAsia="zh-CN"/>
              </w:rPr>
              <w:t>9</w:t>
            </w:r>
            <w:r>
              <w:rPr>
                <w:rFonts w:hint="eastAsia"/>
                <w:b/>
                <w:bCs/>
                <w:sz w:val="24"/>
              </w:rPr>
              <w:t xml:space="preserve">    废气排放口基本情况一览表</w:t>
            </w:r>
          </w:p>
          <w:tbl>
            <w:tblPr>
              <w:tblStyle w:val="32"/>
              <w:tblW w:w="499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854"/>
              <w:gridCol w:w="1213"/>
              <w:gridCol w:w="1951"/>
              <w:gridCol w:w="1415"/>
              <w:gridCol w:w="1181"/>
              <w:gridCol w:w="1079"/>
              <w:gridCol w:w="1124"/>
              <w:gridCol w:w="147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排放口编号</w:t>
                  </w:r>
                </w:p>
              </w:tc>
              <w:tc>
                <w:tcPr>
                  <w:tcW w:w="746"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hint="eastAsia" w:ascii="Times New Roman" w:hAnsi="Times New Roman"/>
                      <w:kern w:val="0"/>
                      <w:szCs w:val="21"/>
                      <w:lang w:bidi="ar"/>
                    </w:rPr>
                    <w:t>排放口名称</w:t>
                  </w:r>
                </w:p>
              </w:tc>
              <w:tc>
                <w:tcPr>
                  <w:tcW w:w="488"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hint="eastAsia" w:ascii="Times New Roman" w:hAnsi="Times New Roman"/>
                      <w:kern w:val="0"/>
                      <w:szCs w:val="21"/>
                      <w:lang w:bidi="ar"/>
                    </w:rPr>
                    <w:t>污染物种类</w:t>
                  </w:r>
                </w:p>
              </w:tc>
              <w:tc>
                <w:tcPr>
                  <w:tcW w:w="1354" w:type="pct"/>
                  <w:gridSpan w:val="2"/>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排放口地理坐标</w:t>
                  </w:r>
                </w:p>
              </w:tc>
              <w:tc>
                <w:tcPr>
                  <w:tcW w:w="475"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排气筒</w:t>
                  </w:r>
                </w:p>
                <w:p>
                  <w:pPr>
                    <w:pStyle w:val="79"/>
                    <w:widowControl/>
                    <w:jc w:val="center"/>
                    <w:rPr>
                      <w:rFonts w:ascii="Times New Roman" w:hAnsi="Times New Roman"/>
                      <w:kern w:val="0"/>
                      <w:szCs w:val="21"/>
                      <w:lang w:bidi="ar"/>
                    </w:rPr>
                  </w:pPr>
                  <w:r>
                    <w:rPr>
                      <w:rFonts w:ascii="Times New Roman" w:hAnsi="Times New Roman"/>
                      <w:kern w:val="0"/>
                      <w:szCs w:val="21"/>
                      <w:lang w:bidi="ar"/>
                    </w:rPr>
                    <w:t>高度（m）</w:t>
                  </w:r>
                </w:p>
              </w:tc>
              <w:tc>
                <w:tcPr>
                  <w:tcW w:w="434"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排气筒</w:t>
                  </w:r>
                </w:p>
                <w:p>
                  <w:pPr>
                    <w:pStyle w:val="79"/>
                    <w:widowControl/>
                    <w:jc w:val="center"/>
                    <w:rPr>
                      <w:rFonts w:ascii="Times New Roman" w:hAnsi="Times New Roman"/>
                      <w:kern w:val="0"/>
                      <w:szCs w:val="21"/>
                      <w:lang w:bidi="ar"/>
                    </w:rPr>
                  </w:pPr>
                  <w:r>
                    <w:rPr>
                      <w:rFonts w:ascii="Times New Roman" w:hAnsi="Times New Roman"/>
                      <w:kern w:val="0"/>
                      <w:szCs w:val="21"/>
                      <w:lang w:bidi="ar"/>
                    </w:rPr>
                    <w:t>内径</w:t>
                  </w:r>
                  <w:r>
                    <w:rPr>
                      <w:rFonts w:hint="eastAsia" w:ascii="Times New Roman" w:hAnsi="Times New Roman"/>
                      <w:kern w:val="0"/>
                      <w:szCs w:val="21"/>
                      <w:lang w:bidi="ar"/>
                    </w:rPr>
                    <w:t>（m）</w:t>
                  </w:r>
                </w:p>
              </w:tc>
              <w:tc>
                <w:tcPr>
                  <w:tcW w:w="452"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排气</w:t>
                  </w:r>
                </w:p>
                <w:p>
                  <w:pPr>
                    <w:pStyle w:val="79"/>
                    <w:widowControl/>
                    <w:jc w:val="center"/>
                    <w:rPr>
                      <w:rFonts w:ascii="Times New Roman" w:hAnsi="Times New Roman"/>
                      <w:kern w:val="0"/>
                      <w:szCs w:val="21"/>
                      <w:lang w:bidi="ar"/>
                    </w:rPr>
                  </w:pPr>
                  <w:r>
                    <w:rPr>
                      <w:rFonts w:ascii="Times New Roman" w:hAnsi="Times New Roman"/>
                      <w:kern w:val="0"/>
                      <w:szCs w:val="21"/>
                      <w:lang w:bidi="ar"/>
                    </w:rPr>
                    <w:t>温度</w:t>
                  </w:r>
                  <w:r>
                    <w:rPr>
                      <w:rFonts w:hint="eastAsia" w:ascii="Times New Roman" w:hAnsi="Times New Roman"/>
                      <w:kern w:val="0"/>
                      <w:szCs w:val="21"/>
                      <w:lang w:bidi="ar"/>
                    </w:rPr>
                    <w:t>（℃）</w:t>
                  </w:r>
                </w:p>
              </w:tc>
              <w:tc>
                <w:tcPr>
                  <w:tcW w:w="595" w:type="pct"/>
                  <w:vMerge w:val="restart"/>
                  <w:tcBorders>
                    <w:tl2br w:val="nil"/>
                    <w:tr2bl w:val="nil"/>
                  </w:tcBorders>
                  <w:vAlign w:val="center"/>
                </w:tcPr>
                <w:p>
                  <w:pPr>
                    <w:pStyle w:val="79"/>
                    <w:widowControl/>
                    <w:jc w:val="center"/>
                    <w:rPr>
                      <w:rFonts w:ascii="Times New Roman" w:hAnsi="Times New Roman"/>
                      <w:kern w:val="0"/>
                      <w:szCs w:val="21"/>
                      <w:lang w:bidi="ar"/>
                    </w:rPr>
                  </w:pPr>
                  <w:r>
                    <w:rPr>
                      <w:rFonts w:hint="eastAsia" w:ascii="Times New Roman" w:hAnsi="Times New Roman"/>
                      <w:kern w:val="0"/>
                      <w:szCs w:val="21"/>
                      <w:lang w:bidi="ar"/>
                    </w:rPr>
                    <w:t>排放口类型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vMerge w:val="continue"/>
                  <w:tcBorders>
                    <w:tl2br w:val="nil"/>
                    <w:tr2bl w:val="nil"/>
                  </w:tcBorders>
                  <w:vAlign w:val="center"/>
                </w:tcPr>
                <w:p>
                  <w:pPr>
                    <w:pStyle w:val="79"/>
                    <w:widowControl/>
                    <w:jc w:val="center"/>
                    <w:rPr>
                      <w:rFonts w:ascii="Times New Roman" w:hAnsi="Times New Roman"/>
                      <w:kern w:val="0"/>
                      <w:szCs w:val="21"/>
                      <w:lang w:bidi="ar"/>
                    </w:rPr>
                  </w:pPr>
                </w:p>
              </w:tc>
              <w:tc>
                <w:tcPr>
                  <w:tcW w:w="746" w:type="pct"/>
                  <w:vMerge w:val="continue"/>
                  <w:tcBorders>
                    <w:tl2br w:val="nil"/>
                    <w:tr2bl w:val="nil"/>
                  </w:tcBorders>
                  <w:vAlign w:val="center"/>
                </w:tcPr>
                <w:p>
                  <w:pPr>
                    <w:pStyle w:val="79"/>
                    <w:widowControl/>
                    <w:jc w:val="center"/>
                    <w:rPr>
                      <w:rFonts w:ascii="Times New Roman" w:hAnsi="Times New Roman"/>
                      <w:kern w:val="0"/>
                      <w:szCs w:val="21"/>
                      <w:lang w:bidi="ar"/>
                    </w:rPr>
                  </w:pPr>
                </w:p>
              </w:tc>
              <w:tc>
                <w:tcPr>
                  <w:tcW w:w="488" w:type="pct"/>
                  <w:vMerge w:val="continue"/>
                  <w:tcBorders>
                    <w:tl2br w:val="nil"/>
                    <w:tr2bl w:val="nil"/>
                  </w:tcBorders>
                  <w:vAlign w:val="center"/>
                </w:tcPr>
                <w:p>
                  <w:pPr>
                    <w:pStyle w:val="79"/>
                    <w:widowControl/>
                    <w:jc w:val="center"/>
                    <w:rPr>
                      <w:rFonts w:ascii="Times New Roman" w:hAnsi="Times New Roman"/>
                      <w:kern w:val="0"/>
                      <w:szCs w:val="21"/>
                      <w:lang w:bidi="ar"/>
                    </w:rPr>
                  </w:pPr>
                </w:p>
              </w:tc>
              <w:tc>
                <w:tcPr>
                  <w:tcW w:w="785" w:type="pct"/>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经度</w:t>
                  </w:r>
                </w:p>
              </w:tc>
              <w:tc>
                <w:tcPr>
                  <w:tcW w:w="569" w:type="pct"/>
                  <w:tcBorders>
                    <w:tl2br w:val="nil"/>
                    <w:tr2bl w:val="nil"/>
                  </w:tcBorders>
                  <w:vAlign w:val="center"/>
                </w:tcPr>
                <w:p>
                  <w:pPr>
                    <w:pStyle w:val="79"/>
                    <w:widowControl/>
                    <w:jc w:val="center"/>
                    <w:rPr>
                      <w:rFonts w:ascii="Times New Roman" w:hAnsi="Times New Roman"/>
                      <w:kern w:val="0"/>
                      <w:szCs w:val="21"/>
                      <w:lang w:bidi="ar"/>
                    </w:rPr>
                  </w:pPr>
                  <w:r>
                    <w:rPr>
                      <w:rFonts w:ascii="Times New Roman" w:hAnsi="Times New Roman"/>
                      <w:kern w:val="0"/>
                      <w:szCs w:val="21"/>
                      <w:lang w:bidi="ar"/>
                    </w:rPr>
                    <w:t>纬度</w:t>
                  </w:r>
                </w:p>
              </w:tc>
              <w:tc>
                <w:tcPr>
                  <w:tcW w:w="475" w:type="pct"/>
                  <w:vMerge w:val="continue"/>
                  <w:tcBorders>
                    <w:tl2br w:val="nil"/>
                    <w:tr2bl w:val="nil"/>
                  </w:tcBorders>
                  <w:vAlign w:val="center"/>
                </w:tcPr>
                <w:p>
                  <w:pPr>
                    <w:pStyle w:val="79"/>
                    <w:widowControl/>
                    <w:jc w:val="center"/>
                    <w:rPr>
                      <w:rFonts w:ascii="Times New Roman" w:hAnsi="Times New Roman"/>
                      <w:kern w:val="0"/>
                      <w:szCs w:val="21"/>
                      <w:lang w:bidi="ar"/>
                    </w:rPr>
                  </w:pPr>
                </w:p>
              </w:tc>
              <w:tc>
                <w:tcPr>
                  <w:tcW w:w="434" w:type="pct"/>
                  <w:vMerge w:val="continue"/>
                  <w:tcBorders>
                    <w:tl2br w:val="nil"/>
                    <w:tr2bl w:val="nil"/>
                  </w:tcBorders>
                  <w:vAlign w:val="center"/>
                </w:tcPr>
                <w:p>
                  <w:pPr>
                    <w:pStyle w:val="79"/>
                    <w:widowControl/>
                    <w:jc w:val="center"/>
                    <w:rPr>
                      <w:rFonts w:ascii="Times New Roman" w:hAnsi="Times New Roman"/>
                      <w:kern w:val="0"/>
                      <w:szCs w:val="21"/>
                      <w:lang w:bidi="ar"/>
                    </w:rPr>
                  </w:pPr>
                </w:p>
              </w:tc>
              <w:tc>
                <w:tcPr>
                  <w:tcW w:w="452" w:type="pct"/>
                  <w:vMerge w:val="continue"/>
                  <w:tcBorders>
                    <w:tl2br w:val="nil"/>
                    <w:tr2bl w:val="nil"/>
                  </w:tcBorders>
                  <w:vAlign w:val="center"/>
                </w:tcPr>
                <w:p>
                  <w:pPr>
                    <w:pStyle w:val="79"/>
                    <w:widowControl/>
                    <w:jc w:val="center"/>
                    <w:rPr>
                      <w:rFonts w:ascii="Times New Roman" w:hAnsi="Times New Roman"/>
                      <w:kern w:val="0"/>
                      <w:szCs w:val="21"/>
                      <w:lang w:bidi="ar"/>
                    </w:rPr>
                  </w:pPr>
                </w:p>
              </w:tc>
              <w:tc>
                <w:tcPr>
                  <w:tcW w:w="595" w:type="pct"/>
                  <w:vMerge w:val="continue"/>
                  <w:tcBorders>
                    <w:tl2br w:val="nil"/>
                    <w:tr2bl w:val="nil"/>
                  </w:tcBorders>
                  <w:vAlign w:val="center"/>
                </w:tcPr>
                <w:p>
                  <w:pPr>
                    <w:pStyle w:val="79"/>
                    <w:widowControl/>
                    <w:jc w:val="center"/>
                    <w:rPr>
                      <w:rFonts w:ascii="Times New Roman" w:hAnsi="Times New Roman"/>
                      <w:kern w:val="0"/>
                      <w:szCs w:val="21"/>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0" w:hRule="atLeast"/>
                <w:tblHeader/>
                <w:jc w:val="center"/>
              </w:trPr>
              <w:tc>
                <w:tcPr>
                  <w:tcW w:w="453" w:type="pct"/>
                  <w:tcBorders>
                    <w:tl2br w:val="nil"/>
                    <w:tr2bl w:val="nil"/>
                  </w:tcBorders>
                  <w:vAlign w:val="center"/>
                </w:tcPr>
                <w:p>
                  <w:pPr>
                    <w:jc w:val="center"/>
                    <w:rPr>
                      <w:szCs w:val="21"/>
                    </w:rPr>
                  </w:pPr>
                  <w:r>
                    <w:rPr>
                      <w:rFonts w:hint="eastAsia"/>
                      <w:szCs w:val="21"/>
                    </w:rPr>
                    <w:t>DA001</w:t>
                  </w:r>
                </w:p>
              </w:tc>
              <w:tc>
                <w:tcPr>
                  <w:tcW w:w="746" w:type="pct"/>
                  <w:tcBorders>
                    <w:tl2br w:val="nil"/>
                    <w:tr2bl w:val="nil"/>
                  </w:tcBorders>
                  <w:vAlign w:val="center"/>
                </w:tcPr>
                <w:p>
                  <w:pPr>
                    <w:snapToGrid w:val="0"/>
                    <w:jc w:val="center"/>
                    <w:rPr>
                      <w:szCs w:val="21"/>
                    </w:rPr>
                  </w:pPr>
                  <w:r>
                    <w:rPr>
                      <w:rFonts w:hint="eastAsia"/>
                      <w:szCs w:val="21"/>
                    </w:rPr>
                    <w:t>熔炼</w:t>
                  </w:r>
                </w:p>
              </w:tc>
              <w:tc>
                <w:tcPr>
                  <w:tcW w:w="488" w:type="pct"/>
                  <w:tcBorders>
                    <w:tl2br w:val="nil"/>
                    <w:tr2bl w:val="nil"/>
                  </w:tcBorders>
                  <w:vAlign w:val="center"/>
                </w:tcPr>
                <w:p>
                  <w:pPr>
                    <w:autoSpaceDE w:val="0"/>
                    <w:autoSpaceDN w:val="0"/>
                    <w:adjustRightInd w:val="0"/>
                    <w:jc w:val="center"/>
                    <w:rPr>
                      <w:bCs/>
                      <w:kern w:val="0"/>
                      <w:szCs w:val="21"/>
                    </w:rPr>
                  </w:pPr>
                  <w:r>
                    <w:rPr>
                      <w:bCs/>
                      <w:kern w:val="0"/>
                      <w:szCs w:val="21"/>
                      <w:lang w:val="zh-CN"/>
                    </w:rPr>
                    <w:t>颗粒物</w:t>
                  </w:r>
                </w:p>
              </w:tc>
              <w:tc>
                <w:tcPr>
                  <w:tcW w:w="785" w:type="pct"/>
                  <w:tcBorders>
                    <w:tl2br w:val="nil"/>
                    <w:tr2bl w:val="nil"/>
                  </w:tcBorders>
                  <w:vAlign w:val="center"/>
                </w:tcPr>
                <w:p>
                  <w:pPr>
                    <w:jc w:val="center"/>
                    <w:rPr>
                      <w:szCs w:val="21"/>
                    </w:rPr>
                  </w:pPr>
                  <w:r>
                    <w:rPr>
                      <w:rFonts w:hint="eastAsia"/>
                      <w:szCs w:val="21"/>
                      <w:lang w:val="en-US" w:eastAsia="zh-CN"/>
                    </w:rPr>
                    <w:t>118</w:t>
                  </w:r>
                  <w:r>
                    <w:rPr>
                      <w:szCs w:val="21"/>
                    </w:rPr>
                    <w:t>°</w:t>
                  </w:r>
                  <w:r>
                    <w:rPr>
                      <w:rFonts w:hint="eastAsia"/>
                      <w:szCs w:val="21"/>
                      <w:lang w:val="en-US" w:eastAsia="zh-CN"/>
                    </w:rPr>
                    <w:t>10</w:t>
                  </w:r>
                  <w:r>
                    <w:rPr>
                      <w:szCs w:val="21"/>
                    </w:rPr>
                    <w:t>′</w:t>
                  </w:r>
                  <w:r>
                    <w:rPr>
                      <w:rFonts w:hint="eastAsia"/>
                      <w:szCs w:val="21"/>
                      <w:lang w:val="en-US" w:eastAsia="zh-CN"/>
                    </w:rPr>
                    <w:t>46.521</w:t>
                  </w:r>
                  <w:r>
                    <w:rPr>
                      <w:szCs w:val="21"/>
                    </w:rPr>
                    <w:t>″</w:t>
                  </w:r>
                </w:p>
              </w:tc>
              <w:tc>
                <w:tcPr>
                  <w:tcW w:w="569" w:type="pct"/>
                  <w:tcBorders>
                    <w:tl2br w:val="nil"/>
                    <w:tr2bl w:val="nil"/>
                  </w:tcBorders>
                  <w:vAlign w:val="center"/>
                </w:tcPr>
                <w:p>
                  <w:pPr>
                    <w:jc w:val="center"/>
                    <w:rPr>
                      <w:szCs w:val="21"/>
                    </w:rPr>
                  </w:pPr>
                  <w:r>
                    <w:rPr>
                      <w:szCs w:val="21"/>
                    </w:rPr>
                    <w:t>40°</w:t>
                  </w:r>
                  <w:r>
                    <w:rPr>
                      <w:rFonts w:hint="eastAsia"/>
                      <w:szCs w:val="21"/>
                      <w:lang w:val="en-US" w:eastAsia="zh-CN"/>
                    </w:rPr>
                    <w:t>4</w:t>
                  </w:r>
                  <w:r>
                    <w:rPr>
                      <w:szCs w:val="21"/>
                    </w:rPr>
                    <w:t>′</w:t>
                  </w:r>
                  <w:r>
                    <w:rPr>
                      <w:rFonts w:hint="eastAsia"/>
                      <w:szCs w:val="21"/>
                      <w:lang w:val="en-US" w:eastAsia="zh-CN"/>
                    </w:rPr>
                    <w:t>8.530</w:t>
                  </w:r>
                  <w:r>
                    <w:rPr>
                      <w:szCs w:val="21"/>
                    </w:rPr>
                    <w:t>″</w:t>
                  </w:r>
                </w:p>
              </w:tc>
              <w:tc>
                <w:tcPr>
                  <w:tcW w:w="475" w:type="pct"/>
                  <w:tcBorders>
                    <w:tl2br w:val="nil"/>
                    <w:tr2bl w:val="nil"/>
                  </w:tcBorders>
                  <w:vAlign w:val="center"/>
                </w:tcPr>
                <w:p>
                  <w:pPr>
                    <w:jc w:val="center"/>
                    <w:rPr>
                      <w:color w:val="auto"/>
                      <w:szCs w:val="21"/>
                    </w:rPr>
                  </w:pPr>
                  <w:r>
                    <w:rPr>
                      <w:rFonts w:hint="eastAsia"/>
                      <w:color w:val="auto"/>
                      <w:szCs w:val="21"/>
                    </w:rPr>
                    <w:t>15</w:t>
                  </w:r>
                </w:p>
              </w:tc>
              <w:tc>
                <w:tcPr>
                  <w:tcW w:w="434" w:type="pct"/>
                  <w:tcBorders>
                    <w:tl2br w:val="nil"/>
                    <w:tr2bl w:val="nil"/>
                  </w:tcBorders>
                  <w:vAlign w:val="center"/>
                </w:tcPr>
                <w:p>
                  <w:pPr>
                    <w:pStyle w:val="79"/>
                    <w:widowControl/>
                    <w:jc w:val="center"/>
                    <w:rPr>
                      <w:rFonts w:hint="default" w:ascii="Times New Roman" w:hAnsi="Times New Roman" w:eastAsia="宋体"/>
                      <w:color w:val="auto"/>
                      <w:kern w:val="0"/>
                      <w:szCs w:val="21"/>
                      <w:lang w:val="en-US" w:eastAsia="zh-CN" w:bidi="ar"/>
                    </w:rPr>
                  </w:pPr>
                  <w:r>
                    <w:rPr>
                      <w:rFonts w:hint="eastAsia" w:ascii="Times New Roman" w:hAnsi="Times New Roman"/>
                      <w:color w:val="FF0000"/>
                      <w:kern w:val="0"/>
                      <w:szCs w:val="21"/>
                      <w:lang w:val="en-US" w:eastAsia="zh-CN" w:bidi="ar"/>
                    </w:rPr>
                    <w:t>0.4</w:t>
                  </w:r>
                </w:p>
              </w:tc>
              <w:tc>
                <w:tcPr>
                  <w:tcW w:w="452" w:type="pct"/>
                  <w:tcBorders>
                    <w:tl2br w:val="nil"/>
                    <w:tr2bl w:val="nil"/>
                  </w:tcBorders>
                  <w:vAlign w:val="center"/>
                </w:tcPr>
                <w:p>
                  <w:pPr>
                    <w:jc w:val="center"/>
                    <w:rPr>
                      <w:szCs w:val="21"/>
                    </w:rPr>
                  </w:pPr>
                  <w:r>
                    <w:rPr>
                      <w:rFonts w:hint="eastAsia"/>
                      <w:szCs w:val="21"/>
                    </w:rPr>
                    <w:t>80</w:t>
                  </w:r>
                </w:p>
              </w:tc>
              <w:tc>
                <w:tcPr>
                  <w:tcW w:w="595" w:type="pct"/>
                  <w:tcBorders>
                    <w:tl2br w:val="nil"/>
                    <w:tr2bl w:val="nil"/>
                  </w:tcBorders>
                  <w:vAlign w:val="center"/>
                </w:tcPr>
                <w:p>
                  <w:pPr>
                    <w:pStyle w:val="79"/>
                    <w:widowControl/>
                    <w:jc w:val="center"/>
                    <w:rPr>
                      <w:rFonts w:ascii="Times New Roman" w:hAnsi="Times New Roman"/>
                      <w:kern w:val="0"/>
                      <w:szCs w:val="21"/>
                      <w:lang w:bidi="ar"/>
                    </w:rPr>
                  </w:pPr>
                  <w:r>
                    <w:rPr>
                      <w:rFonts w:hint="eastAsia" w:ascii="宋体" w:hAnsi="宋体"/>
                      <w:szCs w:val="21"/>
                    </w:rPr>
                    <w:t>一般排放口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pStyle w:val="79"/>
                    <w:widowControl/>
                    <w:jc w:val="center"/>
                    <w:rPr>
                      <w:rFonts w:ascii="Times New Roman" w:hAnsi="Times New Roman"/>
                      <w:kern w:val="0"/>
                      <w:szCs w:val="21"/>
                      <w:lang w:bidi="ar"/>
                    </w:rPr>
                  </w:pPr>
                  <w:r>
                    <w:rPr>
                      <w:rFonts w:hint="eastAsia" w:ascii="Times New Roman" w:hAnsi="Times New Roman"/>
                      <w:kern w:val="0"/>
                      <w:szCs w:val="21"/>
                      <w:lang w:bidi="ar"/>
                    </w:rPr>
                    <w:t>DA002</w:t>
                  </w:r>
                </w:p>
              </w:tc>
              <w:tc>
                <w:tcPr>
                  <w:tcW w:w="746" w:type="pct"/>
                  <w:tcBorders>
                    <w:tl2br w:val="nil"/>
                    <w:tr2bl w:val="nil"/>
                  </w:tcBorders>
                  <w:vAlign w:val="center"/>
                </w:tcPr>
                <w:p>
                  <w:pPr>
                    <w:pStyle w:val="79"/>
                    <w:widowControl/>
                    <w:jc w:val="center"/>
                    <w:rPr>
                      <w:rFonts w:hint="eastAsia" w:ascii="Times New Roman" w:hAnsi="Times New Roman" w:eastAsia="宋体"/>
                      <w:kern w:val="0"/>
                      <w:szCs w:val="21"/>
                      <w:lang w:val="en-US" w:eastAsia="zh-CN" w:bidi="ar"/>
                    </w:rPr>
                  </w:pPr>
                  <w:r>
                    <w:rPr>
                      <w:rFonts w:hint="eastAsia" w:ascii="Times New Roman" w:hAnsi="Times New Roman"/>
                      <w:kern w:val="0"/>
                      <w:szCs w:val="21"/>
                      <w:lang w:bidi="ar"/>
                    </w:rPr>
                    <w:t>浇注、打磨</w:t>
                  </w:r>
                  <w:r>
                    <w:rPr>
                      <w:rFonts w:hint="eastAsia" w:ascii="Times New Roman" w:hAnsi="Times New Roman"/>
                      <w:kern w:val="0"/>
                      <w:szCs w:val="21"/>
                      <w:lang w:eastAsia="zh-CN" w:bidi="ar"/>
                    </w:rPr>
                    <w:t>、</w:t>
                  </w:r>
                  <w:r>
                    <w:rPr>
                      <w:rFonts w:hint="eastAsia" w:ascii="Times New Roman" w:hAnsi="Times New Roman"/>
                      <w:kern w:val="0"/>
                      <w:szCs w:val="21"/>
                      <w:lang w:bidi="ar"/>
                    </w:rPr>
                    <w:t>顶吸</w:t>
                  </w:r>
                </w:p>
              </w:tc>
              <w:tc>
                <w:tcPr>
                  <w:tcW w:w="488" w:type="pct"/>
                  <w:tcBorders>
                    <w:tl2br w:val="nil"/>
                    <w:tr2bl w:val="nil"/>
                  </w:tcBorders>
                  <w:vAlign w:val="center"/>
                </w:tcPr>
                <w:p>
                  <w:pPr>
                    <w:autoSpaceDE w:val="0"/>
                    <w:autoSpaceDN w:val="0"/>
                    <w:adjustRightInd w:val="0"/>
                    <w:jc w:val="center"/>
                    <w:rPr>
                      <w:bCs/>
                      <w:kern w:val="0"/>
                      <w:szCs w:val="21"/>
                    </w:rPr>
                  </w:pPr>
                  <w:r>
                    <w:rPr>
                      <w:rFonts w:hint="eastAsia"/>
                      <w:bCs/>
                      <w:kern w:val="0"/>
                      <w:szCs w:val="21"/>
                    </w:rPr>
                    <w:t>颗粒物</w:t>
                  </w:r>
                </w:p>
              </w:tc>
              <w:tc>
                <w:tcPr>
                  <w:tcW w:w="785"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szCs w:val="21"/>
                      <w:lang w:val="en-US" w:eastAsia="zh-CN"/>
                    </w:rPr>
                    <w:t>118</w:t>
                  </w:r>
                  <w:r>
                    <w:rPr>
                      <w:szCs w:val="21"/>
                    </w:rPr>
                    <w:t>°</w:t>
                  </w:r>
                  <w:r>
                    <w:rPr>
                      <w:rFonts w:hint="eastAsia"/>
                      <w:szCs w:val="21"/>
                      <w:lang w:val="en-US" w:eastAsia="zh-CN"/>
                    </w:rPr>
                    <w:t>10</w:t>
                  </w:r>
                  <w:r>
                    <w:rPr>
                      <w:szCs w:val="21"/>
                    </w:rPr>
                    <w:t>′</w:t>
                  </w:r>
                  <w:r>
                    <w:rPr>
                      <w:rFonts w:hint="eastAsia"/>
                      <w:szCs w:val="21"/>
                      <w:lang w:val="en-US" w:eastAsia="zh-CN"/>
                    </w:rPr>
                    <w:t>45.874</w:t>
                  </w:r>
                  <w:r>
                    <w:rPr>
                      <w:szCs w:val="21"/>
                    </w:rPr>
                    <w:t>″</w:t>
                  </w:r>
                </w:p>
              </w:tc>
              <w:tc>
                <w:tcPr>
                  <w:tcW w:w="569"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40°</w:t>
                  </w:r>
                  <w:r>
                    <w:rPr>
                      <w:rFonts w:hint="eastAsia"/>
                      <w:szCs w:val="21"/>
                      <w:lang w:val="en-US" w:eastAsia="zh-CN"/>
                    </w:rPr>
                    <w:t>4</w:t>
                  </w:r>
                  <w:r>
                    <w:rPr>
                      <w:szCs w:val="21"/>
                    </w:rPr>
                    <w:t>′</w:t>
                  </w:r>
                  <w:r>
                    <w:rPr>
                      <w:rFonts w:hint="eastAsia"/>
                      <w:szCs w:val="21"/>
                      <w:lang w:val="en-US" w:eastAsia="zh-CN"/>
                    </w:rPr>
                    <w:t>8.598</w:t>
                  </w:r>
                  <w:r>
                    <w:rPr>
                      <w:szCs w:val="21"/>
                    </w:rPr>
                    <w:t>″</w:t>
                  </w:r>
                </w:p>
              </w:tc>
              <w:tc>
                <w:tcPr>
                  <w:tcW w:w="475" w:type="pct"/>
                  <w:tcBorders>
                    <w:tl2br w:val="nil"/>
                    <w:tr2bl w:val="nil"/>
                  </w:tcBorders>
                  <w:vAlign w:val="center"/>
                </w:tcPr>
                <w:p>
                  <w:pPr>
                    <w:jc w:val="center"/>
                    <w:rPr>
                      <w:color w:val="auto"/>
                      <w:szCs w:val="21"/>
                    </w:rPr>
                  </w:pPr>
                  <w:r>
                    <w:rPr>
                      <w:rFonts w:hint="eastAsia"/>
                      <w:color w:val="auto"/>
                      <w:szCs w:val="21"/>
                    </w:rPr>
                    <w:t>15</w:t>
                  </w:r>
                </w:p>
              </w:tc>
              <w:tc>
                <w:tcPr>
                  <w:tcW w:w="434" w:type="pct"/>
                  <w:tcBorders>
                    <w:tl2br w:val="nil"/>
                    <w:tr2bl w:val="nil"/>
                  </w:tcBorders>
                  <w:vAlign w:val="center"/>
                </w:tcPr>
                <w:p>
                  <w:pPr>
                    <w:pStyle w:val="79"/>
                    <w:widowControl/>
                    <w:jc w:val="center"/>
                    <w:rPr>
                      <w:rFonts w:hint="default" w:ascii="Times New Roman" w:hAnsi="Times New Roman" w:eastAsia="宋体"/>
                      <w:color w:val="auto"/>
                      <w:kern w:val="0"/>
                      <w:szCs w:val="21"/>
                      <w:lang w:val="en-US" w:eastAsia="zh-CN" w:bidi="ar"/>
                    </w:rPr>
                  </w:pPr>
                  <w:r>
                    <w:rPr>
                      <w:rFonts w:hint="eastAsia" w:ascii="Times New Roman" w:hAnsi="Times New Roman"/>
                      <w:color w:val="auto"/>
                      <w:kern w:val="0"/>
                      <w:szCs w:val="21"/>
                      <w:lang w:val="en-US" w:eastAsia="zh-CN" w:bidi="ar"/>
                    </w:rPr>
                    <w:t>0.8</w:t>
                  </w:r>
                </w:p>
              </w:tc>
              <w:tc>
                <w:tcPr>
                  <w:tcW w:w="452" w:type="pct"/>
                  <w:tcBorders>
                    <w:tl2br w:val="nil"/>
                    <w:tr2bl w:val="nil"/>
                  </w:tcBorders>
                  <w:vAlign w:val="center"/>
                </w:tcPr>
                <w:p>
                  <w:pPr>
                    <w:jc w:val="center"/>
                    <w:rPr>
                      <w:szCs w:val="21"/>
                    </w:rPr>
                  </w:pPr>
                  <w:r>
                    <w:rPr>
                      <w:rFonts w:hint="eastAsia"/>
                      <w:szCs w:val="21"/>
                    </w:rPr>
                    <w:t>20</w:t>
                  </w:r>
                </w:p>
              </w:tc>
              <w:tc>
                <w:tcPr>
                  <w:tcW w:w="595" w:type="pct"/>
                  <w:tcBorders>
                    <w:tl2br w:val="nil"/>
                    <w:tr2bl w:val="nil"/>
                  </w:tcBorders>
                  <w:vAlign w:val="center"/>
                </w:tcPr>
                <w:p>
                  <w:pPr>
                    <w:pStyle w:val="79"/>
                    <w:widowControl/>
                    <w:jc w:val="center"/>
                    <w:rPr>
                      <w:rFonts w:ascii="宋体" w:hAnsi="宋体"/>
                      <w:szCs w:val="21"/>
                    </w:rPr>
                  </w:pPr>
                  <w:r>
                    <w:rPr>
                      <w:rFonts w:hint="eastAsia" w:ascii="宋体" w:hAnsi="宋体"/>
                      <w:szCs w:val="21"/>
                    </w:rPr>
                    <w:t>一般排放口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pStyle w:val="79"/>
                    <w:widowControl/>
                    <w:jc w:val="center"/>
                    <w:rPr>
                      <w:rFonts w:hint="eastAsia" w:ascii="Times New Roman" w:hAnsi="Times New Roman" w:eastAsia="宋体"/>
                      <w:kern w:val="0"/>
                      <w:szCs w:val="21"/>
                      <w:lang w:val="en-US" w:eastAsia="zh-CN" w:bidi="ar"/>
                    </w:rPr>
                  </w:pPr>
                  <w:r>
                    <w:rPr>
                      <w:rFonts w:hint="eastAsia" w:ascii="Times New Roman" w:hAnsi="Times New Roman"/>
                      <w:kern w:val="0"/>
                      <w:szCs w:val="21"/>
                      <w:lang w:bidi="ar"/>
                    </w:rPr>
                    <w:t>DA00</w:t>
                  </w:r>
                  <w:r>
                    <w:rPr>
                      <w:rFonts w:hint="eastAsia" w:ascii="Times New Roman" w:hAnsi="Times New Roman"/>
                      <w:kern w:val="0"/>
                      <w:szCs w:val="21"/>
                      <w:lang w:val="en-US" w:eastAsia="zh-CN" w:bidi="ar"/>
                    </w:rPr>
                    <w:t>3</w:t>
                  </w:r>
                </w:p>
              </w:tc>
              <w:tc>
                <w:tcPr>
                  <w:tcW w:w="746" w:type="pct"/>
                  <w:tcBorders>
                    <w:tl2br w:val="nil"/>
                    <w:tr2bl w:val="nil"/>
                  </w:tcBorders>
                  <w:vAlign w:val="center"/>
                </w:tcPr>
                <w:p>
                  <w:pPr>
                    <w:pStyle w:val="79"/>
                    <w:widowControl/>
                    <w:jc w:val="center"/>
                    <w:rPr>
                      <w:rFonts w:hint="default" w:ascii="Times New Roman" w:hAnsi="Times New Roman" w:eastAsia="宋体"/>
                      <w:kern w:val="0"/>
                      <w:szCs w:val="21"/>
                      <w:lang w:val="en-US" w:eastAsia="zh-CN" w:bidi="ar"/>
                    </w:rPr>
                  </w:pPr>
                  <w:r>
                    <w:rPr>
                      <w:rFonts w:ascii="Times New Roman" w:hAnsi="Times New Roman"/>
                      <w:kern w:val="0"/>
                      <w:szCs w:val="21"/>
                      <w:lang w:bidi="ar"/>
                    </w:rPr>
                    <w:t>砂处理</w:t>
                  </w:r>
                  <w:r>
                    <w:rPr>
                      <w:rFonts w:hint="eastAsia" w:ascii="Times New Roman" w:hAnsi="Times New Roman"/>
                      <w:kern w:val="0"/>
                      <w:szCs w:val="21"/>
                      <w:lang w:bidi="ar"/>
                    </w:rPr>
                    <w:t>、混砂</w:t>
                  </w:r>
                </w:p>
              </w:tc>
              <w:tc>
                <w:tcPr>
                  <w:tcW w:w="488" w:type="pct"/>
                  <w:tcBorders>
                    <w:tl2br w:val="nil"/>
                    <w:tr2bl w:val="nil"/>
                  </w:tcBorders>
                  <w:vAlign w:val="center"/>
                </w:tcPr>
                <w:p>
                  <w:pPr>
                    <w:autoSpaceDE w:val="0"/>
                    <w:autoSpaceDN w:val="0"/>
                    <w:adjustRightInd w:val="0"/>
                    <w:jc w:val="center"/>
                    <w:rPr>
                      <w:rFonts w:hint="eastAsia"/>
                      <w:bCs/>
                      <w:kern w:val="0"/>
                      <w:szCs w:val="21"/>
                    </w:rPr>
                  </w:pPr>
                  <w:r>
                    <w:rPr>
                      <w:rFonts w:hint="eastAsia"/>
                      <w:bCs/>
                      <w:kern w:val="0"/>
                      <w:szCs w:val="21"/>
                    </w:rPr>
                    <w:t>颗粒物</w:t>
                  </w:r>
                </w:p>
              </w:tc>
              <w:tc>
                <w:tcPr>
                  <w:tcW w:w="785"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rFonts w:hint="eastAsia"/>
                      <w:szCs w:val="21"/>
                      <w:lang w:val="en-US" w:eastAsia="zh-CN"/>
                    </w:rPr>
                    <w:t>118</w:t>
                  </w:r>
                  <w:r>
                    <w:rPr>
                      <w:szCs w:val="21"/>
                    </w:rPr>
                    <w:t>°</w:t>
                  </w:r>
                  <w:r>
                    <w:rPr>
                      <w:rFonts w:hint="eastAsia"/>
                      <w:szCs w:val="21"/>
                      <w:lang w:val="en-US" w:eastAsia="zh-CN"/>
                    </w:rPr>
                    <w:t>10</w:t>
                  </w:r>
                  <w:r>
                    <w:rPr>
                      <w:szCs w:val="21"/>
                    </w:rPr>
                    <w:t>′</w:t>
                  </w:r>
                  <w:r>
                    <w:rPr>
                      <w:rFonts w:hint="eastAsia"/>
                      <w:szCs w:val="21"/>
                      <w:lang w:val="en-US" w:eastAsia="zh-CN"/>
                    </w:rPr>
                    <w:t>44.870</w:t>
                  </w:r>
                  <w:r>
                    <w:rPr>
                      <w:szCs w:val="21"/>
                    </w:rPr>
                    <w:t>″</w:t>
                  </w:r>
                </w:p>
              </w:tc>
              <w:tc>
                <w:tcPr>
                  <w:tcW w:w="569"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40°</w:t>
                  </w:r>
                  <w:r>
                    <w:rPr>
                      <w:rFonts w:hint="eastAsia"/>
                      <w:szCs w:val="21"/>
                      <w:lang w:val="en-US" w:eastAsia="zh-CN"/>
                    </w:rPr>
                    <w:t>4</w:t>
                  </w:r>
                  <w:r>
                    <w:rPr>
                      <w:szCs w:val="21"/>
                    </w:rPr>
                    <w:t>′</w:t>
                  </w:r>
                  <w:r>
                    <w:rPr>
                      <w:rFonts w:hint="eastAsia"/>
                      <w:szCs w:val="21"/>
                      <w:lang w:val="en-US" w:eastAsia="zh-CN"/>
                    </w:rPr>
                    <w:t>8.733</w:t>
                  </w:r>
                  <w:r>
                    <w:rPr>
                      <w:szCs w:val="21"/>
                    </w:rPr>
                    <w:t>″</w:t>
                  </w:r>
                </w:p>
              </w:tc>
              <w:tc>
                <w:tcPr>
                  <w:tcW w:w="475" w:type="pct"/>
                  <w:tcBorders>
                    <w:tl2br w:val="nil"/>
                    <w:tr2bl w:val="nil"/>
                  </w:tcBorders>
                  <w:vAlign w:val="center"/>
                </w:tcPr>
                <w:p>
                  <w:pPr>
                    <w:jc w:val="center"/>
                    <w:rPr>
                      <w:rFonts w:hint="eastAsia"/>
                      <w:color w:val="auto"/>
                      <w:szCs w:val="21"/>
                    </w:rPr>
                  </w:pPr>
                  <w:r>
                    <w:rPr>
                      <w:rFonts w:hint="eastAsia"/>
                      <w:color w:val="auto"/>
                      <w:szCs w:val="21"/>
                    </w:rPr>
                    <w:t>15</w:t>
                  </w:r>
                </w:p>
              </w:tc>
              <w:tc>
                <w:tcPr>
                  <w:tcW w:w="434" w:type="pct"/>
                  <w:tcBorders>
                    <w:tl2br w:val="nil"/>
                    <w:tr2bl w:val="nil"/>
                  </w:tcBorders>
                  <w:vAlign w:val="center"/>
                </w:tcPr>
                <w:p>
                  <w:pPr>
                    <w:pStyle w:val="79"/>
                    <w:widowControl/>
                    <w:jc w:val="center"/>
                    <w:rPr>
                      <w:rFonts w:hint="default" w:ascii="Times New Roman" w:hAnsi="Times New Roman" w:eastAsia="宋体"/>
                      <w:color w:val="auto"/>
                      <w:kern w:val="0"/>
                      <w:szCs w:val="21"/>
                      <w:lang w:val="en-US" w:eastAsia="zh-CN" w:bidi="ar"/>
                    </w:rPr>
                  </w:pPr>
                  <w:r>
                    <w:rPr>
                      <w:rFonts w:hint="eastAsia" w:ascii="Times New Roman" w:hAnsi="Times New Roman"/>
                      <w:color w:val="FF0000"/>
                      <w:kern w:val="0"/>
                      <w:szCs w:val="21"/>
                      <w:lang w:val="en-US" w:eastAsia="zh-CN" w:bidi="ar"/>
                    </w:rPr>
                    <w:t>0.7</w:t>
                  </w:r>
                </w:p>
              </w:tc>
              <w:tc>
                <w:tcPr>
                  <w:tcW w:w="452" w:type="pct"/>
                  <w:tcBorders>
                    <w:tl2br w:val="nil"/>
                    <w:tr2bl w:val="nil"/>
                  </w:tcBorders>
                  <w:vAlign w:val="center"/>
                </w:tcPr>
                <w:p>
                  <w:pPr>
                    <w:jc w:val="center"/>
                    <w:rPr>
                      <w:rFonts w:hint="default" w:eastAsia="宋体"/>
                      <w:szCs w:val="21"/>
                      <w:lang w:val="en-US" w:eastAsia="zh-CN"/>
                    </w:rPr>
                  </w:pPr>
                  <w:r>
                    <w:rPr>
                      <w:rFonts w:hint="eastAsia"/>
                      <w:szCs w:val="21"/>
                      <w:lang w:val="en-US" w:eastAsia="zh-CN"/>
                    </w:rPr>
                    <w:t>20</w:t>
                  </w:r>
                </w:p>
              </w:tc>
              <w:tc>
                <w:tcPr>
                  <w:tcW w:w="595" w:type="pct"/>
                  <w:tcBorders>
                    <w:tl2br w:val="nil"/>
                    <w:tr2bl w:val="nil"/>
                  </w:tcBorders>
                  <w:vAlign w:val="center"/>
                </w:tcPr>
                <w:p>
                  <w:pPr>
                    <w:pStyle w:val="79"/>
                    <w:widowControl/>
                    <w:jc w:val="center"/>
                    <w:rPr>
                      <w:rFonts w:hint="eastAsia" w:ascii="宋体" w:hAnsi="宋体" w:eastAsia="宋体"/>
                      <w:szCs w:val="21"/>
                      <w:lang w:val="en-US" w:eastAsia="zh-CN"/>
                    </w:rPr>
                  </w:pPr>
                  <w:r>
                    <w:rPr>
                      <w:rFonts w:hint="eastAsia" w:ascii="宋体" w:hAnsi="宋体"/>
                      <w:szCs w:val="21"/>
                      <w:lang w:val="en-US" w:eastAsia="zh-CN"/>
                    </w:rPr>
                    <w:t>一般排放口</w:t>
                  </w:r>
                </w:p>
              </w:tc>
            </w:tr>
          </w:tbl>
          <w:p>
            <w:pPr>
              <w:tabs>
                <w:tab w:val="left" w:pos="1902"/>
              </w:tabs>
              <w:spacing w:line="480" w:lineRule="exact"/>
              <w:jc w:val="center"/>
              <w:rPr>
                <w:b/>
                <w:bCs/>
                <w:sz w:val="24"/>
              </w:rPr>
            </w:pPr>
            <w:r>
              <w:rPr>
                <w:b/>
                <w:bCs/>
                <w:sz w:val="24"/>
              </w:rPr>
              <w:t>表</w:t>
            </w:r>
            <w:r>
              <w:rPr>
                <w:rFonts w:hint="eastAsia"/>
                <w:b/>
                <w:bCs/>
                <w:sz w:val="24"/>
                <w:lang w:val="en-US" w:eastAsia="zh-CN"/>
              </w:rPr>
              <w:t>30</w:t>
            </w:r>
            <w:r>
              <w:rPr>
                <w:b/>
                <w:bCs/>
                <w:sz w:val="24"/>
              </w:rPr>
              <w:t xml:space="preserve">  污染源非正常排放量核算表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196"/>
              <w:gridCol w:w="1070"/>
              <w:gridCol w:w="1104"/>
              <w:gridCol w:w="1437"/>
              <w:gridCol w:w="1308"/>
              <w:gridCol w:w="1036"/>
              <w:gridCol w:w="887"/>
              <w:gridCol w:w="3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97" w:hRule="atLeast"/>
                <w:jc w:val="center"/>
              </w:trPr>
              <w:tc>
                <w:tcPr>
                  <w:tcW w:w="340" w:type="pct"/>
                  <w:tcBorders>
                    <w:tl2br w:val="nil"/>
                    <w:tr2bl w:val="nil"/>
                  </w:tcBorders>
                  <w:vAlign w:val="center"/>
                </w:tcPr>
                <w:p>
                  <w:pPr>
                    <w:jc w:val="center"/>
                    <w:rPr>
                      <w:szCs w:val="21"/>
                    </w:rPr>
                  </w:pPr>
                  <w:r>
                    <w:rPr>
                      <w:szCs w:val="21"/>
                    </w:rPr>
                    <w:t>序号</w:t>
                  </w:r>
                </w:p>
              </w:tc>
              <w:tc>
                <w:tcPr>
                  <w:tcW w:w="481" w:type="pct"/>
                  <w:tcBorders>
                    <w:tl2br w:val="nil"/>
                    <w:tr2bl w:val="nil"/>
                  </w:tcBorders>
                  <w:vAlign w:val="center"/>
                </w:tcPr>
                <w:p>
                  <w:pPr>
                    <w:jc w:val="center"/>
                    <w:rPr>
                      <w:szCs w:val="21"/>
                    </w:rPr>
                  </w:pPr>
                  <w:r>
                    <w:rPr>
                      <w:szCs w:val="21"/>
                    </w:rPr>
                    <w:t>污染源</w:t>
                  </w:r>
                </w:p>
              </w:tc>
              <w:tc>
                <w:tcPr>
                  <w:tcW w:w="430" w:type="pct"/>
                  <w:tcBorders>
                    <w:tl2br w:val="nil"/>
                    <w:tr2bl w:val="nil"/>
                  </w:tcBorders>
                  <w:vAlign w:val="center"/>
                </w:tcPr>
                <w:p>
                  <w:pPr>
                    <w:jc w:val="center"/>
                    <w:rPr>
                      <w:szCs w:val="21"/>
                    </w:rPr>
                  </w:pPr>
                  <w:r>
                    <w:rPr>
                      <w:szCs w:val="21"/>
                    </w:rPr>
                    <w:t>非正常排放原因</w:t>
                  </w:r>
                </w:p>
              </w:tc>
              <w:tc>
                <w:tcPr>
                  <w:tcW w:w="444" w:type="pct"/>
                  <w:tcBorders>
                    <w:tl2br w:val="nil"/>
                    <w:tr2bl w:val="nil"/>
                  </w:tcBorders>
                  <w:vAlign w:val="center"/>
                </w:tcPr>
                <w:p>
                  <w:pPr>
                    <w:jc w:val="center"/>
                    <w:rPr>
                      <w:szCs w:val="21"/>
                    </w:rPr>
                  </w:pPr>
                  <w:r>
                    <w:rPr>
                      <w:szCs w:val="21"/>
                    </w:rPr>
                    <w:t>污染物</w:t>
                  </w:r>
                </w:p>
              </w:tc>
              <w:tc>
                <w:tcPr>
                  <w:tcW w:w="578" w:type="pct"/>
                  <w:tcBorders>
                    <w:tl2br w:val="nil"/>
                    <w:tr2bl w:val="nil"/>
                  </w:tcBorders>
                  <w:vAlign w:val="center"/>
                </w:tcPr>
                <w:p>
                  <w:pPr>
                    <w:jc w:val="center"/>
                    <w:rPr>
                      <w:szCs w:val="21"/>
                    </w:rPr>
                  </w:pPr>
                  <w:r>
                    <w:rPr>
                      <w:szCs w:val="21"/>
                    </w:rPr>
                    <w:t>非正常排放浓度（mg/m</w:t>
                  </w:r>
                  <w:r>
                    <w:rPr>
                      <w:szCs w:val="21"/>
                      <w:vertAlign w:val="superscript"/>
                    </w:rPr>
                    <w:t>3</w:t>
                  </w:r>
                  <w:r>
                    <w:rPr>
                      <w:szCs w:val="21"/>
                    </w:rPr>
                    <w:t>）</w:t>
                  </w:r>
                </w:p>
              </w:tc>
              <w:tc>
                <w:tcPr>
                  <w:tcW w:w="526" w:type="pct"/>
                  <w:tcBorders>
                    <w:tl2br w:val="nil"/>
                    <w:tr2bl w:val="nil"/>
                  </w:tcBorders>
                  <w:vAlign w:val="center"/>
                </w:tcPr>
                <w:p>
                  <w:pPr>
                    <w:jc w:val="center"/>
                    <w:rPr>
                      <w:szCs w:val="21"/>
                    </w:rPr>
                  </w:pPr>
                  <w:r>
                    <w:rPr>
                      <w:szCs w:val="21"/>
                    </w:rPr>
                    <w:t>非正常排放速率/(kg/h)</w:t>
                  </w:r>
                </w:p>
              </w:tc>
              <w:tc>
                <w:tcPr>
                  <w:tcW w:w="416" w:type="pct"/>
                  <w:tcBorders>
                    <w:tl2br w:val="nil"/>
                    <w:tr2bl w:val="nil"/>
                  </w:tcBorders>
                  <w:vAlign w:val="center"/>
                </w:tcPr>
                <w:p>
                  <w:pPr>
                    <w:jc w:val="center"/>
                    <w:rPr>
                      <w:szCs w:val="21"/>
                    </w:rPr>
                  </w:pPr>
                  <w:r>
                    <w:rPr>
                      <w:szCs w:val="21"/>
                    </w:rPr>
                    <w:t>单次持续时间/h</w:t>
                  </w:r>
                </w:p>
              </w:tc>
              <w:tc>
                <w:tcPr>
                  <w:tcW w:w="356" w:type="pct"/>
                  <w:tcBorders>
                    <w:tl2br w:val="nil"/>
                    <w:tr2bl w:val="nil"/>
                  </w:tcBorders>
                  <w:vAlign w:val="center"/>
                </w:tcPr>
                <w:p>
                  <w:pPr>
                    <w:jc w:val="center"/>
                    <w:rPr>
                      <w:szCs w:val="21"/>
                    </w:rPr>
                  </w:pPr>
                  <w:r>
                    <w:rPr>
                      <w:szCs w:val="21"/>
                    </w:rPr>
                    <w:t>发生频次/次</w:t>
                  </w:r>
                </w:p>
              </w:tc>
              <w:tc>
                <w:tcPr>
                  <w:tcW w:w="1424" w:type="pct"/>
                  <w:tcBorders>
                    <w:tl2br w:val="nil"/>
                    <w:tr2bl w:val="nil"/>
                  </w:tcBorders>
                  <w:vAlign w:val="center"/>
                </w:tcPr>
                <w:p>
                  <w:pPr>
                    <w:pStyle w:val="81"/>
                    <w:widowControl/>
                    <w:adjustRightInd w:val="0"/>
                    <w:snapToGrid w:val="0"/>
                    <w:rPr>
                      <w:szCs w:val="21"/>
                    </w:rPr>
                  </w:pPr>
                  <w:r>
                    <w:rPr>
                      <w:szCs w:val="21"/>
                    </w:rPr>
                    <w:t>应对措施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szCs w:val="21"/>
                    </w:rPr>
                  </w:pPr>
                  <w:r>
                    <w:rPr>
                      <w:rFonts w:hint="eastAsia"/>
                      <w:szCs w:val="21"/>
                    </w:rPr>
                    <w:t>1</w:t>
                  </w:r>
                </w:p>
              </w:tc>
              <w:tc>
                <w:tcPr>
                  <w:tcW w:w="481" w:type="pct"/>
                  <w:tcBorders>
                    <w:tl2br w:val="nil"/>
                    <w:tr2bl w:val="nil"/>
                  </w:tcBorders>
                  <w:vAlign w:val="center"/>
                </w:tcPr>
                <w:p>
                  <w:pPr>
                    <w:jc w:val="center"/>
                    <w:rPr>
                      <w:szCs w:val="21"/>
                    </w:rPr>
                  </w:pPr>
                  <w:r>
                    <w:rPr>
                      <w:rFonts w:hint="eastAsia"/>
                      <w:szCs w:val="21"/>
                    </w:rPr>
                    <w:t>DA001</w:t>
                  </w:r>
                </w:p>
              </w:tc>
              <w:tc>
                <w:tcPr>
                  <w:tcW w:w="430" w:type="pct"/>
                  <w:tcBorders>
                    <w:tl2br w:val="nil"/>
                    <w:tr2bl w:val="nil"/>
                  </w:tcBorders>
                  <w:vAlign w:val="center"/>
                </w:tcPr>
                <w:p>
                  <w:pPr>
                    <w:jc w:val="center"/>
                    <w:rPr>
                      <w:szCs w:val="21"/>
                      <w:lang w:val="zh-CN"/>
                    </w:rPr>
                  </w:pPr>
                  <w:r>
                    <w:rPr>
                      <w:szCs w:val="21"/>
                    </w:rPr>
                    <w:t>设施故障</w:t>
                  </w:r>
                </w:p>
              </w:tc>
              <w:tc>
                <w:tcPr>
                  <w:tcW w:w="444" w:type="pct"/>
                  <w:tcBorders>
                    <w:tl2br w:val="nil"/>
                    <w:tr2bl w:val="nil"/>
                  </w:tcBorders>
                  <w:vAlign w:val="center"/>
                </w:tcPr>
                <w:p>
                  <w:pPr>
                    <w:autoSpaceDE w:val="0"/>
                    <w:autoSpaceDN w:val="0"/>
                    <w:adjustRightInd w:val="0"/>
                    <w:jc w:val="center"/>
                    <w:rPr>
                      <w:bCs/>
                      <w:color w:val="auto"/>
                      <w:kern w:val="0"/>
                      <w:szCs w:val="21"/>
                    </w:rPr>
                  </w:pPr>
                  <w:r>
                    <w:rPr>
                      <w:rFonts w:hint="eastAsia"/>
                      <w:bCs/>
                      <w:color w:val="auto"/>
                      <w:kern w:val="0"/>
                      <w:szCs w:val="21"/>
                    </w:rPr>
                    <w:t>颗粒物</w:t>
                  </w:r>
                </w:p>
              </w:tc>
              <w:tc>
                <w:tcPr>
                  <w:tcW w:w="578" w:type="pct"/>
                  <w:tcBorders>
                    <w:tl2br w:val="nil"/>
                    <w:tr2bl w:val="nil"/>
                  </w:tcBorders>
                  <w:vAlign w:val="center"/>
                </w:tcPr>
                <w:p>
                  <w:pPr>
                    <w:jc w:val="center"/>
                    <w:rPr>
                      <w:rFonts w:hint="default" w:eastAsia="宋体"/>
                      <w:color w:val="FF0000"/>
                      <w:szCs w:val="21"/>
                      <w:highlight w:val="none"/>
                      <w:lang w:val="en-US" w:eastAsia="zh-CN"/>
                    </w:rPr>
                  </w:pPr>
                  <w:r>
                    <w:rPr>
                      <w:rFonts w:hint="eastAsia"/>
                      <w:color w:val="FF0000"/>
                      <w:szCs w:val="21"/>
                      <w:highlight w:val="none"/>
                      <w:lang w:val="en-US" w:eastAsia="zh-CN"/>
                    </w:rPr>
                    <w:t>104.25</w:t>
                  </w:r>
                </w:p>
              </w:tc>
              <w:tc>
                <w:tcPr>
                  <w:tcW w:w="526" w:type="pct"/>
                  <w:tcBorders>
                    <w:tl2br w:val="nil"/>
                    <w:tr2bl w:val="nil"/>
                  </w:tcBorders>
                  <w:vAlign w:val="center"/>
                </w:tcPr>
                <w:p>
                  <w:pPr>
                    <w:jc w:val="center"/>
                    <w:rPr>
                      <w:rFonts w:hint="default" w:eastAsia="宋体"/>
                      <w:color w:val="FF0000"/>
                      <w:szCs w:val="21"/>
                      <w:highlight w:val="none"/>
                      <w:lang w:val="en-US" w:eastAsia="zh-CN"/>
                    </w:rPr>
                  </w:pPr>
                  <w:r>
                    <w:rPr>
                      <w:rFonts w:hint="eastAsia"/>
                      <w:color w:val="FF0000"/>
                      <w:szCs w:val="21"/>
                      <w:highlight w:val="none"/>
                      <w:lang w:val="en-US" w:eastAsia="zh-CN"/>
                    </w:rPr>
                    <w:t>0.678</w:t>
                  </w:r>
                </w:p>
              </w:tc>
              <w:tc>
                <w:tcPr>
                  <w:tcW w:w="416" w:type="pct"/>
                  <w:tcBorders>
                    <w:tl2br w:val="nil"/>
                    <w:tr2bl w:val="nil"/>
                  </w:tcBorders>
                  <w:vAlign w:val="center"/>
                </w:tcPr>
                <w:p>
                  <w:pPr>
                    <w:jc w:val="center"/>
                    <w:rPr>
                      <w:szCs w:val="21"/>
                    </w:rPr>
                  </w:pPr>
                  <w:r>
                    <w:rPr>
                      <w:rFonts w:hint="eastAsia"/>
                      <w:szCs w:val="21"/>
                    </w:rPr>
                    <w:t>0.5</w:t>
                  </w:r>
                </w:p>
              </w:tc>
              <w:tc>
                <w:tcPr>
                  <w:tcW w:w="356" w:type="pct"/>
                  <w:tcBorders>
                    <w:tl2br w:val="nil"/>
                    <w:tr2bl w:val="nil"/>
                  </w:tcBorders>
                  <w:vAlign w:val="center"/>
                </w:tcPr>
                <w:p>
                  <w:pPr>
                    <w:jc w:val="center"/>
                    <w:rPr>
                      <w:szCs w:val="21"/>
                    </w:rPr>
                  </w:pPr>
                  <w:r>
                    <w:rPr>
                      <w:rFonts w:hint="eastAsia"/>
                      <w:szCs w:val="21"/>
                    </w:rPr>
                    <w:t>2</w:t>
                  </w:r>
                </w:p>
              </w:tc>
              <w:tc>
                <w:tcPr>
                  <w:tcW w:w="1424" w:type="pct"/>
                  <w:tcBorders>
                    <w:tl2br w:val="nil"/>
                    <w:tr2bl w:val="nil"/>
                  </w:tcBorders>
                  <w:vAlign w:val="center"/>
                </w:tcPr>
                <w:p>
                  <w:pPr>
                    <w:jc w:val="center"/>
                    <w:rPr>
                      <w:szCs w:val="21"/>
                    </w:rPr>
                  </w:pPr>
                  <w:r>
                    <w:rPr>
                      <w:szCs w:val="21"/>
                    </w:rPr>
                    <w:t>采用双路供电，并加强日常对</w:t>
                  </w:r>
                  <w:r>
                    <w:rPr>
                      <w:rFonts w:hint="eastAsia"/>
                      <w:szCs w:val="21"/>
                    </w:rPr>
                    <w:t>脉冲布袋除尘器</w:t>
                  </w:r>
                  <w:r>
                    <w:rPr>
                      <w:szCs w:val="21"/>
                    </w:rPr>
                    <w:t>的维护，加强日常检查和管理，及时发现设备故障</w:t>
                  </w:r>
                  <w:r>
                    <w:rPr>
                      <w:rFonts w:hint="eastAsia"/>
                      <w:szCs w:val="21"/>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szCs w:val="21"/>
                    </w:rPr>
                  </w:pPr>
                  <w:r>
                    <w:rPr>
                      <w:rFonts w:hint="eastAsia"/>
                      <w:szCs w:val="21"/>
                    </w:rPr>
                    <w:t>2</w:t>
                  </w:r>
                </w:p>
              </w:tc>
              <w:tc>
                <w:tcPr>
                  <w:tcW w:w="481" w:type="pct"/>
                  <w:tcBorders>
                    <w:tl2br w:val="nil"/>
                    <w:tr2bl w:val="nil"/>
                  </w:tcBorders>
                  <w:vAlign w:val="center"/>
                </w:tcPr>
                <w:p>
                  <w:pPr>
                    <w:pStyle w:val="79"/>
                    <w:widowControl/>
                    <w:jc w:val="center"/>
                    <w:rPr>
                      <w:rFonts w:ascii="Times New Roman" w:hAnsi="Times New Roman"/>
                      <w:kern w:val="0"/>
                      <w:szCs w:val="21"/>
                      <w:lang w:bidi="ar"/>
                    </w:rPr>
                  </w:pPr>
                  <w:r>
                    <w:rPr>
                      <w:rFonts w:hint="eastAsia" w:ascii="Times New Roman" w:hAnsi="Times New Roman"/>
                      <w:kern w:val="0"/>
                      <w:szCs w:val="21"/>
                      <w:lang w:bidi="ar"/>
                    </w:rPr>
                    <w:t>DA002</w:t>
                  </w:r>
                </w:p>
              </w:tc>
              <w:tc>
                <w:tcPr>
                  <w:tcW w:w="430" w:type="pct"/>
                  <w:tcBorders>
                    <w:tl2br w:val="nil"/>
                    <w:tr2bl w:val="nil"/>
                  </w:tcBorders>
                  <w:vAlign w:val="center"/>
                </w:tcPr>
                <w:p>
                  <w:pPr>
                    <w:jc w:val="center"/>
                    <w:rPr>
                      <w:szCs w:val="21"/>
                    </w:rPr>
                  </w:pPr>
                  <w:r>
                    <w:rPr>
                      <w:szCs w:val="21"/>
                    </w:rPr>
                    <w:t>设施故障</w:t>
                  </w:r>
                </w:p>
              </w:tc>
              <w:tc>
                <w:tcPr>
                  <w:tcW w:w="444" w:type="pct"/>
                  <w:tcBorders>
                    <w:tl2br w:val="nil"/>
                    <w:tr2bl w:val="nil"/>
                  </w:tcBorders>
                  <w:vAlign w:val="center"/>
                </w:tcPr>
                <w:p>
                  <w:pPr>
                    <w:autoSpaceDE w:val="0"/>
                    <w:autoSpaceDN w:val="0"/>
                    <w:adjustRightInd w:val="0"/>
                    <w:jc w:val="center"/>
                    <w:rPr>
                      <w:bCs/>
                      <w:color w:val="auto"/>
                      <w:kern w:val="0"/>
                      <w:szCs w:val="21"/>
                    </w:rPr>
                  </w:pPr>
                  <w:r>
                    <w:rPr>
                      <w:rFonts w:hint="eastAsia"/>
                      <w:bCs/>
                      <w:color w:val="auto"/>
                      <w:kern w:val="0"/>
                      <w:szCs w:val="21"/>
                    </w:rPr>
                    <w:t>颗粒物</w:t>
                  </w:r>
                </w:p>
              </w:tc>
              <w:tc>
                <w:tcPr>
                  <w:tcW w:w="578"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61.62</w:t>
                  </w:r>
                </w:p>
              </w:tc>
              <w:tc>
                <w:tcPr>
                  <w:tcW w:w="526"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2.157</w:t>
                  </w:r>
                </w:p>
              </w:tc>
              <w:tc>
                <w:tcPr>
                  <w:tcW w:w="416" w:type="pct"/>
                  <w:tcBorders>
                    <w:tl2br w:val="nil"/>
                    <w:tr2bl w:val="nil"/>
                  </w:tcBorders>
                  <w:vAlign w:val="center"/>
                </w:tcPr>
                <w:p>
                  <w:pPr>
                    <w:jc w:val="center"/>
                    <w:rPr>
                      <w:szCs w:val="21"/>
                    </w:rPr>
                  </w:pPr>
                  <w:r>
                    <w:rPr>
                      <w:rFonts w:hint="eastAsia"/>
                      <w:szCs w:val="21"/>
                    </w:rPr>
                    <w:t>0.5</w:t>
                  </w:r>
                </w:p>
              </w:tc>
              <w:tc>
                <w:tcPr>
                  <w:tcW w:w="356" w:type="pct"/>
                  <w:tcBorders>
                    <w:tl2br w:val="nil"/>
                    <w:tr2bl w:val="nil"/>
                  </w:tcBorders>
                  <w:vAlign w:val="center"/>
                </w:tcPr>
                <w:p>
                  <w:pPr>
                    <w:jc w:val="center"/>
                    <w:rPr>
                      <w:szCs w:val="21"/>
                    </w:rPr>
                  </w:pPr>
                  <w:r>
                    <w:rPr>
                      <w:rFonts w:hint="eastAsia"/>
                      <w:szCs w:val="21"/>
                    </w:rPr>
                    <w:t>2</w:t>
                  </w:r>
                </w:p>
              </w:tc>
              <w:tc>
                <w:tcPr>
                  <w:tcW w:w="1424" w:type="pct"/>
                  <w:tcBorders>
                    <w:tl2br w:val="nil"/>
                    <w:tr2bl w:val="nil"/>
                  </w:tcBorders>
                  <w:vAlign w:val="center"/>
                </w:tcPr>
                <w:p>
                  <w:pPr>
                    <w:jc w:val="center"/>
                    <w:rPr>
                      <w:szCs w:val="21"/>
                    </w:rPr>
                  </w:pPr>
                  <w:r>
                    <w:rPr>
                      <w:szCs w:val="21"/>
                    </w:rPr>
                    <w:t>采用双路供电，并加强日常对</w:t>
                  </w:r>
                  <w:r>
                    <w:rPr>
                      <w:rFonts w:hint="eastAsia"/>
                      <w:szCs w:val="21"/>
                    </w:rPr>
                    <w:t>脉冲布袋除尘器</w:t>
                  </w:r>
                  <w:r>
                    <w:rPr>
                      <w:szCs w:val="21"/>
                    </w:rPr>
                    <w:t>的维护，加强日常检查和管理，及时发现设备故障</w:t>
                  </w:r>
                  <w:r>
                    <w:rPr>
                      <w:rFonts w:hint="eastAsia"/>
                      <w:szCs w:val="21"/>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rFonts w:hint="eastAsia" w:eastAsia="宋体"/>
                      <w:szCs w:val="21"/>
                      <w:lang w:val="en-US" w:eastAsia="zh-CN"/>
                    </w:rPr>
                  </w:pPr>
                  <w:r>
                    <w:rPr>
                      <w:rFonts w:hint="eastAsia"/>
                      <w:szCs w:val="21"/>
                      <w:lang w:val="en-US" w:eastAsia="zh-CN"/>
                    </w:rPr>
                    <w:t>3</w:t>
                  </w:r>
                </w:p>
              </w:tc>
              <w:tc>
                <w:tcPr>
                  <w:tcW w:w="481" w:type="pct"/>
                  <w:tcBorders>
                    <w:tl2br w:val="nil"/>
                    <w:tr2bl w:val="nil"/>
                  </w:tcBorders>
                  <w:vAlign w:val="center"/>
                </w:tcPr>
                <w:p>
                  <w:pPr>
                    <w:pStyle w:val="79"/>
                    <w:widowControl/>
                    <w:jc w:val="center"/>
                    <w:rPr>
                      <w:rFonts w:hint="eastAsia" w:ascii="Times New Roman" w:hAnsi="Times New Roman" w:eastAsia="宋体" w:cs="Times New Roman"/>
                      <w:kern w:val="0"/>
                      <w:sz w:val="21"/>
                      <w:szCs w:val="21"/>
                      <w:lang w:val="en-US" w:eastAsia="zh-CN" w:bidi="ar"/>
                    </w:rPr>
                  </w:pPr>
                  <w:r>
                    <w:rPr>
                      <w:rFonts w:hint="eastAsia" w:ascii="Times New Roman" w:hAnsi="Times New Roman"/>
                      <w:kern w:val="0"/>
                      <w:szCs w:val="21"/>
                      <w:lang w:bidi="ar"/>
                    </w:rPr>
                    <w:t>DA002</w:t>
                  </w:r>
                </w:p>
              </w:tc>
              <w:tc>
                <w:tcPr>
                  <w:tcW w:w="430"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设施故障</w:t>
                  </w:r>
                </w:p>
              </w:tc>
              <w:tc>
                <w:tcPr>
                  <w:tcW w:w="444" w:type="pct"/>
                  <w:tcBorders>
                    <w:tl2br w:val="nil"/>
                    <w:tr2bl w:val="nil"/>
                  </w:tcBorders>
                  <w:vAlign w:val="center"/>
                </w:tcPr>
                <w:p>
                  <w:pPr>
                    <w:autoSpaceDE w:val="0"/>
                    <w:autoSpaceDN w:val="0"/>
                    <w:adjustRightInd w:val="0"/>
                    <w:jc w:val="center"/>
                    <w:rPr>
                      <w:rFonts w:hint="eastAsia" w:ascii="Times New Roman" w:hAnsi="Times New Roman" w:eastAsia="宋体" w:cs="Times New Roman"/>
                      <w:bCs/>
                      <w:color w:val="auto"/>
                      <w:kern w:val="0"/>
                      <w:sz w:val="21"/>
                      <w:szCs w:val="21"/>
                      <w:lang w:val="en-US" w:eastAsia="zh-CN" w:bidi="ar-SA"/>
                    </w:rPr>
                  </w:pPr>
                  <w:r>
                    <w:rPr>
                      <w:rFonts w:hint="eastAsia"/>
                      <w:bCs/>
                      <w:color w:val="auto"/>
                      <w:kern w:val="0"/>
                      <w:szCs w:val="21"/>
                    </w:rPr>
                    <w:t>颗粒物</w:t>
                  </w:r>
                </w:p>
              </w:tc>
              <w:tc>
                <w:tcPr>
                  <w:tcW w:w="578" w:type="pct"/>
                  <w:tcBorders>
                    <w:tl2br w:val="nil"/>
                    <w:tr2bl w:val="nil"/>
                  </w:tcBorders>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Cs w:val="21"/>
                      <w:highlight w:val="none"/>
                      <w:lang w:val="en-US" w:eastAsia="zh-CN"/>
                    </w:rPr>
                    <w:t>121.7</w:t>
                  </w:r>
                </w:p>
              </w:tc>
              <w:tc>
                <w:tcPr>
                  <w:tcW w:w="526" w:type="pct"/>
                  <w:tcBorders>
                    <w:tl2br w:val="nil"/>
                    <w:tr2bl w:val="nil"/>
                  </w:tcBorders>
                  <w:vAlign w:val="center"/>
                </w:tcPr>
                <w:p>
                  <w:pPr>
                    <w:jc w:val="center"/>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Cs w:val="21"/>
                      <w:highlight w:val="none"/>
                      <w:lang w:val="en-US" w:eastAsia="zh-CN"/>
                    </w:rPr>
                    <w:t>2.799</w:t>
                  </w:r>
                </w:p>
              </w:tc>
              <w:tc>
                <w:tcPr>
                  <w:tcW w:w="416"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rPr>
                    <w:t>0.5</w:t>
                  </w:r>
                </w:p>
              </w:tc>
              <w:tc>
                <w:tcPr>
                  <w:tcW w:w="356"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rPr>
                    <w:t>2</w:t>
                  </w:r>
                </w:p>
              </w:tc>
              <w:tc>
                <w:tcPr>
                  <w:tcW w:w="1424" w:type="pct"/>
                  <w:tcBorders>
                    <w:tl2br w:val="nil"/>
                    <w:tr2bl w:val="nil"/>
                  </w:tcBorders>
                  <w:vAlign w:val="center"/>
                </w:tcPr>
                <w:p>
                  <w:pPr>
                    <w:jc w:val="center"/>
                    <w:rPr>
                      <w:rFonts w:ascii="Times New Roman" w:hAnsi="Times New Roman" w:eastAsia="宋体" w:cs="Times New Roman"/>
                      <w:kern w:val="2"/>
                      <w:sz w:val="21"/>
                      <w:szCs w:val="21"/>
                      <w:lang w:val="en-US" w:eastAsia="zh-CN" w:bidi="ar-SA"/>
                    </w:rPr>
                  </w:pPr>
                  <w:r>
                    <w:rPr>
                      <w:szCs w:val="21"/>
                    </w:rPr>
                    <w:t>采用双路供电，并加强日常对</w:t>
                  </w:r>
                  <w:r>
                    <w:rPr>
                      <w:rFonts w:hint="eastAsia"/>
                      <w:szCs w:val="21"/>
                    </w:rPr>
                    <w:t>脉冲布袋除尘器</w:t>
                  </w:r>
                  <w:r>
                    <w:rPr>
                      <w:szCs w:val="21"/>
                    </w:rPr>
                    <w:t>的维护，加强日常检查和管理，及时发现设备故障</w:t>
                  </w:r>
                  <w:r>
                    <w:rPr>
                      <w:rFonts w:hint="eastAsia"/>
                      <w:szCs w:val="21"/>
                    </w:rPr>
                    <w:t>并停产检修</w:t>
                  </w:r>
                </w:p>
              </w:tc>
            </w:tr>
          </w:tbl>
          <w:p>
            <w:pPr>
              <w:adjustRightInd w:val="0"/>
              <w:snapToGrid w:val="0"/>
              <w:spacing w:line="480" w:lineRule="exact"/>
              <w:rPr>
                <w:sz w:val="24"/>
              </w:rPr>
            </w:pPr>
          </w:p>
        </w:tc>
      </w:tr>
    </w:tbl>
    <w:p>
      <w:pPr>
        <w:adjustRightInd w:val="0"/>
        <w:snapToGrid w:val="0"/>
        <w:rPr>
          <w:bCs/>
          <w:szCs w:val="21"/>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
        <w:gridCol w:w="8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tcMar>
              <w:left w:w="28" w:type="dxa"/>
              <w:right w:w="28" w:type="dxa"/>
            </w:tcMar>
            <w:vAlign w:val="center"/>
          </w:tcPr>
          <w:p>
            <w:pPr>
              <w:adjustRightInd w:val="0"/>
              <w:snapToGrid w:val="0"/>
              <w:spacing w:line="480" w:lineRule="exact"/>
              <w:jc w:val="center"/>
              <w:rPr>
                <w:bCs/>
                <w:szCs w:val="21"/>
              </w:rPr>
            </w:pPr>
            <w:r>
              <w:rPr>
                <w:bCs/>
                <w:szCs w:val="21"/>
              </w:rPr>
              <w:t>运</w:t>
            </w:r>
          </w:p>
          <w:p>
            <w:pPr>
              <w:adjustRightInd w:val="0"/>
              <w:snapToGrid w:val="0"/>
              <w:spacing w:line="480" w:lineRule="exact"/>
              <w:jc w:val="center"/>
              <w:rPr>
                <w:bCs/>
                <w:szCs w:val="21"/>
              </w:rPr>
            </w:pPr>
            <w:r>
              <w:rPr>
                <w:bCs/>
                <w:szCs w:val="21"/>
              </w:rPr>
              <w:t>营</w:t>
            </w:r>
          </w:p>
          <w:p>
            <w:pPr>
              <w:adjustRightInd w:val="0"/>
              <w:snapToGrid w:val="0"/>
              <w:spacing w:line="480" w:lineRule="exact"/>
              <w:jc w:val="center"/>
              <w:rPr>
                <w:bCs/>
                <w:szCs w:val="21"/>
              </w:rPr>
            </w:pPr>
            <w:r>
              <w:rPr>
                <w:bCs/>
                <w:szCs w:val="21"/>
              </w:rPr>
              <w:t>期</w:t>
            </w:r>
          </w:p>
          <w:p>
            <w:pPr>
              <w:adjustRightInd w:val="0"/>
              <w:snapToGrid w:val="0"/>
              <w:spacing w:line="480" w:lineRule="exact"/>
              <w:jc w:val="center"/>
              <w:rPr>
                <w:bCs/>
                <w:szCs w:val="21"/>
              </w:rPr>
            </w:pPr>
            <w:r>
              <w:rPr>
                <w:bCs/>
                <w:szCs w:val="21"/>
              </w:rPr>
              <w:t>环</w:t>
            </w:r>
          </w:p>
          <w:p>
            <w:pPr>
              <w:adjustRightInd w:val="0"/>
              <w:snapToGrid w:val="0"/>
              <w:spacing w:line="480" w:lineRule="exact"/>
              <w:jc w:val="center"/>
              <w:rPr>
                <w:bCs/>
                <w:szCs w:val="21"/>
              </w:rPr>
            </w:pPr>
            <w:r>
              <w:rPr>
                <w:bCs/>
                <w:szCs w:val="21"/>
              </w:rPr>
              <w:t>境</w:t>
            </w:r>
          </w:p>
          <w:p>
            <w:pPr>
              <w:adjustRightInd w:val="0"/>
              <w:snapToGrid w:val="0"/>
              <w:spacing w:line="480" w:lineRule="exact"/>
              <w:jc w:val="center"/>
              <w:rPr>
                <w:bCs/>
                <w:szCs w:val="21"/>
              </w:rPr>
            </w:pPr>
            <w:r>
              <w:rPr>
                <w:bCs/>
                <w:szCs w:val="21"/>
              </w:rPr>
              <w:t>影</w:t>
            </w:r>
          </w:p>
          <w:p>
            <w:pPr>
              <w:adjustRightInd w:val="0"/>
              <w:snapToGrid w:val="0"/>
              <w:spacing w:line="480" w:lineRule="exact"/>
              <w:jc w:val="center"/>
              <w:rPr>
                <w:bCs/>
                <w:szCs w:val="21"/>
              </w:rPr>
            </w:pPr>
            <w:r>
              <w:rPr>
                <w:bCs/>
                <w:szCs w:val="21"/>
              </w:rPr>
              <w:t>响</w:t>
            </w:r>
          </w:p>
          <w:p>
            <w:pPr>
              <w:adjustRightInd w:val="0"/>
              <w:snapToGrid w:val="0"/>
              <w:spacing w:line="480" w:lineRule="exact"/>
              <w:jc w:val="center"/>
              <w:rPr>
                <w:bCs/>
                <w:szCs w:val="21"/>
              </w:rPr>
            </w:pPr>
            <w:r>
              <w:rPr>
                <w:bCs/>
                <w:szCs w:val="21"/>
              </w:rPr>
              <w:t>和</w:t>
            </w:r>
          </w:p>
          <w:p>
            <w:pPr>
              <w:adjustRightInd w:val="0"/>
              <w:snapToGrid w:val="0"/>
              <w:spacing w:line="480" w:lineRule="exact"/>
              <w:jc w:val="center"/>
              <w:rPr>
                <w:bCs/>
                <w:szCs w:val="21"/>
              </w:rPr>
            </w:pPr>
            <w:r>
              <w:rPr>
                <w:bCs/>
                <w:szCs w:val="21"/>
              </w:rPr>
              <w:t>保</w:t>
            </w:r>
          </w:p>
          <w:p>
            <w:pPr>
              <w:adjustRightInd w:val="0"/>
              <w:snapToGrid w:val="0"/>
              <w:spacing w:line="480" w:lineRule="exact"/>
              <w:jc w:val="center"/>
              <w:rPr>
                <w:bCs/>
                <w:szCs w:val="21"/>
              </w:rPr>
            </w:pPr>
            <w:r>
              <w:rPr>
                <w:bCs/>
                <w:szCs w:val="21"/>
              </w:rPr>
              <w:t>护</w:t>
            </w:r>
          </w:p>
          <w:p>
            <w:pPr>
              <w:adjustRightInd w:val="0"/>
              <w:snapToGrid w:val="0"/>
              <w:spacing w:line="480" w:lineRule="exact"/>
              <w:jc w:val="center"/>
              <w:rPr>
                <w:bCs/>
                <w:szCs w:val="21"/>
              </w:rPr>
            </w:pPr>
            <w:r>
              <w:rPr>
                <w:bCs/>
                <w:szCs w:val="21"/>
              </w:rPr>
              <w:t>措</w:t>
            </w:r>
          </w:p>
          <w:p>
            <w:pPr>
              <w:adjustRightInd w:val="0"/>
              <w:snapToGrid w:val="0"/>
              <w:spacing w:line="480" w:lineRule="exact"/>
              <w:jc w:val="center"/>
              <w:rPr>
                <w:bCs/>
                <w:szCs w:val="21"/>
              </w:rPr>
            </w:pPr>
            <w:r>
              <w:rPr>
                <w:bCs/>
                <w:szCs w:val="21"/>
              </w:rPr>
              <w:t>施</w:t>
            </w:r>
          </w:p>
        </w:tc>
        <w:tc>
          <w:tcPr>
            <w:tcW w:w="8526" w:type="dxa"/>
            <w:vAlign w:val="center"/>
          </w:tcPr>
          <w:p>
            <w:pPr>
              <w:spacing w:line="500" w:lineRule="exact"/>
              <w:ind w:firstLine="480" w:firstLineChars="200"/>
              <w:rPr>
                <w:sz w:val="24"/>
              </w:rPr>
            </w:pPr>
            <w:r>
              <w:rPr>
                <w:rFonts w:hint="eastAsia"/>
                <w:sz w:val="24"/>
              </w:rPr>
              <w:t>1.2废气影响分</w:t>
            </w:r>
          </w:p>
          <w:p>
            <w:pPr>
              <w:spacing w:line="480" w:lineRule="exact"/>
              <w:ind w:firstLine="480" w:firstLineChars="200"/>
              <w:rPr>
                <w:sz w:val="24"/>
              </w:rPr>
            </w:pPr>
            <w:r>
              <w:rPr>
                <w:rFonts w:hint="eastAsia"/>
                <w:sz w:val="24"/>
              </w:rPr>
              <w:t>本项目各工序废</w:t>
            </w:r>
            <w:r>
              <w:rPr>
                <w:rFonts w:hint="eastAsia"/>
                <w:color w:val="auto"/>
                <w:sz w:val="24"/>
              </w:rPr>
              <w:t>气收集治理严格按照</w:t>
            </w:r>
            <w:r>
              <w:rPr>
                <w:color w:val="auto"/>
                <w:sz w:val="24"/>
              </w:rPr>
              <w:t>《唐山市大气污染防治工作领导小组</w:t>
            </w:r>
            <w:r>
              <w:rPr>
                <w:rFonts w:hint="eastAsia"/>
                <w:color w:val="auto"/>
                <w:sz w:val="24"/>
                <w:lang w:eastAsia="zh-CN"/>
              </w:rPr>
              <w:t>办公楼</w:t>
            </w:r>
            <w:r>
              <w:rPr>
                <w:color w:val="auto"/>
                <w:sz w:val="24"/>
              </w:rPr>
              <w:t>&lt;唐山市钢铁行业整治提升工作方案&gt;等10项方案的通知》（唐气领办〔2021〕15号）中附件9《唐山市铸造行业整治提升工作方案》</w:t>
            </w:r>
            <w:r>
              <w:rPr>
                <w:rFonts w:hint="eastAsia"/>
                <w:color w:val="auto"/>
                <w:sz w:val="24"/>
              </w:rPr>
              <w:t>相关要</w:t>
            </w:r>
            <w:r>
              <w:rPr>
                <w:rFonts w:hint="eastAsia"/>
                <w:sz w:val="24"/>
              </w:rPr>
              <w:t>求进行。</w:t>
            </w:r>
          </w:p>
          <w:p>
            <w:pPr>
              <w:spacing w:line="480" w:lineRule="exact"/>
              <w:ind w:firstLine="480" w:firstLineChars="200"/>
              <w:rPr>
                <w:sz w:val="24"/>
              </w:rPr>
            </w:pPr>
            <w:r>
              <w:rPr>
                <w:rFonts w:hint="eastAsia"/>
                <w:sz w:val="24"/>
              </w:rPr>
              <w:t>（1）有组织废气</w:t>
            </w:r>
          </w:p>
          <w:p>
            <w:pPr>
              <w:spacing w:line="480" w:lineRule="exact"/>
              <w:ind w:firstLine="480" w:firstLineChars="200"/>
              <w:rPr>
                <w:sz w:val="24"/>
              </w:rPr>
            </w:pPr>
            <w:r>
              <w:rPr>
                <w:rFonts w:hint="eastAsia"/>
                <w:sz w:val="24"/>
              </w:rPr>
              <w:t>①电炉熔炼废气</w:t>
            </w:r>
          </w:p>
          <w:p>
            <w:pPr>
              <w:spacing w:line="480" w:lineRule="exact"/>
              <w:ind w:firstLine="480" w:firstLineChars="200"/>
              <w:rPr>
                <w:color w:val="auto"/>
                <w:sz w:val="24"/>
              </w:rPr>
            </w:pPr>
            <w:r>
              <w:rPr>
                <w:rFonts w:hint="eastAsia"/>
                <w:sz w:val="24"/>
              </w:rPr>
              <w:t>针对电炉熔炼废气设置1套袋式除尘器（覆膜），风机采用变频风机，袋式除尘器处理能力为</w:t>
            </w:r>
            <w:r>
              <w:rPr>
                <w:rFonts w:hint="eastAsia"/>
                <w:sz w:val="24"/>
                <w:lang w:eastAsia="zh-CN"/>
              </w:rPr>
              <w:t>6500</w:t>
            </w:r>
            <w:r>
              <w:rPr>
                <w:color w:val="auto"/>
                <w:sz w:val="24"/>
              </w:rPr>
              <w:t>m</w:t>
            </w:r>
            <w:r>
              <w:rPr>
                <w:color w:val="auto"/>
                <w:sz w:val="24"/>
                <w:vertAlign w:val="superscript"/>
              </w:rPr>
              <w:t>3</w:t>
            </w:r>
            <w:r>
              <w:rPr>
                <w:color w:val="auto"/>
                <w:sz w:val="24"/>
              </w:rPr>
              <w:t>/h</w:t>
            </w:r>
            <w:r>
              <w:rPr>
                <w:rFonts w:hint="eastAsia"/>
                <w:color w:val="auto"/>
                <w:sz w:val="24"/>
              </w:rPr>
              <w:t xml:space="preserve">，除尘效率 </w:t>
            </w:r>
            <w:r>
              <w:rPr>
                <w:color w:val="auto"/>
                <w:sz w:val="24"/>
              </w:rPr>
              <w:t>99%</w:t>
            </w:r>
            <w:r>
              <w:rPr>
                <w:rFonts w:hint="eastAsia"/>
                <w:color w:val="auto"/>
                <w:sz w:val="24"/>
              </w:rPr>
              <w:t>。</w:t>
            </w:r>
          </w:p>
          <w:p>
            <w:pPr>
              <w:spacing w:line="480" w:lineRule="exact"/>
              <w:ind w:firstLine="480" w:firstLineChars="200"/>
              <w:rPr>
                <w:color w:val="auto"/>
                <w:sz w:val="24"/>
              </w:rPr>
            </w:pPr>
            <w:r>
              <w:rPr>
                <w:rFonts w:hint="eastAsia"/>
                <w:color w:val="auto"/>
                <w:sz w:val="24"/>
              </w:rPr>
              <w:t>熔炼过程中会产生颗粒物，根据《排放源统计调查产排污核算方法和系数手册》黑色金属铸造行业熔炼工序工业颗粒物产污系数</w:t>
            </w:r>
            <w:r>
              <w:rPr>
                <w:color w:val="auto"/>
                <w:sz w:val="24"/>
              </w:rPr>
              <w:t>0.479kg/t-</w:t>
            </w:r>
            <w:r>
              <w:rPr>
                <w:rFonts w:hint="eastAsia"/>
                <w:color w:val="auto"/>
                <w:sz w:val="24"/>
              </w:rPr>
              <w:t>产品，项目每年生产铸件</w:t>
            </w:r>
            <w:r>
              <w:rPr>
                <w:rFonts w:hint="eastAsia"/>
                <w:color w:val="auto"/>
                <w:sz w:val="24"/>
                <w:lang w:val="en-US" w:eastAsia="zh-CN"/>
              </w:rPr>
              <w:t>70</w:t>
            </w:r>
            <w:r>
              <w:rPr>
                <w:color w:val="auto"/>
                <w:sz w:val="24"/>
              </w:rPr>
              <w:t>00t</w:t>
            </w:r>
            <w:r>
              <w:rPr>
                <w:rFonts w:hint="eastAsia"/>
                <w:color w:val="auto"/>
                <w:sz w:val="24"/>
              </w:rPr>
              <w:t>，则颗粒物产生量</w:t>
            </w:r>
            <w:r>
              <w:rPr>
                <w:rFonts w:hint="eastAsia"/>
                <w:color w:val="auto"/>
                <w:sz w:val="24"/>
                <w:lang w:val="en-US" w:eastAsia="zh-CN"/>
              </w:rPr>
              <w:t>3.353</w:t>
            </w:r>
            <w:r>
              <w:rPr>
                <w:color w:val="auto"/>
                <w:sz w:val="24"/>
              </w:rPr>
              <w:t>t/a</w:t>
            </w:r>
            <w:r>
              <w:rPr>
                <w:rFonts w:hint="eastAsia"/>
                <w:color w:val="auto"/>
                <w:sz w:val="24"/>
              </w:rPr>
              <w:t>。</w:t>
            </w:r>
          </w:p>
          <w:p>
            <w:pPr>
              <w:pStyle w:val="15"/>
              <w:spacing w:line="460" w:lineRule="exact"/>
              <w:ind w:firstLine="480" w:firstLineChars="200"/>
              <w:rPr>
                <w:rFonts w:hint="default" w:ascii="Times New Roman" w:hAnsi="Times New Roman" w:cs="Times New Roman"/>
                <w:color w:val="FF0000"/>
                <w:kern w:val="0"/>
                <w:sz w:val="24"/>
                <w:highlight w:val="none"/>
              </w:rPr>
            </w:pPr>
            <w:r>
              <w:rPr>
                <w:rFonts w:hint="default" w:ascii="Times New Roman" w:hAnsi="Times New Roman" w:cs="Times New Roman"/>
                <w:color w:val="FF0000"/>
                <w:sz w:val="24"/>
                <w:highlight w:val="none"/>
              </w:rPr>
              <w:t>集气罩上吸风量</w:t>
            </w:r>
            <w:r>
              <w:rPr>
                <w:rFonts w:hint="default" w:ascii="Times New Roman" w:hAnsi="Times New Roman" w:cs="Times New Roman"/>
                <w:color w:val="FF0000"/>
                <w:kern w:val="0"/>
                <w:sz w:val="24"/>
                <w:highlight w:val="none"/>
              </w:rPr>
              <w:t>的计算公式：</w:t>
            </w:r>
          </w:p>
          <w:p>
            <w:pPr>
              <w:adjustRightInd w:val="0"/>
              <w:snapToGrid w:val="0"/>
              <w:spacing w:line="480" w:lineRule="exact"/>
              <w:ind w:firstLine="2640" w:firstLineChars="1100"/>
              <w:rPr>
                <w:rFonts w:hint="eastAsia" w:ascii="Times New Roman" w:hAnsi="Times New Roman" w:eastAsia="宋体" w:cs="Times New Roman"/>
                <w:color w:val="FF0000"/>
                <w:kern w:val="0"/>
                <w:sz w:val="24"/>
                <w:highlight w:val="none"/>
                <w:lang w:eastAsia="zh-CN"/>
              </w:rPr>
            </w:pPr>
            <w:r>
              <w:rPr>
                <w:rFonts w:hint="default" w:ascii="Times New Roman" w:hAnsi="Times New Roman" w:cs="Times New Roman"/>
                <w:color w:val="FF0000"/>
                <w:sz w:val="24"/>
                <w:highlight w:val="none"/>
              </w:rPr>
              <w:t>Q=3600</w:t>
            </w:r>
            <w:r>
              <w:rPr>
                <w:rFonts w:hint="eastAsia" w:ascii="Times New Roman" w:hAnsi="Times New Roman" w:cs="Times New Roman"/>
                <w:color w:val="FF0000"/>
                <w:sz w:val="24"/>
                <w:highlight w:val="none"/>
                <w:lang w:val="en-US" w:eastAsia="zh-CN"/>
              </w:rPr>
              <w:t>A</w:t>
            </w:r>
            <w:r>
              <w:rPr>
                <w:rFonts w:hint="default" w:ascii="Times New Roman" w:hAnsi="Times New Roman" w:cs="Times New Roman"/>
                <w:color w:val="FF0000"/>
                <w:sz w:val="24"/>
                <w:highlight w:val="none"/>
              </w:rPr>
              <w:t>V</w:t>
            </w:r>
            <w:r>
              <w:rPr>
                <w:rFonts w:hint="default" w:ascii="Times New Roman" w:hAnsi="Times New Roman" w:cs="Times New Roman"/>
                <w:color w:val="FF0000"/>
                <w:sz w:val="24"/>
                <w:highlight w:val="none"/>
                <w:vertAlign w:val="subscript"/>
              </w:rPr>
              <w:t xml:space="preserve"> p</w:t>
            </w:r>
            <w:r>
              <w:rPr>
                <w:rFonts w:hint="eastAsia" w:ascii="Times New Roman" w:hAnsi="Times New Roman" w:cs="Times New Roman"/>
                <w:color w:val="FF0000"/>
                <w:sz w:val="24"/>
                <w:highlight w:val="none"/>
                <w:vertAlign w:val="subscript"/>
                <w:lang w:val="en-US" w:eastAsia="zh-CN"/>
              </w:rPr>
              <w:t>1</w:t>
            </w:r>
          </w:p>
          <w:p>
            <w:pPr>
              <w:adjustRightInd w:val="0"/>
              <w:snapToGrid w:val="0"/>
              <w:spacing w:line="480" w:lineRule="exact"/>
              <w:ind w:firstLine="480" w:firstLineChars="20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式中：Q：吸风量m</w:t>
            </w:r>
            <w:r>
              <w:rPr>
                <w:rFonts w:hint="default" w:ascii="Times New Roman" w:hAnsi="Times New Roman" w:cs="Times New Roman"/>
                <w:color w:val="FF0000"/>
                <w:kern w:val="0"/>
                <w:sz w:val="24"/>
                <w:highlight w:val="none"/>
                <w:vertAlign w:val="superscript"/>
              </w:rPr>
              <w:t>3</w:t>
            </w:r>
            <w:r>
              <w:rPr>
                <w:rFonts w:hint="default" w:ascii="Times New Roman" w:hAnsi="Times New Roman" w:cs="Times New Roman"/>
                <w:color w:val="FF0000"/>
                <w:kern w:val="0"/>
                <w:sz w:val="24"/>
                <w:highlight w:val="none"/>
              </w:rPr>
              <w:t>/h；</w:t>
            </w:r>
          </w:p>
          <w:p>
            <w:pPr>
              <w:adjustRightInd w:val="0"/>
              <w:snapToGrid w:val="0"/>
              <w:spacing w:line="480" w:lineRule="exact"/>
              <w:ind w:firstLine="1200" w:firstLineChars="500"/>
              <w:rPr>
                <w:rFonts w:hint="default" w:ascii="Times New Roman" w:hAnsi="Times New Roman" w:cs="Times New Roman"/>
                <w:color w:val="FF0000"/>
                <w:kern w:val="0"/>
                <w:sz w:val="24"/>
                <w:highlight w:val="none"/>
              </w:rPr>
            </w:pPr>
            <w:r>
              <w:rPr>
                <w:rFonts w:hint="eastAsia" w:ascii="Times New Roman" w:hAnsi="Times New Roman" w:eastAsia="宋体" w:cs="Times New Roman"/>
                <w:color w:val="FF0000"/>
                <w:kern w:val="0"/>
                <w:sz w:val="24"/>
                <w:szCs w:val="24"/>
                <w:highlight w:val="none"/>
                <w:lang w:val="en-US" w:eastAsia="zh-CN"/>
              </w:rPr>
              <w:t>A</w:t>
            </w:r>
            <w:r>
              <w:rPr>
                <w:rFonts w:hint="default" w:ascii="Times New Roman" w:hAnsi="Times New Roman" w:eastAsia="宋体" w:cs="Times New Roman"/>
                <w:color w:val="FF0000"/>
                <w:kern w:val="0"/>
                <w:sz w:val="24"/>
                <w:szCs w:val="24"/>
                <w:highlight w:val="none"/>
              </w:rPr>
              <w:t>：罩口</w:t>
            </w:r>
            <w:r>
              <w:rPr>
                <w:rFonts w:hint="eastAsia" w:ascii="Times New Roman" w:hAnsi="Times New Roman" w:eastAsia="宋体" w:cs="Times New Roman"/>
                <w:color w:val="FF0000"/>
                <w:kern w:val="0"/>
                <w:sz w:val="24"/>
                <w:szCs w:val="24"/>
                <w:highlight w:val="none"/>
                <w:lang w:eastAsia="zh-CN"/>
              </w:rPr>
              <w:t>面积</w:t>
            </w:r>
            <w:r>
              <w:rPr>
                <w:rFonts w:hint="default" w:ascii="Times New Roman" w:hAnsi="Times New Roman" w:eastAsia="宋体" w:cs="Times New Roman"/>
                <w:color w:val="FF0000"/>
                <w:kern w:val="0"/>
                <w:sz w:val="24"/>
                <w:szCs w:val="24"/>
                <w:highlight w:val="none"/>
              </w:rPr>
              <w:t>，m</w:t>
            </w:r>
            <w:r>
              <w:rPr>
                <w:rFonts w:hint="default" w:ascii="Times New Roman" w:hAnsi="Times New Roman" w:eastAsia="宋体" w:cs="Times New Roman"/>
                <w:color w:val="FF0000"/>
                <w:kern w:val="0"/>
                <w:sz w:val="24"/>
                <w:szCs w:val="24"/>
                <w:highlight w:val="none"/>
                <w:vertAlign w:val="superscript"/>
              </w:rPr>
              <w:t>2</w:t>
            </w:r>
            <w:r>
              <w:rPr>
                <w:rFonts w:hint="default" w:ascii="Times New Roman" w:hAnsi="Times New Roman" w:cs="Times New Roman"/>
                <w:color w:val="FF0000"/>
                <w:sz w:val="24"/>
                <w:highlight w:val="none"/>
              </w:rPr>
              <w:t>；</w:t>
            </w:r>
          </w:p>
          <w:p>
            <w:pPr>
              <w:adjustRightInd w:val="0"/>
              <w:snapToGrid w:val="0"/>
              <w:spacing w:line="480" w:lineRule="exact"/>
              <w:ind w:firstLine="1200" w:firstLineChars="500"/>
              <w:rPr>
                <w:rFonts w:hint="default" w:ascii="Times New Roman" w:hAnsi="Times New Roman" w:cs="Times New Roman"/>
                <w:color w:val="FF0000"/>
                <w:kern w:val="0"/>
                <w:sz w:val="24"/>
                <w:highlight w:val="none"/>
              </w:rPr>
            </w:pPr>
            <w:r>
              <w:rPr>
                <w:rFonts w:hint="default" w:ascii="Times New Roman" w:hAnsi="Times New Roman" w:cs="Times New Roman"/>
                <w:color w:val="FF0000"/>
                <w:sz w:val="24"/>
                <w:highlight w:val="none"/>
              </w:rPr>
              <w:t>V</w:t>
            </w:r>
            <w:r>
              <w:rPr>
                <w:rFonts w:hint="default" w:ascii="Times New Roman" w:hAnsi="Times New Roman" w:cs="Times New Roman"/>
                <w:color w:val="FF0000"/>
                <w:sz w:val="24"/>
                <w:highlight w:val="none"/>
                <w:vertAlign w:val="subscript"/>
              </w:rPr>
              <w:t>p</w:t>
            </w:r>
            <w:r>
              <w:rPr>
                <w:rFonts w:hint="eastAsia" w:ascii="Times New Roman" w:hAnsi="Times New Roman" w:cs="Times New Roman"/>
                <w:color w:val="FF0000"/>
                <w:sz w:val="24"/>
                <w:highlight w:val="none"/>
                <w:vertAlign w:val="subscript"/>
                <w:lang w:val="en-US" w:eastAsia="zh-CN"/>
              </w:rPr>
              <w:t>1</w:t>
            </w:r>
            <w:r>
              <w:rPr>
                <w:rFonts w:hint="default" w:ascii="Times New Roman" w:hAnsi="Times New Roman" w:cs="Times New Roman"/>
                <w:color w:val="FF0000"/>
                <w:sz w:val="24"/>
                <w:highlight w:val="none"/>
              </w:rPr>
              <w:t>：罩口周边截面上的平均风速m/s</w:t>
            </w:r>
            <w:r>
              <w:rPr>
                <w:rFonts w:hint="default" w:ascii="Times New Roman" w:hAnsi="Times New Roman" w:cs="Times New Roman"/>
                <w:color w:val="FF0000"/>
                <w:kern w:val="0"/>
                <w:sz w:val="24"/>
                <w:highlight w:val="none"/>
              </w:rPr>
              <w:t>，本次取</w:t>
            </w:r>
            <w:r>
              <w:rPr>
                <w:rFonts w:hint="default" w:ascii="Times New Roman" w:hAnsi="Times New Roman" w:cs="Times New Roman"/>
                <w:color w:val="FF0000"/>
                <w:kern w:val="0"/>
                <w:sz w:val="24"/>
                <w:highlight w:val="none"/>
                <w:lang w:val="en-US" w:eastAsia="zh-CN"/>
              </w:rPr>
              <w:t>0.8</w:t>
            </w:r>
            <w:r>
              <w:rPr>
                <w:rFonts w:hint="default" w:ascii="Times New Roman" w:hAnsi="Times New Roman" w:cs="Times New Roman"/>
                <w:color w:val="FF0000"/>
                <w:kern w:val="0"/>
                <w:sz w:val="24"/>
                <w:highlight w:val="none"/>
              </w:rPr>
              <w:t>m/s，风损约10%~20%，本次取</w:t>
            </w:r>
            <w:r>
              <w:rPr>
                <w:rFonts w:hint="eastAsia" w:ascii="Times New Roman" w:hAnsi="Times New Roman" w:cs="Times New Roman"/>
                <w:color w:val="FF0000"/>
                <w:kern w:val="0"/>
                <w:sz w:val="24"/>
                <w:highlight w:val="none"/>
                <w:lang w:val="en-US" w:eastAsia="zh-CN"/>
              </w:rPr>
              <w:t>20</w:t>
            </w:r>
            <w:r>
              <w:rPr>
                <w:rFonts w:hint="default" w:ascii="Times New Roman" w:hAnsi="Times New Roman" w:cs="Times New Roman"/>
                <w:color w:val="FF0000"/>
                <w:kern w:val="0"/>
                <w:sz w:val="24"/>
                <w:highlight w:val="none"/>
              </w:rPr>
              <w:t>%。</w:t>
            </w:r>
          </w:p>
          <w:p>
            <w:pPr>
              <w:pStyle w:val="42"/>
              <w:spacing w:line="480" w:lineRule="exact"/>
              <w:jc w:val="center"/>
              <w:textAlignment w:val="auto"/>
              <w:rPr>
                <w:rFonts w:ascii="Times New Roman" w:eastAsia="宋体" w:cs="Times New Roman"/>
                <w:b/>
                <w:bCs/>
                <w:color w:val="FF0000"/>
              </w:rPr>
            </w:pPr>
            <w:r>
              <w:rPr>
                <w:rFonts w:ascii="Times New Roman" w:eastAsia="宋体" w:cs="Times New Roman"/>
                <w:b/>
                <w:bCs/>
                <w:color w:val="FF0000"/>
              </w:rPr>
              <w:t>表</w:t>
            </w:r>
            <w:r>
              <w:rPr>
                <w:rFonts w:hint="eastAsia" w:ascii="Times New Roman" w:eastAsia="宋体" w:cs="Times New Roman"/>
                <w:b/>
                <w:bCs/>
                <w:color w:val="FF0000"/>
                <w:lang w:val="en-US" w:eastAsia="zh-CN"/>
              </w:rPr>
              <w:t>31</w:t>
            </w:r>
            <w:r>
              <w:rPr>
                <w:rFonts w:hint="eastAsia" w:ascii="Times New Roman" w:eastAsia="宋体" w:cs="Times New Roman"/>
                <w:b/>
                <w:bCs/>
                <w:color w:val="FF0000"/>
              </w:rPr>
              <w:t xml:space="preserve">  集气罩上吸风口参数一览表</w:t>
            </w:r>
          </w:p>
          <w:tbl>
            <w:tblPr>
              <w:tblStyle w:val="32"/>
              <w:tblW w:w="498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82"/>
              <w:gridCol w:w="3904"/>
              <w:gridCol w:w="1250"/>
              <w:gridCol w:w="1607"/>
              <w:gridCol w:w="6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530" w:type="pct"/>
                  <w:vAlign w:val="center"/>
                </w:tcPr>
                <w:p>
                  <w:pPr>
                    <w:widowControl/>
                    <w:jc w:val="center"/>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构筑物</w:t>
                  </w:r>
                </w:p>
              </w:tc>
              <w:tc>
                <w:tcPr>
                  <w:tcW w:w="2346" w:type="pct"/>
                  <w:vAlign w:val="center"/>
                </w:tcPr>
                <w:p>
                  <w:pPr>
                    <w:widowControl/>
                    <w:jc w:val="center"/>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集气罩尺寸(m)</w:t>
                  </w:r>
                </w:p>
              </w:tc>
              <w:tc>
                <w:tcPr>
                  <w:tcW w:w="751" w:type="pct"/>
                  <w:vAlign w:val="center"/>
                </w:tcPr>
                <w:p>
                  <w:pPr>
                    <w:pStyle w:val="42"/>
                    <w:jc w:val="center"/>
                    <w:rPr>
                      <w:rFonts w:ascii="Times New Roman" w:eastAsia="宋体" w:cs="Times New Roman"/>
                      <w:color w:val="FF0000"/>
                      <w:sz w:val="21"/>
                      <w:szCs w:val="21"/>
                    </w:rPr>
                  </w:pPr>
                  <w:r>
                    <w:rPr>
                      <w:rFonts w:hint="eastAsia" w:ascii="Times New Roman" w:eastAsia="宋体" w:cs="Times New Roman"/>
                      <w:color w:val="FF0000"/>
                      <w:sz w:val="21"/>
                      <w:szCs w:val="21"/>
                    </w:rPr>
                    <w:t>风速(m/s)</w:t>
                  </w:r>
                </w:p>
              </w:tc>
              <w:tc>
                <w:tcPr>
                  <w:tcW w:w="966" w:type="pct"/>
                  <w:vAlign w:val="center"/>
                </w:tcPr>
                <w:p>
                  <w:pPr>
                    <w:pStyle w:val="42"/>
                    <w:jc w:val="center"/>
                    <w:rPr>
                      <w:rFonts w:ascii="Times New Roman" w:eastAsia="宋体" w:cs="Times New Roman"/>
                      <w:color w:val="FF0000"/>
                      <w:sz w:val="21"/>
                      <w:szCs w:val="21"/>
                    </w:rPr>
                  </w:pPr>
                  <w:r>
                    <w:rPr>
                      <w:rFonts w:ascii="Times New Roman" w:eastAsia="宋体" w:cs="Times New Roman"/>
                      <w:color w:val="FF0000"/>
                      <w:sz w:val="21"/>
                      <w:szCs w:val="21"/>
                    </w:rPr>
                    <w:t>分配风量(m</w:t>
                  </w:r>
                  <w:r>
                    <w:rPr>
                      <w:rFonts w:ascii="Times New Roman" w:eastAsia="宋体" w:cs="Times New Roman"/>
                      <w:color w:val="FF0000"/>
                      <w:sz w:val="21"/>
                      <w:szCs w:val="21"/>
                      <w:vertAlign w:val="superscript"/>
                    </w:rPr>
                    <w:t>3</w:t>
                  </w:r>
                  <w:r>
                    <w:rPr>
                      <w:rFonts w:ascii="Times New Roman" w:eastAsia="宋体" w:cs="Times New Roman"/>
                      <w:color w:val="FF0000"/>
                      <w:sz w:val="21"/>
                      <w:szCs w:val="21"/>
                    </w:rPr>
                    <w:t>/h)</w:t>
                  </w:r>
                </w:p>
              </w:tc>
              <w:tc>
                <w:tcPr>
                  <w:tcW w:w="405" w:type="pct"/>
                  <w:tcBorders>
                    <w:right w:val="nil"/>
                  </w:tcBorders>
                  <w:vAlign w:val="center"/>
                </w:tcPr>
                <w:p>
                  <w:pPr>
                    <w:pStyle w:val="42"/>
                    <w:jc w:val="center"/>
                    <w:rPr>
                      <w:rFonts w:ascii="Times New Roman" w:eastAsia="宋体" w:cs="Times New Roman"/>
                      <w:color w:val="FF0000"/>
                      <w:sz w:val="21"/>
                      <w:szCs w:val="21"/>
                    </w:rPr>
                  </w:pPr>
                  <w:r>
                    <w:rPr>
                      <w:rFonts w:ascii="Times New Roman" w:eastAsia="宋体" w:cs="Times New Roman"/>
                      <w:color w:val="FF0000"/>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widowControl/>
                    <w:jc w:val="center"/>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熔炼</w:t>
                  </w:r>
                </w:p>
              </w:tc>
              <w:tc>
                <w:tcPr>
                  <w:tcW w:w="2346" w:type="pct"/>
                  <w:vAlign w:val="center"/>
                </w:tcPr>
                <w:p>
                  <w:pPr>
                    <w:widowControl/>
                    <w:jc w:val="center"/>
                    <w:textAlignment w:val="center"/>
                    <w:rPr>
                      <w:rFonts w:hint="default"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2.2</w:t>
                  </w:r>
                  <w:r>
                    <w:rPr>
                      <w:rFonts w:hint="eastAsia" w:ascii="Times New Roman" w:hAnsi="Times New Roman" w:eastAsia="宋体" w:cs="Times New Roman"/>
                      <w:color w:val="FF0000"/>
                      <w:szCs w:val="21"/>
                    </w:rPr>
                    <w:t>×</w:t>
                  </w:r>
                  <w:r>
                    <w:rPr>
                      <w:rFonts w:hint="eastAsia" w:ascii="Times New Roman" w:hAnsi="Times New Roman" w:eastAsia="宋体" w:cs="Times New Roman"/>
                      <w:color w:val="FF0000"/>
                      <w:szCs w:val="21"/>
                      <w:lang w:val="en-US" w:eastAsia="zh-CN"/>
                    </w:rPr>
                    <w:t>0.8</w:t>
                  </w:r>
                </w:p>
              </w:tc>
              <w:tc>
                <w:tcPr>
                  <w:tcW w:w="751" w:type="pct"/>
                  <w:vAlign w:val="center"/>
                </w:tcPr>
                <w:p>
                  <w:pPr>
                    <w:widowControl/>
                    <w:jc w:val="center"/>
                    <w:textAlignment w:val="center"/>
                    <w:rPr>
                      <w:rFonts w:ascii="Times New Roman" w:hAnsi="Times New Roman" w:eastAsia="宋体" w:cs="Times New Roman"/>
                      <w:color w:val="FF0000"/>
                      <w:kern w:val="2"/>
                      <w:sz w:val="21"/>
                      <w:szCs w:val="21"/>
                      <w:lang w:val="en-US" w:eastAsia="zh-CN" w:bidi="ar-SA"/>
                    </w:rPr>
                  </w:pPr>
                  <w:r>
                    <w:rPr>
                      <w:rFonts w:hint="eastAsia"/>
                      <w:color w:val="FF0000"/>
                      <w:szCs w:val="21"/>
                    </w:rPr>
                    <w:t>0.8</w:t>
                  </w:r>
                </w:p>
              </w:tc>
              <w:tc>
                <w:tcPr>
                  <w:tcW w:w="966" w:type="pct"/>
                  <w:vAlign w:val="center"/>
                </w:tcPr>
                <w:p>
                  <w:pPr>
                    <w:widowControl/>
                    <w:jc w:val="center"/>
                    <w:textAlignment w:val="center"/>
                    <w:rPr>
                      <w:rFonts w:hint="default"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5068.8</w:t>
                  </w:r>
                </w:p>
              </w:tc>
              <w:tc>
                <w:tcPr>
                  <w:tcW w:w="405" w:type="pct"/>
                  <w:tcBorders>
                    <w:right w:val="nil"/>
                  </w:tcBorders>
                  <w:vAlign w:val="center"/>
                </w:tcPr>
                <w:p>
                  <w:pPr>
                    <w:widowControl/>
                    <w:jc w:val="center"/>
                    <w:textAlignment w:val="center"/>
                    <w:rPr>
                      <w:rFonts w:ascii="Times New Roman" w:hAnsi="Times New Roman" w:eastAsia="宋体" w:cs="Times New Roman"/>
                      <w:color w:val="FF0000"/>
                      <w:kern w:val="2"/>
                      <w:sz w:val="21"/>
                      <w:szCs w:val="21"/>
                      <w:lang w:val="en-US" w:eastAsia="zh-CN" w:bidi="ar-SA"/>
                    </w:rPr>
                  </w:pPr>
                  <w:r>
                    <w:rPr>
                      <w:color w:val="FF0000"/>
                      <w:szCs w:val="21"/>
                    </w:rPr>
                    <w:t>1</w:t>
                  </w:r>
                </w:p>
              </w:tc>
            </w:tr>
          </w:tbl>
          <w:p>
            <w:pPr>
              <w:adjustRightInd w:val="0"/>
              <w:snapToGrid w:val="0"/>
              <w:spacing w:line="480" w:lineRule="exact"/>
              <w:ind w:firstLine="480" w:firstLineChars="200"/>
              <w:rPr>
                <w:color w:val="FF0000"/>
                <w:sz w:val="24"/>
              </w:rPr>
            </w:pPr>
            <w:r>
              <w:rPr>
                <w:rFonts w:hint="eastAsia"/>
                <w:bCs/>
                <w:color w:val="FF0000"/>
                <w:sz w:val="24"/>
              </w:rPr>
              <w:t>据此核算，所需风量为</w:t>
            </w:r>
            <w:r>
              <w:rPr>
                <w:rFonts w:hint="eastAsia"/>
                <w:bCs/>
                <w:color w:val="FF0000"/>
                <w:sz w:val="24"/>
                <w:lang w:val="en-US" w:eastAsia="zh-CN"/>
              </w:rPr>
              <w:t>6336</w:t>
            </w:r>
            <w:r>
              <w:rPr>
                <w:bCs/>
                <w:color w:val="FF0000"/>
                <w:sz w:val="24"/>
              </w:rPr>
              <w:t>m</w:t>
            </w:r>
            <w:r>
              <w:rPr>
                <w:bCs/>
                <w:color w:val="FF0000"/>
                <w:sz w:val="24"/>
                <w:vertAlign w:val="superscript"/>
              </w:rPr>
              <w:t>3</w:t>
            </w:r>
            <w:r>
              <w:rPr>
                <w:bCs/>
                <w:color w:val="FF0000"/>
                <w:sz w:val="24"/>
              </w:rPr>
              <w:t>/h</w:t>
            </w:r>
            <w:r>
              <w:rPr>
                <w:rFonts w:hint="eastAsia"/>
                <w:bCs/>
                <w:color w:val="FF0000"/>
                <w:sz w:val="24"/>
              </w:rPr>
              <w:t>，</w:t>
            </w:r>
            <w:r>
              <w:rPr>
                <w:bCs/>
                <w:color w:val="FF0000"/>
                <w:sz w:val="24"/>
              </w:rPr>
              <w:t>风机设计风量</w:t>
            </w:r>
            <w:r>
              <w:rPr>
                <w:rFonts w:hint="eastAsia"/>
                <w:bCs/>
                <w:color w:val="FF0000"/>
                <w:sz w:val="24"/>
              </w:rPr>
              <w:t>为</w:t>
            </w:r>
            <w:r>
              <w:rPr>
                <w:rFonts w:hint="eastAsia"/>
                <w:color w:val="FF0000"/>
                <w:kern w:val="0"/>
                <w:sz w:val="24"/>
                <w:lang w:eastAsia="zh-CN" w:bidi="ar"/>
              </w:rPr>
              <w:t>6500</w:t>
            </w:r>
            <w:r>
              <w:rPr>
                <w:bCs/>
                <w:color w:val="FF0000"/>
                <w:sz w:val="24"/>
              </w:rPr>
              <w:t>m</w:t>
            </w:r>
            <w:r>
              <w:rPr>
                <w:bCs/>
                <w:color w:val="FF0000"/>
                <w:sz w:val="24"/>
                <w:vertAlign w:val="superscript"/>
              </w:rPr>
              <w:t>3</w:t>
            </w:r>
            <w:r>
              <w:rPr>
                <w:bCs/>
                <w:color w:val="FF0000"/>
                <w:sz w:val="24"/>
              </w:rPr>
              <w:t>/h</w:t>
            </w:r>
            <w:r>
              <w:rPr>
                <w:rFonts w:hint="eastAsia"/>
                <w:bCs/>
                <w:color w:val="FF0000"/>
                <w:sz w:val="24"/>
              </w:rPr>
              <w:t>，</w:t>
            </w:r>
            <w:r>
              <w:rPr>
                <w:rFonts w:hint="eastAsia"/>
                <w:color w:val="FF0000"/>
                <w:sz w:val="24"/>
              </w:rPr>
              <w:t>可满足生产需求。</w:t>
            </w:r>
          </w:p>
          <w:p>
            <w:pPr>
              <w:widowControl/>
              <w:autoSpaceDE w:val="0"/>
              <w:autoSpaceDN w:val="0"/>
              <w:adjustRightInd w:val="0"/>
              <w:spacing w:line="500" w:lineRule="exact"/>
              <w:ind w:firstLine="480" w:firstLineChars="200"/>
              <w:rPr>
                <w:color w:val="auto"/>
                <w:sz w:val="24"/>
              </w:rPr>
            </w:pPr>
            <w:r>
              <w:rPr>
                <w:rFonts w:hint="eastAsia"/>
                <w:color w:val="FF0000"/>
                <w:sz w:val="24"/>
              </w:rPr>
              <w:t>熔炼工序年运行</w:t>
            </w:r>
            <w:r>
              <w:rPr>
                <w:rFonts w:hint="eastAsia"/>
                <w:color w:val="FF0000"/>
                <w:sz w:val="24"/>
                <w:lang w:val="en-US" w:eastAsia="zh-CN"/>
              </w:rPr>
              <w:t>2350</w:t>
            </w:r>
            <w:r>
              <w:rPr>
                <w:rFonts w:hint="eastAsia"/>
                <w:color w:val="FF0000"/>
                <w:sz w:val="24"/>
              </w:rPr>
              <w:t>h，</w:t>
            </w:r>
            <w:r>
              <w:rPr>
                <w:rFonts w:hint="eastAsia"/>
                <w:color w:val="auto"/>
                <w:sz w:val="24"/>
              </w:rPr>
              <w:t>集气罩废气捕集效率为95%；脉冲布袋除尘器处理效率为99%。</w:t>
            </w:r>
          </w:p>
          <w:p>
            <w:pPr>
              <w:pStyle w:val="42"/>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w:t>
            </w:r>
            <w:r>
              <w:rPr>
                <w:rFonts w:hint="eastAsia" w:ascii="Times New Roman" w:eastAsia="宋体" w:cs="Times New Roman"/>
                <w:b/>
                <w:bCs/>
                <w:color w:val="auto"/>
                <w:lang w:val="en-US" w:eastAsia="zh-CN"/>
              </w:rPr>
              <w:t>2</w:t>
            </w:r>
            <w:r>
              <w:rPr>
                <w:rFonts w:hint="eastAsia" w:ascii="Times New Roman" w:eastAsia="宋体" w:cs="Times New Roman"/>
                <w:b/>
                <w:bCs/>
                <w:color w:val="auto"/>
              </w:rPr>
              <w:t xml:space="preserve">    颗粒物产排情况一览表</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工序</w:t>
                  </w:r>
                </w:p>
              </w:tc>
              <w:tc>
                <w:tcPr>
                  <w:tcW w:w="826"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产生量（t/a）</w:t>
                  </w:r>
                </w:p>
              </w:tc>
              <w:tc>
                <w:tcPr>
                  <w:tcW w:w="1592"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引入脉冲布袋除尘器量（t/a）</w:t>
                  </w:r>
                </w:p>
              </w:tc>
              <w:tc>
                <w:tcPr>
                  <w:tcW w:w="1233"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未被捕集量（t/a）</w:t>
                  </w:r>
                </w:p>
              </w:tc>
              <w:tc>
                <w:tcPr>
                  <w:tcW w:w="1233"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处理后排放量（t/a）</w:t>
                  </w:r>
                </w:p>
              </w:tc>
              <w:tc>
                <w:tcPr>
                  <w:tcW w:w="1233"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年运行时间（h/a）</w:t>
                  </w:r>
                </w:p>
              </w:tc>
              <w:tc>
                <w:tcPr>
                  <w:tcW w:w="931" w:type="dxa"/>
                  <w:tcBorders>
                    <w:right w:val="nil"/>
                  </w:tcBorders>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tcBorders>
                    <w:left w:val="nil"/>
                  </w:tcBorders>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熔炼</w:t>
                  </w:r>
                </w:p>
              </w:tc>
              <w:tc>
                <w:tcPr>
                  <w:tcW w:w="826"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3.353</w:t>
                  </w:r>
                </w:p>
              </w:tc>
              <w:tc>
                <w:tcPr>
                  <w:tcW w:w="1592"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3.185</w:t>
                  </w:r>
                </w:p>
              </w:tc>
              <w:tc>
                <w:tcPr>
                  <w:tcW w:w="1233"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0.168</w:t>
                  </w:r>
                </w:p>
              </w:tc>
              <w:tc>
                <w:tcPr>
                  <w:tcW w:w="1233" w:type="dxa"/>
                  <w:vAlign w:val="center"/>
                </w:tcPr>
                <w:p>
                  <w:pPr>
                    <w:widowControl/>
                    <w:jc w:val="center"/>
                    <w:textAlignment w:val="center"/>
                    <w:rPr>
                      <w:rFonts w:hint="default" w:eastAsia="宋体"/>
                      <w:color w:val="auto"/>
                      <w:szCs w:val="21"/>
                      <w:lang w:val="en-US" w:eastAsia="zh-CN"/>
                    </w:rPr>
                  </w:pPr>
                  <w:r>
                    <w:rPr>
                      <w:rFonts w:hint="eastAsia"/>
                      <w:color w:val="auto"/>
                      <w:szCs w:val="21"/>
                    </w:rPr>
                    <w:t>0.0</w:t>
                  </w:r>
                  <w:r>
                    <w:rPr>
                      <w:rFonts w:hint="eastAsia"/>
                      <w:color w:val="auto"/>
                      <w:szCs w:val="21"/>
                      <w:lang w:val="en-US" w:eastAsia="zh-CN"/>
                    </w:rPr>
                    <w:t>32</w:t>
                  </w:r>
                </w:p>
              </w:tc>
              <w:tc>
                <w:tcPr>
                  <w:tcW w:w="1233" w:type="dxa"/>
                  <w:vAlign w:val="center"/>
                </w:tcPr>
                <w:p>
                  <w:pPr>
                    <w:widowControl/>
                    <w:jc w:val="center"/>
                    <w:textAlignment w:val="center"/>
                    <w:rPr>
                      <w:rFonts w:hint="default" w:eastAsia="宋体"/>
                      <w:color w:val="FF0000"/>
                      <w:szCs w:val="21"/>
                      <w:lang w:val="en-US" w:eastAsia="zh-CN"/>
                    </w:rPr>
                  </w:pPr>
                  <w:r>
                    <w:rPr>
                      <w:rFonts w:hint="eastAsia"/>
                      <w:color w:val="FF0000"/>
                      <w:szCs w:val="21"/>
                      <w:lang w:val="en-US" w:eastAsia="zh-CN"/>
                    </w:rPr>
                    <w:t>2350</w:t>
                  </w:r>
                </w:p>
              </w:tc>
              <w:tc>
                <w:tcPr>
                  <w:tcW w:w="931" w:type="dxa"/>
                  <w:tcBorders>
                    <w:right w:val="nil"/>
                  </w:tcBorders>
                  <w:vAlign w:val="center"/>
                </w:tcPr>
                <w:p>
                  <w:pPr>
                    <w:widowControl/>
                    <w:jc w:val="center"/>
                    <w:textAlignment w:val="center"/>
                    <w:rPr>
                      <w:rFonts w:hint="default" w:eastAsia="宋体"/>
                      <w:color w:val="FF0000"/>
                      <w:szCs w:val="21"/>
                      <w:lang w:val="en-US" w:eastAsia="zh-CN"/>
                    </w:rPr>
                  </w:pPr>
                  <w:r>
                    <w:rPr>
                      <w:rFonts w:hint="eastAsia"/>
                      <w:color w:val="FF0000"/>
                      <w:szCs w:val="21"/>
                      <w:lang w:val="en-US" w:eastAsia="zh-CN"/>
                    </w:rPr>
                    <w:t>0.014</w:t>
                  </w:r>
                </w:p>
              </w:tc>
            </w:tr>
          </w:tbl>
          <w:p>
            <w:pPr>
              <w:widowControl/>
              <w:autoSpaceDE w:val="0"/>
              <w:autoSpaceDN w:val="0"/>
              <w:adjustRightInd w:val="0"/>
              <w:spacing w:line="500" w:lineRule="exact"/>
              <w:ind w:firstLine="480" w:firstLineChars="200"/>
              <w:rPr>
                <w:color w:val="auto"/>
                <w:sz w:val="24"/>
              </w:rPr>
            </w:pPr>
            <w:r>
              <w:rPr>
                <w:rFonts w:hint="eastAsia"/>
                <w:color w:val="auto"/>
                <w:sz w:val="24"/>
              </w:rPr>
              <w:t>经分析，项目颗粒物排放速率为0.0</w:t>
            </w:r>
            <w:r>
              <w:rPr>
                <w:rFonts w:hint="eastAsia"/>
                <w:color w:val="auto"/>
                <w:sz w:val="24"/>
                <w:lang w:val="en-US" w:eastAsia="zh-CN"/>
              </w:rPr>
              <w:t>14</w:t>
            </w:r>
            <w:r>
              <w:rPr>
                <w:rFonts w:hint="eastAsia"/>
                <w:color w:val="auto"/>
                <w:sz w:val="24"/>
              </w:rPr>
              <w:t>kg/h，</w:t>
            </w:r>
            <w:r>
              <w:rPr>
                <w:rFonts w:hint="eastAsia"/>
                <w:color w:val="FF0000"/>
                <w:sz w:val="24"/>
              </w:rPr>
              <w:t>颗粒物排放浓度为</w:t>
            </w:r>
            <w:r>
              <w:rPr>
                <w:rFonts w:hint="eastAsia"/>
                <w:color w:val="FF0000"/>
                <w:sz w:val="24"/>
                <w:lang w:val="en-US" w:eastAsia="zh-CN"/>
              </w:rPr>
              <w:t>2.154</w:t>
            </w:r>
            <w:r>
              <w:rPr>
                <w:rFonts w:hint="eastAsia"/>
                <w:snapToGrid w:val="0"/>
                <w:color w:val="FF0000"/>
                <w:kern w:val="0"/>
                <w:sz w:val="24"/>
              </w:rPr>
              <w:t>mg/m</w:t>
            </w:r>
            <w:r>
              <w:rPr>
                <w:rFonts w:hint="eastAsia"/>
                <w:snapToGrid w:val="0"/>
                <w:color w:val="FF0000"/>
                <w:kern w:val="0"/>
                <w:sz w:val="24"/>
                <w:vertAlign w:val="superscript"/>
              </w:rPr>
              <w:t>3</w:t>
            </w:r>
            <w:r>
              <w:rPr>
                <w:rFonts w:hint="eastAsia"/>
                <w:snapToGrid w:val="0"/>
                <w:color w:val="FF0000"/>
                <w:kern w:val="0"/>
                <w:sz w:val="24"/>
              </w:rPr>
              <w:t>，</w:t>
            </w:r>
            <w:r>
              <w:rPr>
                <w:rFonts w:hint="eastAsia"/>
                <w:color w:val="auto"/>
                <w:sz w:val="24"/>
              </w:rPr>
              <w:t>有组织颗粒物排放</w:t>
            </w:r>
            <w:r>
              <w:rPr>
                <w:color w:val="auto"/>
                <w:sz w:val="24"/>
              </w:rPr>
              <w:t>满足</w:t>
            </w:r>
            <w:r>
              <w:rPr>
                <w:bCs/>
                <w:color w:val="auto"/>
                <w:sz w:val="24"/>
              </w:rPr>
              <w:t>《铸造工业大气污染物排放标准》（GB 39726—2020）表1/《唐山市大气污染防治工作领导小组</w:t>
            </w:r>
            <w:r>
              <w:rPr>
                <w:rFonts w:hint="eastAsia"/>
                <w:bCs/>
                <w:color w:val="auto"/>
                <w:sz w:val="24"/>
                <w:lang w:eastAsia="zh-CN"/>
              </w:rPr>
              <w:t>办公楼</w:t>
            </w:r>
            <w:r>
              <w:rPr>
                <w:bCs/>
                <w:color w:val="auto"/>
                <w:sz w:val="24"/>
              </w:rPr>
              <w:t>&lt;唐山市钢铁行业整治提升工作方案&gt;等10项方案的通知》（唐气领办〔2021〕15号）中附件9《唐山市铸造行业整治提升工作方案》相关标准要求</w:t>
            </w:r>
            <w:r>
              <w:rPr>
                <w:color w:val="auto"/>
                <w:sz w:val="24"/>
              </w:rPr>
              <w:t>：10mg/m</w:t>
            </w:r>
            <w:r>
              <w:rPr>
                <w:color w:val="auto"/>
                <w:sz w:val="24"/>
                <w:vertAlign w:val="superscript"/>
              </w:rPr>
              <w:t>3</w:t>
            </w:r>
            <w:r>
              <w:rPr>
                <w:color w:val="auto"/>
                <w:sz w:val="24"/>
              </w:rPr>
              <w:t>。</w:t>
            </w:r>
          </w:p>
          <w:p>
            <w:pPr>
              <w:spacing w:line="480" w:lineRule="exact"/>
              <w:ind w:firstLine="480" w:firstLineChars="200"/>
              <w:rPr>
                <w:sz w:val="24"/>
                <w:highlight w:val="none"/>
              </w:rPr>
            </w:pPr>
            <w:r>
              <w:rPr>
                <w:rFonts w:hint="eastAsia"/>
                <w:sz w:val="24"/>
              </w:rPr>
              <w:t>②浇注、打磨工</w:t>
            </w:r>
            <w:r>
              <w:rPr>
                <w:rFonts w:hint="eastAsia"/>
                <w:sz w:val="24"/>
                <w:highlight w:val="none"/>
              </w:rPr>
              <w:t>序以及顶吸废气</w:t>
            </w:r>
          </w:p>
          <w:p>
            <w:pPr>
              <w:spacing w:line="480" w:lineRule="exact"/>
              <w:ind w:firstLine="480" w:firstLineChars="200"/>
              <w:rPr>
                <w:sz w:val="24"/>
              </w:rPr>
            </w:pPr>
            <w:r>
              <w:rPr>
                <w:rFonts w:hint="eastAsia"/>
                <w:sz w:val="24"/>
              </w:rPr>
              <w:t>根据《排放源统计调查产排污核算方法和系数手册》黑色金属铸造行业浇注工序颗粒物产污系数0.56</w:t>
            </w:r>
            <w:r>
              <w:rPr>
                <w:sz w:val="24"/>
              </w:rPr>
              <w:t>kg/t-</w:t>
            </w:r>
            <w:r>
              <w:rPr>
                <w:rFonts w:hint="eastAsia"/>
                <w:sz w:val="24"/>
              </w:rPr>
              <w:t>产品，项目每年生产铸件</w:t>
            </w:r>
            <w:r>
              <w:rPr>
                <w:rFonts w:hint="eastAsia"/>
                <w:sz w:val="24"/>
                <w:lang w:val="en-US" w:eastAsia="zh-CN"/>
              </w:rPr>
              <w:t>70</w:t>
            </w:r>
            <w:r>
              <w:rPr>
                <w:sz w:val="24"/>
              </w:rPr>
              <w:t>00t</w:t>
            </w:r>
            <w:r>
              <w:rPr>
                <w:rFonts w:hint="eastAsia"/>
                <w:sz w:val="24"/>
              </w:rPr>
              <w:t>，则颗粒物产生量3.</w:t>
            </w:r>
            <w:r>
              <w:rPr>
                <w:rFonts w:hint="eastAsia"/>
                <w:sz w:val="24"/>
                <w:lang w:val="en-US" w:eastAsia="zh-CN"/>
              </w:rPr>
              <w:t>92</w:t>
            </w:r>
            <w:r>
              <w:rPr>
                <w:sz w:val="24"/>
              </w:rPr>
              <w:t>t/a</w:t>
            </w:r>
            <w:r>
              <w:rPr>
                <w:rFonts w:hint="eastAsia"/>
                <w:sz w:val="24"/>
              </w:rPr>
              <w:t>。</w:t>
            </w:r>
          </w:p>
          <w:p>
            <w:pPr>
              <w:spacing w:line="480" w:lineRule="exact"/>
              <w:ind w:firstLine="480" w:firstLineChars="200"/>
              <w:rPr>
                <w:color w:val="auto"/>
                <w:sz w:val="24"/>
                <w:highlight w:val="none"/>
              </w:rPr>
            </w:pPr>
            <w:r>
              <w:rPr>
                <w:rFonts w:hint="eastAsia"/>
                <w:color w:val="auto"/>
                <w:sz w:val="24"/>
              </w:rPr>
              <w:t>参照</w:t>
            </w:r>
            <w:r>
              <w:rPr>
                <w:color w:val="auto"/>
                <w:sz w:val="24"/>
              </w:rPr>
              <w:t>《排放源统计调查产排污核算方法和系数手册》</w:t>
            </w:r>
            <w:r>
              <w:rPr>
                <w:rFonts w:hint="eastAsia"/>
                <w:color w:val="auto"/>
                <w:sz w:val="24"/>
              </w:rPr>
              <w:t>黑色金属铸造行业</w:t>
            </w:r>
            <w:r>
              <w:rPr>
                <w:color w:val="auto"/>
                <w:sz w:val="24"/>
              </w:rPr>
              <w:t>抛丸工序颗粒物产污系</w:t>
            </w:r>
            <w:r>
              <w:rPr>
                <w:sz w:val="24"/>
              </w:rPr>
              <w:t>数为2.19kg/t-产品，需</w:t>
            </w:r>
            <w:r>
              <w:rPr>
                <w:rFonts w:hint="eastAsia"/>
                <w:sz w:val="24"/>
              </w:rPr>
              <w:t>打磨</w:t>
            </w:r>
            <w:r>
              <w:rPr>
                <w:sz w:val="24"/>
              </w:rPr>
              <w:t>工件按</w:t>
            </w:r>
            <w:r>
              <w:rPr>
                <w:rFonts w:hint="eastAsia"/>
                <w:sz w:val="24"/>
                <w:lang w:eastAsia="zh-CN"/>
              </w:rPr>
              <w:t>7000</w:t>
            </w:r>
            <w:r>
              <w:rPr>
                <w:sz w:val="24"/>
              </w:rPr>
              <w:t>t/a计算，则颗粒物产生量为</w:t>
            </w:r>
            <w:r>
              <w:rPr>
                <w:rFonts w:hint="eastAsia"/>
                <w:sz w:val="24"/>
                <w:lang w:val="en-US" w:eastAsia="zh-CN"/>
              </w:rPr>
              <w:t>15.33</w:t>
            </w:r>
            <w:r>
              <w:rPr>
                <w:sz w:val="24"/>
              </w:rPr>
              <w:t>t/a</w:t>
            </w:r>
            <w:r>
              <w:rPr>
                <w:rFonts w:hint="eastAsia"/>
                <w:sz w:val="24"/>
              </w:rPr>
              <w:t>。</w:t>
            </w:r>
          </w:p>
          <w:p>
            <w:pPr>
              <w:spacing w:line="480" w:lineRule="exact"/>
              <w:ind w:firstLine="480" w:firstLineChars="200"/>
              <w:rPr>
                <w:color w:val="auto"/>
                <w:highlight w:val="none"/>
              </w:rPr>
            </w:pPr>
            <w:r>
              <w:rPr>
                <w:rFonts w:hint="eastAsia"/>
                <w:color w:val="auto"/>
                <w:sz w:val="24"/>
                <w:highlight w:val="none"/>
                <w:lang w:val="en-US" w:eastAsia="zh-CN"/>
              </w:rPr>
              <w:t>车间</w:t>
            </w:r>
            <w:r>
              <w:rPr>
                <w:rFonts w:hint="eastAsia"/>
                <w:color w:val="auto"/>
                <w:sz w:val="24"/>
                <w:highlight w:val="none"/>
              </w:rPr>
              <w:t>未被收集的粉尘通过车间顶吸进入二次除尘装置。</w:t>
            </w:r>
          </w:p>
          <w:p>
            <w:pPr>
              <w:adjustRightInd w:val="0"/>
              <w:snapToGrid w:val="0"/>
              <w:spacing w:line="480" w:lineRule="exact"/>
              <w:ind w:firstLine="480" w:firstLineChars="200"/>
              <w:rPr>
                <w:color w:val="auto"/>
                <w:kern w:val="0"/>
                <w:sz w:val="24"/>
                <w:highlight w:val="none"/>
              </w:rPr>
            </w:pPr>
            <w:r>
              <w:rPr>
                <w:rFonts w:hint="eastAsia"/>
                <w:color w:val="auto"/>
                <w:sz w:val="24"/>
                <w:highlight w:val="none"/>
              </w:rPr>
              <w:t>上述废气颗粒物经各自集气装置收集后进入同1套袋式除尘器（覆膜）处理后经</w:t>
            </w:r>
            <w:r>
              <w:rPr>
                <w:color w:val="auto"/>
                <w:sz w:val="24"/>
                <w:highlight w:val="none"/>
              </w:rPr>
              <w:t>15m</w:t>
            </w:r>
            <w:r>
              <w:rPr>
                <w:rFonts w:hint="eastAsia"/>
                <w:color w:val="auto"/>
                <w:sz w:val="24"/>
                <w:highlight w:val="none"/>
              </w:rPr>
              <w:t>高排气筒排放，各工序集气管道设置分控阀门，风机采用变频风机。</w:t>
            </w:r>
          </w:p>
          <w:p>
            <w:pPr>
              <w:pStyle w:val="15"/>
              <w:spacing w:line="460" w:lineRule="exact"/>
              <w:ind w:firstLine="480" w:firstLineChars="200"/>
              <w:rPr>
                <w:rFonts w:hint="default" w:ascii="Times New Roman" w:hAnsi="Times New Roman" w:cs="Times New Roman"/>
                <w:color w:val="FF0000"/>
                <w:kern w:val="0"/>
                <w:sz w:val="24"/>
                <w:highlight w:val="none"/>
              </w:rPr>
            </w:pPr>
            <w:r>
              <w:rPr>
                <w:rFonts w:hint="default" w:ascii="Times New Roman" w:hAnsi="Times New Roman" w:cs="Times New Roman"/>
                <w:color w:val="FF0000"/>
                <w:sz w:val="24"/>
                <w:highlight w:val="none"/>
              </w:rPr>
              <w:t>集气罩上吸风量</w:t>
            </w:r>
            <w:r>
              <w:rPr>
                <w:rFonts w:hint="default" w:ascii="Times New Roman" w:hAnsi="Times New Roman" w:cs="Times New Roman"/>
                <w:color w:val="FF0000"/>
                <w:kern w:val="0"/>
                <w:sz w:val="24"/>
                <w:highlight w:val="none"/>
              </w:rPr>
              <w:t>的计算公式：</w:t>
            </w:r>
          </w:p>
          <w:p>
            <w:pPr>
              <w:adjustRightInd w:val="0"/>
              <w:snapToGrid w:val="0"/>
              <w:spacing w:line="480" w:lineRule="exact"/>
              <w:ind w:firstLine="2640" w:firstLineChars="1100"/>
              <w:rPr>
                <w:rFonts w:hint="eastAsia" w:ascii="Times New Roman" w:hAnsi="Times New Roman" w:eastAsia="宋体" w:cs="Times New Roman"/>
                <w:color w:val="FF0000"/>
                <w:kern w:val="0"/>
                <w:sz w:val="24"/>
                <w:highlight w:val="none"/>
                <w:lang w:eastAsia="zh-CN"/>
              </w:rPr>
            </w:pPr>
            <w:r>
              <w:rPr>
                <w:rFonts w:hint="default" w:ascii="Times New Roman" w:hAnsi="Times New Roman" w:cs="Times New Roman"/>
                <w:color w:val="FF0000"/>
                <w:sz w:val="24"/>
                <w:highlight w:val="none"/>
              </w:rPr>
              <w:t>Q=3600</w:t>
            </w:r>
            <w:r>
              <w:rPr>
                <w:rFonts w:hint="eastAsia" w:ascii="Times New Roman" w:hAnsi="Times New Roman" w:cs="Times New Roman"/>
                <w:color w:val="FF0000"/>
                <w:sz w:val="24"/>
                <w:highlight w:val="none"/>
                <w:lang w:val="en-US" w:eastAsia="zh-CN"/>
              </w:rPr>
              <w:t>A</w:t>
            </w:r>
            <w:r>
              <w:rPr>
                <w:rFonts w:hint="default" w:ascii="Times New Roman" w:hAnsi="Times New Roman" w:cs="Times New Roman"/>
                <w:color w:val="FF0000"/>
                <w:sz w:val="24"/>
                <w:highlight w:val="none"/>
              </w:rPr>
              <w:t>V</w:t>
            </w:r>
            <w:r>
              <w:rPr>
                <w:rFonts w:hint="default" w:ascii="Times New Roman" w:hAnsi="Times New Roman" w:cs="Times New Roman"/>
                <w:color w:val="FF0000"/>
                <w:sz w:val="24"/>
                <w:highlight w:val="none"/>
                <w:vertAlign w:val="subscript"/>
              </w:rPr>
              <w:t xml:space="preserve"> p</w:t>
            </w:r>
            <w:r>
              <w:rPr>
                <w:rFonts w:hint="eastAsia" w:ascii="Times New Roman" w:hAnsi="Times New Roman" w:cs="Times New Roman"/>
                <w:color w:val="FF0000"/>
                <w:sz w:val="24"/>
                <w:highlight w:val="none"/>
                <w:vertAlign w:val="subscript"/>
                <w:lang w:val="en-US" w:eastAsia="zh-CN"/>
              </w:rPr>
              <w:t>1</w:t>
            </w:r>
          </w:p>
          <w:p>
            <w:pPr>
              <w:adjustRightInd w:val="0"/>
              <w:snapToGrid w:val="0"/>
              <w:spacing w:line="480" w:lineRule="exact"/>
              <w:ind w:firstLine="480" w:firstLineChars="20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式中：Q：吸风量m</w:t>
            </w:r>
            <w:r>
              <w:rPr>
                <w:rFonts w:hint="default" w:ascii="Times New Roman" w:hAnsi="Times New Roman" w:cs="Times New Roman"/>
                <w:color w:val="FF0000"/>
                <w:kern w:val="0"/>
                <w:sz w:val="24"/>
                <w:highlight w:val="none"/>
                <w:vertAlign w:val="superscript"/>
              </w:rPr>
              <w:t>3</w:t>
            </w:r>
            <w:r>
              <w:rPr>
                <w:rFonts w:hint="default" w:ascii="Times New Roman" w:hAnsi="Times New Roman" w:cs="Times New Roman"/>
                <w:color w:val="FF0000"/>
                <w:kern w:val="0"/>
                <w:sz w:val="24"/>
                <w:highlight w:val="none"/>
              </w:rPr>
              <w:t>/h；</w:t>
            </w:r>
          </w:p>
          <w:p>
            <w:pPr>
              <w:adjustRightInd w:val="0"/>
              <w:snapToGrid w:val="0"/>
              <w:spacing w:line="480" w:lineRule="exact"/>
              <w:ind w:firstLine="1200" w:firstLineChars="500"/>
              <w:rPr>
                <w:rFonts w:hint="default" w:ascii="Times New Roman" w:hAnsi="Times New Roman" w:cs="Times New Roman"/>
                <w:color w:val="FF0000"/>
                <w:kern w:val="0"/>
                <w:sz w:val="24"/>
                <w:highlight w:val="none"/>
              </w:rPr>
            </w:pPr>
            <w:r>
              <w:rPr>
                <w:rFonts w:hint="eastAsia" w:ascii="Times New Roman" w:hAnsi="Times New Roman" w:eastAsia="宋体" w:cs="Times New Roman"/>
                <w:color w:val="FF0000"/>
                <w:kern w:val="0"/>
                <w:sz w:val="24"/>
                <w:szCs w:val="24"/>
                <w:highlight w:val="none"/>
                <w:lang w:val="en-US" w:eastAsia="zh-CN"/>
              </w:rPr>
              <w:t>A</w:t>
            </w:r>
            <w:r>
              <w:rPr>
                <w:rFonts w:hint="default" w:ascii="Times New Roman" w:hAnsi="Times New Roman" w:eastAsia="宋体" w:cs="Times New Roman"/>
                <w:color w:val="FF0000"/>
                <w:kern w:val="0"/>
                <w:sz w:val="24"/>
                <w:szCs w:val="24"/>
                <w:highlight w:val="none"/>
              </w:rPr>
              <w:t>：罩口</w:t>
            </w:r>
            <w:r>
              <w:rPr>
                <w:rFonts w:hint="eastAsia" w:ascii="Times New Roman" w:hAnsi="Times New Roman" w:eastAsia="宋体" w:cs="Times New Roman"/>
                <w:color w:val="FF0000"/>
                <w:kern w:val="0"/>
                <w:sz w:val="24"/>
                <w:szCs w:val="24"/>
                <w:highlight w:val="none"/>
                <w:lang w:eastAsia="zh-CN"/>
              </w:rPr>
              <w:t>面积</w:t>
            </w:r>
            <w:r>
              <w:rPr>
                <w:rFonts w:hint="default" w:ascii="Times New Roman" w:hAnsi="Times New Roman" w:eastAsia="宋体" w:cs="Times New Roman"/>
                <w:color w:val="FF0000"/>
                <w:kern w:val="0"/>
                <w:sz w:val="24"/>
                <w:szCs w:val="24"/>
                <w:highlight w:val="none"/>
              </w:rPr>
              <w:t>，m</w:t>
            </w:r>
            <w:r>
              <w:rPr>
                <w:rFonts w:hint="default" w:ascii="Times New Roman" w:hAnsi="Times New Roman" w:eastAsia="宋体" w:cs="Times New Roman"/>
                <w:color w:val="FF0000"/>
                <w:kern w:val="0"/>
                <w:sz w:val="24"/>
                <w:szCs w:val="24"/>
                <w:highlight w:val="none"/>
                <w:vertAlign w:val="superscript"/>
              </w:rPr>
              <w:t>2</w:t>
            </w:r>
            <w:r>
              <w:rPr>
                <w:rFonts w:hint="default" w:ascii="Times New Roman" w:hAnsi="Times New Roman" w:cs="Times New Roman"/>
                <w:color w:val="FF0000"/>
                <w:sz w:val="24"/>
                <w:highlight w:val="none"/>
              </w:rPr>
              <w:t>；</w:t>
            </w:r>
          </w:p>
          <w:p>
            <w:pPr>
              <w:adjustRightInd w:val="0"/>
              <w:snapToGrid w:val="0"/>
              <w:spacing w:line="480" w:lineRule="exact"/>
              <w:ind w:firstLine="1200" w:firstLineChars="500"/>
              <w:rPr>
                <w:rFonts w:hint="default" w:ascii="Times New Roman" w:hAnsi="Times New Roman" w:cs="Times New Roman"/>
                <w:color w:val="FF0000"/>
                <w:kern w:val="0"/>
                <w:sz w:val="24"/>
                <w:highlight w:val="none"/>
              </w:rPr>
            </w:pPr>
            <w:r>
              <w:rPr>
                <w:rFonts w:hint="default" w:ascii="Times New Roman" w:hAnsi="Times New Roman" w:cs="Times New Roman"/>
                <w:color w:val="FF0000"/>
                <w:sz w:val="24"/>
                <w:highlight w:val="none"/>
              </w:rPr>
              <w:t>V</w:t>
            </w:r>
            <w:r>
              <w:rPr>
                <w:rFonts w:hint="default" w:ascii="Times New Roman" w:hAnsi="Times New Roman" w:cs="Times New Roman"/>
                <w:color w:val="FF0000"/>
                <w:sz w:val="24"/>
                <w:highlight w:val="none"/>
                <w:vertAlign w:val="subscript"/>
              </w:rPr>
              <w:t>p</w:t>
            </w:r>
            <w:r>
              <w:rPr>
                <w:rFonts w:hint="eastAsia" w:ascii="Times New Roman" w:hAnsi="Times New Roman" w:cs="Times New Roman"/>
                <w:color w:val="FF0000"/>
                <w:sz w:val="24"/>
                <w:highlight w:val="none"/>
                <w:vertAlign w:val="subscript"/>
                <w:lang w:val="en-US" w:eastAsia="zh-CN"/>
              </w:rPr>
              <w:t>1</w:t>
            </w:r>
            <w:r>
              <w:rPr>
                <w:rFonts w:hint="default" w:ascii="Times New Roman" w:hAnsi="Times New Roman" w:cs="Times New Roman"/>
                <w:color w:val="FF0000"/>
                <w:sz w:val="24"/>
                <w:highlight w:val="none"/>
              </w:rPr>
              <w:t>：罩口周边截面上的平均风速m/s</w:t>
            </w:r>
            <w:r>
              <w:rPr>
                <w:rFonts w:hint="default" w:ascii="Times New Roman" w:hAnsi="Times New Roman" w:cs="Times New Roman"/>
                <w:color w:val="FF0000"/>
                <w:kern w:val="0"/>
                <w:sz w:val="24"/>
                <w:highlight w:val="none"/>
              </w:rPr>
              <w:t>，本次取</w:t>
            </w:r>
            <w:r>
              <w:rPr>
                <w:rFonts w:hint="default" w:ascii="Times New Roman" w:hAnsi="Times New Roman" w:cs="Times New Roman"/>
                <w:color w:val="FF0000"/>
                <w:kern w:val="0"/>
                <w:sz w:val="24"/>
                <w:highlight w:val="none"/>
                <w:lang w:val="en-US" w:eastAsia="zh-CN"/>
              </w:rPr>
              <w:t>0.8</w:t>
            </w:r>
            <w:r>
              <w:rPr>
                <w:rFonts w:hint="default" w:ascii="Times New Roman" w:hAnsi="Times New Roman" w:cs="Times New Roman"/>
                <w:color w:val="FF0000"/>
                <w:kern w:val="0"/>
                <w:sz w:val="24"/>
                <w:highlight w:val="none"/>
              </w:rPr>
              <w:t>m/s，风损约10%~20%，本次取</w:t>
            </w:r>
            <w:r>
              <w:rPr>
                <w:rFonts w:hint="eastAsia" w:ascii="Times New Roman" w:hAnsi="Times New Roman" w:cs="Times New Roman"/>
                <w:color w:val="FF0000"/>
                <w:kern w:val="0"/>
                <w:sz w:val="24"/>
                <w:highlight w:val="none"/>
                <w:lang w:val="en-US" w:eastAsia="zh-CN"/>
              </w:rPr>
              <w:t>20</w:t>
            </w:r>
            <w:r>
              <w:rPr>
                <w:rFonts w:hint="default" w:ascii="Times New Roman" w:hAnsi="Times New Roman" w:cs="Times New Roman"/>
                <w:color w:val="FF0000"/>
                <w:kern w:val="0"/>
                <w:sz w:val="24"/>
                <w:highlight w:val="none"/>
              </w:rPr>
              <w:t>%。</w:t>
            </w:r>
          </w:p>
          <w:p>
            <w:pPr>
              <w:pStyle w:val="42"/>
              <w:spacing w:line="480" w:lineRule="exact"/>
              <w:jc w:val="center"/>
              <w:textAlignment w:val="auto"/>
              <w:rPr>
                <w:rFonts w:ascii="Times New Roman" w:eastAsia="宋体" w:cs="Times New Roman"/>
                <w:b/>
                <w:bCs/>
                <w:color w:val="FF0000"/>
              </w:rPr>
            </w:pPr>
            <w:r>
              <w:rPr>
                <w:rFonts w:ascii="Times New Roman" w:eastAsia="宋体" w:cs="Times New Roman"/>
                <w:b/>
                <w:bCs/>
                <w:color w:val="FF0000"/>
              </w:rPr>
              <w:t>表</w:t>
            </w:r>
            <w:r>
              <w:rPr>
                <w:rFonts w:hint="eastAsia" w:ascii="Times New Roman" w:eastAsia="宋体" w:cs="Times New Roman"/>
                <w:b/>
                <w:bCs/>
                <w:color w:val="FF0000"/>
                <w:lang w:val="en-US" w:eastAsia="zh-CN"/>
              </w:rPr>
              <w:t>33</w:t>
            </w:r>
            <w:r>
              <w:rPr>
                <w:rFonts w:hint="eastAsia" w:ascii="Times New Roman" w:eastAsia="宋体" w:cs="Times New Roman"/>
                <w:b/>
                <w:bCs/>
                <w:color w:val="FF0000"/>
              </w:rPr>
              <w:t xml:space="preserve">  集气罩上吸风口参数一览表</w:t>
            </w:r>
          </w:p>
          <w:tbl>
            <w:tblPr>
              <w:tblStyle w:val="32"/>
              <w:tblW w:w="498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81"/>
              <w:gridCol w:w="3905"/>
              <w:gridCol w:w="1250"/>
              <w:gridCol w:w="1607"/>
              <w:gridCol w:w="6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530" w:type="pct"/>
                  <w:vAlign w:val="center"/>
                </w:tcPr>
                <w:p>
                  <w:pPr>
                    <w:widowControl/>
                    <w:jc w:val="center"/>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构筑物</w:t>
                  </w:r>
                </w:p>
              </w:tc>
              <w:tc>
                <w:tcPr>
                  <w:tcW w:w="2347" w:type="pct"/>
                  <w:vAlign w:val="center"/>
                </w:tcPr>
                <w:p>
                  <w:pPr>
                    <w:widowControl/>
                    <w:jc w:val="center"/>
                    <w:textAlignment w:val="center"/>
                    <w:rPr>
                      <w:rFonts w:hint="eastAsia" w:ascii="Times New Roman" w:hAnsi="Times New Roman" w:eastAsia="宋体" w:cs="Times New Roman"/>
                      <w:color w:val="FF0000"/>
                      <w:szCs w:val="21"/>
                    </w:rPr>
                  </w:pPr>
                  <w:r>
                    <w:rPr>
                      <w:rFonts w:hint="eastAsia" w:ascii="Times New Roman" w:hAnsi="Times New Roman" w:eastAsia="宋体" w:cs="Times New Roman"/>
                      <w:color w:val="FF0000"/>
                      <w:szCs w:val="21"/>
                    </w:rPr>
                    <w:t>集气罩尺寸(m)</w:t>
                  </w:r>
                </w:p>
              </w:tc>
              <w:tc>
                <w:tcPr>
                  <w:tcW w:w="751" w:type="pct"/>
                  <w:vAlign w:val="center"/>
                </w:tcPr>
                <w:p>
                  <w:pPr>
                    <w:pStyle w:val="42"/>
                    <w:jc w:val="center"/>
                    <w:rPr>
                      <w:rFonts w:ascii="Times New Roman" w:eastAsia="宋体" w:cs="Times New Roman"/>
                      <w:color w:val="FF0000"/>
                      <w:sz w:val="21"/>
                      <w:szCs w:val="21"/>
                    </w:rPr>
                  </w:pPr>
                  <w:r>
                    <w:rPr>
                      <w:rFonts w:hint="eastAsia" w:ascii="Times New Roman" w:eastAsia="宋体" w:cs="Times New Roman"/>
                      <w:color w:val="FF0000"/>
                      <w:sz w:val="21"/>
                      <w:szCs w:val="21"/>
                    </w:rPr>
                    <w:t>风速(m/s)</w:t>
                  </w:r>
                </w:p>
              </w:tc>
              <w:tc>
                <w:tcPr>
                  <w:tcW w:w="966" w:type="pct"/>
                  <w:vAlign w:val="center"/>
                </w:tcPr>
                <w:p>
                  <w:pPr>
                    <w:pStyle w:val="42"/>
                    <w:jc w:val="center"/>
                    <w:rPr>
                      <w:rFonts w:ascii="Times New Roman" w:eastAsia="宋体" w:cs="Times New Roman"/>
                      <w:color w:val="FF0000"/>
                      <w:sz w:val="21"/>
                      <w:szCs w:val="21"/>
                    </w:rPr>
                  </w:pPr>
                  <w:r>
                    <w:rPr>
                      <w:rFonts w:ascii="Times New Roman" w:eastAsia="宋体" w:cs="Times New Roman"/>
                      <w:color w:val="FF0000"/>
                      <w:sz w:val="21"/>
                      <w:szCs w:val="21"/>
                    </w:rPr>
                    <w:t>分配风量(m</w:t>
                  </w:r>
                  <w:r>
                    <w:rPr>
                      <w:rFonts w:ascii="Times New Roman" w:eastAsia="宋体" w:cs="Times New Roman"/>
                      <w:color w:val="FF0000"/>
                      <w:sz w:val="21"/>
                      <w:szCs w:val="21"/>
                      <w:vertAlign w:val="superscript"/>
                    </w:rPr>
                    <w:t>3</w:t>
                  </w:r>
                  <w:r>
                    <w:rPr>
                      <w:rFonts w:ascii="Times New Roman" w:eastAsia="宋体" w:cs="Times New Roman"/>
                      <w:color w:val="FF0000"/>
                      <w:sz w:val="21"/>
                      <w:szCs w:val="21"/>
                    </w:rPr>
                    <w:t>/h)</w:t>
                  </w:r>
                </w:p>
              </w:tc>
              <w:tc>
                <w:tcPr>
                  <w:tcW w:w="405" w:type="pct"/>
                  <w:tcBorders>
                    <w:right w:val="nil"/>
                  </w:tcBorders>
                  <w:vAlign w:val="center"/>
                </w:tcPr>
                <w:p>
                  <w:pPr>
                    <w:pStyle w:val="42"/>
                    <w:jc w:val="center"/>
                    <w:rPr>
                      <w:rFonts w:ascii="Times New Roman" w:eastAsia="宋体" w:cs="Times New Roman"/>
                      <w:color w:val="FF0000"/>
                      <w:sz w:val="21"/>
                      <w:szCs w:val="21"/>
                    </w:rPr>
                  </w:pPr>
                  <w:r>
                    <w:rPr>
                      <w:rFonts w:ascii="Times New Roman" w:eastAsia="宋体" w:cs="Times New Roman"/>
                      <w:color w:val="FF0000"/>
                      <w:sz w:val="21"/>
                      <w:szCs w:val="21"/>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pStyle w:val="42"/>
                    <w:jc w:val="center"/>
                    <w:rPr>
                      <w:rFonts w:hint="eastAsia"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rPr>
                    <w:t>混砂</w:t>
                  </w:r>
                </w:p>
              </w:tc>
              <w:tc>
                <w:tcPr>
                  <w:tcW w:w="2347" w:type="pct"/>
                  <w:vAlign w:val="center"/>
                </w:tcPr>
                <w:p>
                  <w:pPr>
                    <w:widowControl/>
                    <w:jc w:val="center"/>
                    <w:textAlignment w:val="center"/>
                    <w:rPr>
                      <w:rFonts w:hint="default"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0.6</w:t>
                  </w:r>
                  <w:r>
                    <w:rPr>
                      <w:rFonts w:hint="eastAsia" w:ascii="Times New Roman" w:hAnsi="Times New Roman" w:eastAsia="宋体" w:cs="Times New Roman"/>
                      <w:color w:val="FF0000"/>
                      <w:szCs w:val="21"/>
                    </w:rPr>
                    <w:t>×</w:t>
                  </w:r>
                  <w:r>
                    <w:rPr>
                      <w:rFonts w:hint="eastAsia" w:ascii="Times New Roman" w:hAnsi="Times New Roman" w:eastAsia="宋体" w:cs="Times New Roman"/>
                      <w:color w:val="FF0000"/>
                      <w:szCs w:val="21"/>
                      <w:lang w:val="en-US" w:eastAsia="zh-CN"/>
                    </w:rPr>
                    <w:t>0.6</w:t>
                  </w:r>
                </w:p>
              </w:tc>
              <w:tc>
                <w:tcPr>
                  <w:tcW w:w="751" w:type="pct"/>
                  <w:vAlign w:val="center"/>
                </w:tcPr>
                <w:p>
                  <w:pPr>
                    <w:widowControl/>
                    <w:jc w:val="center"/>
                    <w:textAlignment w:val="center"/>
                    <w:rPr>
                      <w:rFonts w:ascii="Times New Roman" w:hAnsi="Times New Roman" w:eastAsia="宋体" w:cs="Times New Roman"/>
                      <w:color w:val="FF0000"/>
                      <w:kern w:val="2"/>
                      <w:sz w:val="21"/>
                      <w:szCs w:val="21"/>
                      <w:lang w:val="en-US" w:eastAsia="zh-CN" w:bidi="ar-SA"/>
                    </w:rPr>
                  </w:pPr>
                  <w:r>
                    <w:rPr>
                      <w:rFonts w:hint="eastAsia"/>
                      <w:color w:val="FF0000"/>
                      <w:szCs w:val="21"/>
                    </w:rPr>
                    <w:t>0.8</w:t>
                  </w:r>
                </w:p>
              </w:tc>
              <w:tc>
                <w:tcPr>
                  <w:tcW w:w="966" w:type="pct"/>
                  <w:vAlign w:val="center"/>
                </w:tcPr>
                <w:p>
                  <w:pPr>
                    <w:widowControl/>
                    <w:jc w:val="center"/>
                    <w:textAlignment w:val="center"/>
                    <w:rPr>
                      <w:rFonts w:hint="default"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1036.8</w:t>
                  </w:r>
                </w:p>
              </w:tc>
              <w:tc>
                <w:tcPr>
                  <w:tcW w:w="405" w:type="pct"/>
                  <w:tcBorders>
                    <w:right w:val="nil"/>
                  </w:tcBorders>
                  <w:vAlign w:val="center"/>
                </w:tcPr>
                <w:p>
                  <w:pPr>
                    <w:widowControl/>
                    <w:jc w:val="center"/>
                    <w:textAlignment w:val="center"/>
                    <w:rPr>
                      <w:rFonts w:ascii="Times New Roman" w:hAnsi="Times New Roman" w:eastAsia="宋体" w:cs="Times New Roman"/>
                      <w:color w:val="FF0000"/>
                      <w:kern w:val="2"/>
                      <w:sz w:val="21"/>
                      <w:szCs w:val="21"/>
                      <w:lang w:val="en-US" w:eastAsia="zh-CN" w:bidi="ar-SA"/>
                    </w:rPr>
                  </w:pPr>
                  <w:r>
                    <w:rPr>
                      <w:color w:val="FF0000"/>
                      <w:szCs w:val="21"/>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pStyle w:val="42"/>
                    <w:jc w:val="center"/>
                    <w:rPr>
                      <w:rFonts w:hint="eastAsia"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rPr>
                    <w:t>打磨</w:t>
                  </w:r>
                </w:p>
              </w:tc>
              <w:tc>
                <w:tcPr>
                  <w:tcW w:w="2347" w:type="pct"/>
                  <w:vAlign w:val="center"/>
                </w:tcPr>
                <w:p>
                  <w:pPr>
                    <w:widowControl/>
                    <w:jc w:val="center"/>
                    <w:textAlignment w:val="center"/>
                    <w:rPr>
                      <w:rFonts w:hint="default"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0.5</w:t>
                  </w:r>
                  <w:r>
                    <w:rPr>
                      <w:rFonts w:hint="eastAsia" w:ascii="Times New Roman" w:hAnsi="Times New Roman" w:eastAsia="宋体" w:cs="Times New Roman"/>
                      <w:color w:val="FF0000"/>
                      <w:szCs w:val="21"/>
                    </w:rPr>
                    <w:t>×</w:t>
                  </w:r>
                  <w:r>
                    <w:rPr>
                      <w:rFonts w:hint="eastAsia" w:ascii="Times New Roman" w:hAnsi="Times New Roman" w:eastAsia="宋体" w:cs="Times New Roman"/>
                      <w:color w:val="FF0000"/>
                      <w:szCs w:val="21"/>
                      <w:lang w:val="en-US" w:eastAsia="zh-CN"/>
                    </w:rPr>
                    <w:t>0.5</w:t>
                  </w:r>
                </w:p>
              </w:tc>
              <w:tc>
                <w:tcPr>
                  <w:tcW w:w="751" w:type="pct"/>
                  <w:vAlign w:val="center"/>
                </w:tcPr>
                <w:p>
                  <w:pPr>
                    <w:widowControl/>
                    <w:jc w:val="center"/>
                    <w:textAlignment w:val="center"/>
                    <w:rPr>
                      <w:rFonts w:hint="eastAsia"/>
                      <w:color w:val="FF0000"/>
                      <w:szCs w:val="21"/>
                    </w:rPr>
                  </w:pPr>
                  <w:r>
                    <w:rPr>
                      <w:rFonts w:hint="eastAsia"/>
                      <w:color w:val="FF0000"/>
                      <w:szCs w:val="21"/>
                    </w:rPr>
                    <w:t>0.8</w:t>
                  </w:r>
                </w:p>
              </w:tc>
              <w:tc>
                <w:tcPr>
                  <w:tcW w:w="966" w:type="pct"/>
                  <w:vAlign w:val="center"/>
                </w:tcPr>
                <w:p>
                  <w:pPr>
                    <w:widowControl/>
                    <w:jc w:val="center"/>
                    <w:textAlignment w:val="center"/>
                    <w:rPr>
                      <w:rFonts w:hint="default"/>
                      <w:color w:val="FF0000"/>
                      <w:szCs w:val="21"/>
                      <w:lang w:val="en-US" w:eastAsia="zh-CN"/>
                    </w:rPr>
                  </w:pPr>
                  <w:r>
                    <w:rPr>
                      <w:rFonts w:hint="eastAsia"/>
                      <w:color w:val="FF0000"/>
                      <w:szCs w:val="21"/>
                      <w:lang w:val="en-US" w:eastAsia="zh-CN"/>
                    </w:rPr>
                    <w:t>720</w:t>
                  </w:r>
                </w:p>
              </w:tc>
              <w:tc>
                <w:tcPr>
                  <w:tcW w:w="405" w:type="pct"/>
                  <w:tcBorders>
                    <w:right w:val="nil"/>
                  </w:tcBorders>
                  <w:vAlign w:val="center"/>
                </w:tcPr>
                <w:p>
                  <w:pPr>
                    <w:widowControl/>
                    <w:jc w:val="center"/>
                    <w:textAlignment w:val="center"/>
                    <w:rPr>
                      <w:rFonts w:hint="eastAsia" w:eastAsia="宋体"/>
                      <w:color w:val="FF0000"/>
                      <w:szCs w:val="21"/>
                      <w:lang w:val="en-US" w:eastAsia="zh-CN"/>
                    </w:rPr>
                  </w:pPr>
                  <w:r>
                    <w:rPr>
                      <w:rFonts w:hint="eastAsia"/>
                      <w:color w:val="FF0000"/>
                      <w:szCs w:val="21"/>
                      <w:lang w:val="en-US" w:eastAsia="zh-CN"/>
                    </w:rPr>
                    <w:t>1</w:t>
                  </w:r>
                </w:p>
              </w:tc>
            </w:tr>
          </w:tbl>
          <w:p>
            <w:pPr>
              <w:spacing w:line="480" w:lineRule="exact"/>
              <w:ind w:firstLine="480" w:firstLineChars="200"/>
              <w:rPr>
                <w:color w:val="auto"/>
                <w:kern w:val="0"/>
                <w:sz w:val="24"/>
                <w:highlight w:val="none"/>
              </w:rPr>
            </w:pPr>
            <w:r>
              <w:rPr>
                <w:color w:val="auto"/>
                <w:kern w:val="0"/>
                <w:sz w:val="24"/>
                <w:highlight w:val="none"/>
              </w:rPr>
              <w:t>引风管吸风量的计算公式：</w:t>
            </w:r>
          </w:p>
          <w:p>
            <w:pPr>
              <w:spacing w:line="480" w:lineRule="exact"/>
              <w:ind w:firstLine="2160" w:firstLineChars="900"/>
              <w:rPr>
                <w:color w:val="auto"/>
                <w:kern w:val="0"/>
                <w:sz w:val="24"/>
                <w:highlight w:val="none"/>
              </w:rPr>
            </w:pPr>
            <w:r>
              <w:rPr>
                <w:color w:val="auto"/>
                <w:kern w:val="0"/>
                <w:sz w:val="24"/>
                <w:highlight w:val="none"/>
              </w:rPr>
              <w:t>Q=3600×Vπr</w:t>
            </w:r>
            <w:r>
              <w:rPr>
                <w:color w:val="auto"/>
                <w:kern w:val="0"/>
                <w:sz w:val="24"/>
                <w:highlight w:val="none"/>
                <w:vertAlign w:val="superscript"/>
              </w:rPr>
              <w:t>2</w:t>
            </w:r>
          </w:p>
          <w:p>
            <w:pPr>
              <w:spacing w:line="480" w:lineRule="exact"/>
              <w:ind w:firstLine="480" w:firstLineChars="200"/>
              <w:rPr>
                <w:color w:val="auto"/>
                <w:kern w:val="0"/>
                <w:sz w:val="24"/>
                <w:highlight w:val="none"/>
              </w:rPr>
            </w:pPr>
            <w:r>
              <w:rPr>
                <w:color w:val="auto"/>
                <w:kern w:val="0"/>
                <w:sz w:val="24"/>
                <w:highlight w:val="none"/>
              </w:rPr>
              <w:t>式中：Q-集气管道吸风量，m</w:t>
            </w:r>
            <w:r>
              <w:rPr>
                <w:color w:val="auto"/>
                <w:kern w:val="0"/>
                <w:sz w:val="24"/>
                <w:highlight w:val="none"/>
                <w:vertAlign w:val="superscript"/>
              </w:rPr>
              <w:t>3</w:t>
            </w:r>
            <w:r>
              <w:rPr>
                <w:color w:val="auto"/>
                <w:kern w:val="0"/>
                <w:sz w:val="24"/>
                <w:highlight w:val="none"/>
              </w:rPr>
              <w:t>/h；</w:t>
            </w:r>
          </w:p>
          <w:p>
            <w:pPr>
              <w:spacing w:line="480" w:lineRule="exact"/>
              <w:ind w:firstLine="1200" w:firstLineChars="500"/>
              <w:rPr>
                <w:color w:val="auto"/>
                <w:kern w:val="0"/>
                <w:sz w:val="24"/>
                <w:highlight w:val="none"/>
              </w:rPr>
            </w:pPr>
            <w:r>
              <w:rPr>
                <w:color w:val="auto"/>
                <w:kern w:val="0"/>
                <w:sz w:val="24"/>
                <w:highlight w:val="none"/>
              </w:rPr>
              <w:t>πr</w:t>
            </w:r>
            <w:r>
              <w:rPr>
                <w:color w:val="auto"/>
                <w:kern w:val="0"/>
                <w:sz w:val="24"/>
                <w:highlight w:val="none"/>
                <w:vertAlign w:val="superscript"/>
              </w:rPr>
              <w:t>2</w:t>
            </w:r>
            <w:r>
              <w:rPr>
                <w:color w:val="auto"/>
                <w:kern w:val="0"/>
                <w:sz w:val="24"/>
                <w:highlight w:val="none"/>
              </w:rPr>
              <w:t>-管道截面积，m</w:t>
            </w:r>
            <w:r>
              <w:rPr>
                <w:color w:val="auto"/>
                <w:kern w:val="0"/>
                <w:sz w:val="24"/>
                <w:highlight w:val="none"/>
                <w:vertAlign w:val="superscript"/>
              </w:rPr>
              <w:t>2</w:t>
            </w:r>
            <w:r>
              <w:rPr>
                <w:color w:val="auto"/>
                <w:kern w:val="0"/>
                <w:sz w:val="24"/>
                <w:highlight w:val="none"/>
              </w:rPr>
              <w:t>；</w:t>
            </w:r>
          </w:p>
          <w:p>
            <w:pPr>
              <w:spacing w:line="480" w:lineRule="exact"/>
              <w:ind w:firstLine="1200" w:firstLineChars="500"/>
              <w:rPr>
                <w:color w:val="auto"/>
                <w:kern w:val="0"/>
                <w:sz w:val="24"/>
                <w:highlight w:val="none"/>
              </w:rPr>
            </w:pPr>
            <w:r>
              <w:rPr>
                <w:color w:val="auto"/>
                <w:kern w:val="0"/>
                <w:sz w:val="24"/>
                <w:highlight w:val="none"/>
              </w:rPr>
              <w:t>V-管道截面上的平均风速m/s，视具体情况而定，一般取15-20m/s。本项目取17m/s。根据经验，风机引风过程，风损约10%~20%，本次取</w:t>
            </w:r>
            <w:r>
              <w:rPr>
                <w:rFonts w:hint="eastAsia"/>
                <w:color w:val="auto"/>
                <w:kern w:val="0"/>
                <w:sz w:val="24"/>
                <w:highlight w:val="none"/>
              </w:rPr>
              <w:t>15</w:t>
            </w:r>
            <w:r>
              <w:rPr>
                <w:color w:val="auto"/>
                <w:kern w:val="0"/>
                <w:sz w:val="24"/>
                <w:highlight w:val="none"/>
              </w:rPr>
              <w:t>%。</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4</w:t>
            </w:r>
            <w:r>
              <w:rPr>
                <w:rFonts w:hint="eastAsia" w:ascii="Times New Roman" w:eastAsia="宋体" w:cs="Times New Roman"/>
                <w:b/>
                <w:bCs/>
                <w:color w:val="auto"/>
                <w:highlight w:val="none"/>
              </w:rPr>
              <w:t xml:space="preserve">  风管管道直径、集气罩面积、风速、风量、风损情况一览表</w:t>
            </w:r>
          </w:p>
          <w:tbl>
            <w:tblPr>
              <w:tblStyle w:val="32"/>
              <w:tblW w:w="497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0"/>
              <w:gridCol w:w="3130"/>
              <w:gridCol w:w="1107"/>
              <w:gridCol w:w="2001"/>
              <w:gridCol w:w="8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26" w:hRule="atLeast"/>
                <w:jc w:val="center"/>
              </w:trPr>
              <w:tc>
                <w:tcPr>
                  <w:tcW w:w="753"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构筑物</w:t>
                  </w:r>
                </w:p>
              </w:tc>
              <w:tc>
                <w:tcPr>
                  <w:tcW w:w="1885"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集气罩尺寸(m)</w:t>
                  </w:r>
                </w:p>
              </w:tc>
              <w:tc>
                <w:tcPr>
                  <w:tcW w:w="667"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风速(m/s)</w:t>
                  </w:r>
                </w:p>
              </w:tc>
              <w:tc>
                <w:tcPr>
                  <w:tcW w:w="1205"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分配风量(m</w:t>
                  </w:r>
                  <w:r>
                    <w:rPr>
                      <w:rFonts w:ascii="Times New Roman" w:eastAsia="宋体" w:cs="Times New Roman"/>
                      <w:color w:val="auto"/>
                      <w:sz w:val="21"/>
                      <w:szCs w:val="21"/>
                      <w:highlight w:val="none"/>
                      <w:vertAlign w:val="superscript"/>
                    </w:rPr>
                    <w:t>3</w:t>
                  </w:r>
                  <w:r>
                    <w:rPr>
                      <w:rFonts w:ascii="Times New Roman" w:eastAsia="宋体" w:cs="Times New Roman"/>
                      <w:color w:val="auto"/>
                      <w:sz w:val="21"/>
                      <w:szCs w:val="21"/>
                      <w:highlight w:val="none"/>
                    </w:rPr>
                    <w:t>/h)</w:t>
                  </w:r>
                </w:p>
              </w:tc>
              <w:tc>
                <w:tcPr>
                  <w:tcW w:w="488" w:type="pct"/>
                  <w:tcBorders>
                    <w:right w:val="nil"/>
                  </w:tcBorders>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53" w:type="pct"/>
                  <w:tcBorders>
                    <w:left w:val="nil"/>
                  </w:tcBorders>
                  <w:vAlign w:val="center"/>
                </w:tcPr>
                <w:p>
                  <w:pPr>
                    <w:pStyle w:val="42"/>
                    <w:jc w:val="center"/>
                    <w:rPr>
                      <w:rFonts w:ascii="Times New Roman" w:eastAsia="宋体" w:cs="Times New Roman"/>
                      <w:color w:val="FF0000"/>
                      <w:sz w:val="21"/>
                      <w:szCs w:val="21"/>
                      <w:highlight w:val="none"/>
                    </w:rPr>
                  </w:pPr>
                  <w:r>
                    <w:rPr>
                      <w:rFonts w:hint="eastAsia" w:ascii="Times New Roman" w:eastAsia="宋体" w:cs="Times New Roman"/>
                      <w:color w:val="FF0000"/>
                      <w:sz w:val="21"/>
                      <w:szCs w:val="21"/>
                      <w:highlight w:val="none"/>
                    </w:rPr>
                    <w:t>浇注</w:t>
                  </w:r>
                </w:p>
              </w:tc>
              <w:tc>
                <w:tcPr>
                  <w:tcW w:w="1885" w:type="pct"/>
                  <w:vAlign w:val="center"/>
                </w:tcPr>
                <w:p>
                  <w:pPr>
                    <w:widowControl/>
                    <w:jc w:val="center"/>
                    <w:textAlignment w:val="center"/>
                    <w:rPr>
                      <w:color w:val="FF0000"/>
                      <w:szCs w:val="21"/>
                      <w:highlight w:val="none"/>
                    </w:rPr>
                  </w:pPr>
                  <w:r>
                    <w:rPr>
                      <w:rFonts w:hint="eastAsia"/>
                      <w:color w:val="FF0000"/>
                      <w:szCs w:val="21"/>
                      <w:highlight w:val="none"/>
                      <w:lang w:eastAsia="zh-CN"/>
                    </w:rPr>
                    <w:t>（</w:t>
                  </w:r>
                  <w:r>
                    <w:rPr>
                      <w:rFonts w:hint="eastAsia"/>
                      <w:color w:val="FF0000"/>
                      <w:szCs w:val="21"/>
                      <w:highlight w:val="none"/>
                      <w:lang w:val="en-US" w:eastAsia="zh-CN"/>
                    </w:rPr>
                    <w:t>浇铸区尺寸为5</w:t>
                  </w:r>
                  <w:r>
                    <w:rPr>
                      <w:rFonts w:hint="eastAsia"/>
                      <w:color w:val="FF0000"/>
                      <w:szCs w:val="21"/>
                      <w:highlight w:val="none"/>
                    </w:rPr>
                    <w:t>×</w:t>
                  </w:r>
                  <w:r>
                    <w:rPr>
                      <w:rFonts w:hint="eastAsia"/>
                      <w:color w:val="FF0000"/>
                      <w:szCs w:val="21"/>
                      <w:highlight w:val="none"/>
                      <w:lang w:val="en-US" w:eastAsia="zh-CN"/>
                    </w:rPr>
                    <w:t>0.6</w:t>
                  </w:r>
                  <w:r>
                    <w:rPr>
                      <w:rFonts w:hint="eastAsia"/>
                      <w:color w:val="FF0000"/>
                      <w:szCs w:val="21"/>
                      <w:highlight w:val="none"/>
                      <w:lang w:eastAsia="zh-CN"/>
                    </w:rPr>
                    <w:t>）</w:t>
                  </w:r>
                  <w:r>
                    <w:rPr>
                      <w:rFonts w:hint="eastAsia"/>
                      <w:color w:val="FF0000"/>
                      <w:szCs w:val="21"/>
                      <w:highlight w:val="none"/>
                      <w:lang w:val="en-US" w:eastAsia="zh-CN"/>
                    </w:rPr>
                    <w:t>5</w:t>
                  </w:r>
                  <w:r>
                    <w:rPr>
                      <w:rFonts w:hint="eastAsia"/>
                      <w:color w:val="FF0000"/>
                      <w:szCs w:val="21"/>
                      <w:highlight w:val="none"/>
                    </w:rPr>
                    <w:t>×</w:t>
                  </w:r>
                  <w:r>
                    <w:rPr>
                      <w:rFonts w:hint="eastAsia"/>
                      <w:color w:val="FF0000"/>
                      <w:szCs w:val="21"/>
                      <w:highlight w:val="none"/>
                      <w:lang w:val="en-US" w:eastAsia="zh-CN"/>
                    </w:rPr>
                    <w:t>0.6</w:t>
                  </w:r>
                </w:p>
              </w:tc>
              <w:tc>
                <w:tcPr>
                  <w:tcW w:w="667" w:type="pct"/>
                  <w:vAlign w:val="center"/>
                </w:tcPr>
                <w:p>
                  <w:pPr>
                    <w:widowControl/>
                    <w:jc w:val="center"/>
                    <w:textAlignment w:val="center"/>
                    <w:rPr>
                      <w:color w:val="FF0000"/>
                      <w:szCs w:val="21"/>
                      <w:highlight w:val="none"/>
                    </w:rPr>
                  </w:pPr>
                  <w:r>
                    <w:rPr>
                      <w:rFonts w:hint="eastAsia"/>
                      <w:color w:val="FF0000"/>
                      <w:szCs w:val="21"/>
                      <w:highlight w:val="none"/>
                    </w:rPr>
                    <w:t>1.0</w:t>
                  </w:r>
                </w:p>
              </w:tc>
              <w:tc>
                <w:tcPr>
                  <w:tcW w:w="1205" w:type="pct"/>
                  <w:vAlign w:val="center"/>
                </w:tcPr>
                <w:p>
                  <w:pPr>
                    <w:widowControl/>
                    <w:jc w:val="center"/>
                    <w:textAlignment w:val="center"/>
                    <w:rPr>
                      <w:rFonts w:hint="default" w:eastAsia="宋体"/>
                      <w:color w:val="FF0000"/>
                      <w:szCs w:val="21"/>
                      <w:highlight w:val="none"/>
                      <w:lang w:val="en-US" w:eastAsia="zh-CN"/>
                    </w:rPr>
                  </w:pPr>
                  <w:r>
                    <w:rPr>
                      <w:rFonts w:hint="eastAsia"/>
                      <w:color w:val="FF0000"/>
                      <w:szCs w:val="21"/>
                      <w:highlight w:val="none"/>
                      <w:lang w:val="en-US" w:eastAsia="zh-CN"/>
                    </w:rPr>
                    <w:t>10800</w:t>
                  </w:r>
                </w:p>
              </w:tc>
              <w:tc>
                <w:tcPr>
                  <w:tcW w:w="488" w:type="pct"/>
                  <w:tcBorders>
                    <w:right w:val="nil"/>
                  </w:tcBorders>
                  <w:vAlign w:val="center"/>
                </w:tcPr>
                <w:p>
                  <w:pPr>
                    <w:widowControl/>
                    <w:jc w:val="center"/>
                    <w:textAlignment w:val="center"/>
                    <w:rPr>
                      <w:color w:val="FF0000"/>
                      <w:szCs w:val="21"/>
                      <w:highlight w:val="none"/>
                    </w:rPr>
                  </w:pPr>
                  <w:r>
                    <w:rPr>
                      <w:color w:val="FF0000"/>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53" w:type="pct"/>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二次除尘</w:t>
                  </w:r>
                </w:p>
              </w:tc>
              <w:tc>
                <w:tcPr>
                  <w:tcW w:w="1885" w:type="pct"/>
                  <w:vAlign w:val="center"/>
                </w:tcPr>
                <w:p>
                  <w:pPr>
                    <w:widowControl/>
                    <w:jc w:val="center"/>
                    <w:textAlignment w:val="center"/>
                    <w:rPr>
                      <w:color w:val="auto"/>
                      <w:szCs w:val="21"/>
                      <w:highlight w:val="none"/>
                    </w:rPr>
                  </w:pPr>
                  <w:r>
                    <w:rPr>
                      <w:rFonts w:hint="eastAsia"/>
                      <w:color w:val="auto"/>
                      <w:szCs w:val="21"/>
                      <w:highlight w:val="none"/>
                    </w:rPr>
                    <w:t>/</w:t>
                  </w:r>
                </w:p>
              </w:tc>
              <w:tc>
                <w:tcPr>
                  <w:tcW w:w="667" w:type="pct"/>
                  <w:vAlign w:val="center"/>
                </w:tcPr>
                <w:p>
                  <w:pPr>
                    <w:widowControl/>
                    <w:jc w:val="center"/>
                    <w:textAlignment w:val="center"/>
                    <w:rPr>
                      <w:color w:val="auto"/>
                      <w:szCs w:val="21"/>
                      <w:highlight w:val="none"/>
                    </w:rPr>
                  </w:pPr>
                  <w:r>
                    <w:rPr>
                      <w:rFonts w:hint="eastAsia"/>
                      <w:color w:val="auto"/>
                      <w:szCs w:val="21"/>
                      <w:highlight w:val="none"/>
                    </w:rPr>
                    <w:t>0.6</w:t>
                  </w:r>
                </w:p>
              </w:tc>
              <w:tc>
                <w:tcPr>
                  <w:tcW w:w="1205" w:type="pct"/>
                  <w:vAlign w:val="center"/>
                </w:tcPr>
                <w:p>
                  <w:pPr>
                    <w:widowControl/>
                    <w:jc w:val="center"/>
                    <w:textAlignment w:val="center"/>
                    <w:rPr>
                      <w:color w:val="auto"/>
                      <w:szCs w:val="21"/>
                      <w:highlight w:val="none"/>
                    </w:rPr>
                  </w:pPr>
                  <w:r>
                    <w:rPr>
                      <w:rFonts w:hint="eastAsia"/>
                      <w:color w:val="auto"/>
                      <w:szCs w:val="21"/>
                      <w:highlight w:val="none"/>
                    </w:rPr>
                    <w:t>1</w:t>
                  </w:r>
                  <w:r>
                    <w:rPr>
                      <w:rFonts w:hint="eastAsia"/>
                      <w:color w:val="auto"/>
                      <w:szCs w:val="21"/>
                      <w:highlight w:val="none"/>
                      <w:lang w:val="en-US" w:eastAsia="zh-CN"/>
                    </w:rPr>
                    <w:t>5</w:t>
                  </w:r>
                  <w:r>
                    <w:rPr>
                      <w:rFonts w:hint="eastAsia"/>
                      <w:color w:val="auto"/>
                      <w:szCs w:val="21"/>
                      <w:highlight w:val="none"/>
                    </w:rPr>
                    <w:t>295</w:t>
                  </w:r>
                </w:p>
              </w:tc>
              <w:tc>
                <w:tcPr>
                  <w:tcW w:w="488"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w:t>
            </w:r>
            <w:r>
              <w:rPr>
                <w:rFonts w:hint="eastAsia"/>
                <w:bCs/>
                <w:color w:val="FF0000"/>
                <w:sz w:val="24"/>
                <w:highlight w:val="none"/>
              </w:rPr>
              <w:t>所需风量为</w:t>
            </w:r>
            <w:r>
              <w:rPr>
                <w:rFonts w:hint="eastAsia"/>
                <w:bCs/>
                <w:color w:val="FF0000"/>
                <w:sz w:val="24"/>
                <w:highlight w:val="none"/>
                <w:lang w:val="en-US" w:eastAsia="zh-CN"/>
              </w:rPr>
              <w:t>34814.75</w:t>
            </w:r>
            <w:r>
              <w:rPr>
                <w:bCs/>
                <w:color w:val="FF0000"/>
                <w:sz w:val="24"/>
                <w:highlight w:val="none"/>
              </w:rPr>
              <w:t>m</w:t>
            </w:r>
            <w:r>
              <w:rPr>
                <w:bCs/>
                <w:color w:val="FF0000"/>
                <w:sz w:val="24"/>
                <w:highlight w:val="none"/>
                <w:vertAlign w:val="superscript"/>
              </w:rPr>
              <w:t>3</w:t>
            </w:r>
            <w:r>
              <w:rPr>
                <w:bCs/>
                <w:color w:val="FF0000"/>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w:t>
            </w:r>
            <w:r>
              <w:rPr>
                <w:rFonts w:hint="eastAsia"/>
                <w:bCs/>
                <w:color w:val="auto"/>
                <w:sz w:val="24"/>
                <w:highlight w:val="none"/>
                <w:lang w:val="en-US" w:eastAsia="zh-CN"/>
              </w:rPr>
              <w:t>350</w:t>
            </w:r>
            <w:r>
              <w:rPr>
                <w:rFonts w:hint="eastAsia"/>
                <w:color w:val="auto"/>
                <w:kern w:val="0"/>
                <w:sz w:val="24"/>
                <w:highlight w:val="none"/>
                <w:lang w:bidi="ar"/>
              </w:rPr>
              <w:t>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sz w:val="24"/>
              </w:rPr>
            </w:pPr>
            <w:r>
              <w:rPr>
                <w:rFonts w:hint="eastAsia"/>
                <w:color w:val="FF0000"/>
                <w:sz w:val="24"/>
                <w:highlight w:val="none"/>
                <w:lang w:val="en-US" w:eastAsia="zh-CN"/>
              </w:rPr>
              <w:t>浇铸区连续生产，</w:t>
            </w:r>
            <w:r>
              <w:rPr>
                <w:rFonts w:hint="eastAsia"/>
                <w:color w:val="FF0000"/>
                <w:sz w:val="24"/>
                <w:highlight w:val="none"/>
              </w:rPr>
              <w:t>生产工序年运行4800h</w:t>
            </w:r>
            <w:r>
              <w:rPr>
                <w:rFonts w:hint="eastAsia"/>
                <w:color w:val="auto"/>
                <w:sz w:val="24"/>
                <w:highlight w:val="none"/>
              </w:rPr>
              <w:t>，集气罩</w:t>
            </w:r>
            <w:r>
              <w:rPr>
                <w:rFonts w:hint="eastAsia"/>
                <w:sz w:val="24"/>
              </w:rPr>
              <w:t>废气捕集效率为95%；脉冲布袋除尘器处理效率为99%。</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5</w:t>
            </w:r>
            <w:r>
              <w:rPr>
                <w:rFonts w:hint="eastAsia" w:ascii="Times New Roman" w:eastAsia="宋体" w:cs="Times New Roman"/>
                <w:b/>
                <w:bCs/>
                <w:color w:val="auto"/>
                <w:highlight w:val="none"/>
              </w:rPr>
              <w:t xml:space="preserve">    颗粒物产排情况一览表</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工序</w:t>
                  </w:r>
                </w:p>
              </w:tc>
              <w:tc>
                <w:tcPr>
                  <w:tcW w:w="846"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产生量（t/a）</w:t>
                  </w:r>
                </w:p>
              </w:tc>
              <w:tc>
                <w:tcPr>
                  <w:tcW w:w="1565"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引入脉冲布袋除尘器量（t/a）</w:t>
                  </w:r>
                </w:p>
              </w:tc>
              <w:tc>
                <w:tcPr>
                  <w:tcW w:w="121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未被捕集量（t/a）</w:t>
                  </w:r>
                </w:p>
              </w:tc>
              <w:tc>
                <w:tcPr>
                  <w:tcW w:w="121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处理后排放量（t/a）</w:t>
                  </w:r>
                </w:p>
              </w:tc>
              <w:tc>
                <w:tcPr>
                  <w:tcW w:w="1221"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年运行时间（h/a）</w:t>
                  </w:r>
                </w:p>
              </w:tc>
              <w:tc>
                <w:tcPr>
                  <w:tcW w:w="1010" w:type="dxa"/>
                  <w:tcBorders>
                    <w:righ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浇注</w:t>
                  </w:r>
                </w:p>
              </w:tc>
              <w:tc>
                <w:tcPr>
                  <w:tcW w:w="846"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3.92</w:t>
                  </w:r>
                </w:p>
              </w:tc>
              <w:tc>
                <w:tcPr>
                  <w:tcW w:w="1565"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3.724</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0.196</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0.037</w:t>
                  </w:r>
                </w:p>
              </w:tc>
              <w:tc>
                <w:tcPr>
                  <w:tcW w:w="1221"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1010" w:type="dxa"/>
                  <w:tcBorders>
                    <w:right w:val="nil"/>
                  </w:tcBorders>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打磨</w:t>
                  </w:r>
                </w:p>
              </w:tc>
              <w:tc>
                <w:tcPr>
                  <w:tcW w:w="0" w:type="auto"/>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15.33</w:t>
                  </w:r>
                </w:p>
              </w:tc>
              <w:tc>
                <w:tcPr>
                  <w:tcW w:w="1565"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14.564</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0.766</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0.146</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1010" w:type="dxa"/>
                  <w:tcBorders>
                    <w:right w:val="nil"/>
                  </w:tcBorders>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二次除尘</w:t>
                  </w:r>
                </w:p>
              </w:tc>
              <w:tc>
                <w:tcPr>
                  <w:tcW w:w="0" w:type="auto"/>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2.544</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2.417</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0.127</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0.024</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0" w:type="auto"/>
                  <w:tcBorders>
                    <w:right w:val="nil"/>
                  </w:tcBorders>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47" w:type="dxa"/>
                  <w:gridSpan w:val="7"/>
                  <w:tcBorders>
                    <w:left w:val="nil"/>
                    <w:right w:val="nil"/>
                  </w:tcBorders>
                  <w:vAlign w:val="center"/>
                </w:tcPr>
                <w:p>
                  <w:pPr>
                    <w:widowControl/>
                    <w:textAlignment w:val="center"/>
                    <w:rPr>
                      <w:color w:val="auto"/>
                      <w:szCs w:val="21"/>
                      <w:highlight w:val="none"/>
                    </w:rPr>
                  </w:pPr>
                  <w:r>
                    <w:rPr>
                      <w:rFonts w:hint="eastAsia"/>
                      <w:color w:val="auto"/>
                      <w:szCs w:val="21"/>
                      <w:highlight w:val="none"/>
                    </w:rPr>
                    <w:t>生产车间所有未被捕集颗粒物计为二次除尘颗粒物产生量，经二次除尘处理后整体车间无组织颗粒物产生量为</w:t>
                  </w:r>
                  <w:r>
                    <w:rPr>
                      <w:rFonts w:hint="eastAsia"/>
                      <w:color w:val="auto"/>
                      <w:szCs w:val="21"/>
                      <w:highlight w:val="none"/>
                      <w:lang w:val="en-US" w:eastAsia="zh-CN"/>
                    </w:rPr>
                    <w:t>0.127</w:t>
                  </w:r>
                  <w:r>
                    <w:rPr>
                      <w:rFonts w:hint="eastAsia"/>
                      <w:color w:val="auto"/>
                      <w:szCs w:val="21"/>
                      <w:highlight w:val="none"/>
                    </w:rPr>
                    <w:t>t/a，经车间沉降后排放量为0.001t/a、排放速率为0.000</w:t>
                  </w:r>
                  <w:r>
                    <w:rPr>
                      <w:rFonts w:hint="eastAsia"/>
                      <w:color w:val="auto"/>
                      <w:szCs w:val="21"/>
                      <w:highlight w:val="none"/>
                      <w:lang w:val="en-US" w:eastAsia="zh-CN"/>
                    </w:rPr>
                    <w:t>2</w:t>
                  </w:r>
                  <w:r>
                    <w:rPr>
                      <w:rFonts w:hint="eastAsia"/>
                      <w:color w:val="auto"/>
                      <w:szCs w:val="21"/>
                      <w:highlight w:val="none"/>
                    </w:rPr>
                    <w:t>kg/h</w:t>
                  </w:r>
                </w:p>
              </w:tc>
            </w:tr>
          </w:tbl>
          <w:p>
            <w:pPr>
              <w:widowControl/>
              <w:autoSpaceDE w:val="0"/>
              <w:autoSpaceDN w:val="0"/>
              <w:adjustRightInd w:val="0"/>
              <w:spacing w:line="500" w:lineRule="exact"/>
              <w:ind w:firstLine="480" w:firstLineChars="200"/>
              <w:rPr>
                <w:color w:val="auto"/>
                <w:sz w:val="24"/>
              </w:rPr>
            </w:pPr>
            <w:r>
              <w:rPr>
                <w:rFonts w:hint="eastAsia"/>
                <w:color w:val="auto"/>
                <w:sz w:val="24"/>
                <w:highlight w:val="none"/>
              </w:rPr>
              <w:t>经分析，项目颗粒物排放速率为</w:t>
            </w:r>
            <w:r>
              <w:rPr>
                <w:rFonts w:hint="eastAsia"/>
                <w:color w:val="auto"/>
                <w:sz w:val="24"/>
                <w:highlight w:val="none"/>
                <w:lang w:val="en-US" w:eastAsia="zh-CN"/>
              </w:rPr>
              <w:t>0.043</w:t>
            </w:r>
            <w:r>
              <w:rPr>
                <w:rFonts w:hint="eastAsia"/>
                <w:color w:val="auto"/>
                <w:sz w:val="24"/>
                <w:highlight w:val="none"/>
              </w:rPr>
              <w:t>kg/h，颗粒物排放浓度为</w:t>
            </w:r>
            <w:r>
              <w:rPr>
                <w:rFonts w:hint="eastAsia"/>
                <w:color w:val="auto"/>
                <w:sz w:val="24"/>
                <w:highlight w:val="none"/>
                <w:lang w:val="en-US" w:eastAsia="zh-CN"/>
              </w:rPr>
              <w:t>1.23</w:t>
            </w:r>
            <w:r>
              <w:rPr>
                <w:rFonts w:hint="eastAsia"/>
                <w:snapToGrid w:val="0"/>
                <w:color w:val="auto"/>
                <w:kern w:val="0"/>
                <w:sz w:val="24"/>
                <w:highlight w:val="none"/>
              </w:rPr>
              <w:t>mg/m</w:t>
            </w:r>
            <w:r>
              <w:rPr>
                <w:rFonts w:hint="eastAsia"/>
                <w:snapToGrid w:val="0"/>
                <w:color w:val="auto"/>
                <w:kern w:val="0"/>
                <w:sz w:val="24"/>
                <w:highlight w:val="none"/>
                <w:vertAlign w:val="superscript"/>
              </w:rPr>
              <w:t>3</w:t>
            </w:r>
            <w:r>
              <w:rPr>
                <w:rFonts w:hint="eastAsia"/>
                <w:snapToGrid w:val="0"/>
                <w:color w:val="auto"/>
                <w:kern w:val="0"/>
                <w:sz w:val="24"/>
                <w:highlight w:val="none"/>
              </w:rPr>
              <w:t>，</w:t>
            </w:r>
            <w:r>
              <w:rPr>
                <w:rFonts w:hint="eastAsia"/>
                <w:color w:val="auto"/>
                <w:sz w:val="24"/>
                <w:highlight w:val="none"/>
              </w:rPr>
              <w:t>有组织颗粒物排放</w:t>
            </w:r>
            <w:r>
              <w:rPr>
                <w:color w:val="auto"/>
                <w:sz w:val="24"/>
                <w:highlight w:val="none"/>
              </w:rPr>
              <w:t>满</w:t>
            </w:r>
            <w:r>
              <w:rPr>
                <w:color w:val="auto"/>
                <w:sz w:val="24"/>
              </w:rPr>
              <w:t>足</w:t>
            </w:r>
            <w:r>
              <w:rPr>
                <w:bCs/>
                <w:color w:val="auto"/>
                <w:sz w:val="24"/>
              </w:rPr>
              <w:t>《铸造工业大气污染物排放标准》（GB 39726—2020）表1/《唐山市大气污染防治工作领导小组</w:t>
            </w:r>
            <w:r>
              <w:rPr>
                <w:rFonts w:hint="eastAsia"/>
                <w:bCs/>
                <w:color w:val="auto"/>
                <w:sz w:val="24"/>
                <w:lang w:eastAsia="zh-CN"/>
              </w:rPr>
              <w:t>办公楼</w:t>
            </w:r>
            <w:r>
              <w:rPr>
                <w:bCs/>
                <w:color w:val="auto"/>
                <w:sz w:val="24"/>
              </w:rPr>
              <w:t>&lt;唐山市钢铁行业整治提升工作方案&gt;等10项方案的通知》（唐气领办〔2021〕15号）中附件9《唐山市铸造行业整治提升工作方案》相关标准要求</w:t>
            </w:r>
            <w:r>
              <w:rPr>
                <w:color w:val="auto"/>
                <w:sz w:val="24"/>
              </w:rPr>
              <w:t>：10mg/m</w:t>
            </w:r>
            <w:r>
              <w:rPr>
                <w:color w:val="auto"/>
                <w:sz w:val="24"/>
                <w:vertAlign w:val="superscript"/>
              </w:rPr>
              <w:t>3</w:t>
            </w:r>
            <w:r>
              <w:rPr>
                <w:color w:val="auto"/>
                <w:sz w:val="24"/>
              </w:rPr>
              <w:t>。</w:t>
            </w:r>
          </w:p>
          <w:p>
            <w:pPr>
              <w:spacing w:line="480" w:lineRule="exact"/>
              <w:ind w:firstLine="480" w:firstLineChars="200"/>
              <w:rPr>
                <w:sz w:val="24"/>
                <w:highlight w:val="red"/>
              </w:rPr>
            </w:pPr>
            <w:r>
              <w:rPr>
                <w:rFonts w:hint="eastAsia"/>
                <w:sz w:val="24"/>
                <w:lang w:val="en-US" w:eastAsia="zh-CN"/>
              </w:rPr>
              <w:t>③</w:t>
            </w:r>
            <w:r>
              <w:rPr>
                <w:rFonts w:hint="eastAsia"/>
                <w:sz w:val="24"/>
              </w:rPr>
              <w:t>砂处理、混砂</w:t>
            </w:r>
          </w:p>
          <w:p>
            <w:pPr>
              <w:spacing w:line="480" w:lineRule="exact"/>
              <w:ind w:firstLine="480" w:firstLineChars="200"/>
              <w:rPr>
                <w:sz w:val="24"/>
              </w:rPr>
            </w:pPr>
            <w:r>
              <w:rPr>
                <w:rFonts w:hint="eastAsia"/>
                <w:sz w:val="24"/>
              </w:rPr>
              <w:t>浇注完成后的翻箱落砂、砂处理均在密闭空间内进行，翻箱落砂处设置密闭集气罩，经自动化砂处理生产线处理后回用。根据《排放源统计调查产排污核算方法和系数手册》黑色金属铸造行业砂处理工序颗粒物产污系数为3.48</w:t>
            </w:r>
            <w:r>
              <w:rPr>
                <w:sz w:val="24"/>
              </w:rPr>
              <w:t>kg/t-</w:t>
            </w:r>
            <w:r>
              <w:rPr>
                <w:rFonts w:hint="eastAsia"/>
                <w:sz w:val="24"/>
              </w:rPr>
              <w:t>产品，产品产量</w:t>
            </w:r>
            <w:r>
              <w:rPr>
                <w:rFonts w:hint="eastAsia"/>
                <w:sz w:val="24"/>
                <w:lang w:eastAsia="zh-CN"/>
              </w:rPr>
              <w:t>7000</w:t>
            </w:r>
            <w:r>
              <w:rPr>
                <w:rFonts w:hint="eastAsia"/>
                <w:sz w:val="24"/>
              </w:rPr>
              <w:t>t/a，则砂处理产生颗粒物为</w:t>
            </w:r>
            <w:r>
              <w:rPr>
                <w:rFonts w:hint="eastAsia"/>
                <w:sz w:val="24"/>
                <w:lang w:val="en-US" w:eastAsia="zh-CN"/>
              </w:rPr>
              <w:t>24.36</w:t>
            </w:r>
            <w:r>
              <w:rPr>
                <w:sz w:val="24"/>
              </w:rPr>
              <w:t>t/a</w:t>
            </w:r>
            <w:r>
              <w:rPr>
                <w:rFonts w:hint="eastAsia"/>
                <w:sz w:val="24"/>
              </w:rPr>
              <w:t>。</w:t>
            </w:r>
          </w:p>
          <w:p>
            <w:pPr>
              <w:spacing w:line="480" w:lineRule="exact"/>
              <w:ind w:firstLine="480" w:firstLineChars="200"/>
              <w:rPr>
                <w:color w:val="auto"/>
              </w:rPr>
            </w:pPr>
            <w:r>
              <w:rPr>
                <w:rFonts w:hint="eastAsia"/>
                <w:sz w:val="24"/>
              </w:rPr>
              <w:t>根据《排放源统计调查产排污核算方法和系数手册》黑色金属铸造行业混砂造型工序颗</w:t>
            </w:r>
            <w:r>
              <w:rPr>
                <w:rFonts w:hint="eastAsia"/>
                <w:color w:val="auto"/>
                <w:sz w:val="24"/>
              </w:rPr>
              <w:t>粒物产污系数0.56</w:t>
            </w:r>
            <w:r>
              <w:rPr>
                <w:color w:val="auto"/>
                <w:sz w:val="24"/>
              </w:rPr>
              <w:t>kg/t-</w:t>
            </w:r>
            <w:r>
              <w:rPr>
                <w:rFonts w:hint="eastAsia"/>
                <w:color w:val="auto"/>
                <w:sz w:val="24"/>
              </w:rPr>
              <w:t>产品，项目每年生产铸件</w:t>
            </w:r>
            <w:r>
              <w:rPr>
                <w:rFonts w:hint="eastAsia"/>
                <w:color w:val="auto"/>
                <w:sz w:val="24"/>
                <w:lang w:eastAsia="zh-CN"/>
              </w:rPr>
              <w:t>7000</w:t>
            </w:r>
            <w:r>
              <w:rPr>
                <w:color w:val="auto"/>
                <w:sz w:val="24"/>
              </w:rPr>
              <w:t>t</w:t>
            </w:r>
            <w:r>
              <w:rPr>
                <w:rFonts w:hint="eastAsia"/>
                <w:color w:val="auto"/>
                <w:sz w:val="24"/>
              </w:rPr>
              <w:t>，则颗粒物产生量</w:t>
            </w:r>
            <w:r>
              <w:rPr>
                <w:rFonts w:hint="eastAsia"/>
                <w:color w:val="auto"/>
                <w:sz w:val="24"/>
                <w:lang w:val="en-US" w:eastAsia="zh-CN"/>
              </w:rPr>
              <w:t>3.92</w:t>
            </w:r>
            <w:r>
              <w:rPr>
                <w:color w:val="auto"/>
                <w:sz w:val="24"/>
              </w:rPr>
              <w:t>t/a</w:t>
            </w:r>
            <w:r>
              <w:rPr>
                <w:rFonts w:hint="eastAsia"/>
                <w:color w:val="auto"/>
                <w:sz w:val="24"/>
              </w:rPr>
              <w:t>。</w:t>
            </w:r>
          </w:p>
          <w:p>
            <w:pPr>
              <w:adjustRightInd w:val="0"/>
              <w:snapToGrid w:val="0"/>
              <w:spacing w:line="480" w:lineRule="exact"/>
              <w:ind w:firstLine="480" w:firstLineChars="200"/>
              <w:rPr>
                <w:color w:val="FF0000"/>
                <w:kern w:val="0"/>
                <w:sz w:val="24"/>
              </w:rPr>
            </w:pPr>
            <w:r>
              <w:rPr>
                <w:rFonts w:hint="default" w:ascii="Times New Roman" w:hAnsi="Times New Roman" w:eastAsia="宋体" w:cs="Times New Roman"/>
                <w:color w:val="FF0000"/>
                <w:sz w:val="24"/>
                <w:szCs w:val="24"/>
                <w:highlight w:val="none"/>
                <w:lang w:val="en-US" w:eastAsia="zh-CN"/>
              </w:rPr>
              <w:t>落砂区上设集气罩（2m×2m，集气效率90%）收集落砂过程产生的颗粒物，</w:t>
            </w:r>
            <w:r>
              <w:rPr>
                <w:rFonts w:hint="eastAsia" w:ascii="Times New Roman" w:hAnsi="Times New Roman" w:eastAsia="宋体" w:cs="Times New Roman"/>
                <w:color w:val="FF0000"/>
                <w:sz w:val="24"/>
                <w:szCs w:val="24"/>
                <w:highlight w:val="none"/>
                <w:lang w:val="en-US" w:eastAsia="zh-CN"/>
              </w:rPr>
              <w:t>砂冷却系统、</w:t>
            </w:r>
            <w:r>
              <w:rPr>
                <w:rFonts w:hint="default" w:ascii="Times New Roman" w:hAnsi="Times New Roman" w:eastAsia="宋体" w:cs="Times New Roman"/>
                <w:color w:val="FF0000"/>
                <w:sz w:val="24"/>
                <w:szCs w:val="24"/>
                <w:highlight w:val="none"/>
                <w:lang w:val="en-US" w:eastAsia="zh-CN"/>
              </w:rPr>
              <w:t>筛砂机、混砂机、提升机、</w:t>
            </w:r>
            <w:r>
              <w:rPr>
                <w:rFonts w:hint="eastAsia" w:ascii="Times New Roman" w:hAnsi="Times New Roman" w:eastAsia="宋体" w:cs="Times New Roman"/>
                <w:color w:val="FF0000"/>
                <w:sz w:val="24"/>
                <w:szCs w:val="24"/>
                <w:highlight w:val="none"/>
                <w:lang w:val="en-US" w:eastAsia="zh-CN"/>
              </w:rPr>
              <w:t>砂仓</w:t>
            </w:r>
            <w:r>
              <w:rPr>
                <w:rFonts w:hint="default" w:ascii="Times New Roman" w:hAnsi="Times New Roman" w:eastAsia="宋体" w:cs="Times New Roman"/>
                <w:color w:val="FF0000"/>
                <w:sz w:val="24"/>
                <w:szCs w:val="24"/>
                <w:highlight w:val="none"/>
                <w:lang w:val="en-US" w:eastAsia="zh-CN"/>
              </w:rPr>
              <w:t>密闭设引风管（共</w:t>
            </w:r>
            <w:r>
              <w:rPr>
                <w:rFonts w:hint="eastAsia" w:ascii="Times New Roman" w:hAnsi="Times New Roman" w:eastAsia="宋体" w:cs="Times New Roman"/>
                <w:color w:val="FF0000"/>
                <w:sz w:val="24"/>
                <w:szCs w:val="24"/>
                <w:highlight w:val="none"/>
                <w:lang w:val="en-US" w:eastAsia="zh-CN"/>
              </w:rPr>
              <w:t>8</w:t>
            </w:r>
            <w:r>
              <w:rPr>
                <w:rFonts w:hint="default" w:ascii="Times New Roman" w:hAnsi="Times New Roman" w:eastAsia="宋体" w:cs="Times New Roman"/>
                <w:color w:val="FF0000"/>
                <w:sz w:val="24"/>
                <w:szCs w:val="24"/>
                <w:highlight w:val="none"/>
                <w:lang w:val="en-US" w:eastAsia="zh-CN"/>
              </w:rPr>
              <w:t>处，直径0.1m），产生的废气经各自引风管引至一套脉冲布袋除尘器（处理效率为99%）处理后经15米高排气筒（DA00</w:t>
            </w:r>
            <w:r>
              <w:rPr>
                <w:rFonts w:hint="eastAsia" w:ascii="Times New Roman" w:hAnsi="Times New Roman" w:eastAsia="宋体" w:cs="Times New Roman"/>
                <w:color w:val="FF0000"/>
                <w:sz w:val="24"/>
                <w:szCs w:val="24"/>
                <w:highlight w:val="none"/>
                <w:lang w:val="en-US" w:eastAsia="zh-CN"/>
              </w:rPr>
              <w:t>6</w:t>
            </w:r>
            <w:r>
              <w:rPr>
                <w:rFonts w:hint="default" w:ascii="Times New Roman" w:hAnsi="Times New Roman" w:eastAsia="宋体" w:cs="Times New Roman"/>
                <w:color w:val="FF0000"/>
                <w:sz w:val="24"/>
                <w:szCs w:val="24"/>
                <w:highlight w:val="none"/>
                <w:lang w:val="en-US" w:eastAsia="zh-CN"/>
              </w:rPr>
              <w:t>）排放</w:t>
            </w:r>
            <w:r>
              <w:rPr>
                <w:rFonts w:hint="eastAsia" w:eastAsia="宋体"/>
                <w:color w:val="FF0000"/>
                <w:sz w:val="24"/>
                <w:lang w:eastAsia="zh-CN"/>
              </w:rPr>
              <w:t>；</w:t>
            </w:r>
            <w:r>
              <w:rPr>
                <w:rFonts w:hint="eastAsia"/>
                <w:color w:val="FF0000"/>
                <w:sz w:val="24"/>
              </w:rPr>
              <w:t>各工序集气管道设置分控阀门，风机采用变频风机。</w:t>
            </w:r>
          </w:p>
          <w:p>
            <w:pPr>
              <w:pStyle w:val="15"/>
              <w:spacing w:line="460" w:lineRule="exact"/>
              <w:ind w:firstLine="480" w:firstLineChars="200"/>
              <w:rPr>
                <w:rFonts w:hint="default" w:ascii="Times New Roman" w:hAnsi="Times New Roman" w:cs="Times New Roman"/>
                <w:color w:val="FF0000"/>
                <w:kern w:val="0"/>
                <w:sz w:val="24"/>
                <w:highlight w:val="none"/>
              </w:rPr>
            </w:pPr>
            <w:r>
              <w:rPr>
                <w:rFonts w:hint="default" w:ascii="Times New Roman" w:hAnsi="Times New Roman" w:cs="Times New Roman"/>
                <w:color w:val="FF0000"/>
                <w:sz w:val="24"/>
                <w:highlight w:val="none"/>
              </w:rPr>
              <w:t>集气罩上吸风量</w:t>
            </w:r>
            <w:r>
              <w:rPr>
                <w:rFonts w:hint="default" w:ascii="Times New Roman" w:hAnsi="Times New Roman" w:cs="Times New Roman"/>
                <w:color w:val="FF0000"/>
                <w:kern w:val="0"/>
                <w:sz w:val="24"/>
                <w:highlight w:val="none"/>
              </w:rPr>
              <w:t>的计算公式：</w:t>
            </w:r>
          </w:p>
          <w:p>
            <w:pPr>
              <w:adjustRightInd w:val="0"/>
              <w:snapToGrid w:val="0"/>
              <w:spacing w:line="480" w:lineRule="exact"/>
              <w:ind w:firstLine="2640" w:firstLineChars="1100"/>
              <w:rPr>
                <w:rFonts w:hint="eastAsia" w:ascii="Times New Roman" w:hAnsi="Times New Roman" w:eastAsia="宋体" w:cs="Times New Roman"/>
                <w:color w:val="FF0000"/>
                <w:kern w:val="0"/>
                <w:sz w:val="24"/>
                <w:highlight w:val="none"/>
                <w:lang w:eastAsia="zh-CN"/>
              </w:rPr>
            </w:pPr>
            <w:r>
              <w:rPr>
                <w:rFonts w:hint="default" w:ascii="Times New Roman" w:hAnsi="Times New Roman" w:cs="Times New Roman"/>
                <w:color w:val="FF0000"/>
                <w:sz w:val="24"/>
                <w:highlight w:val="none"/>
              </w:rPr>
              <w:t>Q=3600</w:t>
            </w:r>
            <w:r>
              <w:rPr>
                <w:rFonts w:hint="eastAsia" w:ascii="Times New Roman" w:hAnsi="Times New Roman" w:cs="Times New Roman"/>
                <w:color w:val="FF0000"/>
                <w:sz w:val="24"/>
                <w:highlight w:val="none"/>
                <w:lang w:val="en-US" w:eastAsia="zh-CN"/>
              </w:rPr>
              <w:t>A</w:t>
            </w:r>
            <w:r>
              <w:rPr>
                <w:rFonts w:hint="default" w:ascii="Times New Roman" w:hAnsi="Times New Roman" w:cs="Times New Roman"/>
                <w:color w:val="FF0000"/>
                <w:sz w:val="24"/>
                <w:highlight w:val="none"/>
              </w:rPr>
              <w:t>V</w:t>
            </w:r>
            <w:r>
              <w:rPr>
                <w:rFonts w:hint="default" w:ascii="Times New Roman" w:hAnsi="Times New Roman" w:cs="Times New Roman"/>
                <w:color w:val="FF0000"/>
                <w:sz w:val="24"/>
                <w:highlight w:val="none"/>
                <w:vertAlign w:val="subscript"/>
              </w:rPr>
              <w:t xml:space="preserve"> p</w:t>
            </w:r>
            <w:r>
              <w:rPr>
                <w:rFonts w:hint="eastAsia" w:ascii="Times New Roman" w:hAnsi="Times New Roman" w:cs="Times New Roman"/>
                <w:color w:val="FF0000"/>
                <w:sz w:val="24"/>
                <w:highlight w:val="none"/>
                <w:vertAlign w:val="subscript"/>
                <w:lang w:val="en-US" w:eastAsia="zh-CN"/>
              </w:rPr>
              <w:t>1</w:t>
            </w:r>
          </w:p>
          <w:p>
            <w:pPr>
              <w:adjustRightInd w:val="0"/>
              <w:snapToGrid w:val="0"/>
              <w:spacing w:line="480" w:lineRule="exact"/>
              <w:ind w:firstLine="480" w:firstLineChars="20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式中：Q：吸风量m</w:t>
            </w:r>
            <w:r>
              <w:rPr>
                <w:rFonts w:hint="default" w:ascii="Times New Roman" w:hAnsi="Times New Roman" w:cs="Times New Roman"/>
                <w:color w:val="FF0000"/>
                <w:kern w:val="0"/>
                <w:sz w:val="24"/>
                <w:highlight w:val="none"/>
                <w:vertAlign w:val="superscript"/>
              </w:rPr>
              <w:t>3</w:t>
            </w:r>
            <w:r>
              <w:rPr>
                <w:rFonts w:hint="default" w:ascii="Times New Roman" w:hAnsi="Times New Roman" w:cs="Times New Roman"/>
                <w:color w:val="FF0000"/>
                <w:kern w:val="0"/>
                <w:sz w:val="24"/>
                <w:highlight w:val="none"/>
              </w:rPr>
              <w:t>/h；</w:t>
            </w:r>
          </w:p>
          <w:p>
            <w:pPr>
              <w:adjustRightInd w:val="0"/>
              <w:snapToGrid w:val="0"/>
              <w:spacing w:line="480" w:lineRule="exact"/>
              <w:ind w:firstLine="1200" w:firstLineChars="500"/>
              <w:rPr>
                <w:rFonts w:hint="default" w:ascii="Times New Roman" w:hAnsi="Times New Roman" w:cs="Times New Roman"/>
                <w:color w:val="FF0000"/>
                <w:kern w:val="0"/>
                <w:sz w:val="24"/>
                <w:highlight w:val="none"/>
              </w:rPr>
            </w:pPr>
            <w:r>
              <w:rPr>
                <w:rFonts w:hint="eastAsia" w:ascii="Times New Roman" w:hAnsi="Times New Roman" w:eastAsia="宋体" w:cs="Times New Roman"/>
                <w:color w:val="FF0000"/>
                <w:kern w:val="0"/>
                <w:sz w:val="24"/>
                <w:szCs w:val="24"/>
                <w:highlight w:val="none"/>
                <w:lang w:val="en-US" w:eastAsia="zh-CN"/>
              </w:rPr>
              <w:t>A</w:t>
            </w:r>
            <w:r>
              <w:rPr>
                <w:rFonts w:hint="default" w:ascii="Times New Roman" w:hAnsi="Times New Roman" w:eastAsia="宋体" w:cs="Times New Roman"/>
                <w:color w:val="FF0000"/>
                <w:kern w:val="0"/>
                <w:sz w:val="24"/>
                <w:szCs w:val="24"/>
                <w:highlight w:val="none"/>
              </w:rPr>
              <w:t>：罩口</w:t>
            </w:r>
            <w:r>
              <w:rPr>
                <w:rFonts w:hint="eastAsia" w:ascii="Times New Roman" w:hAnsi="Times New Roman" w:eastAsia="宋体" w:cs="Times New Roman"/>
                <w:color w:val="FF0000"/>
                <w:kern w:val="0"/>
                <w:sz w:val="24"/>
                <w:szCs w:val="24"/>
                <w:highlight w:val="none"/>
                <w:lang w:eastAsia="zh-CN"/>
              </w:rPr>
              <w:t>面积</w:t>
            </w:r>
            <w:r>
              <w:rPr>
                <w:rFonts w:hint="default" w:ascii="Times New Roman" w:hAnsi="Times New Roman" w:eastAsia="宋体" w:cs="Times New Roman"/>
                <w:color w:val="FF0000"/>
                <w:kern w:val="0"/>
                <w:sz w:val="24"/>
                <w:szCs w:val="24"/>
                <w:highlight w:val="none"/>
              </w:rPr>
              <w:t>，m</w:t>
            </w:r>
            <w:r>
              <w:rPr>
                <w:rFonts w:hint="default" w:ascii="Times New Roman" w:hAnsi="Times New Roman" w:eastAsia="宋体" w:cs="Times New Roman"/>
                <w:color w:val="FF0000"/>
                <w:kern w:val="0"/>
                <w:sz w:val="24"/>
                <w:szCs w:val="24"/>
                <w:highlight w:val="none"/>
                <w:vertAlign w:val="superscript"/>
              </w:rPr>
              <w:t>2</w:t>
            </w:r>
            <w:r>
              <w:rPr>
                <w:rFonts w:hint="default" w:ascii="Times New Roman" w:hAnsi="Times New Roman" w:cs="Times New Roman"/>
                <w:color w:val="FF0000"/>
                <w:sz w:val="24"/>
                <w:highlight w:val="none"/>
              </w:rPr>
              <w:t>；</w:t>
            </w:r>
          </w:p>
          <w:p>
            <w:pPr>
              <w:adjustRightInd w:val="0"/>
              <w:snapToGrid w:val="0"/>
              <w:spacing w:line="480" w:lineRule="exact"/>
              <w:ind w:firstLine="1200" w:firstLineChars="500"/>
              <w:rPr>
                <w:rFonts w:hint="default" w:ascii="Times New Roman" w:hAnsi="Times New Roman" w:cs="Times New Roman"/>
                <w:color w:val="FF0000"/>
                <w:kern w:val="0"/>
                <w:sz w:val="24"/>
                <w:highlight w:val="none"/>
              </w:rPr>
            </w:pPr>
            <w:r>
              <w:rPr>
                <w:rFonts w:hint="default" w:ascii="Times New Roman" w:hAnsi="Times New Roman" w:cs="Times New Roman"/>
                <w:color w:val="FF0000"/>
                <w:sz w:val="24"/>
                <w:highlight w:val="none"/>
              </w:rPr>
              <w:t>V</w:t>
            </w:r>
            <w:r>
              <w:rPr>
                <w:rFonts w:hint="default" w:ascii="Times New Roman" w:hAnsi="Times New Roman" w:cs="Times New Roman"/>
                <w:color w:val="FF0000"/>
                <w:sz w:val="24"/>
                <w:highlight w:val="none"/>
                <w:vertAlign w:val="subscript"/>
              </w:rPr>
              <w:t>p</w:t>
            </w:r>
            <w:r>
              <w:rPr>
                <w:rFonts w:hint="eastAsia" w:ascii="Times New Roman" w:hAnsi="Times New Roman" w:cs="Times New Roman"/>
                <w:color w:val="FF0000"/>
                <w:sz w:val="24"/>
                <w:highlight w:val="none"/>
                <w:vertAlign w:val="subscript"/>
                <w:lang w:val="en-US" w:eastAsia="zh-CN"/>
              </w:rPr>
              <w:t>1</w:t>
            </w:r>
            <w:r>
              <w:rPr>
                <w:rFonts w:hint="default" w:ascii="Times New Roman" w:hAnsi="Times New Roman" w:cs="Times New Roman"/>
                <w:color w:val="FF0000"/>
                <w:sz w:val="24"/>
                <w:highlight w:val="none"/>
              </w:rPr>
              <w:t>：罩口周边截面上的平均风速m/s</w:t>
            </w:r>
            <w:r>
              <w:rPr>
                <w:rFonts w:hint="default" w:ascii="Times New Roman" w:hAnsi="Times New Roman" w:cs="Times New Roman"/>
                <w:color w:val="FF0000"/>
                <w:kern w:val="0"/>
                <w:sz w:val="24"/>
                <w:highlight w:val="none"/>
              </w:rPr>
              <w:t>，本次取</w:t>
            </w:r>
            <w:r>
              <w:rPr>
                <w:rFonts w:hint="default" w:ascii="Times New Roman" w:hAnsi="Times New Roman" w:cs="Times New Roman"/>
                <w:color w:val="FF0000"/>
                <w:kern w:val="0"/>
                <w:sz w:val="24"/>
                <w:highlight w:val="none"/>
                <w:lang w:val="en-US" w:eastAsia="zh-CN"/>
              </w:rPr>
              <w:t>0.8</w:t>
            </w:r>
            <w:r>
              <w:rPr>
                <w:rFonts w:hint="default" w:ascii="Times New Roman" w:hAnsi="Times New Roman" w:cs="Times New Roman"/>
                <w:color w:val="FF0000"/>
                <w:kern w:val="0"/>
                <w:sz w:val="24"/>
                <w:highlight w:val="none"/>
              </w:rPr>
              <w:t>m/s，风损约10%~20%，本次取</w:t>
            </w:r>
            <w:r>
              <w:rPr>
                <w:rFonts w:hint="eastAsia" w:ascii="Times New Roman" w:hAnsi="Times New Roman" w:cs="Times New Roman"/>
                <w:color w:val="FF0000"/>
                <w:kern w:val="0"/>
                <w:sz w:val="24"/>
                <w:highlight w:val="none"/>
                <w:lang w:val="en-US" w:eastAsia="zh-CN"/>
              </w:rPr>
              <w:t>20</w:t>
            </w:r>
            <w:r>
              <w:rPr>
                <w:rFonts w:hint="default" w:ascii="Times New Roman" w:hAnsi="Times New Roman" w:cs="Times New Roman"/>
                <w:color w:val="FF0000"/>
                <w:kern w:val="0"/>
                <w:sz w:val="24"/>
                <w:highlight w:val="none"/>
              </w:rPr>
              <w:t>%。</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6</w:t>
            </w:r>
            <w:r>
              <w:rPr>
                <w:rFonts w:hint="eastAsia" w:ascii="Times New Roman" w:eastAsia="宋体" w:cs="Times New Roman"/>
                <w:b/>
                <w:bCs/>
                <w:color w:val="auto"/>
                <w:highlight w:val="none"/>
              </w:rPr>
              <w:t xml:space="preserve">  集气罩面积、风速、风量、风损情况一览表</w:t>
            </w:r>
          </w:p>
          <w:tbl>
            <w:tblPr>
              <w:tblStyle w:val="32"/>
              <w:tblW w:w="490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067"/>
              <w:gridCol w:w="1349"/>
              <w:gridCol w:w="910"/>
              <w:gridCol w:w="1092"/>
              <w:gridCol w:w="1975"/>
              <w:gridCol w:w="7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226" w:hRule="atLeast"/>
                <w:jc w:val="center"/>
              </w:trPr>
              <w:tc>
                <w:tcPr>
                  <w:tcW w:w="1261" w:type="pct"/>
                  <w:vAlign w:val="center"/>
                </w:tcPr>
                <w:p>
                  <w:pPr>
                    <w:pStyle w:val="42"/>
                    <w:jc w:val="center"/>
                    <w:rPr>
                      <w:rFonts w:ascii="Times New Roman" w:eastAsia="宋体" w:cs="Times New Roman"/>
                      <w:color w:val="FF0000"/>
                      <w:sz w:val="21"/>
                      <w:szCs w:val="21"/>
                      <w:highlight w:val="none"/>
                    </w:rPr>
                  </w:pPr>
                  <w:r>
                    <w:rPr>
                      <w:rFonts w:ascii="Times New Roman" w:eastAsia="宋体" w:cs="Times New Roman"/>
                      <w:color w:val="FF0000"/>
                      <w:sz w:val="21"/>
                      <w:szCs w:val="21"/>
                      <w:highlight w:val="none"/>
                    </w:rPr>
                    <w:t>构筑物</w:t>
                  </w:r>
                </w:p>
              </w:tc>
              <w:tc>
                <w:tcPr>
                  <w:tcW w:w="823" w:type="pct"/>
                  <w:vAlign w:val="center"/>
                </w:tcPr>
                <w:p>
                  <w:pPr>
                    <w:pStyle w:val="42"/>
                    <w:jc w:val="center"/>
                    <w:rPr>
                      <w:rFonts w:ascii="Times New Roman" w:eastAsia="宋体" w:cs="Times New Roman"/>
                      <w:b w:val="0"/>
                      <w:bCs w:val="0"/>
                      <w:color w:val="FF0000"/>
                      <w:sz w:val="21"/>
                      <w:szCs w:val="21"/>
                      <w:highlight w:val="none"/>
                    </w:rPr>
                  </w:pPr>
                  <w:r>
                    <w:rPr>
                      <w:rFonts w:hint="eastAsia" w:ascii="Times New Roman" w:eastAsia="宋体" w:cs="Times New Roman"/>
                      <w:b w:val="0"/>
                      <w:bCs w:val="0"/>
                      <w:color w:val="FF0000"/>
                      <w:sz w:val="21"/>
                      <w:szCs w:val="21"/>
                      <w:highlight w:val="none"/>
                    </w:rPr>
                    <w:t>集气罩尺寸(m)</w:t>
                  </w:r>
                </w:p>
              </w:tc>
              <w:tc>
                <w:tcPr>
                  <w:tcW w:w="555" w:type="pct"/>
                  <w:vAlign w:val="center"/>
                </w:tcPr>
                <w:p>
                  <w:pPr>
                    <w:pStyle w:val="42"/>
                    <w:jc w:val="center"/>
                    <w:rPr>
                      <w:rFonts w:hint="eastAsia" w:ascii="Times New Roman" w:eastAsia="宋体" w:cs="Times New Roman"/>
                      <w:b w:val="0"/>
                      <w:bCs w:val="0"/>
                      <w:color w:val="FF0000"/>
                      <w:sz w:val="21"/>
                      <w:szCs w:val="21"/>
                      <w:highlight w:val="none"/>
                    </w:rPr>
                  </w:pPr>
                  <w:r>
                    <w:rPr>
                      <w:rFonts w:hint="eastAsia" w:ascii="Times New Roman" w:eastAsia="宋体" w:cs="Times New Roman"/>
                      <w:b w:val="0"/>
                      <w:bCs w:val="0"/>
                      <w:color w:val="FF0000"/>
                      <w:sz w:val="21"/>
                      <w:szCs w:val="21"/>
                    </w:rPr>
                    <w:t>风管直径(m)</w:t>
                  </w:r>
                </w:p>
              </w:tc>
              <w:tc>
                <w:tcPr>
                  <w:tcW w:w="666" w:type="pct"/>
                  <w:vAlign w:val="center"/>
                </w:tcPr>
                <w:p>
                  <w:pPr>
                    <w:pStyle w:val="42"/>
                    <w:jc w:val="center"/>
                    <w:rPr>
                      <w:rFonts w:ascii="Times New Roman" w:eastAsia="宋体" w:cs="Times New Roman"/>
                      <w:color w:val="FF0000"/>
                      <w:sz w:val="21"/>
                      <w:szCs w:val="21"/>
                      <w:highlight w:val="none"/>
                    </w:rPr>
                  </w:pPr>
                  <w:r>
                    <w:rPr>
                      <w:rFonts w:hint="eastAsia" w:ascii="Times New Roman" w:eastAsia="宋体" w:cs="Times New Roman"/>
                      <w:color w:val="FF0000"/>
                      <w:sz w:val="21"/>
                      <w:szCs w:val="21"/>
                      <w:highlight w:val="none"/>
                    </w:rPr>
                    <w:t>风速(m/s)</w:t>
                  </w:r>
                </w:p>
              </w:tc>
              <w:tc>
                <w:tcPr>
                  <w:tcW w:w="1205" w:type="pct"/>
                  <w:vAlign w:val="center"/>
                </w:tcPr>
                <w:p>
                  <w:pPr>
                    <w:pStyle w:val="42"/>
                    <w:jc w:val="center"/>
                    <w:rPr>
                      <w:rFonts w:ascii="Times New Roman" w:eastAsia="宋体" w:cs="Times New Roman"/>
                      <w:color w:val="FF0000"/>
                      <w:sz w:val="21"/>
                      <w:szCs w:val="21"/>
                      <w:highlight w:val="none"/>
                    </w:rPr>
                  </w:pPr>
                  <w:r>
                    <w:rPr>
                      <w:rFonts w:ascii="Times New Roman" w:eastAsia="宋体" w:cs="Times New Roman"/>
                      <w:color w:val="FF0000"/>
                      <w:sz w:val="21"/>
                      <w:szCs w:val="21"/>
                      <w:highlight w:val="none"/>
                    </w:rPr>
                    <w:t>分配风量(m</w:t>
                  </w:r>
                  <w:r>
                    <w:rPr>
                      <w:rFonts w:ascii="Times New Roman" w:eastAsia="宋体" w:cs="Times New Roman"/>
                      <w:color w:val="FF0000"/>
                      <w:sz w:val="21"/>
                      <w:szCs w:val="21"/>
                      <w:highlight w:val="none"/>
                      <w:vertAlign w:val="superscript"/>
                    </w:rPr>
                    <w:t>3</w:t>
                  </w:r>
                  <w:r>
                    <w:rPr>
                      <w:rFonts w:ascii="Times New Roman" w:eastAsia="宋体" w:cs="Times New Roman"/>
                      <w:color w:val="FF0000"/>
                      <w:sz w:val="21"/>
                      <w:szCs w:val="21"/>
                      <w:highlight w:val="none"/>
                    </w:rPr>
                    <w:t>/h)</w:t>
                  </w:r>
                </w:p>
              </w:tc>
              <w:tc>
                <w:tcPr>
                  <w:tcW w:w="487" w:type="pct"/>
                  <w:tcBorders>
                    <w:right w:val="nil"/>
                  </w:tcBorders>
                  <w:vAlign w:val="center"/>
                </w:tcPr>
                <w:p>
                  <w:pPr>
                    <w:pStyle w:val="42"/>
                    <w:jc w:val="center"/>
                    <w:rPr>
                      <w:rFonts w:ascii="Times New Roman" w:eastAsia="宋体" w:cs="Times New Roman"/>
                      <w:color w:val="FF0000"/>
                      <w:sz w:val="21"/>
                      <w:szCs w:val="21"/>
                      <w:highlight w:val="none"/>
                    </w:rPr>
                  </w:pPr>
                  <w:r>
                    <w:rPr>
                      <w:rFonts w:ascii="Times New Roman" w:eastAsia="宋体" w:cs="Times New Roman"/>
                      <w:color w:val="FF0000"/>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1" w:type="pct"/>
                  <w:tcBorders>
                    <w:left w:val="nil"/>
                  </w:tcBorders>
                  <w:vAlign w:val="center"/>
                </w:tcPr>
                <w:p>
                  <w:pPr>
                    <w:pStyle w:val="42"/>
                    <w:jc w:val="center"/>
                    <w:rPr>
                      <w:rFonts w:hint="eastAsia" w:ascii="Times New Roman" w:eastAsia="宋体" w:cs="Times New Roman"/>
                      <w:color w:val="FF0000"/>
                      <w:sz w:val="21"/>
                      <w:szCs w:val="21"/>
                      <w:highlight w:val="none"/>
                      <w:lang w:eastAsia="zh-CN"/>
                    </w:rPr>
                  </w:pPr>
                  <w:r>
                    <w:rPr>
                      <w:rFonts w:hint="eastAsia" w:ascii="Times New Roman" w:eastAsia="宋体" w:cs="Times New Roman"/>
                      <w:color w:val="FF0000"/>
                      <w:sz w:val="21"/>
                      <w:szCs w:val="21"/>
                      <w:highlight w:val="none"/>
                      <w:lang w:val="en-US" w:eastAsia="zh-CN"/>
                    </w:rPr>
                    <w:t>落砂</w:t>
                  </w:r>
                </w:p>
              </w:tc>
              <w:tc>
                <w:tcPr>
                  <w:tcW w:w="823" w:type="pct"/>
                  <w:vAlign w:val="center"/>
                </w:tcPr>
                <w:p>
                  <w:pPr>
                    <w:widowControl/>
                    <w:jc w:val="center"/>
                    <w:textAlignment w:val="center"/>
                    <w:rPr>
                      <w:rFonts w:hint="eastAsia" w:eastAsia="宋体"/>
                      <w:color w:val="FF0000"/>
                      <w:szCs w:val="21"/>
                      <w:highlight w:val="none"/>
                      <w:lang w:val="en-US" w:eastAsia="zh-CN"/>
                    </w:rPr>
                  </w:pPr>
                  <w:r>
                    <w:rPr>
                      <w:rFonts w:hint="eastAsia"/>
                      <w:color w:val="FF0000"/>
                      <w:szCs w:val="21"/>
                      <w:highlight w:val="none"/>
                      <w:lang w:val="en-US" w:eastAsia="zh-CN"/>
                    </w:rPr>
                    <w:t>2</w:t>
                  </w:r>
                  <w:r>
                    <w:rPr>
                      <w:rFonts w:hint="eastAsia"/>
                      <w:color w:val="FF0000"/>
                      <w:szCs w:val="21"/>
                      <w:highlight w:val="none"/>
                    </w:rPr>
                    <w:t>×</w:t>
                  </w:r>
                  <w:r>
                    <w:rPr>
                      <w:rFonts w:hint="eastAsia"/>
                      <w:color w:val="FF0000"/>
                      <w:szCs w:val="21"/>
                      <w:highlight w:val="none"/>
                      <w:lang w:val="en-US" w:eastAsia="zh-CN"/>
                    </w:rPr>
                    <w:t>2</w:t>
                  </w:r>
                </w:p>
              </w:tc>
              <w:tc>
                <w:tcPr>
                  <w:tcW w:w="555" w:type="pct"/>
                  <w:vAlign w:val="center"/>
                </w:tcPr>
                <w:p>
                  <w:pPr>
                    <w:widowControl/>
                    <w:jc w:val="center"/>
                    <w:textAlignment w:val="center"/>
                    <w:rPr>
                      <w:rFonts w:hint="default"/>
                      <w:color w:val="FF0000"/>
                      <w:szCs w:val="21"/>
                      <w:highlight w:val="none"/>
                      <w:lang w:val="en-US" w:eastAsia="zh-CN"/>
                    </w:rPr>
                  </w:pPr>
                  <w:r>
                    <w:rPr>
                      <w:rFonts w:hint="eastAsia"/>
                      <w:color w:val="FF0000"/>
                      <w:szCs w:val="21"/>
                      <w:highlight w:val="none"/>
                      <w:lang w:val="en-US" w:eastAsia="zh-CN"/>
                    </w:rPr>
                    <w:t>/</w:t>
                  </w:r>
                </w:p>
              </w:tc>
              <w:tc>
                <w:tcPr>
                  <w:tcW w:w="666" w:type="pct"/>
                  <w:vAlign w:val="center"/>
                </w:tcPr>
                <w:p>
                  <w:pPr>
                    <w:widowControl/>
                    <w:jc w:val="center"/>
                    <w:textAlignment w:val="center"/>
                    <w:rPr>
                      <w:color w:val="FF0000"/>
                      <w:szCs w:val="21"/>
                      <w:highlight w:val="none"/>
                    </w:rPr>
                  </w:pPr>
                  <w:r>
                    <w:rPr>
                      <w:rFonts w:hint="eastAsia"/>
                      <w:color w:val="FF0000"/>
                      <w:szCs w:val="21"/>
                      <w:highlight w:val="none"/>
                    </w:rPr>
                    <w:t>1.0</w:t>
                  </w:r>
                </w:p>
              </w:tc>
              <w:tc>
                <w:tcPr>
                  <w:tcW w:w="1205" w:type="pct"/>
                  <w:vAlign w:val="center"/>
                </w:tcPr>
                <w:p>
                  <w:pPr>
                    <w:widowControl/>
                    <w:jc w:val="center"/>
                    <w:textAlignment w:val="center"/>
                    <w:rPr>
                      <w:rFonts w:hint="default" w:eastAsia="宋体"/>
                      <w:color w:val="FF0000"/>
                      <w:szCs w:val="21"/>
                      <w:highlight w:val="none"/>
                      <w:lang w:val="en-US" w:eastAsia="zh-CN"/>
                    </w:rPr>
                  </w:pPr>
                  <w:r>
                    <w:rPr>
                      <w:rFonts w:hint="eastAsia" w:eastAsia="宋体"/>
                      <w:color w:val="FF0000"/>
                      <w:szCs w:val="21"/>
                      <w:highlight w:val="none"/>
                      <w:lang w:val="en-US" w:eastAsia="zh-CN"/>
                    </w:rPr>
                    <w:t>14400</w:t>
                  </w:r>
                </w:p>
              </w:tc>
              <w:tc>
                <w:tcPr>
                  <w:tcW w:w="487" w:type="pct"/>
                  <w:tcBorders>
                    <w:right w:val="nil"/>
                  </w:tcBorders>
                  <w:vAlign w:val="center"/>
                </w:tcPr>
                <w:p>
                  <w:pPr>
                    <w:widowControl/>
                    <w:jc w:val="center"/>
                    <w:textAlignment w:val="center"/>
                    <w:rPr>
                      <w:color w:val="FF0000"/>
                      <w:szCs w:val="21"/>
                      <w:highlight w:val="none"/>
                    </w:rPr>
                  </w:pPr>
                  <w:r>
                    <w:rPr>
                      <w:color w:val="FF0000"/>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1" w:type="pct"/>
                  <w:tcBorders>
                    <w:left w:val="nil"/>
                  </w:tcBorders>
                  <w:vAlign w:val="center"/>
                </w:tcPr>
                <w:p>
                  <w:pPr>
                    <w:pStyle w:val="42"/>
                    <w:jc w:val="center"/>
                    <w:rPr>
                      <w:rFonts w:hint="eastAsia" w:ascii="Times New Roman" w:hAnsi="Times New Roman" w:eastAsia="宋体" w:cs="Times New Roman"/>
                      <w:color w:val="FF0000"/>
                      <w:sz w:val="21"/>
                      <w:szCs w:val="21"/>
                      <w:highlight w:val="none"/>
                    </w:rPr>
                  </w:pPr>
                  <w:r>
                    <w:rPr>
                      <w:rFonts w:hint="eastAsia" w:ascii="Times New Roman" w:hAnsi="Times New Roman" w:eastAsia="宋体" w:cs="Times New Roman"/>
                      <w:color w:val="FF0000"/>
                      <w:sz w:val="21"/>
                      <w:szCs w:val="21"/>
                      <w:highlight w:val="none"/>
                      <w:lang w:val="en-US" w:eastAsia="zh-CN"/>
                    </w:rPr>
                    <w:t>砂冷却系统、</w:t>
                  </w:r>
                  <w:r>
                    <w:rPr>
                      <w:rFonts w:hint="default" w:ascii="Times New Roman" w:hAnsi="Times New Roman" w:eastAsia="宋体" w:cs="Times New Roman"/>
                      <w:color w:val="FF0000"/>
                      <w:sz w:val="21"/>
                      <w:szCs w:val="21"/>
                      <w:highlight w:val="none"/>
                      <w:lang w:val="en-US" w:eastAsia="zh-CN"/>
                    </w:rPr>
                    <w:t>筛砂机、提升机、混砂机、砂仓</w:t>
                  </w:r>
                  <w:r>
                    <w:rPr>
                      <w:rFonts w:hint="eastAsia" w:ascii="Times New Roman" w:hAnsi="Times New Roman" w:eastAsia="宋体" w:cs="Times New Roman"/>
                      <w:color w:val="FF0000"/>
                      <w:sz w:val="21"/>
                      <w:szCs w:val="21"/>
                      <w:highlight w:val="none"/>
                      <w:lang w:val="en-US" w:eastAsia="zh-CN"/>
                    </w:rPr>
                    <w:t>、铸件清理区域</w:t>
                  </w:r>
                </w:p>
              </w:tc>
              <w:tc>
                <w:tcPr>
                  <w:tcW w:w="823" w:type="pct"/>
                  <w:vAlign w:val="center"/>
                </w:tcPr>
                <w:p>
                  <w:pPr>
                    <w:pStyle w:val="42"/>
                    <w:jc w:val="center"/>
                    <w:rPr>
                      <w:rFonts w:hint="eastAsia" w:ascii="Times New Roman" w:hAnsi="Times New Roman" w:eastAsia="宋体" w:cs="Times New Roman"/>
                      <w:color w:val="FF0000"/>
                      <w:sz w:val="21"/>
                      <w:szCs w:val="21"/>
                      <w:highlight w:val="none"/>
                    </w:rPr>
                  </w:pPr>
                  <w:r>
                    <w:rPr>
                      <w:rFonts w:hint="eastAsia" w:ascii="Times New Roman" w:hAnsi="Times New Roman" w:eastAsia="宋体" w:cs="Times New Roman"/>
                      <w:color w:val="FF0000"/>
                      <w:sz w:val="21"/>
                      <w:szCs w:val="21"/>
                      <w:highlight w:val="none"/>
                    </w:rPr>
                    <w:t>/</w:t>
                  </w:r>
                </w:p>
              </w:tc>
              <w:tc>
                <w:tcPr>
                  <w:tcW w:w="555" w:type="pct"/>
                  <w:vAlign w:val="center"/>
                </w:tcPr>
                <w:p>
                  <w:pPr>
                    <w:widowControl/>
                    <w:jc w:val="center"/>
                    <w:textAlignment w:val="center"/>
                    <w:rPr>
                      <w:rFonts w:hint="default" w:eastAsia="宋体"/>
                      <w:color w:val="FF0000"/>
                      <w:szCs w:val="21"/>
                      <w:highlight w:val="none"/>
                      <w:lang w:val="en-US" w:eastAsia="zh-CN"/>
                    </w:rPr>
                  </w:pPr>
                  <w:r>
                    <w:rPr>
                      <w:rFonts w:hint="eastAsia"/>
                      <w:color w:val="FF0000"/>
                      <w:szCs w:val="21"/>
                      <w:highlight w:val="none"/>
                      <w:lang w:val="en-US" w:eastAsia="zh-CN"/>
                    </w:rPr>
                    <w:t>0.1</w:t>
                  </w:r>
                </w:p>
              </w:tc>
              <w:tc>
                <w:tcPr>
                  <w:tcW w:w="666" w:type="pct"/>
                  <w:vAlign w:val="center"/>
                </w:tcPr>
                <w:p>
                  <w:pPr>
                    <w:widowControl/>
                    <w:jc w:val="center"/>
                    <w:textAlignment w:val="center"/>
                    <w:rPr>
                      <w:rFonts w:hint="default" w:eastAsia="宋体"/>
                      <w:color w:val="FF0000"/>
                      <w:szCs w:val="21"/>
                      <w:highlight w:val="none"/>
                      <w:lang w:val="en-US" w:eastAsia="zh-CN"/>
                    </w:rPr>
                  </w:pPr>
                  <w:r>
                    <w:rPr>
                      <w:rFonts w:hint="eastAsia"/>
                      <w:color w:val="FF0000"/>
                      <w:szCs w:val="21"/>
                      <w:highlight w:val="none"/>
                      <w:lang w:val="en-US" w:eastAsia="zh-CN"/>
                    </w:rPr>
                    <w:t>16</w:t>
                  </w:r>
                </w:p>
              </w:tc>
              <w:tc>
                <w:tcPr>
                  <w:tcW w:w="1205" w:type="pct"/>
                  <w:vAlign w:val="center"/>
                </w:tcPr>
                <w:p>
                  <w:pPr>
                    <w:widowControl/>
                    <w:jc w:val="center"/>
                    <w:textAlignment w:val="center"/>
                    <w:rPr>
                      <w:rFonts w:hint="default" w:eastAsia="宋体"/>
                      <w:color w:val="FF0000"/>
                      <w:szCs w:val="21"/>
                      <w:highlight w:val="none"/>
                      <w:lang w:val="en-US" w:eastAsia="zh-CN"/>
                    </w:rPr>
                  </w:pPr>
                  <w:r>
                    <w:rPr>
                      <w:rFonts w:hint="eastAsia"/>
                      <w:color w:val="FF0000"/>
                      <w:szCs w:val="21"/>
                      <w:highlight w:val="none"/>
                      <w:lang w:val="en-US" w:eastAsia="zh-CN"/>
                    </w:rPr>
                    <w:t>452.16</w:t>
                  </w:r>
                </w:p>
              </w:tc>
              <w:tc>
                <w:tcPr>
                  <w:tcW w:w="487" w:type="pct"/>
                  <w:tcBorders>
                    <w:right w:val="nil"/>
                  </w:tcBorders>
                  <w:vAlign w:val="center"/>
                </w:tcPr>
                <w:p>
                  <w:pPr>
                    <w:widowControl/>
                    <w:jc w:val="center"/>
                    <w:textAlignment w:val="center"/>
                    <w:rPr>
                      <w:rFonts w:hint="eastAsia" w:eastAsia="宋体"/>
                      <w:color w:val="FF0000"/>
                      <w:szCs w:val="21"/>
                      <w:highlight w:val="none"/>
                      <w:lang w:eastAsia="zh-CN"/>
                    </w:rPr>
                  </w:pPr>
                  <w:r>
                    <w:rPr>
                      <w:rFonts w:hint="eastAsia"/>
                      <w:color w:val="FF0000"/>
                      <w:szCs w:val="21"/>
                      <w:highlight w:val="none"/>
                      <w:lang w:val="en-US" w:eastAsia="zh-CN"/>
                    </w:rPr>
                    <w:t>8</w:t>
                  </w:r>
                </w:p>
              </w:tc>
            </w:tr>
          </w:tbl>
          <w:p>
            <w:pPr>
              <w:adjustRightInd w:val="0"/>
              <w:snapToGrid w:val="0"/>
              <w:spacing w:line="480" w:lineRule="exact"/>
              <w:ind w:firstLine="480" w:firstLineChars="200"/>
              <w:rPr>
                <w:color w:val="FF0000"/>
                <w:sz w:val="24"/>
              </w:rPr>
            </w:pPr>
            <w:r>
              <w:rPr>
                <w:rFonts w:hint="eastAsia"/>
                <w:bCs/>
                <w:color w:val="FF0000"/>
                <w:sz w:val="24"/>
              </w:rPr>
              <w:t>据此核算，所需风量为</w:t>
            </w:r>
            <w:r>
              <w:rPr>
                <w:rFonts w:hint="eastAsia"/>
                <w:bCs/>
                <w:color w:val="FF0000"/>
                <w:sz w:val="24"/>
                <w:lang w:val="en-US" w:eastAsia="zh-CN"/>
              </w:rPr>
              <w:t>22521.6</w:t>
            </w:r>
            <w:r>
              <w:rPr>
                <w:bCs/>
                <w:color w:val="FF0000"/>
                <w:sz w:val="24"/>
              </w:rPr>
              <w:t>m</w:t>
            </w:r>
            <w:r>
              <w:rPr>
                <w:bCs/>
                <w:color w:val="FF0000"/>
                <w:sz w:val="24"/>
                <w:vertAlign w:val="superscript"/>
              </w:rPr>
              <w:t>3</w:t>
            </w:r>
            <w:r>
              <w:rPr>
                <w:bCs/>
                <w:color w:val="FF0000"/>
                <w:sz w:val="24"/>
              </w:rPr>
              <w:t>/h</w:t>
            </w:r>
            <w:r>
              <w:rPr>
                <w:rFonts w:hint="eastAsia"/>
                <w:bCs/>
                <w:color w:val="FF0000"/>
                <w:sz w:val="24"/>
              </w:rPr>
              <w:t>，</w:t>
            </w:r>
            <w:r>
              <w:rPr>
                <w:bCs/>
                <w:color w:val="FF0000"/>
                <w:sz w:val="24"/>
              </w:rPr>
              <w:t>风机设计风量</w:t>
            </w:r>
            <w:r>
              <w:rPr>
                <w:rFonts w:hint="eastAsia"/>
                <w:bCs/>
                <w:color w:val="FF0000"/>
                <w:sz w:val="24"/>
              </w:rPr>
              <w:t>为</w:t>
            </w:r>
            <w:r>
              <w:rPr>
                <w:rFonts w:hint="eastAsia"/>
                <w:color w:val="FF0000"/>
                <w:kern w:val="0"/>
                <w:sz w:val="24"/>
                <w:lang w:val="en-US" w:eastAsia="zh-CN" w:bidi="ar"/>
              </w:rPr>
              <w:t>23000</w:t>
            </w:r>
            <w:r>
              <w:rPr>
                <w:bCs/>
                <w:color w:val="FF0000"/>
                <w:sz w:val="24"/>
              </w:rPr>
              <w:t>m</w:t>
            </w:r>
            <w:r>
              <w:rPr>
                <w:bCs/>
                <w:color w:val="FF0000"/>
                <w:sz w:val="24"/>
                <w:vertAlign w:val="superscript"/>
              </w:rPr>
              <w:t>3</w:t>
            </w:r>
            <w:r>
              <w:rPr>
                <w:bCs/>
                <w:color w:val="FF0000"/>
                <w:sz w:val="24"/>
              </w:rPr>
              <w:t>/h</w:t>
            </w:r>
            <w:r>
              <w:rPr>
                <w:rFonts w:hint="eastAsia"/>
                <w:bCs/>
                <w:color w:val="FF0000"/>
                <w:sz w:val="24"/>
              </w:rPr>
              <w:t>，</w:t>
            </w:r>
            <w:r>
              <w:rPr>
                <w:rFonts w:hint="eastAsia"/>
                <w:color w:val="FF0000"/>
                <w:sz w:val="24"/>
              </w:rPr>
              <w:t>可满足生产需求。</w:t>
            </w:r>
          </w:p>
          <w:p>
            <w:pPr>
              <w:widowControl/>
              <w:autoSpaceDE w:val="0"/>
              <w:autoSpaceDN w:val="0"/>
              <w:adjustRightInd w:val="0"/>
              <w:spacing w:line="500" w:lineRule="exact"/>
              <w:ind w:firstLine="480" w:firstLineChars="200"/>
              <w:rPr>
                <w:color w:val="auto"/>
                <w:sz w:val="24"/>
              </w:rPr>
            </w:pPr>
            <w:r>
              <w:rPr>
                <w:rFonts w:hint="eastAsia"/>
                <w:sz w:val="24"/>
              </w:rPr>
              <w:t>生产工序年运行</w:t>
            </w:r>
            <w:r>
              <w:rPr>
                <w:rFonts w:hint="eastAsia"/>
                <w:color w:val="auto"/>
                <w:sz w:val="24"/>
              </w:rPr>
              <w:t>4800h，集气罩废气捕集效率为95%；脉冲布袋除尘器处理效率为99%。</w:t>
            </w:r>
          </w:p>
          <w:p>
            <w:pPr>
              <w:pStyle w:val="42"/>
              <w:spacing w:line="480" w:lineRule="exact"/>
              <w:jc w:val="center"/>
              <w:textAlignment w:val="auto"/>
              <w:rPr>
                <w:rFonts w:ascii="Times New Roman" w:eastAsia="宋体" w:cs="Times New Roman"/>
                <w:b/>
                <w:bCs/>
                <w:color w:val="auto"/>
              </w:rPr>
            </w:pPr>
            <w:r>
              <w:rPr>
                <w:rFonts w:ascii="Times New Roman" w:eastAsia="宋体" w:cs="Times New Roman"/>
                <w:b/>
                <w:bCs/>
                <w:color w:val="auto"/>
              </w:rPr>
              <w:t>表</w:t>
            </w:r>
            <w:r>
              <w:rPr>
                <w:rFonts w:hint="eastAsia" w:ascii="Times New Roman" w:eastAsia="宋体" w:cs="Times New Roman"/>
                <w:b/>
                <w:bCs/>
                <w:color w:val="auto"/>
              </w:rPr>
              <w:t>3</w:t>
            </w:r>
            <w:r>
              <w:rPr>
                <w:rFonts w:hint="eastAsia" w:ascii="Times New Roman" w:eastAsia="宋体" w:cs="Times New Roman"/>
                <w:b/>
                <w:bCs/>
                <w:color w:val="auto"/>
                <w:lang w:val="en-US" w:eastAsia="zh-CN"/>
              </w:rPr>
              <w:t>7</w:t>
            </w:r>
            <w:r>
              <w:rPr>
                <w:rFonts w:hint="eastAsia" w:ascii="Times New Roman" w:eastAsia="宋体" w:cs="Times New Roman"/>
                <w:b/>
                <w:bCs/>
                <w:color w:val="auto"/>
              </w:rPr>
              <w:t xml:space="preserve">    颗粒物产排情况一览表</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0" w:hRule="atLeast"/>
                <w:jc w:val="center"/>
              </w:trPr>
              <w:tc>
                <w:tcPr>
                  <w:tcW w:w="1267"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工序</w:t>
                  </w:r>
                </w:p>
              </w:tc>
              <w:tc>
                <w:tcPr>
                  <w:tcW w:w="846"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产生量（t/a）</w:t>
                  </w:r>
                </w:p>
              </w:tc>
              <w:tc>
                <w:tcPr>
                  <w:tcW w:w="1565"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引入脉冲布袋除尘器量（t/a）</w:t>
                  </w:r>
                </w:p>
              </w:tc>
              <w:tc>
                <w:tcPr>
                  <w:tcW w:w="1219"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未被捕集量（t/a）</w:t>
                  </w:r>
                </w:p>
              </w:tc>
              <w:tc>
                <w:tcPr>
                  <w:tcW w:w="1219"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处理后排放量（t/a）</w:t>
                  </w:r>
                </w:p>
              </w:tc>
              <w:tc>
                <w:tcPr>
                  <w:tcW w:w="1221" w:type="dxa"/>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年运行时间（h/a）</w:t>
                  </w:r>
                </w:p>
              </w:tc>
              <w:tc>
                <w:tcPr>
                  <w:tcW w:w="1010" w:type="dxa"/>
                  <w:tcBorders>
                    <w:right w:val="nil"/>
                  </w:tcBorders>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砂处理</w:t>
                  </w:r>
                </w:p>
              </w:tc>
              <w:tc>
                <w:tcPr>
                  <w:tcW w:w="846"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24.36</w:t>
                  </w:r>
                </w:p>
              </w:tc>
              <w:tc>
                <w:tcPr>
                  <w:tcW w:w="1565" w:type="dxa"/>
                  <w:vAlign w:val="center"/>
                </w:tcPr>
                <w:p>
                  <w:pPr>
                    <w:pStyle w:val="42"/>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23.142</w:t>
                  </w:r>
                </w:p>
              </w:tc>
              <w:tc>
                <w:tcPr>
                  <w:tcW w:w="1219" w:type="dxa"/>
                  <w:vAlign w:val="center"/>
                </w:tcPr>
                <w:p>
                  <w:pPr>
                    <w:pStyle w:val="42"/>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1.218</w:t>
                  </w:r>
                </w:p>
              </w:tc>
              <w:tc>
                <w:tcPr>
                  <w:tcW w:w="1219" w:type="dxa"/>
                  <w:vAlign w:val="center"/>
                </w:tcPr>
                <w:p>
                  <w:pPr>
                    <w:pStyle w:val="42"/>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0.231</w:t>
                  </w:r>
                </w:p>
              </w:tc>
              <w:tc>
                <w:tcPr>
                  <w:tcW w:w="1221" w:type="dxa"/>
                  <w:vAlign w:val="center"/>
                </w:tcPr>
                <w:p>
                  <w:pPr>
                    <w:pStyle w:val="42"/>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4800</w:t>
                  </w:r>
                </w:p>
              </w:tc>
              <w:tc>
                <w:tcPr>
                  <w:tcW w:w="1010" w:type="dxa"/>
                  <w:tcBorders>
                    <w:right w:val="nil"/>
                  </w:tcBorders>
                  <w:vAlign w:val="center"/>
                </w:tcPr>
                <w:p>
                  <w:pPr>
                    <w:pStyle w:val="42"/>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0.048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2"/>
                    <w:jc w:val="center"/>
                    <w:rPr>
                      <w:rFonts w:ascii="Times New Roman" w:eastAsia="宋体" w:cs="Times New Roman"/>
                      <w:color w:val="auto"/>
                      <w:sz w:val="21"/>
                      <w:szCs w:val="21"/>
                    </w:rPr>
                  </w:pPr>
                  <w:r>
                    <w:rPr>
                      <w:rFonts w:hint="eastAsia" w:ascii="Times New Roman" w:eastAsia="宋体" w:cs="Times New Roman"/>
                      <w:color w:val="auto"/>
                      <w:sz w:val="21"/>
                      <w:szCs w:val="21"/>
                    </w:rPr>
                    <w:t>混砂</w:t>
                  </w:r>
                </w:p>
              </w:tc>
              <w:tc>
                <w:tcPr>
                  <w:tcW w:w="846" w:type="dxa"/>
                  <w:vAlign w:val="center"/>
                </w:tcPr>
                <w:p>
                  <w:pPr>
                    <w:widowControl/>
                    <w:jc w:val="center"/>
                    <w:textAlignment w:val="center"/>
                    <w:rPr>
                      <w:rFonts w:hint="default" w:eastAsia="宋体"/>
                      <w:color w:val="auto"/>
                      <w:szCs w:val="21"/>
                      <w:lang w:val="en-US" w:eastAsia="zh-CN"/>
                    </w:rPr>
                  </w:pPr>
                  <w:r>
                    <w:rPr>
                      <w:rFonts w:hint="eastAsia"/>
                      <w:color w:val="auto"/>
                      <w:szCs w:val="21"/>
                      <w:lang w:val="en-US" w:eastAsia="zh-CN"/>
                    </w:rPr>
                    <w:t>3.92</w:t>
                  </w:r>
                </w:p>
              </w:tc>
              <w:tc>
                <w:tcPr>
                  <w:tcW w:w="1565" w:type="dxa"/>
                  <w:vAlign w:val="center"/>
                </w:tcPr>
                <w:p>
                  <w:pPr>
                    <w:pStyle w:val="42"/>
                    <w:jc w:val="center"/>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sz w:val="21"/>
                      <w:szCs w:val="21"/>
                      <w:lang w:val="en-US" w:eastAsia="zh-CN"/>
                    </w:rPr>
                    <w:t>3.724</w:t>
                  </w:r>
                </w:p>
              </w:tc>
              <w:tc>
                <w:tcPr>
                  <w:tcW w:w="1219" w:type="dxa"/>
                  <w:vAlign w:val="center"/>
                </w:tcPr>
                <w:p>
                  <w:pPr>
                    <w:pStyle w:val="42"/>
                    <w:jc w:val="center"/>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sz w:val="21"/>
                      <w:szCs w:val="21"/>
                      <w:lang w:val="en-US" w:eastAsia="zh-CN"/>
                    </w:rPr>
                    <w:t>0.196</w:t>
                  </w:r>
                </w:p>
              </w:tc>
              <w:tc>
                <w:tcPr>
                  <w:tcW w:w="1219" w:type="dxa"/>
                  <w:vAlign w:val="center"/>
                </w:tcPr>
                <w:p>
                  <w:pPr>
                    <w:pStyle w:val="42"/>
                    <w:jc w:val="center"/>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sz w:val="21"/>
                      <w:szCs w:val="21"/>
                      <w:lang w:val="en-US" w:eastAsia="zh-CN"/>
                    </w:rPr>
                    <w:t>0.037</w:t>
                  </w:r>
                </w:p>
              </w:tc>
              <w:tc>
                <w:tcPr>
                  <w:tcW w:w="1221" w:type="dxa"/>
                  <w:vAlign w:val="center"/>
                </w:tcPr>
                <w:p>
                  <w:pPr>
                    <w:pStyle w:val="42"/>
                    <w:jc w:val="center"/>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sz w:val="21"/>
                      <w:szCs w:val="21"/>
                      <w:lang w:val="en-US" w:eastAsia="zh-CN"/>
                    </w:rPr>
                    <w:t>4800</w:t>
                  </w:r>
                </w:p>
              </w:tc>
              <w:tc>
                <w:tcPr>
                  <w:tcW w:w="1010" w:type="dxa"/>
                  <w:tcBorders>
                    <w:right w:val="nil"/>
                  </w:tcBorders>
                  <w:vAlign w:val="center"/>
                </w:tcPr>
                <w:p>
                  <w:pPr>
                    <w:pStyle w:val="42"/>
                    <w:jc w:val="center"/>
                    <w:rPr>
                      <w:rFonts w:hint="default" w:ascii="Times New Roman" w:hAnsi="Times New Roman" w:eastAsia="宋体" w:cs="Times New Roman"/>
                      <w:color w:val="auto"/>
                      <w:kern w:val="2"/>
                      <w:sz w:val="21"/>
                      <w:szCs w:val="21"/>
                      <w:lang w:val="en-US" w:eastAsia="zh-CN" w:bidi="ar-SA"/>
                    </w:rPr>
                  </w:pPr>
                  <w:r>
                    <w:rPr>
                      <w:rFonts w:hint="eastAsia" w:ascii="Times New Roman" w:eastAsia="宋体" w:cs="Times New Roman"/>
                      <w:color w:val="auto"/>
                      <w:sz w:val="21"/>
                      <w:szCs w:val="21"/>
                      <w:lang w:val="en-US" w:eastAsia="zh-CN"/>
                    </w:rPr>
                    <w:t>0.008</w:t>
                  </w:r>
                </w:p>
              </w:tc>
            </w:tr>
          </w:tbl>
          <w:p>
            <w:pPr>
              <w:widowControl/>
              <w:autoSpaceDE w:val="0"/>
              <w:autoSpaceDN w:val="0"/>
              <w:adjustRightInd w:val="0"/>
              <w:spacing w:line="500" w:lineRule="exact"/>
              <w:ind w:firstLine="480" w:firstLineChars="200"/>
              <w:rPr>
                <w:color w:val="auto"/>
                <w:sz w:val="24"/>
              </w:rPr>
            </w:pPr>
            <w:r>
              <w:rPr>
                <w:rFonts w:hint="eastAsia"/>
                <w:color w:val="auto"/>
                <w:sz w:val="24"/>
              </w:rPr>
              <w:t>经分析</w:t>
            </w:r>
            <w:r>
              <w:rPr>
                <w:rFonts w:hint="eastAsia"/>
                <w:color w:val="auto"/>
                <w:sz w:val="24"/>
                <w:highlight w:val="none"/>
              </w:rPr>
              <w:t>，项目颗粒物排放速率为</w:t>
            </w:r>
            <w:r>
              <w:rPr>
                <w:rFonts w:hint="eastAsia"/>
                <w:color w:val="auto"/>
                <w:sz w:val="24"/>
                <w:highlight w:val="none"/>
                <w:lang w:val="en-US" w:eastAsia="zh-CN"/>
              </w:rPr>
              <w:t>0.056</w:t>
            </w:r>
            <w:r>
              <w:rPr>
                <w:rFonts w:hint="eastAsia"/>
                <w:color w:val="auto"/>
                <w:sz w:val="24"/>
                <w:highlight w:val="none"/>
              </w:rPr>
              <w:t>kg/h，</w:t>
            </w:r>
            <w:r>
              <w:rPr>
                <w:rFonts w:hint="eastAsia"/>
                <w:color w:val="FF0000"/>
                <w:sz w:val="24"/>
                <w:highlight w:val="none"/>
              </w:rPr>
              <w:t>颗粒物排放浓度为</w:t>
            </w:r>
            <w:r>
              <w:rPr>
                <w:rFonts w:hint="eastAsia"/>
                <w:color w:val="FF0000"/>
                <w:sz w:val="24"/>
                <w:highlight w:val="none"/>
                <w:lang w:val="en-US" w:eastAsia="zh-CN"/>
              </w:rPr>
              <w:t>2.435</w:t>
            </w:r>
            <w:r>
              <w:rPr>
                <w:rFonts w:hint="eastAsia"/>
                <w:snapToGrid w:val="0"/>
                <w:color w:val="FF0000"/>
                <w:kern w:val="0"/>
                <w:sz w:val="24"/>
                <w:highlight w:val="none"/>
              </w:rPr>
              <w:t>mg/m</w:t>
            </w:r>
            <w:r>
              <w:rPr>
                <w:rFonts w:hint="eastAsia"/>
                <w:snapToGrid w:val="0"/>
                <w:color w:val="FF0000"/>
                <w:kern w:val="0"/>
                <w:sz w:val="24"/>
                <w:highlight w:val="none"/>
                <w:vertAlign w:val="superscript"/>
              </w:rPr>
              <w:t>3</w:t>
            </w:r>
            <w:r>
              <w:rPr>
                <w:rFonts w:hint="eastAsia"/>
                <w:snapToGrid w:val="0"/>
                <w:color w:val="auto"/>
                <w:kern w:val="0"/>
                <w:sz w:val="24"/>
                <w:highlight w:val="none"/>
              </w:rPr>
              <w:t>，</w:t>
            </w:r>
            <w:r>
              <w:rPr>
                <w:rFonts w:hint="eastAsia"/>
                <w:color w:val="auto"/>
                <w:sz w:val="24"/>
                <w:highlight w:val="none"/>
              </w:rPr>
              <w:t>有组织颗粒物排</w:t>
            </w:r>
            <w:r>
              <w:rPr>
                <w:rFonts w:hint="eastAsia"/>
                <w:color w:val="auto"/>
                <w:sz w:val="24"/>
              </w:rPr>
              <w:t>放</w:t>
            </w:r>
            <w:r>
              <w:rPr>
                <w:color w:val="auto"/>
                <w:sz w:val="24"/>
              </w:rPr>
              <w:t>满足</w:t>
            </w:r>
            <w:r>
              <w:rPr>
                <w:bCs/>
                <w:color w:val="auto"/>
                <w:sz w:val="24"/>
              </w:rPr>
              <w:t>《铸造工业大气污染物排放标准》（GB 39726—2020）表1/《唐山市大气污染防治工作领导小组</w:t>
            </w:r>
            <w:r>
              <w:rPr>
                <w:rFonts w:hint="eastAsia"/>
                <w:bCs/>
                <w:color w:val="auto"/>
                <w:sz w:val="24"/>
                <w:lang w:eastAsia="zh-CN"/>
              </w:rPr>
              <w:t>办公楼</w:t>
            </w:r>
            <w:r>
              <w:rPr>
                <w:bCs/>
                <w:color w:val="auto"/>
                <w:sz w:val="24"/>
              </w:rPr>
              <w:t>&lt;唐山市钢铁行业整治提升工作方案&gt;等10项方案的通知》（唐气领办〔2021〕15号）中附件9《唐山市铸造行业整治提升工作方案》相关标准要求</w:t>
            </w:r>
            <w:r>
              <w:rPr>
                <w:color w:val="auto"/>
                <w:sz w:val="24"/>
              </w:rPr>
              <w:t>：10mg/m</w:t>
            </w:r>
            <w:r>
              <w:rPr>
                <w:color w:val="auto"/>
                <w:sz w:val="24"/>
                <w:vertAlign w:val="superscript"/>
              </w:rPr>
              <w:t>3</w:t>
            </w:r>
            <w:r>
              <w:rPr>
                <w:color w:val="auto"/>
                <w:sz w:val="24"/>
              </w:rPr>
              <w:t>。</w:t>
            </w:r>
          </w:p>
          <w:p>
            <w:pPr>
              <w:widowControl/>
              <w:autoSpaceDE w:val="0"/>
              <w:autoSpaceDN w:val="0"/>
              <w:adjustRightInd w:val="0"/>
              <w:spacing w:line="500" w:lineRule="exact"/>
              <w:ind w:firstLine="480" w:firstLineChars="200"/>
              <w:rPr>
                <w:sz w:val="24"/>
              </w:rPr>
            </w:pPr>
            <w:r>
              <w:rPr>
                <w:rFonts w:hint="eastAsia"/>
                <w:sz w:val="24"/>
              </w:rPr>
              <w:t>（2）无组织颗粒物</w:t>
            </w:r>
          </w:p>
          <w:p>
            <w:pPr>
              <w:adjustRightInd w:val="0"/>
              <w:snapToGrid w:val="0"/>
              <w:spacing w:line="480" w:lineRule="exact"/>
              <w:ind w:firstLine="480" w:firstLineChars="200"/>
              <w:rPr>
                <w:sz w:val="24"/>
              </w:rPr>
            </w:pPr>
            <w:r>
              <w:rPr>
                <w:rFonts w:hint="eastAsia"/>
                <w:sz w:val="24"/>
              </w:rPr>
              <w:t>生产车间为全封闭形态，正常生产时车间出入口处于关闭状态，且生产车间设有二次除尘装置，生产车间</w:t>
            </w:r>
            <w:r>
              <w:rPr>
                <w:rFonts w:hint="eastAsia"/>
                <w:sz w:val="24"/>
                <w:highlight w:val="none"/>
              </w:rPr>
              <w:t>所有未被捕集颗粒物计为二次除尘颗粒物产生量，经二次除尘处理后整体车间无组织颗粒物产生量为0.1</w:t>
            </w:r>
            <w:r>
              <w:rPr>
                <w:rFonts w:hint="eastAsia"/>
                <w:sz w:val="24"/>
                <w:highlight w:val="none"/>
                <w:lang w:val="en-US" w:eastAsia="zh-CN"/>
              </w:rPr>
              <w:t>27</w:t>
            </w:r>
            <w:r>
              <w:rPr>
                <w:rFonts w:hint="eastAsia"/>
                <w:sz w:val="24"/>
                <w:highlight w:val="none"/>
              </w:rPr>
              <w:t>t/a，经车间沉降后排放量为0.001t/a、排放速率为0.000</w:t>
            </w:r>
            <w:r>
              <w:rPr>
                <w:rFonts w:hint="eastAsia"/>
                <w:sz w:val="24"/>
                <w:highlight w:val="none"/>
                <w:lang w:val="en-US" w:eastAsia="zh-CN"/>
              </w:rPr>
              <w:t>2</w:t>
            </w:r>
            <w:r>
              <w:rPr>
                <w:rFonts w:hint="eastAsia"/>
                <w:sz w:val="24"/>
                <w:highlight w:val="none"/>
              </w:rPr>
              <w:t>kg/h，提</w:t>
            </w:r>
            <w:r>
              <w:rPr>
                <w:rFonts w:hint="eastAsia"/>
                <w:sz w:val="24"/>
              </w:rPr>
              <w:t>出控制无组织排放的相关管控要求：</w:t>
            </w:r>
          </w:p>
          <w:p>
            <w:pPr>
              <w:adjustRightInd w:val="0"/>
              <w:snapToGrid w:val="0"/>
              <w:spacing w:line="480" w:lineRule="exact"/>
              <w:ind w:firstLine="480" w:firstLineChars="200"/>
              <w:rPr>
                <w:sz w:val="24"/>
              </w:rPr>
            </w:pPr>
            <w:r>
              <w:rPr>
                <w:rFonts w:hint="eastAsia"/>
                <w:sz w:val="24"/>
              </w:rPr>
              <w:t>生产车间设有顶吸二次除尘装置，车间内部无组织废气经顶吸二次除尘处理后通过相应排气筒外排。本次评价针对无组织排放提出管控要求：</w:t>
            </w:r>
          </w:p>
          <w:p>
            <w:pPr>
              <w:spacing w:line="480" w:lineRule="exact"/>
              <w:ind w:firstLine="480" w:firstLineChars="200"/>
              <w:rPr>
                <w:sz w:val="24"/>
              </w:rPr>
            </w:pPr>
            <w:r>
              <w:rPr>
                <w:rFonts w:hint="eastAsia"/>
                <w:sz w:val="24"/>
              </w:rPr>
              <w:t>由于本项目生产车间即为厂区，故项目于厂区边界主导上、下风向各安装1套 TSP、PM</w:t>
            </w:r>
            <w:r>
              <w:rPr>
                <w:rFonts w:hint="eastAsia"/>
                <w:sz w:val="24"/>
                <w:vertAlign w:val="subscript"/>
              </w:rPr>
              <w:t>10</w:t>
            </w:r>
            <w:r>
              <w:rPr>
                <w:rFonts w:hint="eastAsia"/>
                <w:sz w:val="24"/>
              </w:rPr>
              <w:t>、PM</w:t>
            </w:r>
            <w:r>
              <w:rPr>
                <w:rFonts w:hint="eastAsia"/>
                <w:sz w:val="24"/>
                <w:vertAlign w:val="subscript"/>
              </w:rPr>
              <w:t>2.5</w:t>
            </w:r>
            <w:r>
              <w:rPr>
                <w:rFonts w:hint="eastAsia"/>
                <w:sz w:val="24"/>
              </w:rPr>
              <w:t>在线监测设备，配备1台联网的计算机，安装无组织排放监测系统软件（在线设施须有环境保护产品认证证书），与市、县环保指挥中心联网。厂区边界颗粒物浓度不高于0.5mg/Nm</w:t>
            </w:r>
            <w:r>
              <w:rPr>
                <w:rFonts w:hint="eastAsia"/>
                <w:sz w:val="24"/>
                <w:vertAlign w:val="superscript"/>
              </w:rPr>
              <w:t>3</w:t>
            </w:r>
            <w:r>
              <w:rPr>
                <w:rFonts w:hint="eastAsia"/>
                <w:sz w:val="24"/>
              </w:rPr>
              <w:t>。</w:t>
            </w:r>
          </w:p>
          <w:p>
            <w:pPr>
              <w:spacing w:line="480" w:lineRule="exact"/>
              <w:ind w:firstLine="480" w:firstLineChars="200"/>
              <w:rPr>
                <w:sz w:val="24"/>
              </w:rPr>
            </w:pPr>
            <w:r>
              <w:rPr>
                <w:rFonts w:hint="eastAsia"/>
                <w:sz w:val="24"/>
              </w:rPr>
              <w:t>厂房四面封闭，通道口安装卷帘门、推拉门等封闭性良好且便于开关的硬质门，在无车辆出入时将门关闭，保证空气合理流动不产生湍流。</w:t>
            </w:r>
          </w:p>
          <w:p>
            <w:pPr>
              <w:spacing w:line="480" w:lineRule="exact"/>
              <w:ind w:firstLine="480" w:firstLineChars="200"/>
              <w:rPr>
                <w:sz w:val="24"/>
              </w:rPr>
            </w:pPr>
            <w:r>
              <w:rPr>
                <w:rFonts w:hint="eastAsia"/>
                <w:sz w:val="24"/>
              </w:rPr>
              <w:t>除尘器卸灰不直接卸落到地面，卸灰区封闭，除尘灰采用吨包、气力输送、罐车等密闭方式运输。</w:t>
            </w:r>
          </w:p>
          <w:p>
            <w:pPr>
              <w:spacing w:line="480" w:lineRule="exact"/>
              <w:ind w:firstLine="480" w:firstLineChars="200"/>
              <w:rPr>
                <w:color w:val="FF0000"/>
                <w:sz w:val="24"/>
              </w:rPr>
            </w:pPr>
            <w:r>
              <w:rPr>
                <w:rFonts w:hint="eastAsia"/>
                <w:color w:val="FF0000"/>
                <w:sz w:val="24"/>
              </w:rPr>
              <w:t>厂区出入口安装运输车辆侧向全覆盖式强制喷淋清洗设施，清洗设施应保证车辆冲洗效果，长度不少于6米、高度不低于2.5米，地面至少设置一排花式喷射喷头。</w:t>
            </w:r>
          </w:p>
          <w:p>
            <w:pPr>
              <w:spacing w:line="480" w:lineRule="exact"/>
              <w:ind w:firstLine="480" w:firstLineChars="200"/>
              <w:rPr>
                <w:sz w:val="24"/>
              </w:rPr>
            </w:pPr>
            <w:r>
              <w:rPr>
                <w:rFonts w:hint="eastAsia"/>
                <w:sz w:val="24"/>
              </w:rPr>
              <w:t>厂区地面非绿即硬，企业厂区门口至主要交通干道之间车辆行驶路面要全部高标准硬化，并做好湿扫保洁。</w:t>
            </w:r>
          </w:p>
          <w:p>
            <w:pPr>
              <w:spacing w:line="480" w:lineRule="exact"/>
              <w:ind w:firstLine="480" w:firstLineChars="200"/>
              <w:rPr>
                <w:sz w:val="24"/>
              </w:rPr>
            </w:pPr>
            <w:r>
              <w:rPr>
                <w:rFonts w:hint="eastAsia"/>
                <w:sz w:val="24"/>
              </w:rPr>
              <w:t>在厂区门口或明显位置设置电子显示屏，实时发布主要污染物排放信息。</w:t>
            </w:r>
          </w:p>
          <w:p>
            <w:pPr>
              <w:spacing w:line="480" w:lineRule="exact"/>
              <w:ind w:firstLine="480" w:firstLineChars="200"/>
              <w:rPr>
                <w:color w:val="auto"/>
                <w:sz w:val="24"/>
              </w:rPr>
            </w:pPr>
            <w:r>
              <w:rPr>
                <w:rFonts w:hint="eastAsia"/>
                <w:sz w:val="24"/>
              </w:rPr>
              <w:t>其他管控要求严格按照《唐山市铸造行业整治提升工作方案》的相关要求落实。</w:t>
            </w:r>
          </w:p>
          <w:p>
            <w:pPr>
              <w:spacing w:line="480" w:lineRule="exact"/>
              <w:ind w:firstLine="480" w:firstLineChars="200"/>
              <w:rPr>
                <w:color w:val="auto"/>
                <w:sz w:val="24"/>
              </w:rPr>
            </w:pPr>
            <w:r>
              <w:rPr>
                <w:rFonts w:hint="eastAsia"/>
                <w:color w:val="auto"/>
                <w:sz w:val="24"/>
              </w:rPr>
              <w:t>经采取措施后，</w:t>
            </w:r>
            <w:r>
              <w:rPr>
                <w:color w:val="auto"/>
                <w:kern w:val="0"/>
                <w:sz w:val="24"/>
              </w:rPr>
              <w:t>厂区</w:t>
            </w:r>
            <w:r>
              <w:rPr>
                <w:color w:val="auto"/>
                <w:kern w:val="24"/>
                <w:sz w:val="24"/>
                <w:lang w:val="zh-CN"/>
              </w:rPr>
              <w:t>无组织</w:t>
            </w:r>
            <w:r>
              <w:rPr>
                <w:color w:val="auto"/>
                <w:kern w:val="24"/>
                <w:sz w:val="24"/>
              </w:rPr>
              <w:t>颗粒物</w:t>
            </w:r>
            <w:r>
              <w:rPr>
                <w:color w:val="auto"/>
                <w:kern w:val="24"/>
                <w:sz w:val="24"/>
                <w:lang w:val="zh-CN"/>
              </w:rPr>
              <w:t>排放</w:t>
            </w:r>
            <w:r>
              <w:rPr>
                <w:color w:val="auto"/>
                <w:kern w:val="24"/>
                <w:sz w:val="24"/>
              </w:rPr>
              <w:t>满足</w:t>
            </w:r>
            <w:r>
              <w:rPr>
                <w:bCs/>
                <w:color w:val="auto"/>
                <w:sz w:val="24"/>
              </w:rPr>
              <w:t>《唐山市大气污染防治工作领导小组</w:t>
            </w:r>
            <w:r>
              <w:rPr>
                <w:rFonts w:hint="eastAsia"/>
                <w:bCs/>
                <w:color w:val="auto"/>
                <w:sz w:val="24"/>
                <w:lang w:eastAsia="zh-CN"/>
              </w:rPr>
              <w:t>办公楼</w:t>
            </w:r>
            <w:r>
              <w:rPr>
                <w:bCs/>
                <w:color w:val="auto"/>
                <w:sz w:val="24"/>
              </w:rPr>
              <w:t>&lt;唐山市钢铁行业整治提升工作方案&gt;等10项方案的通知》（唐气领办〔2021〕15号）中附件9《唐山市铸造行业整治提升工作方案》：</w:t>
            </w:r>
            <w:r>
              <w:rPr>
                <w:color w:val="auto"/>
                <w:sz w:val="24"/>
              </w:rPr>
              <w:t>0.5mg/m</w:t>
            </w:r>
            <w:r>
              <w:rPr>
                <w:color w:val="auto"/>
                <w:sz w:val="24"/>
                <w:vertAlign w:val="superscript"/>
              </w:rPr>
              <w:t>3</w:t>
            </w:r>
            <w:r>
              <w:rPr>
                <w:rFonts w:hint="eastAsia"/>
                <w:color w:val="auto"/>
                <w:sz w:val="24"/>
              </w:rPr>
              <w:t>。</w:t>
            </w:r>
          </w:p>
          <w:p>
            <w:pPr>
              <w:spacing w:line="500" w:lineRule="exact"/>
              <w:ind w:firstLine="424" w:firstLineChars="176"/>
              <w:jc w:val="center"/>
              <w:rPr>
                <w:b/>
                <w:color w:val="auto"/>
                <w:sz w:val="24"/>
              </w:rPr>
            </w:pPr>
            <w:r>
              <w:rPr>
                <w:rFonts w:hint="eastAsia"/>
                <w:b/>
                <w:color w:val="auto"/>
                <w:sz w:val="24"/>
              </w:rPr>
              <w:t>表3</w:t>
            </w:r>
            <w:r>
              <w:rPr>
                <w:rFonts w:hint="eastAsia"/>
                <w:b/>
                <w:color w:val="auto"/>
                <w:sz w:val="24"/>
                <w:lang w:val="en-US" w:eastAsia="zh-CN"/>
              </w:rPr>
              <w:t>8</w:t>
            </w:r>
            <w:r>
              <w:rPr>
                <w:rFonts w:hint="eastAsia"/>
                <w:b/>
                <w:color w:val="auto"/>
                <w:sz w:val="24"/>
              </w:rPr>
              <w:t xml:space="preserve">    本项目废气检测计划</w:t>
            </w:r>
          </w:p>
          <w:tbl>
            <w:tblPr>
              <w:tblStyle w:val="32"/>
              <w:tblW w:w="49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
              <w:gridCol w:w="875"/>
              <w:gridCol w:w="832"/>
              <w:gridCol w:w="673"/>
              <w:gridCol w:w="4046"/>
              <w:gridCol w:w="863"/>
              <w:gridCol w:w="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82" w:type="pct"/>
                  <w:vMerge w:val="restart"/>
                  <w:vAlign w:val="center"/>
                </w:tcPr>
                <w:p>
                  <w:pPr>
                    <w:jc w:val="center"/>
                    <w:rPr>
                      <w:snapToGrid w:val="0"/>
                      <w:color w:val="auto"/>
                      <w:kern w:val="0"/>
                      <w:szCs w:val="21"/>
                    </w:rPr>
                  </w:pPr>
                  <w:r>
                    <w:rPr>
                      <w:snapToGrid w:val="0"/>
                      <w:color w:val="auto"/>
                      <w:kern w:val="0"/>
                      <w:szCs w:val="21"/>
                    </w:rPr>
                    <w:t>类型</w:t>
                  </w:r>
                </w:p>
              </w:tc>
              <w:tc>
                <w:tcPr>
                  <w:tcW w:w="529" w:type="pct"/>
                  <w:vMerge w:val="restart"/>
                  <w:vAlign w:val="center"/>
                </w:tcPr>
                <w:p>
                  <w:pPr>
                    <w:jc w:val="center"/>
                    <w:rPr>
                      <w:snapToGrid w:val="0"/>
                      <w:color w:val="auto"/>
                      <w:kern w:val="0"/>
                      <w:szCs w:val="21"/>
                    </w:rPr>
                  </w:pPr>
                  <w:r>
                    <w:rPr>
                      <w:snapToGrid w:val="0"/>
                      <w:color w:val="auto"/>
                      <w:kern w:val="0"/>
                      <w:szCs w:val="21"/>
                    </w:rPr>
                    <w:t>监测点位</w:t>
                  </w:r>
                </w:p>
              </w:tc>
              <w:tc>
                <w:tcPr>
                  <w:tcW w:w="503" w:type="pct"/>
                  <w:vMerge w:val="restart"/>
                  <w:vAlign w:val="center"/>
                </w:tcPr>
                <w:p>
                  <w:pPr>
                    <w:jc w:val="center"/>
                    <w:rPr>
                      <w:snapToGrid w:val="0"/>
                      <w:color w:val="auto"/>
                      <w:kern w:val="0"/>
                      <w:szCs w:val="21"/>
                    </w:rPr>
                  </w:pPr>
                  <w:r>
                    <w:rPr>
                      <w:snapToGrid w:val="0"/>
                      <w:color w:val="auto"/>
                      <w:kern w:val="0"/>
                      <w:szCs w:val="21"/>
                    </w:rPr>
                    <w:t>数量</w:t>
                  </w:r>
                </w:p>
              </w:tc>
              <w:tc>
                <w:tcPr>
                  <w:tcW w:w="407" w:type="pct"/>
                  <w:vMerge w:val="restart"/>
                  <w:vAlign w:val="center"/>
                </w:tcPr>
                <w:p>
                  <w:pPr>
                    <w:jc w:val="center"/>
                    <w:rPr>
                      <w:snapToGrid w:val="0"/>
                      <w:color w:val="auto"/>
                      <w:kern w:val="0"/>
                      <w:szCs w:val="21"/>
                    </w:rPr>
                  </w:pPr>
                  <w:r>
                    <w:rPr>
                      <w:snapToGrid w:val="0"/>
                      <w:color w:val="auto"/>
                      <w:kern w:val="0"/>
                      <w:szCs w:val="21"/>
                    </w:rPr>
                    <w:t>监测</w:t>
                  </w:r>
                </w:p>
                <w:p>
                  <w:pPr>
                    <w:jc w:val="center"/>
                    <w:rPr>
                      <w:snapToGrid w:val="0"/>
                      <w:color w:val="auto"/>
                      <w:kern w:val="0"/>
                      <w:szCs w:val="21"/>
                    </w:rPr>
                  </w:pPr>
                  <w:r>
                    <w:rPr>
                      <w:snapToGrid w:val="0"/>
                      <w:color w:val="auto"/>
                      <w:kern w:val="0"/>
                      <w:szCs w:val="21"/>
                    </w:rPr>
                    <w:t>指标</w:t>
                  </w:r>
                </w:p>
              </w:tc>
              <w:tc>
                <w:tcPr>
                  <w:tcW w:w="2969" w:type="pct"/>
                  <w:gridSpan w:val="2"/>
                  <w:vAlign w:val="center"/>
                </w:tcPr>
                <w:p>
                  <w:pPr>
                    <w:jc w:val="center"/>
                    <w:rPr>
                      <w:snapToGrid w:val="0"/>
                      <w:color w:val="auto"/>
                      <w:kern w:val="0"/>
                      <w:szCs w:val="21"/>
                    </w:rPr>
                  </w:pPr>
                  <w:r>
                    <w:rPr>
                      <w:snapToGrid w:val="0"/>
                      <w:color w:val="auto"/>
                      <w:kern w:val="0"/>
                      <w:szCs w:val="21"/>
                    </w:rPr>
                    <w:t>执行标准及限值</w:t>
                  </w:r>
                </w:p>
              </w:tc>
              <w:tc>
                <w:tcPr>
                  <w:tcW w:w="408" w:type="pct"/>
                  <w:vMerge w:val="restart"/>
                  <w:tcBorders>
                    <w:right w:val="nil"/>
                  </w:tcBorders>
                  <w:vAlign w:val="center"/>
                </w:tcPr>
                <w:p>
                  <w:pPr>
                    <w:jc w:val="center"/>
                    <w:rPr>
                      <w:snapToGrid w:val="0"/>
                      <w:color w:val="auto"/>
                      <w:kern w:val="0"/>
                      <w:szCs w:val="21"/>
                    </w:rPr>
                  </w:pPr>
                  <w:r>
                    <w:rPr>
                      <w:snapToGrid w:val="0"/>
                      <w:color w:val="auto"/>
                      <w:kern w:val="0"/>
                      <w:szCs w:val="21"/>
                    </w:rPr>
                    <w:t>监测</w:t>
                  </w:r>
                </w:p>
                <w:p>
                  <w:pPr>
                    <w:jc w:val="center"/>
                    <w:rPr>
                      <w:snapToGrid w:val="0"/>
                      <w:color w:val="auto"/>
                      <w:kern w:val="0"/>
                      <w:szCs w:val="21"/>
                    </w:rPr>
                  </w:pPr>
                  <w:r>
                    <w:rPr>
                      <w:snapToGrid w:val="0"/>
                      <w:color w:val="auto"/>
                      <w:kern w:val="0"/>
                      <w:szCs w:val="21"/>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Merge w:val="continue"/>
                  <w:vAlign w:val="center"/>
                </w:tcPr>
                <w:p>
                  <w:pPr>
                    <w:jc w:val="center"/>
                    <w:rPr>
                      <w:snapToGrid w:val="0"/>
                      <w:color w:val="auto"/>
                      <w:kern w:val="0"/>
                      <w:szCs w:val="21"/>
                    </w:rPr>
                  </w:pPr>
                </w:p>
              </w:tc>
              <w:tc>
                <w:tcPr>
                  <w:tcW w:w="503" w:type="pct"/>
                  <w:vMerge w:val="continue"/>
                  <w:vAlign w:val="center"/>
                </w:tcPr>
                <w:p>
                  <w:pPr>
                    <w:jc w:val="center"/>
                    <w:rPr>
                      <w:snapToGrid w:val="0"/>
                      <w:color w:val="auto"/>
                      <w:kern w:val="0"/>
                      <w:szCs w:val="21"/>
                    </w:rPr>
                  </w:pPr>
                </w:p>
              </w:tc>
              <w:tc>
                <w:tcPr>
                  <w:tcW w:w="407" w:type="pct"/>
                  <w:vMerge w:val="continue"/>
                  <w:vAlign w:val="center"/>
                </w:tcPr>
                <w:p>
                  <w:pPr>
                    <w:jc w:val="center"/>
                    <w:rPr>
                      <w:snapToGrid w:val="0"/>
                      <w:color w:val="auto"/>
                      <w:kern w:val="0"/>
                      <w:szCs w:val="21"/>
                    </w:rPr>
                  </w:pPr>
                </w:p>
              </w:tc>
              <w:tc>
                <w:tcPr>
                  <w:tcW w:w="2447" w:type="pct"/>
                  <w:vAlign w:val="center"/>
                </w:tcPr>
                <w:p>
                  <w:pPr>
                    <w:jc w:val="center"/>
                    <w:rPr>
                      <w:snapToGrid w:val="0"/>
                      <w:color w:val="auto"/>
                      <w:kern w:val="0"/>
                      <w:szCs w:val="21"/>
                    </w:rPr>
                  </w:pPr>
                  <w:r>
                    <w:rPr>
                      <w:snapToGrid w:val="0"/>
                      <w:color w:val="auto"/>
                      <w:kern w:val="0"/>
                      <w:szCs w:val="21"/>
                    </w:rPr>
                    <w:t>标准</w:t>
                  </w:r>
                </w:p>
              </w:tc>
              <w:tc>
                <w:tcPr>
                  <w:tcW w:w="522" w:type="pct"/>
                  <w:vAlign w:val="center"/>
                </w:tcPr>
                <w:p>
                  <w:pPr>
                    <w:jc w:val="center"/>
                    <w:rPr>
                      <w:snapToGrid w:val="0"/>
                      <w:color w:val="auto"/>
                      <w:kern w:val="0"/>
                      <w:szCs w:val="21"/>
                    </w:rPr>
                  </w:pPr>
                  <w:r>
                    <w:rPr>
                      <w:snapToGrid w:val="0"/>
                      <w:color w:val="auto"/>
                      <w:kern w:val="0"/>
                      <w:szCs w:val="21"/>
                    </w:rPr>
                    <w:t>限值</w:t>
                  </w:r>
                </w:p>
              </w:tc>
              <w:tc>
                <w:tcPr>
                  <w:tcW w:w="408" w:type="pct"/>
                  <w:vMerge w:val="continue"/>
                  <w:tcBorders>
                    <w:right w:val="nil"/>
                  </w:tcBorders>
                  <w:vAlign w:val="center"/>
                </w:tcPr>
                <w:p>
                  <w:pPr>
                    <w:jc w:val="center"/>
                    <w:rPr>
                      <w:snapToGrid w:val="0"/>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restart"/>
                  <w:tcBorders>
                    <w:left w:val="nil"/>
                  </w:tcBorders>
                  <w:vAlign w:val="center"/>
                </w:tcPr>
                <w:p>
                  <w:pPr>
                    <w:jc w:val="center"/>
                    <w:rPr>
                      <w:snapToGrid w:val="0"/>
                      <w:color w:val="auto"/>
                      <w:kern w:val="0"/>
                      <w:szCs w:val="21"/>
                    </w:rPr>
                  </w:pPr>
                  <w:r>
                    <w:rPr>
                      <w:snapToGrid w:val="0"/>
                      <w:color w:val="auto"/>
                      <w:kern w:val="0"/>
                      <w:szCs w:val="21"/>
                    </w:rPr>
                    <w:t>废气</w:t>
                  </w:r>
                </w:p>
              </w:tc>
              <w:tc>
                <w:tcPr>
                  <w:tcW w:w="529" w:type="pct"/>
                  <w:vAlign w:val="center"/>
                </w:tcPr>
                <w:p>
                  <w:pPr>
                    <w:jc w:val="center"/>
                    <w:rPr>
                      <w:snapToGrid w:val="0"/>
                      <w:color w:val="auto"/>
                      <w:kern w:val="0"/>
                      <w:szCs w:val="21"/>
                    </w:rPr>
                  </w:pPr>
                  <w:r>
                    <w:rPr>
                      <w:rFonts w:hint="eastAsia"/>
                      <w:snapToGrid w:val="0"/>
                      <w:color w:val="auto"/>
                      <w:kern w:val="0"/>
                      <w:szCs w:val="21"/>
                    </w:rPr>
                    <w:t>DA001</w:t>
                  </w:r>
                </w:p>
              </w:tc>
              <w:tc>
                <w:tcPr>
                  <w:tcW w:w="503" w:type="pct"/>
                  <w:vAlign w:val="center"/>
                </w:tcPr>
                <w:p>
                  <w:pPr>
                    <w:jc w:val="center"/>
                    <w:rPr>
                      <w:snapToGrid w:val="0"/>
                      <w:color w:val="auto"/>
                      <w:kern w:val="0"/>
                      <w:szCs w:val="21"/>
                    </w:rPr>
                  </w:pPr>
                  <w:r>
                    <w:rPr>
                      <w:rFonts w:hint="eastAsia"/>
                      <w:snapToGrid w:val="0"/>
                      <w:color w:val="auto"/>
                      <w:kern w:val="0"/>
                      <w:szCs w:val="21"/>
                    </w:rPr>
                    <w:t>1</w:t>
                  </w:r>
                </w:p>
              </w:tc>
              <w:tc>
                <w:tcPr>
                  <w:tcW w:w="407" w:type="pct"/>
                  <w:vAlign w:val="center"/>
                </w:tcPr>
                <w:p>
                  <w:pPr>
                    <w:jc w:val="center"/>
                    <w:rPr>
                      <w:snapToGrid w:val="0"/>
                      <w:color w:val="auto"/>
                      <w:kern w:val="0"/>
                      <w:szCs w:val="21"/>
                    </w:rPr>
                  </w:pPr>
                  <w:r>
                    <w:rPr>
                      <w:rFonts w:hint="eastAsia"/>
                      <w:snapToGrid w:val="0"/>
                      <w:color w:val="auto"/>
                      <w:kern w:val="0"/>
                      <w:szCs w:val="21"/>
                    </w:rPr>
                    <w:t>PM</w:t>
                  </w:r>
                  <w:r>
                    <w:rPr>
                      <w:rFonts w:hint="eastAsia"/>
                      <w:snapToGrid w:val="0"/>
                      <w:color w:val="auto"/>
                      <w:kern w:val="0"/>
                      <w:szCs w:val="21"/>
                      <w:vertAlign w:val="subscript"/>
                    </w:rPr>
                    <w:t>10</w:t>
                  </w:r>
                </w:p>
              </w:tc>
              <w:tc>
                <w:tcPr>
                  <w:tcW w:w="2447" w:type="pct"/>
                  <w:vAlign w:val="center"/>
                </w:tcPr>
                <w:p>
                  <w:pPr>
                    <w:jc w:val="center"/>
                    <w:rPr>
                      <w:snapToGrid w:val="0"/>
                      <w:color w:val="auto"/>
                      <w:kern w:val="0"/>
                      <w:szCs w:val="21"/>
                    </w:rPr>
                  </w:pPr>
                  <w:r>
                    <w:rPr>
                      <w:bCs/>
                      <w:color w:val="auto"/>
                      <w:szCs w:val="21"/>
                    </w:rPr>
                    <w:t>《铸造工业大气污染物排放标准》（GB 39726—2020）表1/《唐山市大气污染防治工作领导小组</w:t>
                  </w:r>
                  <w:r>
                    <w:rPr>
                      <w:rFonts w:hint="eastAsia"/>
                      <w:bCs/>
                      <w:color w:val="auto"/>
                      <w:szCs w:val="21"/>
                      <w:lang w:eastAsia="zh-CN"/>
                    </w:rPr>
                    <w:t>办公楼</w:t>
                  </w:r>
                  <w:r>
                    <w:rPr>
                      <w:bCs/>
                      <w:color w:val="auto"/>
                      <w:szCs w:val="21"/>
                    </w:rPr>
                    <w:t>&lt;唐山市钢铁行业整治提升工作方案&gt;等10项方案的通知》（唐气领办〔2021〕15号）中附件9《唐山市铸造行业整治提升工作方案》相关标准要求</w:t>
                  </w:r>
                </w:p>
              </w:tc>
              <w:tc>
                <w:tcPr>
                  <w:tcW w:w="522" w:type="pct"/>
                  <w:vAlign w:val="center"/>
                </w:tcPr>
                <w:p>
                  <w:pPr>
                    <w:jc w:val="center"/>
                    <w:rPr>
                      <w:snapToGrid w:val="0"/>
                      <w:color w:val="auto"/>
                      <w:kern w:val="0"/>
                      <w:szCs w:val="21"/>
                    </w:rPr>
                  </w:pPr>
                  <w:r>
                    <w:rPr>
                      <w:rFonts w:hint="eastAsia"/>
                      <w:snapToGrid w:val="0"/>
                      <w:color w:val="auto"/>
                      <w:kern w:val="0"/>
                      <w:szCs w:val="21"/>
                    </w:rPr>
                    <w:t>10</w:t>
                  </w:r>
                  <w:r>
                    <w:rPr>
                      <w:color w:val="auto"/>
                      <w:szCs w:val="21"/>
                    </w:rPr>
                    <w:t>mg/m</w:t>
                  </w:r>
                  <w:r>
                    <w:rPr>
                      <w:color w:val="auto"/>
                      <w:szCs w:val="21"/>
                      <w:vertAlign w:val="superscript"/>
                    </w:rPr>
                    <w:t>3</w:t>
                  </w:r>
                </w:p>
              </w:tc>
              <w:tc>
                <w:tcPr>
                  <w:tcW w:w="408" w:type="pct"/>
                  <w:tcBorders>
                    <w:right w:val="nil"/>
                  </w:tcBorders>
                  <w:vAlign w:val="center"/>
                </w:tcPr>
                <w:p>
                  <w:pPr>
                    <w:jc w:val="center"/>
                    <w:rPr>
                      <w:snapToGrid w:val="0"/>
                      <w:color w:val="auto"/>
                      <w:kern w:val="0"/>
                      <w:szCs w:val="21"/>
                    </w:rPr>
                  </w:pPr>
                  <w:r>
                    <w:rPr>
                      <w:color w:val="auto"/>
                      <w:szCs w:val="21"/>
                    </w:rPr>
                    <w:t>1次/</w:t>
                  </w:r>
                  <w:r>
                    <w:rPr>
                      <w:rFonts w:hint="eastAsia"/>
                      <w:color w:val="auto"/>
                      <w:szCs w:val="21"/>
                    </w:rPr>
                    <w:t>半</w:t>
                  </w:r>
                  <w:r>
                    <w:rPr>
                      <w:color w:val="auto"/>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Align w:val="center"/>
                </w:tcPr>
                <w:p>
                  <w:pPr>
                    <w:jc w:val="center"/>
                    <w:rPr>
                      <w:snapToGrid w:val="0"/>
                      <w:color w:val="auto"/>
                      <w:kern w:val="0"/>
                      <w:szCs w:val="21"/>
                    </w:rPr>
                  </w:pPr>
                  <w:r>
                    <w:rPr>
                      <w:rFonts w:hint="eastAsia"/>
                      <w:snapToGrid w:val="0"/>
                      <w:color w:val="auto"/>
                      <w:kern w:val="0"/>
                      <w:szCs w:val="21"/>
                    </w:rPr>
                    <w:t>DA002</w:t>
                  </w:r>
                </w:p>
              </w:tc>
              <w:tc>
                <w:tcPr>
                  <w:tcW w:w="503" w:type="pct"/>
                  <w:vAlign w:val="center"/>
                </w:tcPr>
                <w:p>
                  <w:pPr>
                    <w:jc w:val="center"/>
                    <w:rPr>
                      <w:snapToGrid w:val="0"/>
                      <w:color w:val="auto"/>
                      <w:kern w:val="0"/>
                      <w:szCs w:val="21"/>
                    </w:rPr>
                  </w:pPr>
                  <w:r>
                    <w:rPr>
                      <w:rFonts w:hint="eastAsia"/>
                      <w:snapToGrid w:val="0"/>
                      <w:color w:val="auto"/>
                      <w:kern w:val="0"/>
                      <w:szCs w:val="21"/>
                    </w:rPr>
                    <w:t>1</w:t>
                  </w:r>
                </w:p>
              </w:tc>
              <w:tc>
                <w:tcPr>
                  <w:tcW w:w="407" w:type="pct"/>
                  <w:vAlign w:val="center"/>
                </w:tcPr>
                <w:p>
                  <w:pPr>
                    <w:jc w:val="center"/>
                    <w:rPr>
                      <w:snapToGrid w:val="0"/>
                      <w:color w:val="auto"/>
                      <w:kern w:val="0"/>
                      <w:szCs w:val="21"/>
                    </w:rPr>
                  </w:pPr>
                  <w:r>
                    <w:rPr>
                      <w:rFonts w:hint="eastAsia"/>
                      <w:snapToGrid w:val="0"/>
                      <w:color w:val="auto"/>
                      <w:kern w:val="0"/>
                      <w:szCs w:val="21"/>
                    </w:rPr>
                    <w:t>PM</w:t>
                  </w:r>
                  <w:r>
                    <w:rPr>
                      <w:rFonts w:hint="eastAsia"/>
                      <w:snapToGrid w:val="0"/>
                      <w:color w:val="auto"/>
                      <w:kern w:val="0"/>
                      <w:szCs w:val="21"/>
                      <w:vertAlign w:val="subscript"/>
                    </w:rPr>
                    <w:t>10</w:t>
                  </w:r>
                </w:p>
              </w:tc>
              <w:tc>
                <w:tcPr>
                  <w:tcW w:w="2447" w:type="pct"/>
                  <w:vAlign w:val="center"/>
                </w:tcPr>
                <w:p>
                  <w:pPr>
                    <w:jc w:val="center"/>
                    <w:rPr>
                      <w:snapToGrid w:val="0"/>
                      <w:color w:val="auto"/>
                      <w:kern w:val="0"/>
                      <w:szCs w:val="21"/>
                    </w:rPr>
                  </w:pPr>
                  <w:r>
                    <w:rPr>
                      <w:bCs/>
                      <w:color w:val="auto"/>
                      <w:szCs w:val="21"/>
                    </w:rPr>
                    <w:t>《铸造工业大气污染物排放标准》（GB 39726—2020）表1/《唐山市大气污染防治工作领导小组</w:t>
                  </w:r>
                  <w:r>
                    <w:rPr>
                      <w:rFonts w:hint="eastAsia"/>
                      <w:bCs/>
                      <w:color w:val="auto"/>
                      <w:szCs w:val="21"/>
                      <w:lang w:eastAsia="zh-CN"/>
                    </w:rPr>
                    <w:t>办公楼</w:t>
                  </w:r>
                  <w:r>
                    <w:rPr>
                      <w:bCs/>
                      <w:color w:val="auto"/>
                      <w:szCs w:val="21"/>
                    </w:rPr>
                    <w:t>&lt;唐山市钢铁行业整治提升工作方案&gt;等10项方案的通知》（唐气领办〔2021〕15号）中附件9《唐山市铸造行业整治提升工作方案》相关标准要求</w:t>
                  </w:r>
                </w:p>
              </w:tc>
              <w:tc>
                <w:tcPr>
                  <w:tcW w:w="522" w:type="pct"/>
                  <w:vAlign w:val="center"/>
                </w:tcPr>
                <w:p>
                  <w:pPr>
                    <w:jc w:val="center"/>
                    <w:rPr>
                      <w:snapToGrid w:val="0"/>
                      <w:color w:val="auto"/>
                      <w:kern w:val="0"/>
                      <w:szCs w:val="21"/>
                    </w:rPr>
                  </w:pPr>
                  <w:r>
                    <w:rPr>
                      <w:rFonts w:hint="eastAsia"/>
                      <w:snapToGrid w:val="0"/>
                      <w:color w:val="auto"/>
                      <w:kern w:val="0"/>
                      <w:szCs w:val="21"/>
                    </w:rPr>
                    <w:t>10</w:t>
                  </w:r>
                  <w:r>
                    <w:rPr>
                      <w:color w:val="auto"/>
                      <w:szCs w:val="21"/>
                    </w:rPr>
                    <w:t>mg/m</w:t>
                  </w:r>
                  <w:r>
                    <w:rPr>
                      <w:color w:val="auto"/>
                      <w:szCs w:val="21"/>
                      <w:vertAlign w:val="superscript"/>
                    </w:rPr>
                    <w:t>3</w:t>
                  </w:r>
                </w:p>
              </w:tc>
              <w:tc>
                <w:tcPr>
                  <w:tcW w:w="408" w:type="pct"/>
                  <w:tcBorders>
                    <w:right w:val="nil"/>
                  </w:tcBorders>
                  <w:vAlign w:val="center"/>
                </w:tcPr>
                <w:p>
                  <w:pPr>
                    <w:jc w:val="center"/>
                    <w:rPr>
                      <w:snapToGrid w:val="0"/>
                      <w:color w:val="auto"/>
                      <w:kern w:val="0"/>
                      <w:szCs w:val="21"/>
                    </w:rPr>
                  </w:pPr>
                  <w:r>
                    <w:rPr>
                      <w:color w:val="auto"/>
                      <w:szCs w:val="21"/>
                    </w:rPr>
                    <w:t>1次/</w:t>
                  </w:r>
                  <w:r>
                    <w:rPr>
                      <w:rFonts w:hint="eastAsia"/>
                      <w:color w:val="auto"/>
                      <w:szCs w:val="21"/>
                    </w:rPr>
                    <w:t>半</w:t>
                  </w:r>
                  <w:r>
                    <w:rPr>
                      <w:color w:val="auto"/>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DA00</w:t>
                  </w:r>
                  <w:r>
                    <w:rPr>
                      <w:rFonts w:hint="eastAsia"/>
                      <w:snapToGrid w:val="0"/>
                      <w:color w:val="auto"/>
                      <w:kern w:val="0"/>
                      <w:szCs w:val="21"/>
                      <w:highlight w:val="none"/>
                      <w:lang w:val="en-US" w:eastAsia="zh-CN"/>
                    </w:rPr>
                    <w:t>3</w:t>
                  </w:r>
                </w:p>
              </w:tc>
              <w:tc>
                <w:tcPr>
                  <w:tcW w:w="503"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1</w:t>
                  </w:r>
                </w:p>
              </w:tc>
              <w:tc>
                <w:tcPr>
                  <w:tcW w:w="407"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447" w:type="pct"/>
                  <w:vAlign w:val="center"/>
                </w:tcPr>
                <w:p>
                  <w:pPr>
                    <w:jc w:val="center"/>
                    <w:rPr>
                      <w:rFonts w:ascii="Times New Roman" w:hAnsi="Times New Roman" w:eastAsia="宋体" w:cs="Times New Roman"/>
                      <w:snapToGrid w:val="0"/>
                      <w:color w:val="auto"/>
                      <w:kern w:val="0"/>
                      <w:sz w:val="21"/>
                      <w:szCs w:val="21"/>
                      <w:highlight w:val="none"/>
                      <w:lang w:val="en-US" w:eastAsia="zh-CN" w:bidi="ar-SA"/>
                    </w:rPr>
                  </w:pPr>
                  <w:r>
                    <w:rPr>
                      <w:bCs/>
                      <w:color w:val="auto"/>
                      <w:szCs w:val="21"/>
                      <w:highlight w:val="none"/>
                    </w:rPr>
                    <w:t>《铸造工业大气污染物排放标准》（GB 39726—2020）表1/《唐山市大气污染防治工作领导小组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&lt;唐山市钢铁行业整治提升工作方案&gt;等10项方案的通知》（唐气领办〔2021〕15号）中附件9《唐山市铸造行业整治提升工作方案》相关标准要求</w:t>
                  </w:r>
                </w:p>
              </w:tc>
              <w:tc>
                <w:tcPr>
                  <w:tcW w:w="522"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08" w:type="pct"/>
                  <w:tcBorders>
                    <w:right w:val="nil"/>
                  </w:tcBorders>
                  <w:vAlign w:val="center"/>
                </w:tcPr>
                <w:p>
                  <w:pPr>
                    <w:jc w:val="center"/>
                    <w:rPr>
                      <w:rFonts w:ascii="Times New Roman" w:hAnsi="Times New Roman" w:eastAsia="宋体" w:cs="Times New Roman"/>
                      <w:snapToGrid w:val="0"/>
                      <w:color w:val="auto"/>
                      <w:kern w:val="0"/>
                      <w:sz w:val="21"/>
                      <w:szCs w:val="21"/>
                      <w:highlight w:val="none"/>
                      <w:lang w:val="en-US" w:eastAsia="zh-CN" w:bidi="ar-SA"/>
                    </w:rPr>
                  </w:pPr>
                  <w:r>
                    <w:rPr>
                      <w:color w:val="auto"/>
                      <w:szCs w:val="21"/>
                      <w:highlight w:val="none"/>
                    </w:rPr>
                    <w:t>1次/</w:t>
                  </w:r>
                  <w:r>
                    <w:rPr>
                      <w:rFonts w:hint="eastAsia"/>
                      <w:color w:val="auto"/>
                      <w:szCs w:val="21"/>
                      <w:highlight w:val="none"/>
                    </w:rPr>
                    <w:t>半</w:t>
                  </w:r>
                  <w:r>
                    <w:rPr>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82" w:type="pct"/>
                  <w:vMerge w:val="continue"/>
                  <w:tcBorders>
                    <w:left w:val="nil"/>
                  </w:tcBorders>
                  <w:vAlign w:val="center"/>
                </w:tcPr>
                <w:p>
                  <w:pPr>
                    <w:jc w:val="center"/>
                    <w:rPr>
                      <w:snapToGrid w:val="0"/>
                      <w:color w:val="auto"/>
                      <w:kern w:val="0"/>
                      <w:szCs w:val="21"/>
                    </w:rPr>
                  </w:pPr>
                </w:p>
              </w:tc>
              <w:tc>
                <w:tcPr>
                  <w:tcW w:w="529" w:type="pct"/>
                  <w:vAlign w:val="center"/>
                </w:tcPr>
                <w:p>
                  <w:pPr>
                    <w:jc w:val="center"/>
                    <w:rPr>
                      <w:snapToGrid w:val="0"/>
                      <w:color w:val="auto"/>
                      <w:kern w:val="0"/>
                      <w:szCs w:val="21"/>
                    </w:rPr>
                  </w:pPr>
                  <w:r>
                    <w:rPr>
                      <w:snapToGrid w:val="0"/>
                      <w:color w:val="auto"/>
                      <w:kern w:val="0"/>
                      <w:szCs w:val="21"/>
                    </w:rPr>
                    <w:t xml:space="preserve">厂界 </w:t>
                  </w:r>
                </w:p>
              </w:tc>
              <w:tc>
                <w:tcPr>
                  <w:tcW w:w="503" w:type="pct"/>
                  <w:vAlign w:val="center"/>
                </w:tcPr>
                <w:p>
                  <w:pPr>
                    <w:jc w:val="center"/>
                    <w:rPr>
                      <w:snapToGrid w:val="0"/>
                      <w:color w:val="auto"/>
                      <w:kern w:val="0"/>
                      <w:szCs w:val="21"/>
                    </w:rPr>
                  </w:pPr>
                  <w:r>
                    <w:rPr>
                      <w:snapToGrid w:val="0"/>
                      <w:color w:val="auto"/>
                      <w:kern w:val="0"/>
                      <w:szCs w:val="21"/>
                    </w:rPr>
                    <w:t>上风向1个点，下风向3个点</w:t>
                  </w:r>
                </w:p>
              </w:tc>
              <w:tc>
                <w:tcPr>
                  <w:tcW w:w="407" w:type="pct"/>
                  <w:vAlign w:val="center"/>
                </w:tcPr>
                <w:p>
                  <w:pPr>
                    <w:jc w:val="center"/>
                    <w:rPr>
                      <w:snapToGrid w:val="0"/>
                      <w:color w:val="auto"/>
                      <w:kern w:val="0"/>
                      <w:szCs w:val="21"/>
                    </w:rPr>
                  </w:pPr>
                  <w:r>
                    <w:rPr>
                      <w:snapToGrid w:val="0"/>
                      <w:color w:val="auto"/>
                      <w:kern w:val="0"/>
                      <w:szCs w:val="21"/>
                    </w:rPr>
                    <w:t>TSP</w:t>
                  </w:r>
                </w:p>
              </w:tc>
              <w:tc>
                <w:tcPr>
                  <w:tcW w:w="2447" w:type="pct"/>
                  <w:vAlign w:val="center"/>
                </w:tcPr>
                <w:p>
                  <w:pPr>
                    <w:jc w:val="center"/>
                    <w:rPr>
                      <w:color w:val="auto"/>
                      <w:szCs w:val="21"/>
                    </w:rPr>
                  </w:pPr>
                  <w:r>
                    <w:rPr>
                      <w:bCs/>
                      <w:color w:val="auto"/>
                      <w:szCs w:val="21"/>
                    </w:rPr>
                    <w:t>《唐山市大气污染防治工作领导小组</w:t>
                  </w:r>
                  <w:r>
                    <w:rPr>
                      <w:rFonts w:hint="eastAsia"/>
                      <w:bCs/>
                      <w:color w:val="auto"/>
                      <w:szCs w:val="21"/>
                      <w:lang w:eastAsia="zh-CN"/>
                    </w:rPr>
                    <w:t>办公楼</w:t>
                  </w:r>
                  <w:r>
                    <w:rPr>
                      <w:bCs/>
                      <w:color w:val="auto"/>
                      <w:szCs w:val="21"/>
                    </w:rPr>
                    <w:t>&lt;唐山市钢铁行业整治提升工作方案&gt;等10项方案的通知》（唐气领办〔2021〕15号）中附件9《唐山市铸造行业整治提升工作方案》</w:t>
                  </w:r>
                </w:p>
              </w:tc>
              <w:tc>
                <w:tcPr>
                  <w:tcW w:w="522" w:type="pct"/>
                  <w:vAlign w:val="center"/>
                </w:tcPr>
                <w:p>
                  <w:pPr>
                    <w:jc w:val="center"/>
                    <w:rPr>
                      <w:snapToGrid w:val="0"/>
                      <w:color w:val="auto"/>
                      <w:kern w:val="0"/>
                      <w:szCs w:val="21"/>
                    </w:rPr>
                  </w:pPr>
                  <w:r>
                    <w:rPr>
                      <w:rFonts w:hint="eastAsia"/>
                      <w:color w:val="auto"/>
                      <w:szCs w:val="21"/>
                    </w:rPr>
                    <w:t>0.5</w:t>
                  </w:r>
                  <w:r>
                    <w:rPr>
                      <w:color w:val="auto"/>
                      <w:szCs w:val="21"/>
                    </w:rPr>
                    <w:t>mg/m</w:t>
                  </w:r>
                  <w:r>
                    <w:rPr>
                      <w:color w:val="auto"/>
                      <w:szCs w:val="21"/>
                      <w:vertAlign w:val="superscript"/>
                    </w:rPr>
                    <w:t>3</w:t>
                  </w:r>
                </w:p>
              </w:tc>
              <w:tc>
                <w:tcPr>
                  <w:tcW w:w="408" w:type="pct"/>
                  <w:tcBorders>
                    <w:right w:val="nil"/>
                  </w:tcBorders>
                  <w:vAlign w:val="center"/>
                </w:tcPr>
                <w:p>
                  <w:pPr>
                    <w:jc w:val="center"/>
                    <w:rPr>
                      <w:snapToGrid w:val="0"/>
                      <w:color w:val="auto"/>
                      <w:kern w:val="0"/>
                      <w:szCs w:val="21"/>
                    </w:rPr>
                  </w:pPr>
                  <w:r>
                    <w:rPr>
                      <w:snapToGrid w:val="0"/>
                      <w:color w:val="auto"/>
                      <w:kern w:val="0"/>
                      <w:szCs w:val="21"/>
                    </w:rPr>
                    <w:t>1次/</w:t>
                  </w:r>
                  <w:r>
                    <w:rPr>
                      <w:rFonts w:hint="eastAsia"/>
                      <w:snapToGrid w:val="0"/>
                      <w:color w:val="auto"/>
                      <w:kern w:val="0"/>
                      <w:szCs w:val="21"/>
                    </w:rPr>
                    <w:t>半</w:t>
                  </w:r>
                  <w:r>
                    <w:rPr>
                      <w:snapToGrid w:val="0"/>
                      <w:color w:val="auto"/>
                      <w:kern w:val="0"/>
                      <w:szCs w:val="21"/>
                    </w:rPr>
                    <w:t>年</w:t>
                  </w:r>
                </w:p>
              </w:tc>
            </w:tr>
          </w:tbl>
          <w:p>
            <w:pPr>
              <w:spacing w:line="500" w:lineRule="exact"/>
              <w:ind w:firstLine="480" w:firstLineChars="200"/>
              <w:rPr>
                <w:sz w:val="24"/>
                <w:szCs w:val="22"/>
              </w:rPr>
            </w:pPr>
            <w:r>
              <w:rPr>
                <w:rFonts w:hint="eastAsia"/>
                <w:sz w:val="24"/>
                <w:szCs w:val="22"/>
              </w:rPr>
              <w:t>（3）倍量削减</w:t>
            </w:r>
          </w:p>
          <w:p>
            <w:pPr>
              <w:spacing w:line="500" w:lineRule="exact"/>
              <w:ind w:firstLine="480" w:firstLineChars="200"/>
              <w:rPr>
                <w:sz w:val="24"/>
                <w:szCs w:val="22"/>
                <w:highlight w:val="none"/>
              </w:rPr>
            </w:pPr>
            <w:r>
              <w:rPr>
                <w:rFonts w:hint="eastAsia"/>
                <w:color w:val="FF0000"/>
                <w:sz w:val="24"/>
                <w:szCs w:val="22"/>
              </w:rPr>
              <w:t>经分析，本项目颗粒物</w:t>
            </w:r>
            <w:r>
              <w:rPr>
                <w:rFonts w:hint="eastAsia"/>
                <w:color w:val="FF0000"/>
                <w:sz w:val="24"/>
                <w:szCs w:val="22"/>
                <w:highlight w:val="none"/>
              </w:rPr>
              <w:t>新增排放量为</w:t>
            </w:r>
            <w:r>
              <w:rPr>
                <w:rFonts w:hint="eastAsia"/>
                <w:color w:val="FF0000"/>
                <w:sz w:val="24"/>
                <w:szCs w:val="22"/>
                <w:highlight w:val="none"/>
                <w:lang w:val="en-US" w:eastAsia="zh-CN"/>
              </w:rPr>
              <w:t>0.508</w:t>
            </w:r>
            <w:r>
              <w:rPr>
                <w:rFonts w:hint="eastAsia"/>
                <w:color w:val="FF0000"/>
                <w:sz w:val="24"/>
                <w:szCs w:val="22"/>
                <w:highlight w:val="none"/>
              </w:rPr>
              <w:t>t/a</w:t>
            </w:r>
            <w:r>
              <w:rPr>
                <w:rFonts w:hint="eastAsia"/>
                <w:color w:val="FF0000"/>
                <w:sz w:val="24"/>
                <w:szCs w:val="22"/>
                <w:highlight w:val="none"/>
                <w:lang w:eastAsia="zh-CN"/>
              </w:rPr>
              <w:t>，</w:t>
            </w:r>
            <w:r>
              <w:rPr>
                <w:rFonts w:hint="eastAsia"/>
                <w:color w:val="FF0000"/>
                <w:sz w:val="24"/>
                <w:szCs w:val="22"/>
                <w:highlight w:val="none"/>
                <w:lang w:val="en-US" w:eastAsia="zh-CN"/>
              </w:rPr>
              <w:t>其中有组织颗粒物排放量为0.507</w:t>
            </w:r>
            <w:r>
              <w:rPr>
                <w:rFonts w:hint="eastAsia"/>
                <w:color w:val="FF0000"/>
                <w:sz w:val="24"/>
                <w:szCs w:val="22"/>
                <w:highlight w:val="none"/>
              </w:rPr>
              <w:t>，需削减量为</w:t>
            </w:r>
            <w:r>
              <w:rPr>
                <w:rFonts w:hint="eastAsia"/>
                <w:color w:val="FF0000"/>
                <w:sz w:val="24"/>
                <w:szCs w:val="22"/>
                <w:highlight w:val="none"/>
                <w:lang w:val="en-US" w:eastAsia="zh-CN"/>
              </w:rPr>
              <w:t>1.014</w:t>
            </w:r>
            <w:r>
              <w:rPr>
                <w:rFonts w:hint="eastAsia"/>
                <w:color w:val="FF0000"/>
                <w:sz w:val="24"/>
                <w:szCs w:val="22"/>
                <w:highlight w:val="none"/>
              </w:rPr>
              <w:t>t/a</w:t>
            </w:r>
            <w:r>
              <w:rPr>
                <w:rFonts w:hint="eastAsia"/>
                <w:sz w:val="24"/>
                <w:szCs w:val="22"/>
                <w:highlight w:val="none"/>
              </w:rPr>
              <w:t>。</w:t>
            </w:r>
          </w:p>
          <w:p>
            <w:pPr>
              <w:spacing w:line="480" w:lineRule="exact"/>
              <w:ind w:firstLine="480" w:firstLineChars="200"/>
              <w:rPr>
                <w:sz w:val="24"/>
              </w:rPr>
            </w:pPr>
            <w:r>
              <w:rPr>
                <w:sz w:val="24"/>
              </w:rPr>
              <w:t>（</w:t>
            </w:r>
            <w:r>
              <w:rPr>
                <w:rFonts w:hint="eastAsia"/>
                <w:sz w:val="24"/>
              </w:rPr>
              <w:t>4</w:t>
            </w:r>
            <w:r>
              <w:rPr>
                <w:sz w:val="24"/>
              </w:rPr>
              <w:t>）非正常工况</w:t>
            </w:r>
          </w:p>
          <w:p>
            <w:pPr>
              <w:adjustRightInd w:val="0"/>
              <w:snapToGrid w:val="0"/>
              <w:spacing w:line="480" w:lineRule="exact"/>
              <w:ind w:firstLine="480" w:firstLineChars="200"/>
              <w:rPr>
                <w:sz w:val="24"/>
              </w:rPr>
            </w:pPr>
            <w:r>
              <w:rPr>
                <w:sz w:val="24"/>
              </w:rPr>
              <w:t>废气非正常工况</w:t>
            </w:r>
            <w:r>
              <w:rPr>
                <w:rFonts w:hint="eastAsia"/>
                <w:sz w:val="24"/>
              </w:rPr>
              <w:t>考虑污染物种类多、排放量较大的砂处理废气</w:t>
            </w:r>
            <w:r>
              <w:rPr>
                <w:rFonts w:hint="eastAsia" w:ascii="宋体" w:hAnsi="宋体" w:cs="宋体"/>
                <w:sz w:val="24"/>
              </w:rPr>
              <w:t>处理系统</w:t>
            </w:r>
            <w:r>
              <w:rPr>
                <w:sz w:val="24"/>
              </w:rPr>
              <w:t>出现事故，</w:t>
            </w:r>
            <w:r>
              <w:rPr>
                <w:rFonts w:hint="eastAsia"/>
                <w:sz w:val="24"/>
              </w:rPr>
              <w:t>废气</w:t>
            </w:r>
            <w:r>
              <w:rPr>
                <w:sz w:val="24"/>
              </w:rPr>
              <w:t>净化效率为零，</w:t>
            </w:r>
            <w:r>
              <w:rPr>
                <w:rFonts w:hint="eastAsia"/>
                <w:sz w:val="24"/>
              </w:rPr>
              <w:t>废气</w:t>
            </w:r>
            <w:r>
              <w:rPr>
                <w:sz w:val="24"/>
              </w:rPr>
              <w:t>直排烟囱(事故排放按1h考虑)，大气污染物按原始产生浓度排出，预计发现非正常情况后立即停产，其非正常工况时的源强见表</w:t>
            </w:r>
            <w:r>
              <w:rPr>
                <w:rFonts w:hint="eastAsia"/>
                <w:sz w:val="24"/>
              </w:rPr>
              <w:t>29</w:t>
            </w:r>
            <w:r>
              <w:rPr>
                <w:sz w:val="24"/>
              </w:rPr>
              <w:t>。</w:t>
            </w:r>
          </w:p>
          <w:p>
            <w:pPr>
              <w:spacing w:line="480" w:lineRule="exact"/>
              <w:ind w:firstLine="480" w:firstLineChars="200"/>
              <w:rPr>
                <w:color w:val="auto"/>
                <w:sz w:val="24"/>
              </w:rPr>
            </w:pPr>
            <w:r>
              <w:rPr>
                <w:sz w:val="24"/>
              </w:rPr>
              <w:t>（</w:t>
            </w:r>
            <w:r>
              <w:rPr>
                <w:rFonts w:hint="eastAsia"/>
                <w:sz w:val="24"/>
              </w:rPr>
              <w:t>5</w:t>
            </w:r>
            <w:r>
              <w:rPr>
                <w:sz w:val="24"/>
              </w:rPr>
              <w:t>）污染治理设</w:t>
            </w:r>
            <w:r>
              <w:rPr>
                <w:color w:val="auto"/>
                <w:sz w:val="24"/>
              </w:rPr>
              <w:t>施技术可行性</w:t>
            </w:r>
          </w:p>
          <w:p>
            <w:pPr>
              <w:pStyle w:val="2"/>
              <w:spacing w:line="480" w:lineRule="exact"/>
              <w:ind w:firstLine="480"/>
              <w:rPr>
                <w:rFonts w:ascii="Times New Roman" w:hAnsi="Times New Roman"/>
                <w:color w:val="auto"/>
                <w:sz w:val="24"/>
              </w:rPr>
            </w:pPr>
            <w:r>
              <w:rPr>
                <w:rFonts w:ascii="Times New Roman" w:hAnsi="Times New Roman"/>
                <w:color w:val="auto"/>
                <w:sz w:val="24"/>
              </w:rPr>
              <w:t>本项目颗粒物废气采用脉冲袋式除尘器处理</w:t>
            </w:r>
            <w:r>
              <w:rPr>
                <w:rFonts w:hint="eastAsia" w:ascii="Times New Roman" w:hAnsi="Times New Roman"/>
                <w:color w:val="auto"/>
                <w:sz w:val="24"/>
              </w:rPr>
              <w:t>（布袋选用覆膜材质）</w:t>
            </w:r>
            <w:r>
              <w:rPr>
                <w:rFonts w:ascii="Times New Roman" w:hAnsi="Times New Roman"/>
                <w:color w:val="auto"/>
                <w:sz w:val="24"/>
              </w:rPr>
              <w:t>，属于《排污许可证申请与核发技术规范 金属铸造工业》（HJ1115-2020）</w:t>
            </w:r>
            <w:r>
              <w:rPr>
                <w:rFonts w:hint="eastAsia" w:ascii="Times New Roman" w:hAnsi="Times New Roman"/>
                <w:color w:val="auto"/>
                <w:sz w:val="24"/>
              </w:rPr>
              <w:t>及《铸造工业大气污染防治可行技术指南》（HJ1292-2023）</w:t>
            </w:r>
            <w:r>
              <w:rPr>
                <w:rFonts w:ascii="Times New Roman" w:hAnsi="Times New Roman"/>
                <w:color w:val="auto"/>
                <w:sz w:val="24"/>
              </w:rPr>
              <w:t>推荐的可行技术。</w:t>
            </w:r>
          </w:p>
          <w:p>
            <w:pPr>
              <w:spacing w:line="480" w:lineRule="exact"/>
              <w:ind w:firstLine="480" w:firstLineChars="200"/>
              <w:rPr>
                <w:sz w:val="24"/>
              </w:rPr>
            </w:pPr>
            <w:r>
              <w:rPr>
                <w:sz w:val="24"/>
              </w:rPr>
              <w:t>（</w:t>
            </w:r>
            <w:r>
              <w:rPr>
                <w:rFonts w:hint="eastAsia"/>
                <w:sz w:val="24"/>
              </w:rPr>
              <w:t>6</w:t>
            </w:r>
            <w:r>
              <w:rPr>
                <w:sz w:val="24"/>
              </w:rPr>
              <w:t>）环境影响分析</w:t>
            </w:r>
          </w:p>
          <w:p>
            <w:pPr>
              <w:pStyle w:val="2"/>
              <w:spacing w:line="480" w:lineRule="exact"/>
              <w:ind w:firstLine="480"/>
              <w:rPr>
                <w:rFonts w:ascii="Times New Roman" w:hAnsi="Times New Roman"/>
                <w:sz w:val="24"/>
              </w:rPr>
            </w:pPr>
            <w:r>
              <w:rPr>
                <w:rFonts w:hint="eastAsia" w:ascii="Times New Roman" w:hAnsi="Times New Roman"/>
                <w:sz w:val="24"/>
                <w:szCs w:val="24"/>
              </w:rPr>
              <w:t>本项目</w:t>
            </w:r>
            <w:r>
              <w:rPr>
                <w:rFonts w:ascii="Times New Roman" w:hAnsi="Times New Roman"/>
                <w:sz w:val="24"/>
                <w:szCs w:val="24"/>
              </w:rPr>
              <w:t>位于不达标区，</w:t>
            </w:r>
            <w:r>
              <w:rPr>
                <w:rFonts w:ascii="Times New Roman" w:hAnsi="Times New Roman"/>
                <w:bCs/>
                <w:sz w:val="24"/>
              </w:rPr>
              <w:t>根据《关于落实大气污染防治行动计划严格环境影响评价准入的通知》(环办[2014]30号)等文件的要求，</w:t>
            </w:r>
            <w:r>
              <w:rPr>
                <w:rFonts w:hint="eastAsia" w:ascii="Times New Roman" w:hAnsi="Times New Roman"/>
                <w:sz w:val="24"/>
              </w:rPr>
              <w:t>本项目应落实</w:t>
            </w:r>
            <w:r>
              <w:rPr>
                <w:rFonts w:ascii="Times New Roman" w:hAnsi="Times New Roman"/>
                <w:sz w:val="24"/>
              </w:rPr>
              <w:t>现役源</w:t>
            </w:r>
            <w:r>
              <w:rPr>
                <w:rFonts w:hint="eastAsia" w:ascii="Times New Roman" w:hAnsi="Times New Roman"/>
                <w:sz w:val="24"/>
              </w:rPr>
              <w:t>倍量</w:t>
            </w:r>
            <w:r>
              <w:rPr>
                <w:rFonts w:ascii="Times New Roman" w:hAnsi="Times New Roman"/>
                <w:sz w:val="24"/>
              </w:rPr>
              <w:t>削减替代</w:t>
            </w:r>
            <w:r>
              <w:rPr>
                <w:rFonts w:hint="eastAsia" w:ascii="Times New Roman" w:hAnsi="Times New Roman"/>
                <w:sz w:val="24"/>
              </w:rPr>
              <w:t>方案</w:t>
            </w:r>
            <w:r>
              <w:rPr>
                <w:rFonts w:ascii="Times New Roman" w:hAnsi="Times New Roman"/>
                <w:sz w:val="24"/>
              </w:rPr>
              <w:t>，通过</w:t>
            </w:r>
            <w:r>
              <w:rPr>
                <w:rFonts w:hint="eastAsia" w:ascii="Times New Roman" w:hAnsi="Times New Roman"/>
                <w:sz w:val="24"/>
              </w:rPr>
              <w:t>落实本项目特征污染物</w:t>
            </w:r>
            <w:r>
              <w:rPr>
                <w:rFonts w:hint="eastAsia" w:ascii="Times New Roman" w:hAnsi="Times New Roman"/>
                <w:sz w:val="24"/>
                <w:szCs w:val="24"/>
              </w:rPr>
              <w:t>颗粒物</w:t>
            </w:r>
            <w:r>
              <w:rPr>
                <w:rFonts w:ascii="Times New Roman" w:hAnsi="Times New Roman"/>
                <w:sz w:val="24"/>
              </w:rPr>
              <w:t>倍量削减，可在一定程度上改善区域环境质量，同时本项目</w:t>
            </w:r>
            <w:r>
              <w:rPr>
                <w:rFonts w:hint="eastAsia" w:ascii="Times New Roman" w:hAnsi="Times New Roman"/>
                <w:sz w:val="24"/>
                <w:szCs w:val="24"/>
              </w:rPr>
              <w:t>均采取有效措施处理后排放，</w:t>
            </w:r>
            <w:r>
              <w:rPr>
                <w:rFonts w:ascii="Times New Roman" w:hAnsi="Times New Roman"/>
                <w:sz w:val="24"/>
              </w:rPr>
              <w:t>可有效降低本项目污染物排放量，本项目实施后对周围环境的影响是可接受的。</w:t>
            </w:r>
          </w:p>
          <w:p>
            <w:pPr>
              <w:spacing w:line="480" w:lineRule="exact"/>
              <w:ind w:firstLine="482" w:firstLineChars="200"/>
              <w:rPr>
                <w:b/>
                <w:bCs/>
                <w:sz w:val="24"/>
              </w:rPr>
            </w:pPr>
            <w:r>
              <w:rPr>
                <w:b/>
                <w:bCs/>
                <w:sz w:val="24"/>
              </w:rPr>
              <w:t>二、水环境影响分析</w:t>
            </w:r>
          </w:p>
          <w:p>
            <w:pPr>
              <w:tabs>
                <w:tab w:val="left" w:pos="567"/>
              </w:tabs>
              <w:snapToGrid w:val="0"/>
              <w:spacing w:line="480" w:lineRule="exact"/>
              <w:ind w:firstLine="480" w:firstLineChars="200"/>
              <w:rPr>
                <w:bCs/>
                <w:kern w:val="24"/>
                <w:sz w:val="24"/>
              </w:rPr>
            </w:pPr>
            <w:r>
              <w:rPr>
                <w:rFonts w:ascii="宋体" w:hAnsi="宋体"/>
                <w:color w:val="000000"/>
                <w:sz w:val="24"/>
              </w:rPr>
              <w:t>本项</w:t>
            </w:r>
            <w:r>
              <w:rPr>
                <w:rFonts w:ascii="宋体" w:hAnsi="宋体"/>
                <w:sz w:val="24"/>
                <w:szCs w:val="28"/>
              </w:rPr>
              <w:t>目</w:t>
            </w:r>
            <w:r>
              <w:rPr>
                <w:rFonts w:hint="eastAsia" w:ascii="宋体" w:hAnsi="宋体"/>
                <w:sz w:val="24"/>
                <w:szCs w:val="28"/>
              </w:rPr>
              <w:t>无生产废水外排，</w:t>
            </w:r>
            <w:r>
              <w:rPr>
                <w:rFonts w:ascii="宋体" w:hAnsi="宋体"/>
                <w:color w:val="000000"/>
                <w:sz w:val="24"/>
              </w:rPr>
              <w:t>生活污水</w:t>
            </w:r>
            <w:r>
              <w:rPr>
                <w:rFonts w:hint="eastAsia" w:ascii="宋体" w:hAnsi="宋体"/>
                <w:color w:val="000000"/>
                <w:sz w:val="24"/>
              </w:rPr>
              <w:t>主要</w:t>
            </w:r>
            <w:r>
              <w:rPr>
                <w:rFonts w:ascii="宋体" w:hAnsi="宋体"/>
                <w:color w:val="000000"/>
                <w:sz w:val="24"/>
              </w:rPr>
              <w:t>为</w:t>
            </w:r>
            <w:r>
              <w:rPr>
                <w:rFonts w:hint="eastAsia" w:ascii="宋体" w:hAnsi="宋体"/>
                <w:color w:val="000000"/>
                <w:sz w:val="24"/>
              </w:rPr>
              <w:t>少量</w:t>
            </w:r>
            <w:r>
              <w:rPr>
                <w:rFonts w:ascii="宋体" w:hAnsi="宋体"/>
                <w:color w:val="000000"/>
                <w:sz w:val="24"/>
              </w:rPr>
              <w:t>盥洗废水，</w:t>
            </w:r>
            <w:r>
              <w:rPr>
                <w:rFonts w:hint="eastAsia" w:ascii="宋体" w:hAnsi="宋体"/>
                <w:color w:val="000000"/>
                <w:sz w:val="24"/>
              </w:rPr>
              <w:t>直接泼洒抑尘、不外排，不会对区域水环境造成不利影响</w:t>
            </w:r>
            <w:r>
              <w:rPr>
                <w:sz w:val="24"/>
              </w:rPr>
              <w:t>。</w:t>
            </w:r>
          </w:p>
          <w:p>
            <w:pPr>
              <w:pStyle w:val="13"/>
              <w:adjustRightInd w:val="0"/>
              <w:spacing w:line="460" w:lineRule="exact"/>
              <w:ind w:firstLine="0" w:firstLineChars="0"/>
              <w:textAlignment w:val="baseline"/>
              <w:rPr>
                <w:b/>
                <w:bCs/>
                <w:szCs w:val="24"/>
              </w:rPr>
            </w:pPr>
            <w:r>
              <w:rPr>
                <w:rFonts w:hint="eastAsia"/>
                <w:b/>
                <w:bCs/>
                <w:szCs w:val="24"/>
              </w:rPr>
              <w:t>3、噪声</w:t>
            </w:r>
          </w:p>
          <w:p>
            <w:pPr>
              <w:pStyle w:val="15"/>
              <w:spacing w:line="500" w:lineRule="exact"/>
              <w:ind w:left="0" w:right="0" w:firstLine="600" w:firstLineChars="250"/>
              <w:rPr>
                <w:sz w:val="24"/>
              </w:rPr>
            </w:pPr>
            <w:r>
              <w:rPr>
                <w:rFonts w:hint="eastAsia"/>
                <w:sz w:val="24"/>
              </w:rPr>
              <w:t>（1）噪声源强及降噪措施</w:t>
            </w:r>
          </w:p>
          <w:p>
            <w:pPr>
              <w:spacing w:line="500" w:lineRule="exact"/>
              <w:ind w:firstLine="480" w:firstLineChars="200"/>
              <w:rPr>
                <w:sz w:val="24"/>
                <w:szCs w:val="22"/>
              </w:rPr>
            </w:pPr>
            <w:r>
              <w:rPr>
                <w:sz w:val="24"/>
              </w:rPr>
              <w:t>本项目噪声源为主要为</w:t>
            </w:r>
            <w:r>
              <w:rPr>
                <w:rFonts w:hint="eastAsia"/>
                <w:sz w:val="24"/>
              </w:rPr>
              <w:t>电炉、退火炉、砂处理设备、震击式造型机、滚砂机、混砂机、天车、角磨机、风机、空压机</w:t>
            </w:r>
            <w:r>
              <w:rPr>
                <w:sz w:val="24"/>
              </w:rPr>
              <w:t>等，源强为</w:t>
            </w:r>
            <w:r>
              <w:rPr>
                <w:rFonts w:hint="eastAsia"/>
                <w:sz w:val="24"/>
              </w:rPr>
              <w:t>75-95</w:t>
            </w:r>
            <w:r>
              <w:rPr>
                <w:sz w:val="24"/>
              </w:rPr>
              <w:t>dB(A)</w:t>
            </w:r>
            <w:r>
              <w:rPr>
                <w:rFonts w:hint="eastAsia"/>
                <w:sz w:val="24"/>
              </w:rPr>
              <w:t>，项目选用低噪声设备，主要产噪设备置于单层彩钢板结构封闭间内，加装减振基础，可综合降噪15dB（A）。</w:t>
            </w:r>
            <w:r>
              <w:rPr>
                <w:sz w:val="24"/>
              </w:rPr>
              <w:t>项目以</w:t>
            </w:r>
            <w:r>
              <w:rPr>
                <w:rFonts w:hint="eastAsia"/>
                <w:sz w:val="24"/>
              </w:rPr>
              <w:t>厂区</w:t>
            </w:r>
            <w:r>
              <w:rPr>
                <w:sz w:val="24"/>
              </w:rPr>
              <w:t>西南角为坐标原点（0</w:t>
            </w:r>
            <w:r>
              <w:rPr>
                <w:rFonts w:hint="eastAsia"/>
                <w:sz w:val="24"/>
              </w:rPr>
              <w:t>，</w:t>
            </w:r>
            <w:r>
              <w:rPr>
                <w:sz w:val="24"/>
              </w:rPr>
              <w:t>0</w:t>
            </w:r>
            <w:r>
              <w:rPr>
                <w:rFonts w:hint="eastAsia"/>
                <w:sz w:val="24"/>
              </w:rPr>
              <w:t>，</w:t>
            </w:r>
            <w:r>
              <w:rPr>
                <w:sz w:val="24"/>
              </w:rPr>
              <w:t>0）</w:t>
            </w:r>
            <w:r>
              <w:rPr>
                <w:rFonts w:hint="eastAsia"/>
                <w:sz w:val="24"/>
              </w:rPr>
              <w:t>，</w:t>
            </w:r>
            <w:r>
              <w:rPr>
                <w:sz w:val="24"/>
                <w:lang w:val="zh-CN"/>
              </w:rPr>
              <w:t>具体噪声源强及治理措施见下表</w:t>
            </w:r>
            <w:r>
              <w:rPr>
                <w:sz w:val="24"/>
              </w:rPr>
              <w:t>。</w:t>
            </w:r>
          </w:p>
          <w:p>
            <w:pPr>
              <w:spacing w:line="500" w:lineRule="exact"/>
              <w:ind w:firstLine="480" w:firstLineChars="200"/>
              <w:rPr>
                <w:sz w:val="24"/>
                <w:szCs w:val="22"/>
              </w:rPr>
            </w:pPr>
          </w:p>
          <w:p>
            <w:pPr>
              <w:spacing w:line="500" w:lineRule="exact"/>
              <w:ind w:firstLine="480" w:firstLineChars="200"/>
              <w:rPr>
                <w:sz w:val="24"/>
                <w:szCs w:val="22"/>
              </w:rPr>
            </w:pPr>
          </w:p>
          <w:p>
            <w:pPr>
              <w:spacing w:line="500" w:lineRule="exact"/>
              <w:ind w:firstLine="480" w:firstLineChars="200"/>
              <w:rPr>
                <w:sz w:val="24"/>
                <w:szCs w:val="22"/>
              </w:rPr>
            </w:pPr>
          </w:p>
          <w:p>
            <w:pPr>
              <w:spacing w:line="500" w:lineRule="exact"/>
              <w:ind w:firstLine="480" w:firstLineChars="200"/>
              <w:rPr>
                <w:sz w:val="24"/>
                <w:szCs w:val="22"/>
              </w:rPr>
            </w:pPr>
          </w:p>
          <w:p>
            <w:pPr>
              <w:spacing w:line="500" w:lineRule="exact"/>
              <w:rPr>
                <w:szCs w:val="21"/>
              </w:rPr>
            </w:pPr>
          </w:p>
        </w:tc>
      </w:tr>
    </w:tbl>
    <w:p>
      <w:p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adjustRightInd w:val="0"/>
              <w:snapToGrid w:val="0"/>
              <w:jc w:val="center"/>
              <w:rPr>
                <w:bCs/>
                <w:sz w:val="24"/>
              </w:rPr>
            </w:pPr>
            <w:bookmarkStart w:id="19" w:name="_Toc14698"/>
            <w:bookmarkStart w:id="20" w:name="_Toc7513"/>
            <w:r>
              <w:rPr>
                <w:bCs/>
                <w:sz w:val="24"/>
              </w:rPr>
              <w:t>运营</w:t>
            </w:r>
          </w:p>
          <w:p>
            <w:pPr>
              <w:adjustRightInd w:val="0"/>
              <w:snapToGrid w:val="0"/>
              <w:jc w:val="center"/>
              <w:rPr>
                <w:bCs/>
                <w:sz w:val="24"/>
              </w:rPr>
            </w:pPr>
            <w:r>
              <w:rPr>
                <w:bCs/>
                <w:sz w:val="24"/>
              </w:rPr>
              <w:t>期环</w:t>
            </w:r>
          </w:p>
          <w:p>
            <w:pPr>
              <w:adjustRightInd w:val="0"/>
              <w:snapToGrid w:val="0"/>
              <w:jc w:val="center"/>
              <w:rPr>
                <w:bCs/>
                <w:sz w:val="24"/>
              </w:rPr>
            </w:pPr>
            <w:r>
              <w:rPr>
                <w:bCs/>
                <w:sz w:val="24"/>
              </w:rPr>
              <w:t>境影</w:t>
            </w:r>
          </w:p>
          <w:p>
            <w:pPr>
              <w:adjustRightInd w:val="0"/>
              <w:snapToGrid w:val="0"/>
              <w:jc w:val="center"/>
              <w:rPr>
                <w:bCs/>
                <w:sz w:val="24"/>
              </w:rPr>
            </w:pPr>
            <w:r>
              <w:rPr>
                <w:bCs/>
                <w:sz w:val="24"/>
              </w:rPr>
              <w:t>响和</w:t>
            </w:r>
          </w:p>
          <w:p>
            <w:pPr>
              <w:adjustRightInd w:val="0"/>
              <w:snapToGrid w:val="0"/>
              <w:jc w:val="center"/>
              <w:rPr>
                <w:bCs/>
                <w:sz w:val="24"/>
              </w:rPr>
            </w:pPr>
            <w:r>
              <w:rPr>
                <w:bCs/>
                <w:sz w:val="24"/>
              </w:rPr>
              <w:t>保护措施</w:t>
            </w:r>
          </w:p>
        </w:tc>
        <w:tc>
          <w:tcPr>
            <w:tcW w:w="12665" w:type="dxa"/>
          </w:tcPr>
          <w:p>
            <w:pPr>
              <w:spacing w:line="500" w:lineRule="exact"/>
              <w:jc w:val="center"/>
              <w:rPr>
                <w:b/>
                <w:bCs/>
                <w:sz w:val="24"/>
              </w:rPr>
            </w:pPr>
            <w:r>
              <w:rPr>
                <w:b/>
                <w:bCs/>
                <w:sz w:val="24"/>
              </w:rPr>
              <w:t>表</w:t>
            </w:r>
            <w:r>
              <w:rPr>
                <w:rFonts w:hint="eastAsia"/>
                <w:b/>
                <w:bCs/>
                <w:sz w:val="24"/>
              </w:rPr>
              <w:t>3</w:t>
            </w:r>
            <w:r>
              <w:rPr>
                <w:rFonts w:hint="eastAsia"/>
                <w:b/>
                <w:bCs/>
                <w:sz w:val="24"/>
                <w:lang w:val="en-US" w:eastAsia="zh-CN"/>
              </w:rPr>
              <w:t>9</w:t>
            </w:r>
            <w:r>
              <w:rPr>
                <w:rFonts w:hint="eastAsia"/>
                <w:b/>
                <w:bCs/>
                <w:sz w:val="24"/>
              </w:rPr>
              <w:t xml:space="preserve">     本项目</w:t>
            </w:r>
            <w:r>
              <w:rPr>
                <w:b/>
                <w:bCs/>
                <w:sz w:val="24"/>
              </w:rPr>
              <w:t>工业企业噪声源强调查清单（室内声源）</w:t>
            </w:r>
          </w:p>
          <w:tbl>
            <w:tblPr>
              <w:tblStyle w:val="32"/>
              <w:tblW w:w="503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659"/>
              <w:gridCol w:w="962"/>
              <w:gridCol w:w="824"/>
              <w:gridCol w:w="814"/>
              <w:gridCol w:w="852"/>
              <w:gridCol w:w="718"/>
              <w:gridCol w:w="658"/>
              <w:gridCol w:w="650"/>
              <w:gridCol w:w="508"/>
              <w:gridCol w:w="761"/>
              <w:gridCol w:w="981"/>
              <w:gridCol w:w="598"/>
              <w:gridCol w:w="941"/>
              <w:gridCol w:w="921"/>
              <w:gridCol w:w="11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vAlign w:val="center"/>
                </w:tcPr>
                <w:p>
                  <w:pPr>
                    <w:widowControl/>
                    <w:adjustRightInd w:val="0"/>
                    <w:snapToGrid w:val="0"/>
                    <w:jc w:val="center"/>
                    <w:textAlignment w:val="center"/>
                    <w:rPr>
                      <w:szCs w:val="21"/>
                    </w:rPr>
                  </w:pPr>
                  <w:r>
                    <w:rPr>
                      <w:szCs w:val="21"/>
                    </w:rPr>
                    <w:t>序号</w:t>
                  </w:r>
                </w:p>
              </w:tc>
              <w:tc>
                <w:tcPr>
                  <w:tcW w:w="263" w:type="pct"/>
                  <w:vMerge w:val="restart"/>
                  <w:vAlign w:val="center"/>
                </w:tcPr>
                <w:p>
                  <w:pPr>
                    <w:widowControl/>
                    <w:adjustRightInd w:val="0"/>
                    <w:snapToGrid w:val="0"/>
                    <w:jc w:val="center"/>
                    <w:textAlignment w:val="center"/>
                    <w:rPr>
                      <w:szCs w:val="21"/>
                    </w:rPr>
                  </w:pPr>
                  <w:r>
                    <w:rPr>
                      <w:szCs w:val="21"/>
                    </w:rPr>
                    <w:t>建筑物名称</w:t>
                  </w:r>
                </w:p>
              </w:tc>
              <w:tc>
                <w:tcPr>
                  <w:tcW w:w="384" w:type="pct"/>
                  <w:vMerge w:val="restart"/>
                  <w:vAlign w:val="center"/>
                </w:tcPr>
                <w:p>
                  <w:pPr>
                    <w:widowControl/>
                    <w:adjustRightInd w:val="0"/>
                    <w:snapToGrid w:val="0"/>
                    <w:jc w:val="center"/>
                    <w:textAlignment w:val="center"/>
                    <w:rPr>
                      <w:szCs w:val="21"/>
                    </w:rPr>
                  </w:pPr>
                  <w:r>
                    <w:rPr>
                      <w:szCs w:val="21"/>
                    </w:rPr>
                    <w:t>声源名称</w:t>
                  </w:r>
                </w:p>
              </w:tc>
              <w:tc>
                <w:tcPr>
                  <w:tcW w:w="329" w:type="pct"/>
                  <w:vMerge w:val="restart"/>
                  <w:vAlign w:val="center"/>
                </w:tcPr>
                <w:p>
                  <w:pPr>
                    <w:widowControl/>
                    <w:adjustRightInd w:val="0"/>
                    <w:snapToGrid w:val="0"/>
                    <w:jc w:val="center"/>
                    <w:textAlignment w:val="center"/>
                    <w:rPr>
                      <w:szCs w:val="21"/>
                    </w:rPr>
                  </w:pPr>
                  <w:r>
                    <w:rPr>
                      <w:szCs w:val="21"/>
                    </w:rPr>
                    <w:t>型号</w:t>
                  </w:r>
                </w:p>
              </w:tc>
              <w:tc>
                <w:tcPr>
                  <w:tcW w:w="325" w:type="pct"/>
                  <w:vMerge w:val="restart"/>
                  <w:vAlign w:val="center"/>
                </w:tcPr>
                <w:p>
                  <w:pPr>
                    <w:widowControl/>
                    <w:adjustRightInd w:val="0"/>
                    <w:snapToGrid w:val="0"/>
                    <w:jc w:val="center"/>
                    <w:textAlignment w:val="center"/>
                    <w:rPr>
                      <w:szCs w:val="21"/>
                    </w:rPr>
                  </w:pPr>
                  <w:r>
                    <w:rPr>
                      <w:szCs w:val="21"/>
                    </w:rPr>
                    <w:t>声压级/dB(A)</w:t>
                  </w:r>
                </w:p>
              </w:tc>
              <w:tc>
                <w:tcPr>
                  <w:tcW w:w="340" w:type="pct"/>
                  <w:vMerge w:val="restart"/>
                  <w:vAlign w:val="center"/>
                </w:tcPr>
                <w:p>
                  <w:pPr>
                    <w:widowControl/>
                    <w:adjustRightInd w:val="0"/>
                    <w:snapToGrid w:val="0"/>
                    <w:jc w:val="center"/>
                    <w:textAlignment w:val="center"/>
                    <w:rPr>
                      <w:szCs w:val="21"/>
                    </w:rPr>
                  </w:pPr>
                  <w:r>
                    <w:rPr>
                      <w:szCs w:val="21"/>
                    </w:rPr>
                    <w:t>声源控制措施</w:t>
                  </w:r>
                </w:p>
              </w:tc>
              <w:tc>
                <w:tcPr>
                  <w:tcW w:w="809" w:type="pct"/>
                  <w:gridSpan w:val="3"/>
                  <w:vAlign w:val="center"/>
                </w:tcPr>
                <w:p>
                  <w:pPr>
                    <w:widowControl/>
                    <w:adjustRightInd w:val="0"/>
                    <w:snapToGrid w:val="0"/>
                    <w:jc w:val="center"/>
                    <w:textAlignment w:val="center"/>
                    <w:rPr>
                      <w:szCs w:val="21"/>
                    </w:rPr>
                  </w:pPr>
                  <w:r>
                    <w:rPr>
                      <w:szCs w:val="21"/>
                    </w:rPr>
                    <w:t>空间相对位置/m</w:t>
                  </w:r>
                </w:p>
              </w:tc>
              <w:tc>
                <w:tcPr>
                  <w:tcW w:w="507" w:type="pct"/>
                  <w:gridSpan w:val="2"/>
                  <w:vAlign w:val="center"/>
                </w:tcPr>
                <w:p>
                  <w:pPr>
                    <w:widowControl/>
                    <w:adjustRightInd w:val="0"/>
                    <w:snapToGrid w:val="0"/>
                    <w:jc w:val="center"/>
                    <w:textAlignment w:val="center"/>
                    <w:rPr>
                      <w:szCs w:val="21"/>
                    </w:rPr>
                  </w:pPr>
                  <w:r>
                    <w:rPr>
                      <w:szCs w:val="21"/>
                    </w:rPr>
                    <w:t>距室内边界距离</w:t>
                  </w:r>
                </w:p>
              </w:tc>
              <w:tc>
                <w:tcPr>
                  <w:tcW w:w="392" w:type="pct"/>
                  <w:vMerge w:val="restart"/>
                  <w:vAlign w:val="center"/>
                </w:tcPr>
                <w:p>
                  <w:pPr>
                    <w:widowControl/>
                    <w:adjustRightInd w:val="0"/>
                    <w:snapToGrid w:val="0"/>
                    <w:jc w:val="center"/>
                    <w:textAlignment w:val="center"/>
                    <w:rPr>
                      <w:szCs w:val="21"/>
                    </w:rPr>
                  </w:pPr>
                  <w:r>
                    <w:rPr>
                      <w:szCs w:val="21"/>
                    </w:rPr>
                    <w:t>室内边界声级/dB(A)</w:t>
                  </w:r>
                </w:p>
              </w:tc>
              <w:tc>
                <w:tcPr>
                  <w:tcW w:w="238" w:type="pct"/>
                  <w:vMerge w:val="restart"/>
                  <w:vAlign w:val="center"/>
                </w:tcPr>
                <w:p>
                  <w:pPr>
                    <w:widowControl/>
                    <w:adjustRightInd w:val="0"/>
                    <w:snapToGrid w:val="0"/>
                    <w:jc w:val="center"/>
                    <w:textAlignment w:val="center"/>
                    <w:rPr>
                      <w:szCs w:val="21"/>
                    </w:rPr>
                  </w:pPr>
                  <w:r>
                    <w:rPr>
                      <w:szCs w:val="21"/>
                    </w:rPr>
                    <w:t>运行时段</w:t>
                  </w:r>
                </w:p>
              </w:tc>
              <w:tc>
                <w:tcPr>
                  <w:tcW w:w="376" w:type="pct"/>
                  <w:vMerge w:val="restart"/>
                  <w:vAlign w:val="center"/>
                </w:tcPr>
                <w:p>
                  <w:pPr>
                    <w:widowControl/>
                    <w:adjustRightInd w:val="0"/>
                    <w:snapToGrid w:val="0"/>
                    <w:jc w:val="center"/>
                    <w:textAlignment w:val="center"/>
                    <w:rPr>
                      <w:szCs w:val="21"/>
                    </w:rPr>
                  </w:pPr>
                  <w:r>
                    <w:rPr>
                      <w:szCs w:val="21"/>
                    </w:rPr>
                    <w:t>建筑物插入损失/dB(A)</w:t>
                  </w:r>
                </w:p>
              </w:tc>
              <w:tc>
                <w:tcPr>
                  <w:tcW w:w="817" w:type="pct"/>
                  <w:gridSpan w:val="2"/>
                  <w:tcBorders>
                    <w:right w:val="nil"/>
                  </w:tcBorders>
                  <w:vAlign w:val="center"/>
                </w:tcPr>
                <w:p>
                  <w:pPr>
                    <w:widowControl/>
                    <w:adjustRightInd w:val="0"/>
                    <w:snapToGrid w:val="0"/>
                    <w:jc w:val="center"/>
                    <w:textAlignment w:val="center"/>
                    <w:rPr>
                      <w:szCs w:val="21"/>
                    </w:rPr>
                  </w:pPr>
                  <w:r>
                    <w:rPr>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vAlign w:val="center"/>
                </w:tcPr>
                <w:p>
                  <w:pPr>
                    <w:widowControl/>
                    <w:adjustRightInd w:val="0"/>
                    <w:snapToGrid w:val="0"/>
                    <w:jc w:val="center"/>
                    <w:rPr>
                      <w:szCs w:val="21"/>
                    </w:rPr>
                  </w:pPr>
                </w:p>
              </w:tc>
              <w:tc>
                <w:tcPr>
                  <w:tcW w:w="263" w:type="pct"/>
                  <w:vMerge w:val="continue"/>
                  <w:vAlign w:val="center"/>
                </w:tcPr>
                <w:p>
                  <w:pPr>
                    <w:widowControl/>
                    <w:adjustRightInd w:val="0"/>
                    <w:snapToGrid w:val="0"/>
                    <w:jc w:val="center"/>
                    <w:rPr>
                      <w:szCs w:val="21"/>
                    </w:rPr>
                  </w:pPr>
                </w:p>
              </w:tc>
              <w:tc>
                <w:tcPr>
                  <w:tcW w:w="384" w:type="pct"/>
                  <w:vMerge w:val="continue"/>
                  <w:vAlign w:val="center"/>
                </w:tcPr>
                <w:p>
                  <w:pPr>
                    <w:widowControl/>
                    <w:adjustRightInd w:val="0"/>
                    <w:snapToGrid w:val="0"/>
                    <w:jc w:val="center"/>
                    <w:rPr>
                      <w:szCs w:val="21"/>
                    </w:rPr>
                  </w:pPr>
                </w:p>
              </w:tc>
              <w:tc>
                <w:tcPr>
                  <w:tcW w:w="329" w:type="pct"/>
                  <w:vMerge w:val="continue"/>
                  <w:vAlign w:val="center"/>
                </w:tcPr>
                <w:p>
                  <w:pPr>
                    <w:widowControl/>
                    <w:adjustRightInd w:val="0"/>
                    <w:snapToGrid w:val="0"/>
                    <w:jc w:val="center"/>
                    <w:rPr>
                      <w:szCs w:val="21"/>
                    </w:rPr>
                  </w:pPr>
                </w:p>
              </w:tc>
              <w:tc>
                <w:tcPr>
                  <w:tcW w:w="325" w:type="pct"/>
                  <w:vMerge w:val="continue"/>
                  <w:vAlign w:val="center"/>
                </w:tcPr>
                <w:p>
                  <w:pPr>
                    <w:widowControl/>
                    <w:adjustRightInd w:val="0"/>
                    <w:snapToGrid w:val="0"/>
                    <w:jc w:val="center"/>
                    <w:rPr>
                      <w:szCs w:val="21"/>
                    </w:rPr>
                  </w:pPr>
                </w:p>
              </w:tc>
              <w:tc>
                <w:tcPr>
                  <w:tcW w:w="340" w:type="pct"/>
                  <w:vMerge w:val="continue"/>
                  <w:vAlign w:val="center"/>
                </w:tcPr>
                <w:p>
                  <w:pPr>
                    <w:widowControl/>
                    <w:adjustRightInd w:val="0"/>
                    <w:snapToGrid w:val="0"/>
                    <w:jc w:val="center"/>
                    <w:rPr>
                      <w:szCs w:val="21"/>
                    </w:rPr>
                  </w:pPr>
                </w:p>
              </w:tc>
              <w:tc>
                <w:tcPr>
                  <w:tcW w:w="286" w:type="pct"/>
                  <w:vAlign w:val="center"/>
                </w:tcPr>
                <w:p>
                  <w:pPr>
                    <w:widowControl/>
                    <w:adjustRightInd w:val="0"/>
                    <w:snapToGrid w:val="0"/>
                    <w:jc w:val="center"/>
                    <w:textAlignment w:val="center"/>
                    <w:rPr>
                      <w:szCs w:val="21"/>
                    </w:rPr>
                  </w:pPr>
                  <w:r>
                    <w:rPr>
                      <w:szCs w:val="21"/>
                    </w:rPr>
                    <w:t>X</w:t>
                  </w:r>
                </w:p>
              </w:tc>
              <w:tc>
                <w:tcPr>
                  <w:tcW w:w="262" w:type="pct"/>
                  <w:vAlign w:val="center"/>
                </w:tcPr>
                <w:p>
                  <w:pPr>
                    <w:widowControl/>
                    <w:adjustRightInd w:val="0"/>
                    <w:snapToGrid w:val="0"/>
                    <w:jc w:val="center"/>
                    <w:textAlignment w:val="center"/>
                    <w:rPr>
                      <w:szCs w:val="21"/>
                    </w:rPr>
                  </w:pPr>
                  <w:r>
                    <w:rPr>
                      <w:szCs w:val="21"/>
                    </w:rPr>
                    <w:t>Y</w:t>
                  </w:r>
                </w:p>
              </w:tc>
              <w:tc>
                <w:tcPr>
                  <w:tcW w:w="259" w:type="pct"/>
                  <w:vAlign w:val="center"/>
                </w:tcPr>
                <w:p>
                  <w:pPr>
                    <w:widowControl/>
                    <w:adjustRightInd w:val="0"/>
                    <w:snapToGrid w:val="0"/>
                    <w:jc w:val="center"/>
                    <w:textAlignment w:val="center"/>
                    <w:rPr>
                      <w:szCs w:val="21"/>
                    </w:rPr>
                  </w:pPr>
                  <w:r>
                    <w:rPr>
                      <w:szCs w:val="21"/>
                    </w:rPr>
                    <w:t>Z</w:t>
                  </w:r>
                </w:p>
              </w:tc>
              <w:tc>
                <w:tcPr>
                  <w:tcW w:w="203" w:type="pct"/>
                  <w:vAlign w:val="center"/>
                </w:tcPr>
                <w:p>
                  <w:pPr>
                    <w:widowControl/>
                    <w:adjustRightInd w:val="0"/>
                    <w:snapToGrid w:val="0"/>
                    <w:jc w:val="center"/>
                    <w:textAlignment w:val="center"/>
                    <w:rPr>
                      <w:szCs w:val="21"/>
                    </w:rPr>
                  </w:pPr>
                  <w:r>
                    <w:rPr>
                      <w:szCs w:val="21"/>
                    </w:rPr>
                    <w:t>边界</w:t>
                  </w:r>
                </w:p>
              </w:tc>
              <w:tc>
                <w:tcPr>
                  <w:tcW w:w="304" w:type="pct"/>
                  <w:vAlign w:val="center"/>
                </w:tcPr>
                <w:p>
                  <w:pPr>
                    <w:widowControl/>
                    <w:adjustRightInd w:val="0"/>
                    <w:snapToGrid w:val="0"/>
                    <w:jc w:val="center"/>
                    <w:textAlignment w:val="center"/>
                    <w:rPr>
                      <w:szCs w:val="21"/>
                    </w:rPr>
                  </w:pPr>
                  <w:r>
                    <w:rPr>
                      <w:szCs w:val="21"/>
                    </w:rPr>
                    <w:t>距离/m</w:t>
                  </w:r>
                </w:p>
              </w:tc>
              <w:tc>
                <w:tcPr>
                  <w:tcW w:w="392" w:type="pct"/>
                  <w:vMerge w:val="continue"/>
                  <w:vAlign w:val="center"/>
                </w:tcPr>
                <w:p>
                  <w:pPr>
                    <w:widowControl/>
                    <w:adjustRightInd w:val="0"/>
                    <w:snapToGrid w:val="0"/>
                    <w:jc w:val="center"/>
                    <w:rPr>
                      <w:szCs w:val="21"/>
                    </w:rPr>
                  </w:pPr>
                </w:p>
              </w:tc>
              <w:tc>
                <w:tcPr>
                  <w:tcW w:w="238" w:type="pct"/>
                  <w:vMerge w:val="continue"/>
                  <w:vAlign w:val="center"/>
                </w:tcPr>
                <w:p>
                  <w:pPr>
                    <w:widowControl/>
                    <w:adjustRightInd w:val="0"/>
                    <w:snapToGrid w:val="0"/>
                    <w:jc w:val="center"/>
                    <w:rPr>
                      <w:szCs w:val="21"/>
                    </w:rPr>
                  </w:pPr>
                </w:p>
              </w:tc>
              <w:tc>
                <w:tcPr>
                  <w:tcW w:w="376" w:type="pct"/>
                  <w:vMerge w:val="continue"/>
                  <w:vAlign w:val="center"/>
                </w:tcPr>
                <w:p>
                  <w:pPr>
                    <w:widowControl/>
                    <w:adjustRightInd w:val="0"/>
                    <w:snapToGrid w:val="0"/>
                    <w:jc w:val="center"/>
                    <w:rPr>
                      <w:szCs w:val="21"/>
                    </w:rPr>
                  </w:pPr>
                </w:p>
              </w:tc>
              <w:tc>
                <w:tcPr>
                  <w:tcW w:w="368" w:type="pct"/>
                  <w:vAlign w:val="center"/>
                </w:tcPr>
                <w:p>
                  <w:pPr>
                    <w:widowControl/>
                    <w:adjustRightInd w:val="0"/>
                    <w:snapToGrid w:val="0"/>
                    <w:jc w:val="center"/>
                    <w:textAlignment w:val="center"/>
                    <w:rPr>
                      <w:szCs w:val="21"/>
                    </w:rPr>
                  </w:pPr>
                  <w:r>
                    <w:rPr>
                      <w:szCs w:val="21"/>
                    </w:rPr>
                    <w:t>声压级/dB(A)</w:t>
                  </w:r>
                </w:p>
              </w:tc>
              <w:tc>
                <w:tcPr>
                  <w:tcW w:w="449" w:type="pct"/>
                  <w:tcBorders>
                    <w:right w:val="nil"/>
                  </w:tcBorders>
                  <w:vAlign w:val="center"/>
                </w:tcPr>
                <w:p>
                  <w:pPr>
                    <w:widowControl/>
                    <w:adjustRightInd w:val="0"/>
                    <w:snapToGrid w:val="0"/>
                    <w:jc w:val="center"/>
                    <w:textAlignment w:val="center"/>
                    <w:rPr>
                      <w:szCs w:val="21"/>
                    </w:rPr>
                  </w:pPr>
                  <w:r>
                    <w:rPr>
                      <w:szCs w:val="21"/>
                    </w:rPr>
                    <w:t>建筑物外距离/m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w:t>
                  </w:r>
                </w:p>
              </w:tc>
              <w:tc>
                <w:tcPr>
                  <w:tcW w:w="263" w:type="pct"/>
                  <w:vMerge w:val="restart"/>
                  <w:vAlign w:val="center"/>
                </w:tcPr>
                <w:p>
                  <w:pPr>
                    <w:widowControl/>
                    <w:adjustRightInd w:val="0"/>
                    <w:snapToGrid w:val="0"/>
                    <w:jc w:val="center"/>
                    <w:textAlignment w:val="center"/>
                    <w:rPr>
                      <w:szCs w:val="21"/>
                    </w:rPr>
                  </w:pPr>
                  <w:r>
                    <w:rPr>
                      <w:szCs w:val="21"/>
                    </w:rPr>
                    <w:t>生产车间</w:t>
                  </w:r>
                </w:p>
              </w:tc>
              <w:tc>
                <w:tcPr>
                  <w:tcW w:w="384" w:type="pct"/>
                  <w:vMerge w:val="restart"/>
                  <w:vAlign w:val="center"/>
                </w:tcPr>
                <w:p>
                  <w:pPr>
                    <w:widowControl/>
                    <w:adjustRightInd w:val="0"/>
                    <w:snapToGrid w:val="0"/>
                    <w:jc w:val="center"/>
                    <w:textAlignment w:val="center"/>
                    <w:rPr>
                      <w:szCs w:val="21"/>
                    </w:rPr>
                  </w:pPr>
                  <w:r>
                    <w:rPr>
                      <w:szCs w:val="21"/>
                    </w:rPr>
                    <w:t>1#磁轭钢壳感应电炉</w:t>
                  </w:r>
                </w:p>
              </w:tc>
              <w:tc>
                <w:tcPr>
                  <w:tcW w:w="329" w:type="pct"/>
                  <w:vMerge w:val="restart"/>
                  <w:vAlign w:val="center"/>
                </w:tcPr>
                <w:p>
                  <w:pPr>
                    <w:widowControl/>
                    <w:adjustRightInd w:val="0"/>
                    <w:snapToGrid w:val="0"/>
                    <w:jc w:val="center"/>
                    <w:textAlignment w:val="center"/>
                    <w:rPr>
                      <w:szCs w:val="21"/>
                    </w:rPr>
                  </w:pPr>
                  <w:r>
                    <w:rPr>
                      <w:rFonts w:hint="eastAsia"/>
                      <w:szCs w:val="21"/>
                      <w:lang w:val="en-US" w:eastAsia="zh-CN"/>
                    </w:rPr>
                    <w:t>3</w:t>
                  </w:r>
                  <w:r>
                    <w:rPr>
                      <w:szCs w:val="21"/>
                    </w:rPr>
                    <w:t>t</w:t>
                  </w:r>
                </w:p>
              </w:tc>
              <w:tc>
                <w:tcPr>
                  <w:tcW w:w="325" w:type="pct"/>
                  <w:vMerge w:val="restart"/>
                  <w:vAlign w:val="center"/>
                </w:tcPr>
                <w:p>
                  <w:pPr>
                    <w:widowControl/>
                    <w:adjustRightInd w:val="0"/>
                    <w:snapToGrid w:val="0"/>
                    <w:jc w:val="center"/>
                    <w:textAlignment w:val="center"/>
                    <w:rPr>
                      <w:szCs w:val="21"/>
                    </w:rPr>
                  </w:pPr>
                  <w:r>
                    <w:rPr>
                      <w:szCs w:val="21"/>
                    </w:rPr>
                    <w:t>80</w:t>
                  </w:r>
                </w:p>
              </w:tc>
              <w:tc>
                <w:tcPr>
                  <w:tcW w:w="340" w:type="pct"/>
                  <w:vMerge w:val="restart"/>
                  <w:vAlign w:val="center"/>
                </w:tcPr>
                <w:p>
                  <w:pPr>
                    <w:widowControl/>
                    <w:adjustRightInd w:val="0"/>
                    <w:snapToGrid w:val="0"/>
                    <w:jc w:val="center"/>
                    <w:textAlignment w:val="center"/>
                    <w:rPr>
                      <w:szCs w:val="21"/>
                    </w:rPr>
                  </w:pPr>
                  <w:r>
                    <w:rPr>
                      <w:szCs w:val="21"/>
                    </w:rPr>
                    <w:t>置于密闭车间内，设备基础安装减振</w:t>
                  </w:r>
                </w:p>
              </w:tc>
              <w:tc>
                <w:tcPr>
                  <w:tcW w:w="286" w:type="pct"/>
                  <w:vMerge w:val="restart"/>
                  <w:vAlign w:val="center"/>
                </w:tcPr>
                <w:p>
                  <w:pPr>
                    <w:widowControl/>
                    <w:adjustRightInd w:val="0"/>
                    <w:snapToGrid w:val="0"/>
                    <w:jc w:val="center"/>
                    <w:textAlignment w:val="center"/>
                    <w:rPr>
                      <w:szCs w:val="21"/>
                    </w:rPr>
                  </w:pPr>
                  <w:r>
                    <w:rPr>
                      <w:szCs w:val="21"/>
                    </w:rPr>
                    <w:t>28</w:t>
                  </w:r>
                </w:p>
              </w:tc>
              <w:tc>
                <w:tcPr>
                  <w:tcW w:w="262" w:type="pct"/>
                  <w:vMerge w:val="restart"/>
                  <w:vAlign w:val="center"/>
                </w:tcPr>
                <w:p>
                  <w:pPr>
                    <w:widowControl/>
                    <w:adjustRightInd w:val="0"/>
                    <w:snapToGrid w:val="0"/>
                    <w:jc w:val="center"/>
                    <w:textAlignment w:val="center"/>
                    <w:rPr>
                      <w:szCs w:val="21"/>
                    </w:rPr>
                  </w:pPr>
                  <w:r>
                    <w:rPr>
                      <w:szCs w:val="21"/>
                    </w:rPr>
                    <w:t>42</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66.0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51</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60.0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45</w:t>
                  </w:r>
                </w:p>
              </w:tc>
              <w:tc>
                <w:tcPr>
                  <w:tcW w:w="449" w:type="pct"/>
                  <w:tcBorders>
                    <w:right w:val="nil"/>
                  </w:tcBorders>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81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41.8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26.8</w:t>
                  </w:r>
                </w:p>
              </w:tc>
              <w:tc>
                <w:tcPr>
                  <w:tcW w:w="449" w:type="pct"/>
                  <w:tcBorders>
                    <w:right w:val="nil"/>
                  </w:tcBorders>
                  <w:vAlign w:val="center"/>
                </w:tcPr>
                <w:p>
                  <w:pPr>
                    <w:widowControl/>
                    <w:adjustRightInd w:val="0"/>
                    <w:snapToGrid w:val="0"/>
                    <w:jc w:val="center"/>
                    <w:textAlignment w:val="center"/>
                    <w:rPr>
                      <w:rFonts w:hint="eastAsia"/>
                      <w:szCs w:val="21"/>
                      <w:lang w:eastAsia="zh-CN"/>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60.0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2</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砂处理设备</w:t>
                  </w:r>
                </w:p>
              </w:tc>
              <w:tc>
                <w:tcPr>
                  <w:tcW w:w="329" w:type="pct"/>
                  <w:vMerge w:val="restart"/>
                  <w:vAlign w:val="center"/>
                </w:tcPr>
                <w:p>
                  <w:pPr>
                    <w:widowControl/>
                    <w:adjustRightInd w:val="0"/>
                    <w:snapToGrid w:val="0"/>
                    <w:jc w:val="center"/>
                    <w:textAlignment w:val="center"/>
                    <w:rPr>
                      <w:szCs w:val="21"/>
                    </w:rPr>
                  </w:pPr>
                  <w:r>
                    <w:rPr>
                      <w:szCs w:val="21"/>
                    </w:rPr>
                    <w:t>HPX1</w:t>
                  </w:r>
                </w:p>
              </w:tc>
              <w:tc>
                <w:tcPr>
                  <w:tcW w:w="325" w:type="pct"/>
                  <w:vMerge w:val="restart"/>
                  <w:vAlign w:val="center"/>
                </w:tcPr>
                <w:p>
                  <w:pPr>
                    <w:widowControl/>
                    <w:adjustRightInd w:val="0"/>
                    <w:snapToGrid w:val="0"/>
                    <w:jc w:val="center"/>
                    <w:textAlignment w:val="center"/>
                    <w:rPr>
                      <w:szCs w:val="21"/>
                    </w:rPr>
                  </w:pPr>
                  <w:r>
                    <w:rPr>
                      <w:szCs w:val="21"/>
                    </w:rPr>
                    <w:t>80</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26</w:t>
                  </w:r>
                </w:p>
              </w:tc>
              <w:tc>
                <w:tcPr>
                  <w:tcW w:w="262" w:type="pct"/>
                  <w:vMerge w:val="restart"/>
                  <w:vAlign w:val="center"/>
                </w:tcPr>
                <w:p>
                  <w:pPr>
                    <w:widowControl/>
                    <w:adjustRightInd w:val="0"/>
                    <w:snapToGrid w:val="0"/>
                    <w:jc w:val="center"/>
                    <w:textAlignment w:val="center"/>
                    <w:rPr>
                      <w:szCs w:val="21"/>
                    </w:rPr>
                  </w:pPr>
                  <w:r>
                    <w:rPr>
                      <w:szCs w:val="21"/>
                    </w:rPr>
                    <w:t>31</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45.0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30</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55.4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40.4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50.2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35.2</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3</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70.5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55.5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3</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斗式提升机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26</w:t>
                  </w:r>
                </w:p>
              </w:tc>
              <w:tc>
                <w:tcPr>
                  <w:tcW w:w="262" w:type="pct"/>
                  <w:vMerge w:val="restart"/>
                  <w:vAlign w:val="center"/>
                </w:tcPr>
                <w:p>
                  <w:pPr>
                    <w:widowControl/>
                    <w:adjustRightInd w:val="0"/>
                    <w:snapToGrid w:val="0"/>
                    <w:jc w:val="center"/>
                    <w:textAlignment w:val="center"/>
                    <w:rPr>
                      <w:szCs w:val="21"/>
                    </w:rPr>
                  </w:pPr>
                  <w:r>
                    <w:rPr>
                      <w:szCs w:val="21"/>
                    </w:rPr>
                    <w:t>33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54</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40.4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25.4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18</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49.9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34.9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33</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44.6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29.6</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69.0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4</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滚砂机</w:t>
                  </w:r>
                </w:p>
              </w:tc>
              <w:tc>
                <w:tcPr>
                  <w:tcW w:w="329" w:type="pct"/>
                  <w:vMerge w:val="restart"/>
                  <w:vAlign w:val="center"/>
                </w:tcPr>
                <w:p>
                  <w:pPr>
                    <w:widowControl/>
                    <w:adjustRightInd w:val="0"/>
                    <w:snapToGrid w:val="0"/>
                    <w:jc w:val="center"/>
                    <w:textAlignment w:val="center"/>
                    <w:rPr>
                      <w:szCs w:val="21"/>
                    </w:rPr>
                  </w:pPr>
                  <w:r>
                    <w:rPr>
                      <w:szCs w:val="21"/>
                    </w:rPr>
                    <w:t>1021</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25</w:t>
                  </w:r>
                </w:p>
              </w:tc>
              <w:tc>
                <w:tcPr>
                  <w:tcW w:w="262" w:type="pct"/>
                  <w:vMerge w:val="restart"/>
                  <w:vAlign w:val="center"/>
                </w:tcPr>
                <w:p>
                  <w:pPr>
                    <w:widowControl/>
                    <w:adjustRightInd w:val="0"/>
                    <w:snapToGrid w:val="0"/>
                    <w:jc w:val="center"/>
                    <w:textAlignment w:val="center"/>
                    <w:rPr>
                      <w:szCs w:val="21"/>
                    </w:rPr>
                  </w:pPr>
                  <w:r>
                    <w:rPr>
                      <w:szCs w:val="21"/>
                    </w:rPr>
                    <w:t>29</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50.7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35.7</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60.4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45.4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54.1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39.1</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3</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75.5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60.5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5</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碾轮式混砂机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24</w:t>
                  </w:r>
                </w:p>
              </w:tc>
              <w:tc>
                <w:tcPr>
                  <w:tcW w:w="262" w:type="pct"/>
                  <w:vMerge w:val="restart"/>
                  <w:vAlign w:val="center"/>
                </w:tcPr>
                <w:p>
                  <w:pPr>
                    <w:widowControl/>
                    <w:adjustRightInd w:val="0"/>
                    <w:snapToGrid w:val="0"/>
                    <w:jc w:val="center"/>
                    <w:textAlignment w:val="center"/>
                    <w:rPr>
                      <w:szCs w:val="21"/>
                    </w:rPr>
                  </w:pPr>
                  <w:r>
                    <w:rPr>
                      <w:szCs w:val="21"/>
                    </w:rPr>
                    <w:t>28</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18</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59.9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44.9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53.6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38.6</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79.0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64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6</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震击式造型机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80</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22</w:t>
                  </w:r>
                </w:p>
              </w:tc>
              <w:tc>
                <w:tcPr>
                  <w:tcW w:w="262" w:type="pct"/>
                  <w:vMerge w:val="restart"/>
                  <w:vAlign w:val="center"/>
                </w:tcPr>
                <w:p>
                  <w:pPr>
                    <w:widowControl/>
                    <w:adjustRightInd w:val="0"/>
                    <w:snapToGrid w:val="0"/>
                    <w:jc w:val="center"/>
                    <w:textAlignment w:val="center"/>
                    <w:rPr>
                      <w:szCs w:val="21"/>
                    </w:rPr>
                  </w:pPr>
                  <w:r>
                    <w:rPr>
                      <w:szCs w:val="21"/>
                    </w:rPr>
                    <w:t>29</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45.8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30.8</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40.9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48.9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33.9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4</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68.0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53</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7</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1#天车</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24</w:t>
                  </w:r>
                </w:p>
              </w:tc>
              <w:tc>
                <w:tcPr>
                  <w:tcW w:w="262" w:type="pct"/>
                  <w:vMerge w:val="restart"/>
                  <w:vAlign w:val="center"/>
                </w:tcPr>
                <w:p>
                  <w:pPr>
                    <w:widowControl/>
                    <w:adjustRightInd w:val="0"/>
                    <w:snapToGrid w:val="0"/>
                    <w:jc w:val="center"/>
                    <w:textAlignment w:val="center"/>
                    <w:rPr>
                      <w:szCs w:val="21"/>
                    </w:rPr>
                  </w:pPr>
                  <w:r>
                    <w:rPr>
                      <w:szCs w:val="21"/>
                    </w:rPr>
                    <w:t>31</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szCs w:val="21"/>
                      <w:lang w:val="en-US" w:eastAsia="zh-CN"/>
                    </w:rPr>
                  </w:pPr>
                  <w:r>
                    <w:rPr>
                      <w:szCs w:val="21"/>
                    </w:rPr>
                    <w:t>3</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65.5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50.5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55.0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40</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84</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36.5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21.5</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54.2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39.2</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8</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2#天车</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21</w:t>
                  </w:r>
                </w:p>
              </w:tc>
              <w:tc>
                <w:tcPr>
                  <w:tcW w:w="262" w:type="pct"/>
                  <w:vMerge w:val="restart"/>
                  <w:vAlign w:val="center"/>
                </w:tcPr>
                <w:p>
                  <w:pPr>
                    <w:widowControl/>
                    <w:adjustRightInd w:val="0"/>
                    <w:snapToGrid w:val="0"/>
                    <w:jc w:val="center"/>
                    <w:textAlignment w:val="center"/>
                    <w:rPr>
                      <w:szCs w:val="21"/>
                    </w:rPr>
                  </w:pPr>
                  <w:r>
                    <w:rPr>
                      <w:szCs w:val="21"/>
                    </w:rPr>
                    <w:t>6</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49.0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61.0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46</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67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38.5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23.5</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35.9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9</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3#天车</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23</w:t>
                  </w:r>
                </w:p>
              </w:tc>
              <w:tc>
                <w:tcPr>
                  <w:tcW w:w="262" w:type="pct"/>
                  <w:vMerge w:val="restart"/>
                  <w:vAlign w:val="center"/>
                </w:tcPr>
                <w:p>
                  <w:pPr>
                    <w:widowControl/>
                    <w:adjustRightInd w:val="0"/>
                    <w:snapToGrid w:val="0"/>
                    <w:jc w:val="center"/>
                    <w:textAlignment w:val="center"/>
                    <w:rPr>
                      <w:szCs w:val="21"/>
                    </w:rPr>
                  </w:pPr>
                  <w:r>
                    <w:rPr>
                      <w:szCs w:val="21"/>
                    </w:rPr>
                    <w:t>21</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44.1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29.1</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38.4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40.7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25.7</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40.9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10</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4#天车</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16</w:t>
                  </w:r>
                </w:p>
              </w:tc>
              <w:tc>
                <w:tcPr>
                  <w:tcW w:w="262" w:type="pct"/>
                  <w:vMerge w:val="restart"/>
                  <w:vAlign w:val="center"/>
                </w:tcPr>
                <w:p>
                  <w:pPr>
                    <w:widowControl/>
                    <w:adjustRightInd w:val="0"/>
                    <w:snapToGrid w:val="0"/>
                    <w:jc w:val="center"/>
                    <w:textAlignment w:val="center"/>
                    <w:rPr>
                      <w:szCs w:val="21"/>
                    </w:rPr>
                  </w:pPr>
                  <w:r>
                    <w:rPr>
                      <w:szCs w:val="21"/>
                    </w:rPr>
                    <w:t>16</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41.6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26.6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15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51.5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36.5</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szCs w:val="21"/>
                      <w:lang w:val="en-US" w:eastAsia="zh-CN"/>
                    </w:rPr>
                  </w:pPr>
                  <w:r>
                    <w:rPr>
                      <w:rFonts w:hint="eastAsia"/>
                      <w:szCs w:val="21"/>
                      <w:lang w:val="en-US" w:eastAsia="zh-CN"/>
                    </w:rPr>
                    <w:t>40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43.0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28</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59.4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44.4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11</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5#天车</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18</w:t>
                  </w:r>
                </w:p>
              </w:tc>
              <w:tc>
                <w:tcPr>
                  <w:tcW w:w="262" w:type="pct"/>
                  <w:vMerge w:val="restart"/>
                  <w:vAlign w:val="center"/>
                </w:tcPr>
                <w:p>
                  <w:pPr>
                    <w:widowControl/>
                    <w:adjustRightInd w:val="0"/>
                    <w:snapToGrid w:val="0"/>
                    <w:jc w:val="center"/>
                    <w:textAlignment w:val="center"/>
                    <w:rPr>
                      <w:szCs w:val="21"/>
                    </w:rPr>
                  </w:pPr>
                  <w:r>
                    <w:rPr>
                      <w:szCs w:val="21"/>
                    </w:rPr>
                    <w:t>21</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40.7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25.7</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35.4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44.1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29.1</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63.0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48</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12</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6#天车</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23</w:t>
                  </w:r>
                </w:p>
              </w:tc>
              <w:tc>
                <w:tcPr>
                  <w:tcW w:w="262" w:type="pct"/>
                  <w:vMerge w:val="restart"/>
                  <w:vAlign w:val="center"/>
                </w:tcPr>
                <w:p>
                  <w:pPr>
                    <w:widowControl/>
                    <w:adjustRightInd w:val="0"/>
                    <w:snapToGrid w:val="0"/>
                    <w:jc w:val="center"/>
                    <w:textAlignment w:val="center"/>
                    <w:rPr>
                      <w:szCs w:val="21"/>
                    </w:rPr>
                  </w:pPr>
                  <w:r>
                    <w:rPr>
                      <w:szCs w:val="21"/>
                    </w:rPr>
                    <w:t>6</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eastAsia"/>
                      <w:szCs w:val="21"/>
                      <w:lang w:val="en-US" w:eastAsia="zh-CN"/>
                    </w:rPr>
                  </w:pPr>
                  <w:r>
                    <w:rPr>
                      <w:szCs w:val="21"/>
                    </w:rPr>
                    <w:t>6</w:t>
                  </w:r>
                  <w:r>
                    <w:rPr>
                      <w:rFonts w:hint="eastAsia"/>
                      <w:szCs w:val="21"/>
                      <w:lang w:val="en-US" w:eastAsia="zh-CN"/>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38.7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23.7</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61.0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46</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48.2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33.2</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35.9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13</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1#角磨机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27</w:t>
                  </w:r>
                </w:p>
              </w:tc>
              <w:tc>
                <w:tcPr>
                  <w:tcW w:w="262" w:type="pct"/>
                  <w:vMerge w:val="restart"/>
                  <w:vAlign w:val="center"/>
                </w:tcPr>
                <w:p>
                  <w:pPr>
                    <w:widowControl/>
                    <w:adjustRightInd w:val="0"/>
                    <w:snapToGrid w:val="0"/>
                    <w:jc w:val="center"/>
                    <w:textAlignment w:val="center"/>
                    <w:rPr>
                      <w:szCs w:val="21"/>
                    </w:rPr>
                  </w:pPr>
                  <w:r>
                    <w:rPr>
                      <w:szCs w:val="21"/>
                    </w:rPr>
                    <w:t>13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53.9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38.9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12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63.4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48.4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50.8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35.8</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50.9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14</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2#角磨机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25</w:t>
                  </w:r>
                </w:p>
              </w:tc>
              <w:tc>
                <w:tcPr>
                  <w:tcW w:w="262" w:type="pct"/>
                  <w:vMerge w:val="restart"/>
                  <w:vAlign w:val="center"/>
                </w:tcPr>
                <w:p>
                  <w:pPr>
                    <w:widowControl/>
                    <w:adjustRightInd w:val="0"/>
                    <w:snapToGrid w:val="0"/>
                    <w:jc w:val="center"/>
                    <w:textAlignment w:val="center"/>
                    <w:rPr>
                      <w:szCs w:val="21"/>
                    </w:rPr>
                  </w:pPr>
                  <w:r>
                    <w:rPr>
                      <w:szCs w:val="21"/>
                    </w:rPr>
                    <w:t>13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38</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12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63.4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48.4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51.6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36.6</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50.9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15</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3#角磨机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23</w:t>
                  </w:r>
                </w:p>
              </w:tc>
              <w:tc>
                <w:tcPr>
                  <w:tcW w:w="262" w:type="pct"/>
                  <w:vMerge w:val="restart"/>
                  <w:vAlign w:val="center"/>
                </w:tcPr>
                <w:p>
                  <w:pPr>
                    <w:widowControl/>
                    <w:adjustRightInd w:val="0"/>
                    <w:snapToGrid w:val="0"/>
                    <w:jc w:val="center"/>
                    <w:textAlignment w:val="center"/>
                    <w:rPr>
                      <w:szCs w:val="21"/>
                    </w:rPr>
                  </w:pPr>
                  <w:r>
                    <w:rPr>
                      <w:szCs w:val="21"/>
                    </w:rPr>
                    <w:t>13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43</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52.3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37.3</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12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63.4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48.4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44</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52.1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37.1</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50.9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16</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4#角磨机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20</w:t>
                  </w:r>
                </w:p>
              </w:tc>
              <w:tc>
                <w:tcPr>
                  <w:tcW w:w="262" w:type="pct"/>
                  <w:vMerge w:val="restart"/>
                  <w:vAlign w:val="center"/>
                </w:tcPr>
                <w:p>
                  <w:pPr>
                    <w:widowControl/>
                    <w:adjustRightInd w:val="0"/>
                    <w:snapToGrid w:val="0"/>
                    <w:jc w:val="center"/>
                    <w:textAlignment w:val="center"/>
                    <w:rPr>
                      <w:szCs w:val="21"/>
                    </w:rPr>
                  </w:pPr>
                  <w:r>
                    <w:rPr>
                      <w:szCs w:val="21"/>
                    </w:rPr>
                    <w:t>13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51.6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36.6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12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63.4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48.4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38</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50.9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17</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5#角磨机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17</w:t>
                  </w:r>
                </w:p>
              </w:tc>
              <w:tc>
                <w:tcPr>
                  <w:tcW w:w="262" w:type="pct"/>
                  <w:vMerge w:val="restart"/>
                  <w:vAlign w:val="center"/>
                </w:tcPr>
                <w:p>
                  <w:pPr>
                    <w:widowControl/>
                    <w:adjustRightInd w:val="0"/>
                    <w:snapToGrid w:val="0"/>
                    <w:jc w:val="center"/>
                    <w:textAlignment w:val="center"/>
                    <w:rPr>
                      <w:szCs w:val="21"/>
                    </w:rPr>
                  </w:pPr>
                  <w:r>
                    <w:rPr>
                      <w:szCs w:val="21"/>
                    </w:rPr>
                    <w:t>13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szCs w:val="21"/>
                      <w:lang w:val="en-US" w:eastAsia="zh-CN"/>
                    </w:rPr>
                  </w:pPr>
                  <w:r>
                    <w:rPr>
                      <w:szCs w:val="21"/>
                    </w:rPr>
                    <w:t>12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63.4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48.4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53.6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38.6</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65.9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50.9</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18</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1#退火炉</w:t>
                  </w:r>
                </w:p>
              </w:tc>
              <w:tc>
                <w:tcPr>
                  <w:tcW w:w="329" w:type="pct"/>
                  <w:vMerge w:val="restart"/>
                  <w:vAlign w:val="center"/>
                </w:tcPr>
                <w:p>
                  <w:pPr>
                    <w:widowControl/>
                    <w:adjustRightInd w:val="0"/>
                    <w:snapToGrid w:val="0"/>
                    <w:jc w:val="center"/>
                    <w:textAlignment w:val="center"/>
                    <w:rPr>
                      <w:szCs w:val="21"/>
                    </w:rPr>
                  </w:pPr>
                  <w:r>
                    <w:rPr>
                      <w:szCs w:val="21"/>
                    </w:rPr>
                    <w:t>RTP001</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18</w:t>
                  </w:r>
                </w:p>
              </w:tc>
              <w:tc>
                <w:tcPr>
                  <w:tcW w:w="262" w:type="pct"/>
                  <w:vMerge w:val="restart"/>
                  <w:vAlign w:val="center"/>
                </w:tcPr>
                <w:p>
                  <w:pPr>
                    <w:widowControl/>
                    <w:adjustRightInd w:val="0"/>
                    <w:snapToGrid w:val="0"/>
                    <w:jc w:val="center"/>
                    <w:textAlignment w:val="center"/>
                    <w:rPr>
                      <w:szCs w:val="21"/>
                    </w:rPr>
                  </w:pPr>
                  <w:r>
                    <w:rPr>
                      <w:szCs w:val="21"/>
                    </w:rPr>
                    <w:t>17</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52.5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37.5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60.9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45.9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36.9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71.0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19</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2#退火炉</w:t>
                  </w:r>
                </w:p>
              </w:tc>
              <w:tc>
                <w:tcPr>
                  <w:tcW w:w="329" w:type="pct"/>
                  <w:vMerge w:val="restart"/>
                  <w:vAlign w:val="center"/>
                </w:tcPr>
                <w:p>
                  <w:pPr>
                    <w:widowControl/>
                    <w:adjustRightInd w:val="0"/>
                    <w:snapToGrid w:val="0"/>
                    <w:jc w:val="center"/>
                    <w:textAlignment w:val="center"/>
                    <w:rPr>
                      <w:szCs w:val="21"/>
                    </w:rPr>
                  </w:pPr>
                  <w:r>
                    <w:rPr>
                      <w:szCs w:val="21"/>
                    </w:rPr>
                    <w:t>RTP001</w:t>
                  </w:r>
                </w:p>
              </w:tc>
              <w:tc>
                <w:tcPr>
                  <w:tcW w:w="325" w:type="pct"/>
                  <w:vMerge w:val="restart"/>
                  <w:vAlign w:val="center"/>
                </w:tcPr>
                <w:p>
                  <w:pPr>
                    <w:widowControl/>
                    <w:adjustRightInd w:val="0"/>
                    <w:snapToGrid w:val="0"/>
                    <w:jc w:val="center"/>
                    <w:textAlignment w:val="center"/>
                    <w:rPr>
                      <w:szCs w:val="21"/>
                    </w:rPr>
                  </w:pPr>
                  <w:r>
                    <w:rPr>
                      <w:szCs w:val="21"/>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16</w:t>
                  </w:r>
                </w:p>
              </w:tc>
              <w:tc>
                <w:tcPr>
                  <w:tcW w:w="262" w:type="pct"/>
                  <w:vMerge w:val="restart"/>
                  <w:vAlign w:val="center"/>
                </w:tcPr>
                <w:p>
                  <w:pPr>
                    <w:widowControl/>
                    <w:adjustRightInd w:val="0"/>
                    <w:snapToGrid w:val="0"/>
                    <w:jc w:val="center"/>
                    <w:textAlignment w:val="center"/>
                    <w:rPr>
                      <w:szCs w:val="21"/>
                    </w:rPr>
                  </w:pPr>
                  <w:r>
                    <w:rPr>
                      <w:szCs w:val="21"/>
                    </w:rPr>
                    <w:t>17</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47</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51.6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36.6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60.9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45.9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40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38</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71.0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56</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20</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1#风机</w:t>
                  </w:r>
                </w:p>
              </w:tc>
              <w:tc>
                <w:tcPr>
                  <w:tcW w:w="329" w:type="pct"/>
                  <w:vMerge w:val="restart"/>
                  <w:vAlign w:val="center"/>
                </w:tcPr>
                <w:p>
                  <w:pPr>
                    <w:widowControl/>
                    <w:adjustRightInd w:val="0"/>
                    <w:snapToGrid w:val="0"/>
                    <w:jc w:val="center"/>
                    <w:textAlignment w:val="center"/>
                    <w:rPr>
                      <w:szCs w:val="21"/>
                    </w:rPr>
                  </w:pPr>
                  <w:r>
                    <w:rPr>
                      <w:rFonts w:hint="eastAsia"/>
                      <w:szCs w:val="21"/>
                      <w:lang w:val="en-US" w:eastAsia="zh-CN"/>
                    </w:rPr>
                    <w:t>6500</w:t>
                  </w:r>
                  <w:r>
                    <w:rPr>
                      <w:szCs w:val="21"/>
                    </w:rPr>
                    <w:t>m</w:t>
                  </w:r>
                  <w:r>
                    <w:rPr>
                      <w:szCs w:val="21"/>
                      <w:vertAlign w:val="superscript"/>
                    </w:rPr>
                    <w:t>3</w:t>
                  </w:r>
                  <w:r>
                    <w:rPr>
                      <w:szCs w:val="21"/>
                    </w:rPr>
                    <w:t>/h</w:t>
                  </w:r>
                </w:p>
              </w:tc>
              <w:tc>
                <w:tcPr>
                  <w:tcW w:w="325" w:type="pct"/>
                  <w:vMerge w:val="restar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10</w:t>
                  </w:r>
                </w:p>
              </w:tc>
              <w:tc>
                <w:tcPr>
                  <w:tcW w:w="262" w:type="pct"/>
                  <w:vMerge w:val="restart"/>
                  <w:vAlign w:val="center"/>
                </w:tcPr>
                <w:p>
                  <w:pPr>
                    <w:widowControl/>
                    <w:adjustRightInd w:val="0"/>
                    <w:snapToGrid w:val="0"/>
                    <w:jc w:val="center"/>
                    <w:textAlignment w:val="center"/>
                    <w:rPr>
                      <w:szCs w:val="21"/>
                    </w:rPr>
                  </w:pPr>
                  <w:r>
                    <w:rPr>
                      <w:szCs w:val="21"/>
                    </w:rPr>
                    <w:t>16</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76.0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61</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64.0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82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51.7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36.7</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90.0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75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21</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1#空压机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90</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10</w:t>
                  </w:r>
                </w:p>
              </w:tc>
              <w:tc>
                <w:tcPr>
                  <w:tcW w:w="262" w:type="pct"/>
                  <w:vMerge w:val="restart"/>
                  <w:vAlign w:val="center"/>
                </w:tcPr>
                <w:p>
                  <w:pPr>
                    <w:widowControl/>
                    <w:adjustRightInd w:val="0"/>
                    <w:snapToGrid w:val="0"/>
                    <w:jc w:val="center"/>
                    <w:textAlignment w:val="center"/>
                    <w:rPr>
                      <w:szCs w:val="21"/>
                    </w:rPr>
                  </w:pPr>
                  <w:r>
                    <w:rPr>
                      <w:szCs w:val="21"/>
                    </w:rPr>
                    <w:t>18</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74.4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59.4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64.0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81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51.8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36.8</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90.0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75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22</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color w:val="FF0000"/>
                      <w:szCs w:val="21"/>
                    </w:rPr>
                  </w:pPr>
                  <w:r>
                    <w:rPr>
                      <w:color w:val="FF0000"/>
                      <w:szCs w:val="21"/>
                    </w:rPr>
                    <w:t>2#风机</w:t>
                  </w:r>
                </w:p>
              </w:tc>
              <w:tc>
                <w:tcPr>
                  <w:tcW w:w="329" w:type="pct"/>
                  <w:vMerge w:val="restart"/>
                  <w:vAlign w:val="center"/>
                </w:tcPr>
                <w:p>
                  <w:pPr>
                    <w:widowControl/>
                    <w:adjustRightInd w:val="0"/>
                    <w:snapToGrid w:val="0"/>
                    <w:jc w:val="center"/>
                    <w:textAlignment w:val="center"/>
                    <w:rPr>
                      <w:color w:val="FF0000"/>
                      <w:szCs w:val="21"/>
                    </w:rPr>
                  </w:pPr>
                  <w:r>
                    <w:rPr>
                      <w:rFonts w:hint="eastAsia"/>
                      <w:color w:val="FF0000"/>
                      <w:szCs w:val="21"/>
                      <w:lang w:val="en-US" w:eastAsia="zh-CN"/>
                    </w:rPr>
                    <w:t>350</w:t>
                  </w:r>
                  <w:r>
                    <w:rPr>
                      <w:color w:val="FF0000"/>
                      <w:szCs w:val="21"/>
                    </w:rPr>
                    <w:t>00m</w:t>
                  </w:r>
                  <w:r>
                    <w:rPr>
                      <w:color w:val="FF0000"/>
                      <w:szCs w:val="21"/>
                      <w:vertAlign w:val="superscript"/>
                    </w:rPr>
                    <w:t>3</w:t>
                  </w:r>
                  <w:r>
                    <w:rPr>
                      <w:color w:val="FF0000"/>
                      <w:szCs w:val="21"/>
                    </w:rPr>
                    <w:t>/h</w:t>
                  </w:r>
                </w:p>
              </w:tc>
              <w:tc>
                <w:tcPr>
                  <w:tcW w:w="325" w:type="pct"/>
                  <w:vMerge w:val="restart"/>
                  <w:vAlign w:val="center"/>
                </w:tcPr>
                <w:p>
                  <w:pPr>
                    <w:widowControl/>
                    <w:adjustRightInd w:val="0"/>
                    <w:snapToGrid w:val="0"/>
                    <w:jc w:val="center"/>
                    <w:textAlignment w:val="center"/>
                    <w:rPr>
                      <w:rFonts w:hint="default"/>
                      <w:color w:val="FF0000"/>
                      <w:szCs w:val="21"/>
                      <w:lang w:val="en-US" w:eastAsia="zh-CN"/>
                    </w:rPr>
                  </w:pPr>
                  <w:r>
                    <w:rPr>
                      <w:rFonts w:hint="eastAsia"/>
                      <w:color w:val="FF0000"/>
                      <w:szCs w:val="21"/>
                      <w:lang w:val="en-US" w:eastAsia="zh-CN"/>
                    </w:rPr>
                    <w:t>90</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10</w:t>
                  </w:r>
                </w:p>
              </w:tc>
              <w:tc>
                <w:tcPr>
                  <w:tcW w:w="262" w:type="pct"/>
                  <w:vMerge w:val="restart"/>
                  <w:vAlign w:val="center"/>
                </w:tcPr>
                <w:p>
                  <w:pPr>
                    <w:widowControl/>
                    <w:adjustRightInd w:val="0"/>
                    <w:snapToGrid w:val="0"/>
                    <w:jc w:val="center"/>
                    <w:textAlignment w:val="center"/>
                    <w:rPr>
                      <w:szCs w:val="21"/>
                    </w:rPr>
                  </w:pPr>
                  <w:r>
                    <w:rPr>
                      <w:szCs w:val="21"/>
                    </w:rPr>
                    <w:t>31</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19</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69.4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54.4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color w:val="FF0000"/>
                      <w:szCs w:val="21"/>
                    </w:rPr>
                  </w:pPr>
                </w:p>
              </w:tc>
              <w:tc>
                <w:tcPr>
                  <w:tcW w:w="329" w:type="pct"/>
                  <w:vMerge w:val="continue"/>
                  <w:vAlign w:val="center"/>
                </w:tcPr>
                <w:p>
                  <w:pPr>
                    <w:widowControl/>
                    <w:adjustRightInd w:val="0"/>
                    <w:snapToGrid w:val="0"/>
                    <w:jc w:val="center"/>
                    <w:textAlignment w:val="center"/>
                    <w:rPr>
                      <w:color w:val="FF0000"/>
                      <w:szCs w:val="21"/>
                    </w:rPr>
                  </w:pPr>
                </w:p>
              </w:tc>
              <w:tc>
                <w:tcPr>
                  <w:tcW w:w="325" w:type="pct"/>
                  <w:vMerge w:val="continue"/>
                  <w:vAlign w:val="center"/>
                </w:tcPr>
                <w:p>
                  <w:pPr>
                    <w:widowControl/>
                    <w:adjustRightInd w:val="0"/>
                    <w:snapToGrid w:val="0"/>
                    <w:jc w:val="center"/>
                    <w:textAlignment w:val="center"/>
                    <w:rPr>
                      <w:color w:val="FF0000"/>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69.0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color w:val="FF0000"/>
                      <w:szCs w:val="21"/>
                    </w:rPr>
                  </w:pPr>
                </w:p>
              </w:tc>
              <w:tc>
                <w:tcPr>
                  <w:tcW w:w="329" w:type="pct"/>
                  <w:vMerge w:val="continue"/>
                  <w:vAlign w:val="center"/>
                </w:tcPr>
                <w:p>
                  <w:pPr>
                    <w:widowControl/>
                    <w:adjustRightInd w:val="0"/>
                    <w:snapToGrid w:val="0"/>
                    <w:jc w:val="center"/>
                    <w:textAlignment w:val="center"/>
                    <w:rPr>
                      <w:color w:val="FF0000"/>
                      <w:szCs w:val="21"/>
                    </w:rPr>
                  </w:pPr>
                </w:p>
              </w:tc>
              <w:tc>
                <w:tcPr>
                  <w:tcW w:w="325" w:type="pct"/>
                  <w:vMerge w:val="continue"/>
                  <w:vAlign w:val="center"/>
                </w:tcPr>
                <w:p>
                  <w:pPr>
                    <w:widowControl/>
                    <w:adjustRightInd w:val="0"/>
                    <w:snapToGrid w:val="0"/>
                    <w:jc w:val="center"/>
                    <w:textAlignment w:val="center"/>
                    <w:rPr>
                      <w:color w:val="FF0000"/>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68</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58.3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43.3</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color w:val="FF0000"/>
                      <w:szCs w:val="21"/>
                    </w:rPr>
                  </w:pPr>
                </w:p>
              </w:tc>
              <w:tc>
                <w:tcPr>
                  <w:tcW w:w="329" w:type="pct"/>
                  <w:vMerge w:val="continue"/>
                  <w:vAlign w:val="center"/>
                </w:tcPr>
                <w:p>
                  <w:pPr>
                    <w:widowControl/>
                    <w:adjustRightInd w:val="0"/>
                    <w:snapToGrid w:val="0"/>
                    <w:jc w:val="center"/>
                    <w:textAlignment w:val="center"/>
                    <w:rPr>
                      <w:color w:val="FF0000"/>
                      <w:szCs w:val="21"/>
                    </w:rPr>
                  </w:pPr>
                </w:p>
              </w:tc>
              <w:tc>
                <w:tcPr>
                  <w:tcW w:w="325" w:type="pct"/>
                  <w:vMerge w:val="continue"/>
                  <w:vAlign w:val="center"/>
                </w:tcPr>
                <w:p>
                  <w:pPr>
                    <w:widowControl/>
                    <w:adjustRightInd w:val="0"/>
                    <w:snapToGrid w:val="0"/>
                    <w:jc w:val="center"/>
                    <w:textAlignment w:val="center"/>
                    <w:rPr>
                      <w:color w:val="FF0000"/>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95.0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80</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szCs w:val="21"/>
                    </w:rPr>
                  </w:pPr>
                  <w:r>
                    <w:rPr>
                      <w:szCs w:val="21"/>
                    </w:rPr>
                    <w:t>23</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color w:val="FF0000"/>
                      <w:szCs w:val="21"/>
                    </w:rPr>
                  </w:pPr>
                  <w:r>
                    <w:rPr>
                      <w:color w:val="FF0000"/>
                      <w:szCs w:val="21"/>
                    </w:rPr>
                    <w:t>2#空压机</w:t>
                  </w:r>
                </w:p>
              </w:tc>
              <w:tc>
                <w:tcPr>
                  <w:tcW w:w="329" w:type="pct"/>
                  <w:vMerge w:val="restart"/>
                  <w:vAlign w:val="center"/>
                </w:tcPr>
                <w:p>
                  <w:pPr>
                    <w:widowControl/>
                    <w:adjustRightInd w:val="0"/>
                    <w:snapToGrid w:val="0"/>
                    <w:jc w:val="center"/>
                    <w:textAlignment w:val="center"/>
                    <w:rPr>
                      <w:color w:val="FF0000"/>
                      <w:szCs w:val="21"/>
                    </w:rPr>
                  </w:pPr>
                  <w:r>
                    <w:rPr>
                      <w:color w:val="FF0000"/>
                      <w:szCs w:val="21"/>
                    </w:rPr>
                    <w:t>/</w:t>
                  </w:r>
                </w:p>
              </w:tc>
              <w:tc>
                <w:tcPr>
                  <w:tcW w:w="325" w:type="pct"/>
                  <w:vMerge w:val="restart"/>
                  <w:vAlign w:val="center"/>
                </w:tcPr>
                <w:p>
                  <w:pPr>
                    <w:widowControl/>
                    <w:adjustRightInd w:val="0"/>
                    <w:snapToGrid w:val="0"/>
                    <w:jc w:val="center"/>
                    <w:textAlignment w:val="center"/>
                    <w:rPr>
                      <w:rFonts w:hint="default"/>
                      <w:color w:val="FF0000"/>
                      <w:szCs w:val="21"/>
                      <w:lang w:val="en-US" w:eastAsia="zh-CN"/>
                    </w:rPr>
                  </w:pPr>
                  <w:r>
                    <w:rPr>
                      <w:rFonts w:hint="eastAsia"/>
                      <w:color w:val="FF0000"/>
                      <w:szCs w:val="21"/>
                      <w:lang w:val="en-US" w:eastAsia="zh-CN"/>
                    </w:rPr>
                    <w:t>95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10</w:t>
                  </w:r>
                </w:p>
              </w:tc>
              <w:tc>
                <w:tcPr>
                  <w:tcW w:w="262" w:type="pct"/>
                  <w:vMerge w:val="restart"/>
                  <w:vAlign w:val="center"/>
                </w:tcPr>
                <w:p>
                  <w:pPr>
                    <w:widowControl/>
                    <w:adjustRightInd w:val="0"/>
                    <w:snapToGrid w:val="0"/>
                    <w:jc w:val="center"/>
                    <w:textAlignment w:val="center"/>
                    <w:rPr>
                      <w:szCs w:val="21"/>
                    </w:rPr>
                  </w:pPr>
                  <w:r>
                    <w:rPr>
                      <w:szCs w:val="21"/>
                    </w:rPr>
                    <w:t>33</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59.0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44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59.0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44</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68</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48.3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33.3</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85.0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70</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24</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lang w:val="en-US" w:eastAsia="zh-CN"/>
                    </w:rPr>
                  </w:pPr>
                  <w:r>
                    <w:rPr>
                      <w:rFonts w:hint="eastAsia"/>
                      <w:szCs w:val="21"/>
                      <w:lang w:val="en-US" w:eastAsia="zh-CN"/>
                    </w:rPr>
                    <w:t>3</w:t>
                  </w:r>
                  <w:r>
                    <w:rPr>
                      <w:szCs w:val="21"/>
                    </w:rPr>
                    <w:t>#风机</w:t>
                  </w:r>
                </w:p>
              </w:tc>
              <w:tc>
                <w:tcPr>
                  <w:tcW w:w="329" w:type="pct"/>
                  <w:vMerge w:val="restart"/>
                  <w:vAlign w:val="center"/>
                </w:tcPr>
                <w:p>
                  <w:pPr>
                    <w:widowControl/>
                    <w:adjustRightInd w:val="0"/>
                    <w:snapToGrid w:val="0"/>
                    <w:jc w:val="center"/>
                    <w:textAlignment w:val="center"/>
                    <w:rPr>
                      <w:szCs w:val="21"/>
                      <w:lang w:val="en-US" w:eastAsia="zh-CN"/>
                    </w:rPr>
                  </w:pPr>
                  <w:r>
                    <w:rPr>
                      <w:rFonts w:hint="eastAsia"/>
                      <w:szCs w:val="21"/>
                      <w:lang w:val="en-US" w:eastAsia="zh-CN"/>
                    </w:rPr>
                    <w:t>23000</w:t>
                  </w:r>
                  <w:r>
                    <w:rPr>
                      <w:szCs w:val="21"/>
                    </w:rPr>
                    <w:t>m</w:t>
                  </w:r>
                  <w:r>
                    <w:rPr>
                      <w:szCs w:val="21"/>
                      <w:vertAlign w:val="superscript"/>
                    </w:rPr>
                    <w:t>3</w:t>
                  </w:r>
                  <w:r>
                    <w:rPr>
                      <w:szCs w:val="21"/>
                    </w:rPr>
                    <w:t>/h</w:t>
                  </w:r>
                </w:p>
              </w:tc>
              <w:tc>
                <w:tcPr>
                  <w:tcW w:w="325" w:type="pct"/>
                  <w:vMerge w:val="restar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85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p>
              </w:tc>
              <w:tc>
                <w:tcPr>
                  <w:tcW w:w="262" w:type="pct"/>
                  <w:vMerge w:val="restart"/>
                  <w:vAlign w:val="center"/>
                </w:tcPr>
                <w:p>
                  <w:pPr>
                    <w:widowControl/>
                    <w:adjustRightInd w:val="0"/>
                    <w:snapToGrid w:val="0"/>
                    <w:jc w:val="center"/>
                    <w:textAlignment w:val="center"/>
                    <w:rPr>
                      <w:szCs w:val="21"/>
                    </w:rPr>
                  </w:pPr>
                </w:p>
              </w:tc>
              <w:tc>
                <w:tcPr>
                  <w:tcW w:w="259" w:type="pct"/>
                  <w:vMerge w:val="restart"/>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50.8 </w:t>
                  </w:r>
                </w:p>
              </w:tc>
              <w:tc>
                <w:tcPr>
                  <w:tcW w:w="238" w:type="pct"/>
                  <w:vMerge w:val="restart"/>
                  <w:vAlign w:val="center"/>
                </w:tcPr>
                <w:p>
                  <w:pPr>
                    <w:widowControl/>
                    <w:adjustRightInd w:val="0"/>
                    <w:snapToGrid w:val="0"/>
                    <w:jc w:val="center"/>
                    <w:textAlignment w:val="center"/>
                    <w:rPr>
                      <w:szCs w:val="21"/>
                      <w:lang w:val="en-US" w:eastAsia="zh-CN"/>
                    </w:rPr>
                  </w:pPr>
                  <w:r>
                    <w:rPr>
                      <w:rFonts w:hint="eastAsia"/>
                      <w:szCs w:val="21"/>
                    </w:rPr>
                    <w:t>昼夜</w:t>
                  </w:r>
                </w:p>
              </w:tc>
              <w:tc>
                <w:tcPr>
                  <w:tcW w:w="376" w:type="pct"/>
                  <w:vMerge w:val="restart"/>
                  <w:vAlign w:val="center"/>
                </w:tcPr>
                <w:p>
                  <w:pPr>
                    <w:widowControl/>
                    <w:adjustRightInd w:val="0"/>
                    <w:snapToGrid w:val="0"/>
                    <w:jc w:val="center"/>
                    <w:textAlignment w:val="center"/>
                    <w:rPr>
                      <w:szCs w:val="21"/>
                      <w:lang w:val="en-US" w:eastAsia="zh-CN"/>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35.8</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59.0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44</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36</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53.9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38.9</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85.0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70</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25</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lang w:val="en-US" w:eastAsia="zh-CN"/>
                    </w:rPr>
                  </w:pPr>
                  <w:r>
                    <w:rPr>
                      <w:rFonts w:hint="eastAsia"/>
                      <w:szCs w:val="21"/>
                      <w:lang w:val="en-US" w:eastAsia="zh-CN"/>
                    </w:rPr>
                    <w:t>3</w:t>
                  </w:r>
                  <w:r>
                    <w:rPr>
                      <w:szCs w:val="21"/>
                    </w:rPr>
                    <w:t>#空压机</w:t>
                  </w:r>
                </w:p>
              </w:tc>
              <w:tc>
                <w:tcPr>
                  <w:tcW w:w="329" w:type="pct"/>
                  <w:vMerge w:val="restart"/>
                  <w:vAlign w:val="center"/>
                </w:tcPr>
                <w:p>
                  <w:pPr>
                    <w:widowControl/>
                    <w:adjustRightInd w:val="0"/>
                    <w:snapToGrid w:val="0"/>
                    <w:jc w:val="center"/>
                    <w:textAlignment w:val="center"/>
                    <w:rPr>
                      <w:szCs w:val="21"/>
                      <w:lang w:val="en-US" w:eastAsia="zh-CN"/>
                    </w:rPr>
                  </w:pPr>
                  <w:r>
                    <w:rPr>
                      <w:szCs w:val="21"/>
                    </w:rPr>
                    <w:t>/</w:t>
                  </w:r>
                </w:p>
              </w:tc>
              <w:tc>
                <w:tcPr>
                  <w:tcW w:w="325" w:type="pct"/>
                  <w:vMerge w:val="restar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90</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p>
              </w:tc>
              <w:tc>
                <w:tcPr>
                  <w:tcW w:w="262" w:type="pct"/>
                  <w:vMerge w:val="restart"/>
                  <w:vAlign w:val="center"/>
                </w:tcPr>
                <w:p>
                  <w:pPr>
                    <w:widowControl/>
                    <w:adjustRightInd w:val="0"/>
                    <w:snapToGrid w:val="0"/>
                    <w:jc w:val="center"/>
                    <w:textAlignment w:val="center"/>
                    <w:rPr>
                      <w:szCs w:val="21"/>
                    </w:rPr>
                  </w:pPr>
                </w:p>
              </w:tc>
              <w:tc>
                <w:tcPr>
                  <w:tcW w:w="259" w:type="pct"/>
                  <w:vMerge w:val="restart"/>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55.7 </w:t>
                  </w:r>
                </w:p>
              </w:tc>
              <w:tc>
                <w:tcPr>
                  <w:tcW w:w="238" w:type="pct"/>
                  <w:vMerge w:val="restart"/>
                  <w:vAlign w:val="center"/>
                </w:tcPr>
                <w:p>
                  <w:pPr>
                    <w:widowControl/>
                    <w:adjustRightInd w:val="0"/>
                    <w:snapToGrid w:val="0"/>
                    <w:jc w:val="center"/>
                    <w:textAlignment w:val="center"/>
                    <w:rPr>
                      <w:szCs w:val="21"/>
                      <w:lang w:val="en-US" w:eastAsia="zh-CN"/>
                    </w:rPr>
                  </w:pPr>
                  <w:r>
                    <w:rPr>
                      <w:rFonts w:hint="eastAsia"/>
                      <w:szCs w:val="21"/>
                    </w:rPr>
                    <w:t>昼夜</w:t>
                  </w:r>
                </w:p>
              </w:tc>
              <w:tc>
                <w:tcPr>
                  <w:tcW w:w="376" w:type="pct"/>
                  <w:vMerge w:val="restart"/>
                  <w:vAlign w:val="center"/>
                </w:tcPr>
                <w:p>
                  <w:pPr>
                    <w:widowControl/>
                    <w:adjustRightInd w:val="0"/>
                    <w:snapToGrid w:val="0"/>
                    <w:jc w:val="center"/>
                    <w:textAlignment w:val="center"/>
                    <w:rPr>
                      <w:szCs w:val="21"/>
                      <w:lang w:val="en-US" w:eastAsia="zh-CN"/>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40.7</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20</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64.0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49</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35</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59.1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44.1</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lang w:val="en-US" w:eastAsia="zh-CN"/>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1</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90.0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75</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kern w:val="2"/>
                      <w:sz w:val="21"/>
                      <w:szCs w:val="21"/>
                      <w:lang w:val="en-US" w:eastAsia="zh-CN" w:bidi="ar-SA"/>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rFonts w:hint="eastAsia"/>
                      <w:szCs w:val="21"/>
                      <w:lang w:val="en-US" w:eastAsia="zh-CN"/>
                    </w:rPr>
                  </w:pPr>
                  <w:r>
                    <w:rPr>
                      <w:szCs w:val="21"/>
                    </w:rPr>
                    <w:t>2</w:t>
                  </w:r>
                  <w:r>
                    <w:rPr>
                      <w:rFonts w:hint="eastAsia"/>
                      <w:szCs w:val="21"/>
                      <w:lang w:val="en-US" w:eastAsia="zh-CN"/>
                    </w:rPr>
                    <w:t>6</w:t>
                  </w:r>
                </w:p>
              </w:tc>
              <w:tc>
                <w:tcPr>
                  <w:tcW w:w="263" w:type="pct"/>
                  <w:vMerge w:val="continue"/>
                  <w:vAlign w:val="center"/>
                </w:tcPr>
                <w:p>
                  <w:pPr>
                    <w:widowControl/>
                    <w:adjustRightInd w:val="0"/>
                    <w:snapToGrid w:val="0"/>
                    <w:jc w:val="center"/>
                    <w:textAlignment w:val="center"/>
                    <w:rPr>
                      <w:szCs w:val="21"/>
                    </w:rPr>
                  </w:pPr>
                </w:p>
              </w:tc>
              <w:tc>
                <w:tcPr>
                  <w:tcW w:w="384" w:type="pct"/>
                  <w:vMerge w:val="restart"/>
                  <w:vAlign w:val="center"/>
                </w:tcPr>
                <w:p>
                  <w:pPr>
                    <w:widowControl/>
                    <w:adjustRightInd w:val="0"/>
                    <w:snapToGrid w:val="0"/>
                    <w:jc w:val="center"/>
                    <w:textAlignment w:val="center"/>
                    <w:rPr>
                      <w:szCs w:val="21"/>
                    </w:rPr>
                  </w:pPr>
                  <w:r>
                    <w:rPr>
                      <w:szCs w:val="21"/>
                    </w:rPr>
                    <w:t>皮带输送机</w:t>
                  </w:r>
                </w:p>
              </w:tc>
              <w:tc>
                <w:tcPr>
                  <w:tcW w:w="329" w:type="pct"/>
                  <w:vMerge w:val="restart"/>
                  <w:vAlign w:val="center"/>
                </w:tcPr>
                <w:p>
                  <w:pPr>
                    <w:widowControl/>
                    <w:adjustRightInd w:val="0"/>
                    <w:snapToGrid w:val="0"/>
                    <w:jc w:val="center"/>
                    <w:textAlignment w:val="center"/>
                    <w:rPr>
                      <w:szCs w:val="21"/>
                    </w:rPr>
                  </w:pPr>
                  <w:r>
                    <w:rPr>
                      <w:szCs w:val="21"/>
                    </w:rPr>
                    <w:t>/</w:t>
                  </w:r>
                </w:p>
              </w:tc>
              <w:tc>
                <w:tcPr>
                  <w:tcW w:w="325" w:type="pct"/>
                  <w:vMerge w:val="restart"/>
                  <w:vAlign w:val="center"/>
                </w:tcPr>
                <w:p>
                  <w:pPr>
                    <w:widowControl/>
                    <w:adjustRightInd w:val="0"/>
                    <w:snapToGrid w:val="0"/>
                    <w:jc w:val="center"/>
                    <w:textAlignment w:val="center"/>
                    <w:rPr>
                      <w:szCs w:val="21"/>
                    </w:rPr>
                  </w:pPr>
                  <w:r>
                    <w:rPr>
                      <w:szCs w:val="21"/>
                    </w:rPr>
                    <w:t>75</w:t>
                  </w:r>
                </w:p>
              </w:tc>
              <w:tc>
                <w:tcPr>
                  <w:tcW w:w="340" w:type="pct"/>
                  <w:vMerge w:val="continue"/>
                  <w:vAlign w:val="center"/>
                </w:tcPr>
                <w:p>
                  <w:pPr>
                    <w:widowControl/>
                    <w:adjustRightInd w:val="0"/>
                    <w:snapToGrid w:val="0"/>
                    <w:jc w:val="center"/>
                    <w:textAlignment w:val="center"/>
                    <w:rPr>
                      <w:szCs w:val="21"/>
                    </w:rPr>
                  </w:pPr>
                </w:p>
              </w:tc>
              <w:tc>
                <w:tcPr>
                  <w:tcW w:w="286" w:type="pct"/>
                  <w:vMerge w:val="restart"/>
                  <w:vAlign w:val="center"/>
                </w:tcPr>
                <w:p>
                  <w:pPr>
                    <w:widowControl/>
                    <w:adjustRightInd w:val="0"/>
                    <w:snapToGrid w:val="0"/>
                    <w:jc w:val="center"/>
                    <w:textAlignment w:val="center"/>
                    <w:rPr>
                      <w:szCs w:val="21"/>
                    </w:rPr>
                  </w:pPr>
                  <w:r>
                    <w:rPr>
                      <w:szCs w:val="21"/>
                    </w:rPr>
                    <w:t>25</w:t>
                  </w:r>
                </w:p>
              </w:tc>
              <w:tc>
                <w:tcPr>
                  <w:tcW w:w="262" w:type="pct"/>
                  <w:vMerge w:val="restart"/>
                  <w:vAlign w:val="center"/>
                </w:tcPr>
                <w:p>
                  <w:pPr>
                    <w:widowControl/>
                    <w:adjustRightInd w:val="0"/>
                    <w:snapToGrid w:val="0"/>
                    <w:jc w:val="center"/>
                    <w:textAlignment w:val="center"/>
                    <w:rPr>
                      <w:szCs w:val="21"/>
                    </w:rPr>
                  </w:pPr>
                  <w:r>
                    <w:rPr>
                      <w:szCs w:val="21"/>
                    </w:rPr>
                    <w:t>31</w:t>
                  </w:r>
                </w:p>
              </w:tc>
              <w:tc>
                <w:tcPr>
                  <w:tcW w:w="259" w:type="pct"/>
                  <w:vMerge w:val="restart"/>
                  <w:vAlign w:val="center"/>
                </w:tcPr>
                <w:p>
                  <w:pPr>
                    <w:widowControl/>
                    <w:adjustRightInd w:val="0"/>
                    <w:snapToGrid w:val="0"/>
                    <w:jc w:val="center"/>
                    <w:textAlignment w:val="center"/>
                    <w:rPr>
                      <w:szCs w:val="21"/>
                    </w:rPr>
                  </w:pPr>
                  <w:r>
                    <w:rPr>
                      <w:szCs w:val="21"/>
                    </w:rPr>
                    <w:t>0</w:t>
                  </w:r>
                </w:p>
              </w:tc>
              <w:tc>
                <w:tcPr>
                  <w:tcW w:w="203" w:type="pct"/>
                  <w:vAlign w:val="center"/>
                </w:tcPr>
                <w:p>
                  <w:pPr>
                    <w:widowControl/>
                    <w:adjustRightInd w:val="0"/>
                    <w:snapToGrid w:val="0"/>
                    <w:jc w:val="center"/>
                    <w:textAlignment w:val="center"/>
                    <w:rPr>
                      <w:szCs w:val="21"/>
                    </w:rPr>
                  </w:pPr>
                  <w:r>
                    <w:rPr>
                      <w:szCs w:val="21"/>
                    </w:rPr>
                    <w:t>东</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53</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40.5 </w:t>
                  </w:r>
                </w:p>
              </w:tc>
              <w:tc>
                <w:tcPr>
                  <w:tcW w:w="238" w:type="pct"/>
                  <w:vMerge w:val="restart"/>
                  <w:vAlign w:val="center"/>
                </w:tcPr>
                <w:p>
                  <w:pPr>
                    <w:widowControl/>
                    <w:adjustRightInd w:val="0"/>
                    <w:snapToGrid w:val="0"/>
                    <w:jc w:val="center"/>
                    <w:textAlignment w:val="center"/>
                    <w:rPr>
                      <w:szCs w:val="21"/>
                    </w:rPr>
                  </w:pPr>
                  <w:r>
                    <w:rPr>
                      <w:rFonts w:hint="eastAsia"/>
                      <w:szCs w:val="21"/>
                    </w:rPr>
                    <w:t>昼夜</w:t>
                  </w:r>
                </w:p>
              </w:tc>
              <w:tc>
                <w:tcPr>
                  <w:tcW w:w="376" w:type="pct"/>
                  <w:vMerge w:val="restart"/>
                  <w:vAlign w:val="center"/>
                </w:tcPr>
                <w:p>
                  <w:pPr>
                    <w:widowControl/>
                    <w:adjustRightInd w:val="0"/>
                    <w:snapToGrid w:val="0"/>
                    <w:jc w:val="center"/>
                    <w:textAlignment w:val="center"/>
                    <w:rPr>
                      <w:szCs w:val="21"/>
                    </w:rPr>
                  </w:pPr>
                  <w:r>
                    <w:rPr>
                      <w:szCs w:val="21"/>
                    </w:rPr>
                    <w:t>15</w:t>
                  </w:r>
                </w:p>
              </w:tc>
              <w:tc>
                <w:tcPr>
                  <w:tcW w:w="368" w:type="pct"/>
                  <w:vAlign w:val="bottom"/>
                </w:tcPr>
                <w:p>
                  <w:pPr>
                    <w:widowControl/>
                    <w:adjustRightInd w:val="0"/>
                    <w:snapToGrid w:val="0"/>
                    <w:jc w:val="center"/>
                    <w:textAlignment w:val="center"/>
                    <w:rPr>
                      <w:szCs w:val="21"/>
                    </w:rPr>
                  </w:pPr>
                  <w:r>
                    <w:rPr>
                      <w:rFonts w:hint="eastAsia"/>
                      <w:szCs w:val="21"/>
                      <w:lang w:val="en-US" w:eastAsia="zh-CN"/>
                    </w:rPr>
                    <w:t>25.5</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南</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18</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49.9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34.9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西</w:t>
                  </w:r>
                </w:p>
              </w:tc>
              <w:tc>
                <w:tcPr>
                  <w:tcW w:w="304" w:type="pct"/>
                  <w:vAlign w:val="center"/>
                </w:tcPr>
                <w:p>
                  <w:pPr>
                    <w:widowControl/>
                    <w:adjustRightInd w:val="0"/>
                    <w:snapToGrid w:val="0"/>
                    <w:jc w:val="center"/>
                    <w:textAlignment w:val="center"/>
                    <w:rPr>
                      <w:rFonts w:hint="default"/>
                      <w:szCs w:val="21"/>
                      <w:lang w:val="en-US" w:eastAsia="zh-CN"/>
                    </w:rPr>
                  </w:pPr>
                  <w:r>
                    <w:rPr>
                      <w:rFonts w:hint="eastAsia"/>
                      <w:szCs w:val="21"/>
                      <w:lang w:val="en-US" w:eastAsia="zh-CN"/>
                    </w:rPr>
                    <w:t>32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44.9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29.9</w:t>
                  </w:r>
                </w:p>
              </w:tc>
              <w:tc>
                <w:tcPr>
                  <w:tcW w:w="449" w:type="pct"/>
                  <w:tcBorders>
                    <w:right w:val="nil"/>
                  </w:tcBorders>
                  <w:vAlign w:val="center"/>
                </w:tcPr>
                <w:p>
                  <w:pPr>
                    <w:widowControl/>
                    <w:adjustRightInd w:val="0"/>
                    <w:snapToGrid w:val="0"/>
                    <w:jc w:val="center"/>
                    <w:textAlignment w:val="center"/>
                    <w:rPr>
                      <w:szCs w:val="21"/>
                    </w:rPr>
                  </w:pPr>
                  <w:r>
                    <w:rPr>
                      <w:rFonts w:hint="eastAsia"/>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szCs w:val="21"/>
                    </w:rPr>
                  </w:pPr>
                </w:p>
              </w:tc>
              <w:tc>
                <w:tcPr>
                  <w:tcW w:w="263" w:type="pct"/>
                  <w:vMerge w:val="continue"/>
                  <w:vAlign w:val="center"/>
                </w:tcPr>
                <w:p>
                  <w:pPr>
                    <w:widowControl/>
                    <w:adjustRightInd w:val="0"/>
                    <w:snapToGrid w:val="0"/>
                    <w:jc w:val="center"/>
                    <w:textAlignment w:val="center"/>
                    <w:rPr>
                      <w:szCs w:val="21"/>
                    </w:rPr>
                  </w:pPr>
                </w:p>
              </w:tc>
              <w:tc>
                <w:tcPr>
                  <w:tcW w:w="384" w:type="pct"/>
                  <w:vMerge w:val="continue"/>
                  <w:vAlign w:val="center"/>
                </w:tcPr>
                <w:p>
                  <w:pPr>
                    <w:widowControl/>
                    <w:adjustRightInd w:val="0"/>
                    <w:snapToGrid w:val="0"/>
                    <w:jc w:val="center"/>
                    <w:textAlignment w:val="center"/>
                    <w:rPr>
                      <w:szCs w:val="21"/>
                    </w:rPr>
                  </w:pPr>
                </w:p>
              </w:tc>
              <w:tc>
                <w:tcPr>
                  <w:tcW w:w="329" w:type="pct"/>
                  <w:vMerge w:val="continue"/>
                  <w:vAlign w:val="center"/>
                </w:tcPr>
                <w:p>
                  <w:pPr>
                    <w:widowControl/>
                    <w:adjustRightInd w:val="0"/>
                    <w:snapToGrid w:val="0"/>
                    <w:jc w:val="center"/>
                    <w:textAlignment w:val="center"/>
                    <w:rPr>
                      <w:szCs w:val="21"/>
                    </w:rPr>
                  </w:pPr>
                </w:p>
              </w:tc>
              <w:tc>
                <w:tcPr>
                  <w:tcW w:w="325" w:type="pct"/>
                  <w:vMerge w:val="continue"/>
                  <w:vAlign w:val="center"/>
                </w:tcPr>
                <w:p>
                  <w:pPr>
                    <w:widowControl/>
                    <w:adjustRightInd w:val="0"/>
                    <w:snapToGrid w:val="0"/>
                    <w:jc w:val="center"/>
                    <w:textAlignment w:val="center"/>
                    <w:rPr>
                      <w:szCs w:val="21"/>
                    </w:rPr>
                  </w:pPr>
                </w:p>
              </w:tc>
              <w:tc>
                <w:tcPr>
                  <w:tcW w:w="340" w:type="pct"/>
                  <w:vMerge w:val="continue"/>
                  <w:vAlign w:val="center"/>
                </w:tcPr>
                <w:p>
                  <w:pPr>
                    <w:widowControl/>
                    <w:adjustRightInd w:val="0"/>
                    <w:snapToGrid w:val="0"/>
                    <w:jc w:val="center"/>
                    <w:textAlignment w:val="center"/>
                    <w:rPr>
                      <w:szCs w:val="21"/>
                    </w:rPr>
                  </w:pPr>
                </w:p>
              </w:tc>
              <w:tc>
                <w:tcPr>
                  <w:tcW w:w="286" w:type="pct"/>
                  <w:vMerge w:val="continue"/>
                  <w:vAlign w:val="center"/>
                </w:tcPr>
                <w:p>
                  <w:pPr>
                    <w:widowControl/>
                    <w:adjustRightInd w:val="0"/>
                    <w:snapToGrid w:val="0"/>
                    <w:jc w:val="center"/>
                    <w:textAlignment w:val="center"/>
                    <w:rPr>
                      <w:szCs w:val="21"/>
                    </w:rPr>
                  </w:pPr>
                </w:p>
              </w:tc>
              <w:tc>
                <w:tcPr>
                  <w:tcW w:w="262" w:type="pct"/>
                  <w:vMerge w:val="continue"/>
                  <w:vAlign w:val="center"/>
                </w:tcPr>
                <w:p>
                  <w:pPr>
                    <w:widowControl/>
                    <w:adjustRightInd w:val="0"/>
                    <w:snapToGrid w:val="0"/>
                    <w:jc w:val="center"/>
                    <w:textAlignment w:val="center"/>
                    <w:rPr>
                      <w:szCs w:val="21"/>
                    </w:rPr>
                  </w:pPr>
                </w:p>
              </w:tc>
              <w:tc>
                <w:tcPr>
                  <w:tcW w:w="259" w:type="pct"/>
                  <w:vMerge w:val="continue"/>
                  <w:vAlign w:val="center"/>
                </w:tcPr>
                <w:p>
                  <w:pPr>
                    <w:widowControl/>
                    <w:adjustRightInd w:val="0"/>
                    <w:snapToGrid w:val="0"/>
                    <w:jc w:val="center"/>
                    <w:textAlignment w:val="center"/>
                    <w:rPr>
                      <w:szCs w:val="21"/>
                    </w:rPr>
                  </w:pPr>
                </w:p>
              </w:tc>
              <w:tc>
                <w:tcPr>
                  <w:tcW w:w="203" w:type="pct"/>
                  <w:vAlign w:val="center"/>
                </w:tcPr>
                <w:p>
                  <w:pPr>
                    <w:widowControl/>
                    <w:adjustRightInd w:val="0"/>
                    <w:snapToGrid w:val="0"/>
                    <w:jc w:val="center"/>
                    <w:textAlignment w:val="center"/>
                    <w:rPr>
                      <w:szCs w:val="21"/>
                    </w:rPr>
                  </w:pPr>
                  <w:r>
                    <w:rPr>
                      <w:szCs w:val="21"/>
                    </w:rPr>
                    <w:t>北</w:t>
                  </w:r>
                </w:p>
              </w:tc>
              <w:tc>
                <w:tcPr>
                  <w:tcW w:w="304" w:type="pct"/>
                  <w:vAlign w:val="center"/>
                </w:tcPr>
                <w:p>
                  <w:pPr>
                    <w:widowControl/>
                    <w:adjustRightInd w:val="0"/>
                    <w:snapToGrid w:val="0"/>
                    <w:jc w:val="center"/>
                    <w:textAlignment w:val="center"/>
                    <w:rPr>
                      <w:rFonts w:hint="eastAsia"/>
                      <w:szCs w:val="21"/>
                      <w:lang w:val="en-US" w:eastAsia="zh-CN"/>
                    </w:rPr>
                  </w:pPr>
                  <w:r>
                    <w:rPr>
                      <w:rFonts w:hint="eastAsia"/>
                      <w:szCs w:val="21"/>
                      <w:lang w:val="en-US" w:eastAsia="zh-CN"/>
                    </w:rPr>
                    <w:t>2</w:t>
                  </w:r>
                </w:p>
              </w:tc>
              <w:tc>
                <w:tcPr>
                  <w:tcW w:w="392" w:type="pct"/>
                  <w:vAlign w:val="bottom"/>
                </w:tcPr>
                <w:p>
                  <w:pPr>
                    <w:widowControl/>
                    <w:adjustRightInd w:val="0"/>
                    <w:snapToGrid w:val="0"/>
                    <w:jc w:val="center"/>
                    <w:textAlignment w:val="center"/>
                    <w:rPr>
                      <w:szCs w:val="21"/>
                    </w:rPr>
                  </w:pPr>
                  <w:r>
                    <w:rPr>
                      <w:rFonts w:hint="eastAsia"/>
                      <w:szCs w:val="21"/>
                      <w:lang w:val="en-US" w:eastAsia="zh-CN"/>
                    </w:rPr>
                    <w:t xml:space="preserve">69.0 </w:t>
                  </w:r>
                </w:p>
              </w:tc>
              <w:tc>
                <w:tcPr>
                  <w:tcW w:w="238" w:type="pct"/>
                  <w:vMerge w:val="continue"/>
                  <w:vAlign w:val="center"/>
                </w:tcPr>
                <w:p>
                  <w:pPr>
                    <w:widowControl/>
                    <w:adjustRightInd w:val="0"/>
                    <w:snapToGrid w:val="0"/>
                    <w:jc w:val="center"/>
                    <w:textAlignment w:val="center"/>
                    <w:rPr>
                      <w:szCs w:val="21"/>
                    </w:rPr>
                  </w:pPr>
                </w:p>
              </w:tc>
              <w:tc>
                <w:tcPr>
                  <w:tcW w:w="376" w:type="pct"/>
                  <w:vMerge w:val="continue"/>
                  <w:vAlign w:val="center"/>
                </w:tcPr>
                <w:p>
                  <w:pPr>
                    <w:widowControl/>
                    <w:adjustRightInd w:val="0"/>
                    <w:snapToGrid w:val="0"/>
                    <w:jc w:val="center"/>
                    <w:textAlignment w:val="center"/>
                    <w:rPr>
                      <w:szCs w:val="21"/>
                    </w:rPr>
                  </w:pPr>
                </w:p>
              </w:tc>
              <w:tc>
                <w:tcPr>
                  <w:tcW w:w="368" w:type="pct"/>
                  <w:vAlign w:val="bottom"/>
                </w:tcPr>
                <w:p>
                  <w:pPr>
                    <w:widowControl/>
                    <w:adjustRightInd w:val="0"/>
                    <w:snapToGrid w:val="0"/>
                    <w:jc w:val="center"/>
                    <w:textAlignment w:val="center"/>
                    <w:rPr>
                      <w:szCs w:val="21"/>
                    </w:rPr>
                  </w:pPr>
                  <w:r>
                    <w:rPr>
                      <w:rFonts w:hint="eastAsia"/>
                      <w:szCs w:val="21"/>
                      <w:lang w:val="en-US" w:eastAsia="zh-CN"/>
                    </w:rPr>
                    <w:t>54</w:t>
                  </w:r>
                </w:p>
              </w:tc>
              <w:tc>
                <w:tcPr>
                  <w:tcW w:w="449" w:type="pct"/>
                  <w:tcBorders>
                    <w:right w:val="nil"/>
                  </w:tcBorders>
                  <w:vAlign w:val="center"/>
                </w:tcPr>
                <w:p>
                  <w:pPr>
                    <w:widowControl/>
                    <w:adjustRightInd w:val="0"/>
                    <w:snapToGrid w:val="0"/>
                    <w:jc w:val="center"/>
                    <w:textAlignment w:val="center"/>
                    <w:rPr>
                      <w:szCs w:val="21"/>
                    </w:rPr>
                  </w:pPr>
                  <w:r>
                    <w:rPr>
                      <w:szCs w:val="21"/>
                    </w:rPr>
                    <w:t>1</w:t>
                  </w:r>
                </w:p>
              </w:tc>
            </w:tr>
          </w:tbl>
          <w:p>
            <w:pPr>
              <w:spacing w:line="500" w:lineRule="exact"/>
              <w:jc w:val="center"/>
              <w:rPr>
                <w:b/>
                <w:bCs/>
                <w:sz w:val="24"/>
              </w:rPr>
            </w:pPr>
          </w:p>
          <w:p>
            <w:pPr>
              <w:spacing w:line="500" w:lineRule="exact"/>
              <w:jc w:val="center"/>
              <w:rPr>
                <w:b/>
                <w:bCs/>
                <w:sz w:val="24"/>
              </w:rPr>
            </w:pPr>
          </w:p>
          <w:p>
            <w:pPr>
              <w:spacing w:line="500" w:lineRule="exact"/>
              <w:jc w:val="center"/>
              <w:rPr>
                <w:b/>
                <w:bCs/>
                <w:sz w:val="24"/>
              </w:rPr>
            </w:pPr>
          </w:p>
          <w:p>
            <w:pPr>
              <w:spacing w:line="500" w:lineRule="exact"/>
              <w:jc w:val="center"/>
              <w:rPr>
                <w:b/>
                <w:bCs/>
                <w:sz w:val="24"/>
              </w:rPr>
            </w:pPr>
          </w:p>
          <w:p>
            <w:pPr>
              <w:spacing w:line="500" w:lineRule="exact"/>
              <w:jc w:val="center"/>
              <w:rPr>
                <w:b/>
                <w:bCs/>
                <w:sz w:val="24"/>
              </w:rPr>
            </w:pPr>
          </w:p>
          <w:p>
            <w:pPr>
              <w:spacing w:line="500" w:lineRule="exact"/>
              <w:jc w:val="center"/>
              <w:rPr>
                <w:b/>
                <w:bCs/>
                <w:sz w:val="24"/>
              </w:rPr>
            </w:pPr>
          </w:p>
          <w:p>
            <w:pPr>
              <w:spacing w:line="500" w:lineRule="exact"/>
              <w:rPr>
                <w:sz w:val="24"/>
              </w:rPr>
            </w:pPr>
          </w:p>
          <w:p/>
        </w:tc>
      </w:tr>
    </w:tbl>
    <w:p>
      <w:pPr>
        <w:pStyle w:val="28"/>
        <w:jc w:val="center"/>
        <w:outlineLvl w:val="0"/>
        <w:rPr>
          <w:rFonts w:ascii="Times New Roman" w:hAnsi="Times New Roman" w:eastAsia="黑体"/>
          <w:snapToGrid w:val="0"/>
          <w:sz w:val="30"/>
          <w:szCs w:val="30"/>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pStyle w:val="28"/>
              <w:jc w:val="center"/>
              <w:outlineLvl w:val="0"/>
              <w:rPr>
                <w:rFonts w:ascii="Times New Roman" w:hAnsi="Times New Roman" w:eastAsia="黑体"/>
                <w:snapToGrid w:val="0"/>
                <w:sz w:val="30"/>
                <w:szCs w:val="30"/>
              </w:rPr>
            </w:pPr>
          </w:p>
        </w:tc>
        <w:tc>
          <w:tcPr>
            <w:tcW w:w="8505" w:type="dxa"/>
          </w:tcPr>
          <w:p>
            <w:pPr>
              <w:spacing w:line="500" w:lineRule="exact"/>
              <w:ind w:firstLine="480" w:firstLineChars="200"/>
              <w:rPr>
                <w:b/>
                <w:bCs/>
                <w:sz w:val="24"/>
              </w:rPr>
            </w:pPr>
            <w:r>
              <w:rPr>
                <w:sz w:val="24"/>
                <w:szCs w:val="32"/>
              </w:rPr>
              <w:t>本项目所在区域周边50m范围内无声环境敏感目标，本次评价</w:t>
            </w:r>
            <w:r>
              <w:rPr>
                <w:rFonts w:hint="eastAsia"/>
                <w:sz w:val="24"/>
                <w:szCs w:val="32"/>
              </w:rPr>
              <w:t>对</w:t>
            </w:r>
            <w:r>
              <w:rPr>
                <w:sz w:val="24"/>
                <w:szCs w:val="32"/>
              </w:rPr>
              <w:t>四侧厂界外1m进行厂界达标论证。</w:t>
            </w:r>
          </w:p>
          <w:p>
            <w:pPr>
              <w:spacing w:line="500" w:lineRule="exact"/>
              <w:ind w:firstLine="1687" w:firstLineChars="700"/>
              <w:rPr>
                <w:sz w:val="24"/>
              </w:rPr>
            </w:pPr>
            <w:r>
              <w:rPr>
                <w:b/>
                <w:bCs/>
                <w:sz w:val="24"/>
              </w:rPr>
              <w:t>表</w:t>
            </w:r>
            <w:r>
              <w:rPr>
                <w:rFonts w:hint="eastAsia"/>
                <w:b/>
                <w:bCs/>
                <w:sz w:val="24"/>
                <w:lang w:val="en-US" w:eastAsia="zh-CN"/>
              </w:rPr>
              <w:t>40</w:t>
            </w:r>
            <w:r>
              <w:rPr>
                <w:b/>
                <w:bCs/>
                <w:sz w:val="24"/>
              </w:rPr>
              <w:t xml:space="preserve">  厂界噪声贡献值预测结果    单位：dB(A)</w:t>
            </w:r>
          </w:p>
          <w:tbl>
            <w:tblPr>
              <w:tblStyle w:val="3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1443"/>
              <w:gridCol w:w="1081"/>
              <w:gridCol w:w="1180"/>
              <w:gridCol w:w="1178"/>
              <w:gridCol w:w="1076"/>
              <w:gridCol w:w="1161"/>
              <w:gridCol w:w="11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restart"/>
                  <w:tcBorders>
                    <w:right w:val="single" w:color="000000" w:sz="4" w:space="0"/>
                  </w:tcBorders>
                  <w:vAlign w:val="center"/>
                </w:tcPr>
                <w:p>
                  <w:pPr>
                    <w:spacing w:line="240" w:lineRule="auto"/>
                    <w:jc w:val="center"/>
                    <w:rPr>
                      <w:caps/>
                      <w:color w:val="auto"/>
                      <w:szCs w:val="21"/>
                    </w:rPr>
                  </w:pPr>
                  <w:r>
                    <w:rPr>
                      <w:color w:val="auto"/>
                      <w:szCs w:val="21"/>
                    </w:rPr>
                    <w:t>预测点</w:t>
                  </w:r>
                </w:p>
              </w:tc>
              <w:tc>
                <w:tcPr>
                  <w:tcW w:w="1369" w:type="pct"/>
                  <w:gridSpan w:val="2"/>
                  <w:tcBorders>
                    <w:left w:val="single" w:color="000000" w:sz="4" w:space="0"/>
                    <w:right w:val="single" w:color="000000" w:sz="4" w:space="0"/>
                  </w:tcBorders>
                  <w:vAlign w:val="center"/>
                </w:tcPr>
                <w:p>
                  <w:pPr>
                    <w:spacing w:line="240" w:lineRule="auto"/>
                    <w:jc w:val="center"/>
                    <w:rPr>
                      <w:color w:val="auto"/>
                      <w:szCs w:val="21"/>
                    </w:rPr>
                  </w:pPr>
                  <w:r>
                    <w:rPr>
                      <w:color w:val="auto"/>
                      <w:szCs w:val="21"/>
                    </w:rPr>
                    <w:t>贡献值</w:t>
                  </w:r>
                </w:p>
              </w:tc>
              <w:tc>
                <w:tcPr>
                  <w:tcW w:w="1364" w:type="pct"/>
                  <w:gridSpan w:val="2"/>
                  <w:tcBorders>
                    <w:left w:val="single" w:color="000000" w:sz="4" w:space="0"/>
                    <w:right w:val="single" w:color="000000" w:sz="4" w:space="0"/>
                  </w:tcBorders>
                  <w:vAlign w:val="center"/>
                </w:tcPr>
                <w:p>
                  <w:pPr>
                    <w:spacing w:line="240" w:lineRule="auto"/>
                    <w:jc w:val="center"/>
                    <w:rPr>
                      <w:caps/>
                      <w:color w:val="auto"/>
                      <w:szCs w:val="21"/>
                    </w:rPr>
                  </w:pPr>
                  <w:r>
                    <w:rPr>
                      <w:caps/>
                      <w:color w:val="auto"/>
                      <w:szCs w:val="21"/>
                    </w:rPr>
                    <w:t>标准值</w:t>
                  </w:r>
                </w:p>
              </w:tc>
              <w:tc>
                <w:tcPr>
                  <w:tcW w:w="1392" w:type="pct"/>
                  <w:gridSpan w:val="2"/>
                  <w:tcBorders>
                    <w:left w:val="single" w:color="000000" w:sz="4" w:space="0"/>
                    <w:right w:val="nil"/>
                  </w:tcBorders>
                  <w:vAlign w:val="center"/>
                </w:tcPr>
                <w:p>
                  <w:pPr>
                    <w:spacing w:line="240" w:lineRule="auto"/>
                    <w:jc w:val="center"/>
                    <w:rPr>
                      <w:caps/>
                      <w:szCs w:val="21"/>
                    </w:rPr>
                  </w:pPr>
                  <w:r>
                    <w:rPr>
                      <w:caps/>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continue"/>
                  <w:tcBorders>
                    <w:left w:val="nil"/>
                    <w:right w:val="single" w:color="000000" w:sz="4" w:space="0"/>
                  </w:tcBorders>
                  <w:vAlign w:val="center"/>
                </w:tcPr>
                <w:p>
                  <w:pPr>
                    <w:spacing w:line="240" w:lineRule="auto"/>
                    <w:jc w:val="center"/>
                    <w:rPr>
                      <w:color w:val="auto"/>
                      <w:szCs w:val="21"/>
                    </w:rPr>
                  </w:pPr>
                </w:p>
              </w:tc>
              <w:tc>
                <w:tcPr>
                  <w:tcW w:w="654" w:type="pct"/>
                  <w:tcBorders>
                    <w:left w:val="single" w:color="000000" w:sz="4" w:space="0"/>
                    <w:right w:val="single" w:color="000000" w:sz="4" w:space="0"/>
                  </w:tcBorders>
                  <w:vAlign w:val="center"/>
                </w:tcPr>
                <w:p>
                  <w:pPr>
                    <w:spacing w:line="240" w:lineRule="auto"/>
                    <w:jc w:val="center"/>
                    <w:rPr>
                      <w:caps/>
                      <w:color w:val="auto"/>
                      <w:szCs w:val="21"/>
                    </w:rPr>
                  </w:pPr>
                  <w:r>
                    <w:rPr>
                      <w:caps/>
                      <w:color w:val="auto"/>
                      <w:szCs w:val="21"/>
                    </w:rPr>
                    <w:t>昼间</w:t>
                  </w:r>
                </w:p>
              </w:tc>
              <w:tc>
                <w:tcPr>
                  <w:tcW w:w="714" w:type="pct"/>
                  <w:tcBorders>
                    <w:left w:val="single" w:color="000000" w:sz="4" w:space="0"/>
                    <w:right w:val="single" w:color="000000" w:sz="4" w:space="0"/>
                  </w:tcBorders>
                  <w:vAlign w:val="center"/>
                </w:tcPr>
                <w:p>
                  <w:pPr>
                    <w:spacing w:line="240" w:lineRule="auto"/>
                    <w:jc w:val="center"/>
                    <w:rPr>
                      <w:caps/>
                      <w:color w:val="auto"/>
                      <w:szCs w:val="21"/>
                    </w:rPr>
                  </w:pPr>
                  <w:r>
                    <w:rPr>
                      <w:rFonts w:hint="eastAsia"/>
                      <w:caps/>
                      <w:color w:val="auto"/>
                      <w:szCs w:val="21"/>
                    </w:rPr>
                    <w:t>夜</w:t>
                  </w:r>
                  <w:r>
                    <w:rPr>
                      <w:caps/>
                      <w:color w:val="auto"/>
                      <w:szCs w:val="21"/>
                    </w:rPr>
                    <w:t>间</w:t>
                  </w:r>
                </w:p>
              </w:tc>
              <w:tc>
                <w:tcPr>
                  <w:tcW w:w="713" w:type="pct"/>
                  <w:tcBorders>
                    <w:left w:val="single" w:color="000000" w:sz="4" w:space="0"/>
                    <w:right w:val="single" w:color="000000" w:sz="4" w:space="0"/>
                  </w:tcBorders>
                  <w:vAlign w:val="center"/>
                </w:tcPr>
                <w:p>
                  <w:pPr>
                    <w:spacing w:line="240" w:lineRule="auto"/>
                    <w:jc w:val="center"/>
                    <w:rPr>
                      <w:caps/>
                      <w:color w:val="auto"/>
                      <w:szCs w:val="21"/>
                    </w:rPr>
                  </w:pPr>
                  <w:r>
                    <w:rPr>
                      <w:caps/>
                      <w:color w:val="auto"/>
                      <w:szCs w:val="21"/>
                    </w:rPr>
                    <w:t>昼间</w:t>
                  </w:r>
                </w:p>
              </w:tc>
              <w:tc>
                <w:tcPr>
                  <w:tcW w:w="651" w:type="pct"/>
                  <w:tcBorders>
                    <w:left w:val="single" w:color="000000" w:sz="4" w:space="0"/>
                    <w:right w:val="single" w:color="000000" w:sz="4" w:space="0"/>
                  </w:tcBorders>
                  <w:vAlign w:val="center"/>
                </w:tcPr>
                <w:p>
                  <w:pPr>
                    <w:spacing w:line="240" w:lineRule="auto"/>
                    <w:jc w:val="center"/>
                    <w:rPr>
                      <w:caps/>
                      <w:szCs w:val="21"/>
                    </w:rPr>
                  </w:pPr>
                  <w:r>
                    <w:rPr>
                      <w:rFonts w:hint="eastAsia"/>
                      <w:caps/>
                      <w:szCs w:val="21"/>
                    </w:rPr>
                    <w:t>夜</w:t>
                  </w:r>
                  <w:r>
                    <w:rPr>
                      <w:caps/>
                      <w:szCs w:val="21"/>
                    </w:rPr>
                    <w:t>间</w:t>
                  </w:r>
                </w:p>
              </w:tc>
              <w:tc>
                <w:tcPr>
                  <w:tcW w:w="702" w:type="pct"/>
                  <w:tcBorders>
                    <w:left w:val="single" w:color="000000" w:sz="4" w:space="0"/>
                    <w:right w:val="single" w:color="000000" w:sz="4" w:space="0"/>
                  </w:tcBorders>
                  <w:vAlign w:val="center"/>
                </w:tcPr>
                <w:p>
                  <w:pPr>
                    <w:spacing w:line="240" w:lineRule="auto"/>
                    <w:jc w:val="center"/>
                    <w:rPr>
                      <w:caps/>
                      <w:szCs w:val="21"/>
                    </w:rPr>
                  </w:pPr>
                  <w:r>
                    <w:rPr>
                      <w:caps/>
                      <w:szCs w:val="21"/>
                    </w:rPr>
                    <w:t>昼间</w:t>
                  </w:r>
                </w:p>
              </w:tc>
              <w:tc>
                <w:tcPr>
                  <w:tcW w:w="689" w:type="pct"/>
                  <w:tcBorders>
                    <w:left w:val="single" w:color="000000" w:sz="4" w:space="0"/>
                    <w:right w:val="nil"/>
                  </w:tcBorders>
                  <w:vAlign w:val="center"/>
                </w:tcPr>
                <w:p>
                  <w:pPr>
                    <w:spacing w:line="240" w:lineRule="auto"/>
                    <w:jc w:val="center"/>
                    <w:rPr>
                      <w:caps/>
                      <w:szCs w:val="21"/>
                    </w:rPr>
                  </w:pPr>
                  <w:r>
                    <w:rPr>
                      <w:rFonts w:hint="eastAsia"/>
                      <w:caps/>
                      <w:szCs w:val="21"/>
                    </w:rPr>
                    <w:t>夜</w:t>
                  </w:r>
                  <w:r>
                    <w:rPr>
                      <w:caps/>
                      <w:szCs w:val="21"/>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rPr>
                  </w:pPr>
                  <w:r>
                    <w:rPr>
                      <w:rFonts w:hint="eastAsia"/>
                      <w:caps/>
                      <w:color w:val="auto"/>
                      <w:szCs w:val="21"/>
                    </w:rPr>
                    <w:t>东</w:t>
                  </w:r>
                  <w:r>
                    <w:rPr>
                      <w:caps/>
                      <w:color w:val="auto"/>
                      <w:szCs w:val="21"/>
                    </w:rPr>
                    <w:t>厂界</w:t>
                  </w:r>
                </w:p>
              </w:tc>
              <w:tc>
                <w:tcPr>
                  <w:tcW w:w="654" w:type="pct"/>
                  <w:tcBorders>
                    <w:left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caps/>
                      <w:color w:val="auto"/>
                      <w:kern w:val="2"/>
                      <w:sz w:val="21"/>
                      <w:szCs w:val="21"/>
                      <w:lang w:val="en-US" w:eastAsia="zh-CN" w:bidi="ar-SA"/>
                    </w:rPr>
                  </w:pPr>
                  <w:r>
                    <w:rPr>
                      <w:rFonts w:hint="eastAsia"/>
                      <w:caps/>
                      <w:color w:val="auto"/>
                      <w:szCs w:val="21"/>
                    </w:rPr>
                    <w:t>4</w:t>
                  </w:r>
                  <w:r>
                    <w:rPr>
                      <w:rFonts w:hint="eastAsia"/>
                      <w:caps/>
                      <w:color w:val="auto"/>
                      <w:szCs w:val="21"/>
                      <w:lang w:val="en-US" w:eastAsia="zh-CN"/>
                    </w:rPr>
                    <w:t>9.2</w:t>
                  </w:r>
                </w:p>
              </w:tc>
              <w:tc>
                <w:tcPr>
                  <w:tcW w:w="714" w:type="pct"/>
                  <w:tcBorders>
                    <w:left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caps/>
                      <w:color w:val="auto"/>
                      <w:kern w:val="2"/>
                      <w:sz w:val="21"/>
                      <w:szCs w:val="21"/>
                      <w:lang w:val="en-US" w:eastAsia="zh-CN" w:bidi="ar-SA"/>
                    </w:rPr>
                  </w:pPr>
                  <w:r>
                    <w:rPr>
                      <w:rFonts w:hint="eastAsia"/>
                      <w:caps/>
                      <w:color w:val="auto"/>
                      <w:szCs w:val="21"/>
                    </w:rPr>
                    <w:t>4</w:t>
                  </w:r>
                  <w:r>
                    <w:rPr>
                      <w:rFonts w:hint="eastAsia"/>
                      <w:caps/>
                      <w:color w:val="auto"/>
                      <w:szCs w:val="21"/>
                      <w:lang w:val="en-US" w:eastAsia="zh-CN"/>
                    </w:rPr>
                    <w:t>9.2</w:t>
                  </w:r>
                </w:p>
              </w:tc>
              <w:tc>
                <w:tcPr>
                  <w:tcW w:w="713" w:type="pct"/>
                  <w:tcBorders>
                    <w:left w:val="single" w:color="000000" w:sz="4" w:space="0"/>
                    <w:right w:val="single" w:color="000000" w:sz="4" w:space="0"/>
                  </w:tcBorders>
                  <w:vAlign w:val="center"/>
                </w:tcPr>
                <w:p>
                  <w:pPr>
                    <w:spacing w:line="240" w:lineRule="auto"/>
                    <w:jc w:val="center"/>
                    <w:rPr>
                      <w:caps/>
                      <w:color w:val="auto"/>
                      <w:szCs w:val="21"/>
                    </w:rPr>
                  </w:pPr>
                  <w:r>
                    <w:rPr>
                      <w:rFonts w:hint="eastAsia"/>
                      <w:caps/>
                      <w:color w:val="auto"/>
                      <w:szCs w:val="21"/>
                    </w:rPr>
                    <w:t>60</w:t>
                  </w:r>
                </w:p>
              </w:tc>
              <w:tc>
                <w:tcPr>
                  <w:tcW w:w="651" w:type="pct"/>
                  <w:tcBorders>
                    <w:left w:val="single" w:color="000000" w:sz="4" w:space="0"/>
                    <w:right w:val="single" w:color="000000" w:sz="4" w:space="0"/>
                  </w:tcBorders>
                  <w:vAlign w:val="center"/>
                </w:tcPr>
                <w:p>
                  <w:pPr>
                    <w:spacing w:line="240" w:lineRule="auto"/>
                    <w:jc w:val="center"/>
                    <w:rPr>
                      <w:szCs w:val="21"/>
                    </w:rPr>
                  </w:pPr>
                  <w:r>
                    <w:rPr>
                      <w:rFonts w:hint="eastAsia"/>
                      <w:szCs w:val="21"/>
                    </w:rPr>
                    <w:t>50</w:t>
                  </w:r>
                </w:p>
              </w:tc>
              <w:tc>
                <w:tcPr>
                  <w:tcW w:w="702" w:type="pct"/>
                  <w:tcBorders>
                    <w:left w:val="single" w:color="000000" w:sz="4" w:space="0"/>
                    <w:right w:val="single" w:color="000000" w:sz="4" w:space="0"/>
                  </w:tcBorders>
                  <w:vAlign w:val="center"/>
                </w:tcPr>
                <w:p>
                  <w:pPr>
                    <w:spacing w:line="240" w:lineRule="auto"/>
                    <w:jc w:val="center"/>
                    <w:rPr>
                      <w:szCs w:val="21"/>
                    </w:rPr>
                  </w:pPr>
                  <w:r>
                    <w:rPr>
                      <w:szCs w:val="21"/>
                    </w:rPr>
                    <w:t>达标</w:t>
                  </w:r>
                </w:p>
              </w:tc>
              <w:tc>
                <w:tcPr>
                  <w:tcW w:w="689" w:type="pct"/>
                  <w:tcBorders>
                    <w:left w:val="single" w:color="000000" w:sz="4" w:space="0"/>
                    <w:right w:val="nil"/>
                  </w:tcBorders>
                  <w:vAlign w:val="center"/>
                </w:tcPr>
                <w:p>
                  <w:pPr>
                    <w:spacing w:line="240" w:lineRule="auto"/>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rPr>
                  </w:pPr>
                  <w:r>
                    <w:rPr>
                      <w:rFonts w:hint="eastAsia"/>
                      <w:caps/>
                      <w:color w:val="auto"/>
                      <w:szCs w:val="21"/>
                    </w:rPr>
                    <w:t>南</w:t>
                  </w:r>
                  <w:r>
                    <w:rPr>
                      <w:caps/>
                      <w:color w:val="auto"/>
                      <w:szCs w:val="21"/>
                    </w:rPr>
                    <w:t>厂界</w:t>
                  </w:r>
                </w:p>
              </w:tc>
              <w:tc>
                <w:tcPr>
                  <w:tcW w:w="654" w:type="pct"/>
                  <w:tcBorders>
                    <w:left w:val="single" w:color="000000" w:sz="4" w:space="0"/>
                    <w:right w:val="single" w:color="000000" w:sz="4" w:space="0"/>
                  </w:tcBorders>
                  <w:vAlign w:val="center"/>
                </w:tcPr>
                <w:p>
                  <w:pPr>
                    <w:spacing w:line="240" w:lineRule="auto"/>
                    <w:jc w:val="center"/>
                    <w:rPr>
                      <w:rFonts w:hint="default" w:eastAsia="宋体"/>
                      <w:caps/>
                      <w:color w:val="auto"/>
                      <w:szCs w:val="21"/>
                      <w:lang w:val="en-US" w:eastAsia="zh-CN"/>
                    </w:rPr>
                  </w:pPr>
                  <w:r>
                    <w:rPr>
                      <w:rFonts w:hint="eastAsia"/>
                      <w:caps/>
                      <w:color w:val="auto"/>
                      <w:szCs w:val="21"/>
                      <w:lang w:val="en-US" w:eastAsia="zh-CN"/>
                    </w:rPr>
                    <w:t>43.7</w:t>
                  </w:r>
                </w:p>
              </w:tc>
              <w:tc>
                <w:tcPr>
                  <w:tcW w:w="714" w:type="pct"/>
                  <w:tcBorders>
                    <w:left w:val="single" w:color="000000" w:sz="4" w:space="0"/>
                    <w:right w:val="single" w:color="000000" w:sz="4" w:space="0"/>
                  </w:tcBorders>
                  <w:vAlign w:val="center"/>
                </w:tcPr>
                <w:p>
                  <w:pPr>
                    <w:spacing w:line="240" w:lineRule="auto"/>
                    <w:jc w:val="center"/>
                    <w:rPr>
                      <w:rFonts w:hint="default" w:eastAsia="宋体"/>
                      <w:caps/>
                      <w:color w:val="auto"/>
                      <w:szCs w:val="21"/>
                      <w:lang w:val="en-US" w:eastAsia="zh-CN"/>
                    </w:rPr>
                  </w:pPr>
                  <w:r>
                    <w:rPr>
                      <w:rFonts w:hint="eastAsia"/>
                      <w:caps/>
                      <w:color w:val="auto"/>
                      <w:szCs w:val="21"/>
                      <w:lang w:val="en-US" w:eastAsia="zh-CN"/>
                    </w:rPr>
                    <w:t>43.7</w:t>
                  </w:r>
                </w:p>
              </w:tc>
              <w:tc>
                <w:tcPr>
                  <w:tcW w:w="713" w:type="pct"/>
                  <w:tcBorders>
                    <w:left w:val="single" w:color="000000" w:sz="4" w:space="0"/>
                    <w:right w:val="single" w:color="000000" w:sz="4" w:space="0"/>
                  </w:tcBorders>
                  <w:vAlign w:val="center"/>
                </w:tcPr>
                <w:p>
                  <w:pPr>
                    <w:spacing w:line="240" w:lineRule="auto"/>
                    <w:jc w:val="center"/>
                    <w:rPr>
                      <w:color w:val="auto"/>
                      <w:szCs w:val="21"/>
                    </w:rPr>
                  </w:pPr>
                  <w:r>
                    <w:rPr>
                      <w:rFonts w:hint="eastAsia"/>
                      <w:color w:val="auto"/>
                      <w:szCs w:val="21"/>
                    </w:rPr>
                    <w:t>60</w:t>
                  </w:r>
                </w:p>
              </w:tc>
              <w:tc>
                <w:tcPr>
                  <w:tcW w:w="651" w:type="pct"/>
                  <w:tcBorders>
                    <w:left w:val="single" w:color="000000" w:sz="4" w:space="0"/>
                    <w:right w:val="single" w:color="000000" w:sz="4" w:space="0"/>
                  </w:tcBorders>
                  <w:vAlign w:val="center"/>
                </w:tcPr>
                <w:p>
                  <w:pPr>
                    <w:spacing w:line="240" w:lineRule="auto"/>
                    <w:jc w:val="center"/>
                    <w:rPr>
                      <w:szCs w:val="21"/>
                    </w:rPr>
                  </w:pPr>
                  <w:r>
                    <w:rPr>
                      <w:rFonts w:hint="eastAsia"/>
                      <w:szCs w:val="21"/>
                    </w:rPr>
                    <w:t>50</w:t>
                  </w:r>
                </w:p>
              </w:tc>
              <w:tc>
                <w:tcPr>
                  <w:tcW w:w="702" w:type="pct"/>
                  <w:tcBorders>
                    <w:left w:val="single" w:color="000000" w:sz="4" w:space="0"/>
                    <w:right w:val="single" w:color="000000" w:sz="4" w:space="0"/>
                  </w:tcBorders>
                  <w:vAlign w:val="center"/>
                </w:tcPr>
                <w:p>
                  <w:pPr>
                    <w:spacing w:line="240" w:lineRule="auto"/>
                    <w:jc w:val="center"/>
                    <w:rPr>
                      <w:szCs w:val="21"/>
                    </w:rPr>
                  </w:pPr>
                  <w:r>
                    <w:rPr>
                      <w:szCs w:val="21"/>
                    </w:rPr>
                    <w:t>达标</w:t>
                  </w:r>
                </w:p>
              </w:tc>
              <w:tc>
                <w:tcPr>
                  <w:tcW w:w="689" w:type="pct"/>
                  <w:tcBorders>
                    <w:left w:val="single" w:color="000000" w:sz="4" w:space="0"/>
                    <w:right w:val="nil"/>
                  </w:tcBorders>
                  <w:vAlign w:val="center"/>
                </w:tcPr>
                <w:p>
                  <w:pPr>
                    <w:spacing w:line="240" w:lineRule="auto"/>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rPr>
                  </w:pPr>
                  <w:r>
                    <w:rPr>
                      <w:rFonts w:hint="eastAsia"/>
                      <w:caps/>
                      <w:color w:val="auto"/>
                      <w:szCs w:val="21"/>
                    </w:rPr>
                    <w:t>西</w:t>
                  </w:r>
                  <w:r>
                    <w:rPr>
                      <w:caps/>
                      <w:color w:val="auto"/>
                      <w:szCs w:val="21"/>
                    </w:rPr>
                    <w:t>厂界</w:t>
                  </w:r>
                </w:p>
              </w:tc>
              <w:tc>
                <w:tcPr>
                  <w:tcW w:w="654" w:type="pct"/>
                  <w:tcBorders>
                    <w:left w:val="single" w:color="000000" w:sz="4" w:space="0"/>
                    <w:right w:val="single" w:color="000000" w:sz="4" w:space="0"/>
                  </w:tcBorders>
                  <w:vAlign w:val="center"/>
                </w:tcPr>
                <w:p>
                  <w:pPr>
                    <w:spacing w:line="240" w:lineRule="auto"/>
                    <w:jc w:val="center"/>
                    <w:rPr>
                      <w:rFonts w:hint="eastAsia" w:eastAsia="宋体"/>
                      <w:caps/>
                      <w:color w:val="auto"/>
                      <w:szCs w:val="21"/>
                      <w:lang w:eastAsia="zh-CN"/>
                    </w:rPr>
                  </w:pPr>
                  <w:r>
                    <w:rPr>
                      <w:rFonts w:hint="eastAsia"/>
                      <w:caps/>
                      <w:color w:val="auto"/>
                      <w:szCs w:val="21"/>
                    </w:rPr>
                    <w:t>44.</w:t>
                  </w:r>
                  <w:r>
                    <w:rPr>
                      <w:rFonts w:hint="eastAsia"/>
                      <w:caps/>
                      <w:color w:val="auto"/>
                      <w:szCs w:val="21"/>
                      <w:lang w:val="en-US" w:eastAsia="zh-CN"/>
                    </w:rPr>
                    <w:t>1</w:t>
                  </w:r>
                </w:p>
              </w:tc>
              <w:tc>
                <w:tcPr>
                  <w:tcW w:w="714" w:type="pct"/>
                  <w:tcBorders>
                    <w:left w:val="single" w:color="000000" w:sz="4" w:space="0"/>
                    <w:right w:val="single" w:color="000000" w:sz="4" w:space="0"/>
                  </w:tcBorders>
                  <w:vAlign w:val="center"/>
                </w:tcPr>
                <w:p>
                  <w:pPr>
                    <w:spacing w:line="240" w:lineRule="auto"/>
                    <w:jc w:val="center"/>
                    <w:rPr>
                      <w:rFonts w:hint="eastAsia" w:eastAsia="宋体"/>
                      <w:caps/>
                      <w:color w:val="auto"/>
                      <w:szCs w:val="21"/>
                      <w:lang w:val="en-US" w:eastAsia="zh-CN"/>
                    </w:rPr>
                  </w:pPr>
                  <w:r>
                    <w:rPr>
                      <w:rFonts w:hint="eastAsia"/>
                      <w:caps/>
                      <w:color w:val="auto"/>
                      <w:szCs w:val="21"/>
                    </w:rPr>
                    <w:t>44.</w:t>
                  </w:r>
                  <w:r>
                    <w:rPr>
                      <w:rFonts w:hint="eastAsia"/>
                      <w:caps/>
                      <w:color w:val="auto"/>
                      <w:szCs w:val="21"/>
                      <w:lang w:val="en-US" w:eastAsia="zh-CN"/>
                    </w:rPr>
                    <w:t>1</w:t>
                  </w:r>
                </w:p>
              </w:tc>
              <w:tc>
                <w:tcPr>
                  <w:tcW w:w="713" w:type="pct"/>
                  <w:tcBorders>
                    <w:left w:val="single" w:color="000000" w:sz="4" w:space="0"/>
                    <w:right w:val="single" w:color="000000" w:sz="4" w:space="0"/>
                  </w:tcBorders>
                  <w:vAlign w:val="center"/>
                </w:tcPr>
                <w:p>
                  <w:pPr>
                    <w:spacing w:line="240" w:lineRule="auto"/>
                    <w:jc w:val="center"/>
                    <w:rPr>
                      <w:color w:val="auto"/>
                      <w:szCs w:val="21"/>
                    </w:rPr>
                  </w:pPr>
                  <w:r>
                    <w:rPr>
                      <w:rFonts w:hint="eastAsia"/>
                      <w:color w:val="auto"/>
                      <w:szCs w:val="21"/>
                    </w:rPr>
                    <w:t>60</w:t>
                  </w:r>
                </w:p>
              </w:tc>
              <w:tc>
                <w:tcPr>
                  <w:tcW w:w="651" w:type="pct"/>
                  <w:tcBorders>
                    <w:left w:val="single" w:color="000000" w:sz="4" w:space="0"/>
                    <w:right w:val="single" w:color="000000" w:sz="4" w:space="0"/>
                  </w:tcBorders>
                  <w:vAlign w:val="center"/>
                </w:tcPr>
                <w:p>
                  <w:pPr>
                    <w:spacing w:line="240" w:lineRule="auto"/>
                    <w:jc w:val="center"/>
                    <w:rPr>
                      <w:szCs w:val="21"/>
                    </w:rPr>
                  </w:pPr>
                  <w:r>
                    <w:rPr>
                      <w:rFonts w:hint="eastAsia"/>
                      <w:szCs w:val="21"/>
                    </w:rPr>
                    <w:t>50</w:t>
                  </w:r>
                </w:p>
              </w:tc>
              <w:tc>
                <w:tcPr>
                  <w:tcW w:w="702" w:type="pct"/>
                  <w:tcBorders>
                    <w:left w:val="single" w:color="000000" w:sz="4" w:space="0"/>
                    <w:right w:val="single" w:color="000000" w:sz="4" w:space="0"/>
                  </w:tcBorders>
                  <w:vAlign w:val="center"/>
                </w:tcPr>
                <w:p>
                  <w:pPr>
                    <w:spacing w:line="240" w:lineRule="auto"/>
                    <w:jc w:val="center"/>
                    <w:rPr>
                      <w:szCs w:val="21"/>
                    </w:rPr>
                  </w:pPr>
                  <w:r>
                    <w:rPr>
                      <w:szCs w:val="21"/>
                    </w:rPr>
                    <w:t>达标</w:t>
                  </w:r>
                </w:p>
              </w:tc>
              <w:tc>
                <w:tcPr>
                  <w:tcW w:w="689" w:type="pct"/>
                  <w:tcBorders>
                    <w:left w:val="single" w:color="000000" w:sz="4" w:space="0"/>
                    <w:right w:val="nil"/>
                  </w:tcBorders>
                  <w:vAlign w:val="center"/>
                </w:tcPr>
                <w:p>
                  <w:pPr>
                    <w:spacing w:line="240" w:lineRule="auto"/>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rPr>
                  </w:pPr>
                  <w:r>
                    <w:rPr>
                      <w:rFonts w:hint="eastAsia"/>
                      <w:caps/>
                      <w:color w:val="auto"/>
                      <w:szCs w:val="21"/>
                    </w:rPr>
                    <w:t>北</w:t>
                  </w:r>
                  <w:r>
                    <w:rPr>
                      <w:caps/>
                      <w:color w:val="auto"/>
                      <w:szCs w:val="21"/>
                    </w:rPr>
                    <w:t>厂界</w:t>
                  </w:r>
                </w:p>
              </w:tc>
              <w:tc>
                <w:tcPr>
                  <w:tcW w:w="654" w:type="pct"/>
                  <w:tcBorders>
                    <w:left w:val="single" w:color="000000" w:sz="4" w:space="0"/>
                    <w:right w:val="single" w:color="000000" w:sz="4" w:space="0"/>
                  </w:tcBorders>
                  <w:vAlign w:val="center"/>
                </w:tcPr>
                <w:p>
                  <w:pPr>
                    <w:spacing w:line="240" w:lineRule="auto"/>
                    <w:jc w:val="center"/>
                    <w:rPr>
                      <w:rFonts w:hint="default" w:eastAsia="宋体"/>
                      <w:caps/>
                      <w:color w:val="auto"/>
                      <w:szCs w:val="21"/>
                      <w:lang w:val="en-US" w:eastAsia="zh-CN"/>
                    </w:rPr>
                  </w:pPr>
                  <w:r>
                    <w:rPr>
                      <w:rFonts w:hint="eastAsia"/>
                      <w:caps/>
                      <w:color w:val="auto"/>
                      <w:szCs w:val="21"/>
                      <w:lang w:val="en-US" w:eastAsia="zh-CN"/>
                    </w:rPr>
                    <w:t>48.9</w:t>
                  </w:r>
                </w:p>
              </w:tc>
              <w:tc>
                <w:tcPr>
                  <w:tcW w:w="714" w:type="pct"/>
                  <w:tcBorders>
                    <w:left w:val="single" w:color="000000" w:sz="4" w:space="0"/>
                    <w:right w:val="single" w:color="000000" w:sz="4" w:space="0"/>
                  </w:tcBorders>
                  <w:vAlign w:val="center"/>
                </w:tcPr>
                <w:p>
                  <w:pPr>
                    <w:spacing w:line="240" w:lineRule="auto"/>
                    <w:jc w:val="center"/>
                    <w:rPr>
                      <w:rFonts w:hint="default" w:eastAsia="宋体"/>
                      <w:caps/>
                      <w:color w:val="auto"/>
                      <w:szCs w:val="21"/>
                      <w:lang w:val="en-US" w:eastAsia="zh-CN"/>
                    </w:rPr>
                  </w:pPr>
                  <w:r>
                    <w:rPr>
                      <w:rFonts w:hint="eastAsia"/>
                      <w:caps/>
                      <w:color w:val="auto"/>
                      <w:szCs w:val="21"/>
                      <w:lang w:val="en-US" w:eastAsia="zh-CN"/>
                    </w:rPr>
                    <w:t>48.9</w:t>
                  </w:r>
                </w:p>
              </w:tc>
              <w:tc>
                <w:tcPr>
                  <w:tcW w:w="713" w:type="pct"/>
                  <w:tcBorders>
                    <w:left w:val="single" w:color="000000" w:sz="4" w:space="0"/>
                    <w:right w:val="single" w:color="000000" w:sz="4" w:space="0"/>
                  </w:tcBorders>
                  <w:vAlign w:val="center"/>
                </w:tcPr>
                <w:p>
                  <w:pPr>
                    <w:spacing w:line="240" w:lineRule="auto"/>
                    <w:jc w:val="center"/>
                    <w:rPr>
                      <w:color w:val="auto"/>
                      <w:szCs w:val="21"/>
                    </w:rPr>
                  </w:pPr>
                  <w:r>
                    <w:rPr>
                      <w:rFonts w:hint="eastAsia"/>
                      <w:color w:val="auto"/>
                      <w:szCs w:val="21"/>
                    </w:rPr>
                    <w:t>60</w:t>
                  </w:r>
                </w:p>
              </w:tc>
              <w:tc>
                <w:tcPr>
                  <w:tcW w:w="651" w:type="pct"/>
                  <w:tcBorders>
                    <w:left w:val="single" w:color="000000" w:sz="4" w:space="0"/>
                    <w:right w:val="single" w:color="000000" w:sz="4" w:space="0"/>
                  </w:tcBorders>
                  <w:vAlign w:val="center"/>
                </w:tcPr>
                <w:p>
                  <w:pPr>
                    <w:spacing w:line="240" w:lineRule="auto"/>
                    <w:jc w:val="center"/>
                    <w:rPr>
                      <w:szCs w:val="21"/>
                    </w:rPr>
                  </w:pPr>
                  <w:r>
                    <w:rPr>
                      <w:rFonts w:hint="eastAsia"/>
                      <w:szCs w:val="21"/>
                    </w:rPr>
                    <w:t>50</w:t>
                  </w:r>
                </w:p>
              </w:tc>
              <w:tc>
                <w:tcPr>
                  <w:tcW w:w="702" w:type="pct"/>
                  <w:tcBorders>
                    <w:left w:val="single" w:color="000000" w:sz="4" w:space="0"/>
                    <w:right w:val="single" w:color="000000" w:sz="4" w:space="0"/>
                  </w:tcBorders>
                  <w:vAlign w:val="center"/>
                </w:tcPr>
                <w:p>
                  <w:pPr>
                    <w:spacing w:line="240" w:lineRule="auto"/>
                    <w:jc w:val="center"/>
                    <w:rPr>
                      <w:szCs w:val="21"/>
                    </w:rPr>
                  </w:pPr>
                  <w:r>
                    <w:rPr>
                      <w:szCs w:val="21"/>
                    </w:rPr>
                    <w:t>达标</w:t>
                  </w:r>
                </w:p>
              </w:tc>
              <w:tc>
                <w:tcPr>
                  <w:tcW w:w="689" w:type="pct"/>
                  <w:tcBorders>
                    <w:left w:val="single" w:color="000000" w:sz="4" w:space="0"/>
                    <w:right w:val="nil"/>
                  </w:tcBorders>
                  <w:vAlign w:val="center"/>
                </w:tcPr>
                <w:p>
                  <w:pPr>
                    <w:spacing w:line="240" w:lineRule="auto"/>
                    <w:jc w:val="center"/>
                    <w:rPr>
                      <w:szCs w:val="21"/>
                    </w:rPr>
                  </w:pPr>
                  <w:r>
                    <w:rPr>
                      <w:szCs w:val="21"/>
                    </w:rPr>
                    <w:t>达标</w:t>
                  </w:r>
                </w:p>
              </w:tc>
            </w:tr>
          </w:tbl>
          <w:p>
            <w:pPr>
              <w:widowControl/>
              <w:spacing w:line="500" w:lineRule="exact"/>
              <w:ind w:firstLine="480" w:firstLineChars="200"/>
              <w:rPr>
                <w:sz w:val="24"/>
              </w:rPr>
            </w:pPr>
            <w:r>
              <w:rPr>
                <w:sz w:val="24"/>
              </w:rPr>
              <w:t>由上表</w:t>
            </w:r>
            <w:r>
              <w:rPr>
                <w:color w:val="auto"/>
                <w:sz w:val="24"/>
              </w:rPr>
              <w:t>可知</w:t>
            </w:r>
            <w:r>
              <w:rPr>
                <w:color w:val="FF0000"/>
                <w:sz w:val="24"/>
              </w:rPr>
              <w:t>，</w:t>
            </w:r>
            <w:r>
              <w:rPr>
                <w:rFonts w:hint="eastAsia"/>
                <w:color w:val="FF0000"/>
                <w:sz w:val="24"/>
              </w:rPr>
              <w:t>四周</w:t>
            </w:r>
            <w:r>
              <w:rPr>
                <w:color w:val="FF0000"/>
                <w:sz w:val="24"/>
              </w:rPr>
              <w:t>厂界</w:t>
            </w:r>
            <w:r>
              <w:rPr>
                <w:rFonts w:hint="eastAsia"/>
                <w:color w:val="FF0000"/>
                <w:sz w:val="24"/>
              </w:rPr>
              <w:t>昼夜</w:t>
            </w:r>
            <w:r>
              <w:rPr>
                <w:color w:val="FF0000"/>
                <w:sz w:val="24"/>
                <w:lang w:val="zh-CN"/>
              </w:rPr>
              <w:t>噪声为</w:t>
            </w:r>
            <w:r>
              <w:rPr>
                <w:rFonts w:hint="eastAsia"/>
                <w:color w:val="FF0000"/>
                <w:sz w:val="24"/>
                <w:lang w:val="en-US" w:eastAsia="zh-CN"/>
              </w:rPr>
              <w:t>43.7</w:t>
            </w:r>
            <w:r>
              <w:rPr>
                <w:rFonts w:hint="eastAsia"/>
                <w:color w:val="FF0000"/>
                <w:sz w:val="24"/>
              </w:rPr>
              <w:t>~</w:t>
            </w:r>
            <w:r>
              <w:rPr>
                <w:rFonts w:hint="eastAsia"/>
                <w:color w:val="FF0000"/>
                <w:sz w:val="24"/>
                <w:lang w:val="en-US" w:eastAsia="zh-CN"/>
              </w:rPr>
              <w:t>49.2</w:t>
            </w:r>
            <w:r>
              <w:rPr>
                <w:color w:val="FF0000"/>
                <w:sz w:val="24"/>
                <w:lang w:val="zh-CN"/>
              </w:rPr>
              <w:t>dB（A）</w:t>
            </w:r>
            <w:r>
              <w:rPr>
                <w:color w:val="auto"/>
                <w:sz w:val="24"/>
                <w:lang w:val="zh-CN"/>
              </w:rPr>
              <w:t>，</w:t>
            </w:r>
            <w:r>
              <w:rPr>
                <w:rFonts w:hint="eastAsia"/>
                <w:color w:val="auto"/>
                <w:sz w:val="24"/>
              </w:rPr>
              <w:t>四周厂界噪声</w:t>
            </w:r>
            <w:r>
              <w:rPr>
                <w:color w:val="auto"/>
                <w:sz w:val="24"/>
                <w:lang w:val="zh-CN"/>
              </w:rPr>
              <w:t>满足</w:t>
            </w:r>
            <w:r>
              <w:rPr>
                <w:color w:val="auto"/>
                <w:kern w:val="0"/>
                <w:sz w:val="24"/>
              </w:rPr>
              <w:t>《工业企业厂界环境</w:t>
            </w:r>
            <w:r>
              <w:rPr>
                <w:kern w:val="0"/>
                <w:sz w:val="24"/>
              </w:rPr>
              <w:t>噪声排放标准》（GB12348－2008）中</w:t>
            </w:r>
            <w:r>
              <w:rPr>
                <w:rFonts w:hint="eastAsia"/>
                <w:kern w:val="0"/>
                <w:sz w:val="24"/>
              </w:rPr>
              <w:t>2</w:t>
            </w:r>
            <w:r>
              <w:rPr>
                <w:kern w:val="0"/>
                <w:sz w:val="24"/>
              </w:rPr>
              <w:t>标准</w:t>
            </w:r>
            <w:r>
              <w:rPr>
                <w:sz w:val="24"/>
              </w:rPr>
              <w:t>。</w:t>
            </w:r>
          </w:p>
          <w:p>
            <w:pPr>
              <w:pStyle w:val="31"/>
              <w:spacing w:after="0" w:line="500" w:lineRule="exact"/>
              <w:ind w:left="0" w:leftChars="0" w:firstLine="480"/>
              <w:rPr>
                <w:sz w:val="24"/>
                <w:szCs w:val="24"/>
              </w:rPr>
            </w:pPr>
            <w:r>
              <w:rPr>
                <w:rFonts w:hint="eastAsia"/>
                <w:sz w:val="24"/>
                <w:szCs w:val="24"/>
              </w:rPr>
              <w:t>（2）</w:t>
            </w:r>
            <w:r>
              <w:rPr>
                <w:sz w:val="24"/>
                <w:szCs w:val="24"/>
              </w:rPr>
              <w:t>噪声监测计划</w:t>
            </w:r>
          </w:p>
          <w:p>
            <w:pPr>
              <w:pStyle w:val="31"/>
              <w:spacing w:after="0" w:line="500" w:lineRule="exact"/>
              <w:ind w:left="0" w:leftChars="0" w:firstLine="480"/>
              <w:rPr>
                <w:b/>
                <w:bCs/>
                <w:spacing w:val="-2"/>
                <w:sz w:val="24"/>
                <w:szCs w:val="24"/>
              </w:rPr>
            </w:pPr>
            <w:r>
              <w:rPr>
                <w:sz w:val="24"/>
                <w:szCs w:val="24"/>
              </w:rPr>
              <w:t>本项目噪声监测计划一览表见</w:t>
            </w:r>
            <w:r>
              <w:rPr>
                <w:rFonts w:hint="eastAsia"/>
                <w:sz w:val="24"/>
                <w:szCs w:val="24"/>
              </w:rPr>
              <w:t>下表</w:t>
            </w:r>
            <w:r>
              <w:rPr>
                <w:sz w:val="24"/>
                <w:szCs w:val="24"/>
              </w:rPr>
              <w:t>。</w:t>
            </w:r>
          </w:p>
          <w:p>
            <w:pPr>
              <w:pStyle w:val="31"/>
              <w:spacing w:after="0" w:line="500" w:lineRule="exact"/>
              <w:ind w:left="0" w:leftChars="0" w:firstLine="2606" w:firstLineChars="1100"/>
              <w:rPr>
                <w:sz w:val="24"/>
                <w:szCs w:val="24"/>
              </w:rPr>
            </w:pPr>
            <w:r>
              <w:rPr>
                <w:b/>
                <w:bCs/>
                <w:spacing w:val="-2"/>
                <w:sz w:val="24"/>
                <w:szCs w:val="24"/>
              </w:rPr>
              <w:t>表</w:t>
            </w:r>
            <w:r>
              <w:rPr>
                <w:rFonts w:hint="eastAsia"/>
                <w:b/>
                <w:bCs/>
                <w:spacing w:val="-2"/>
                <w:sz w:val="24"/>
                <w:szCs w:val="24"/>
                <w:lang w:val="en-US" w:eastAsia="zh-CN"/>
              </w:rPr>
              <w:t>41</w:t>
            </w:r>
            <w:r>
              <w:rPr>
                <w:b/>
                <w:bCs/>
                <w:spacing w:val="-2"/>
                <w:sz w:val="24"/>
                <w:szCs w:val="24"/>
              </w:rPr>
              <w:t xml:space="preserve">   本项目噪声监测计划一览表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61"/>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vAlign w:val="center"/>
                </w:tcPr>
                <w:p>
                  <w:pPr>
                    <w:spacing w:line="240" w:lineRule="auto"/>
                    <w:jc w:val="center"/>
                    <w:rPr>
                      <w:bCs/>
                      <w:szCs w:val="21"/>
                    </w:rPr>
                  </w:pPr>
                  <w:r>
                    <w:rPr>
                      <w:bCs/>
                      <w:szCs w:val="21"/>
                    </w:rPr>
                    <w:t>监测点位</w:t>
                  </w:r>
                </w:p>
              </w:tc>
              <w:tc>
                <w:tcPr>
                  <w:tcW w:w="1461" w:type="dxa"/>
                  <w:vAlign w:val="center"/>
                </w:tcPr>
                <w:p>
                  <w:pPr>
                    <w:spacing w:line="240" w:lineRule="auto"/>
                    <w:jc w:val="center"/>
                    <w:rPr>
                      <w:bCs/>
                      <w:szCs w:val="21"/>
                    </w:rPr>
                  </w:pPr>
                  <w:r>
                    <w:rPr>
                      <w:bCs/>
                      <w:szCs w:val="21"/>
                    </w:rPr>
                    <w:t>监测因子</w:t>
                  </w:r>
                </w:p>
              </w:tc>
              <w:tc>
                <w:tcPr>
                  <w:tcW w:w="1148" w:type="dxa"/>
                  <w:vAlign w:val="center"/>
                </w:tcPr>
                <w:p>
                  <w:pPr>
                    <w:spacing w:line="240" w:lineRule="auto"/>
                    <w:jc w:val="center"/>
                    <w:rPr>
                      <w:bCs/>
                      <w:szCs w:val="21"/>
                    </w:rPr>
                  </w:pPr>
                  <w:r>
                    <w:rPr>
                      <w:bCs/>
                      <w:szCs w:val="21"/>
                    </w:rPr>
                    <w:t>监测频次</w:t>
                  </w:r>
                </w:p>
              </w:tc>
              <w:tc>
                <w:tcPr>
                  <w:tcW w:w="3935" w:type="dxa"/>
                  <w:tcBorders>
                    <w:right w:val="nil"/>
                  </w:tcBorders>
                  <w:vAlign w:val="center"/>
                </w:tcPr>
                <w:p>
                  <w:pPr>
                    <w:spacing w:line="240" w:lineRule="auto"/>
                    <w:jc w:val="center"/>
                    <w:rPr>
                      <w:bCs/>
                      <w:szCs w:val="21"/>
                    </w:rPr>
                  </w:pPr>
                  <w:r>
                    <w:rPr>
                      <w:bCs/>
                      <w:szCs w:val="21"/>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54" w:type="dxa"/>
                  <w:tcBorders>
                    <w:left w:val="nil"/>
                  </w:tcBorders>
                  <w:vAlign w:val="center"/>
                </w:tcPr>
                <w:p>
                  <w:pPr>
                    <w:spacing w:line="240" w:lineRule="auto"/>
                    <w:jc w:val="center"/>
                    <w:rPr>
                      <w:bCs/>
                      <w:szCs w:val="21"/>
                    </w:rPr>
                  </w:pPr>
                  <w:r>
                    <w:rPr>
                      <w:szCs w:val="21"/>
                    </w:rPr>
                    <w:t>厂界外1m处</w:t>
                  </w:r>
                </w:p>
              </w:tc>
              <w:tc>
                <w:tcPr>
                  <w:tcW w:w="1461" w:type="dxa"/>
                  <w:vAlign w:val="center"/>
                </w:tcPr>
                <w:p>
                  <w:pPr>
                    <w:spacing w:line="240" w:lineRule="auto"/>
                    <w:jc w:val="center"/>
                    <w:rPr>
                      <w:bCs/>
                      <w:szCs w:val="21"/>
                    </w:rPr>
                  </w:pPr>
                  <w:r>
                    <w:rPr>
                      <w:szCs w:val="21"/>
                    </w:rPr>
                    <w:t>等效连续A声级</w:t>
                  </w:r>
                </w:p>
              </w:tc>
              <w:tc>
                <w:tcPr>
                  <w:tcW w:w="1148" w:type="dxa"/>
                  <w:vAlign w:val="center"/>
                </w:tcPr>
                <w:p>
                  <w:pPr>
                    <w:spacing w:line="240" w:lineRule="auto"/>
                    <w:jc w:val="center"/>
                    <w:rPr>
                      <w:bCs/>
                      <w:szCs w:val="21"/>
                    </w:rPr>
                  </w:pPr>
                  <w:r>
                    <w:rPr>
                      <w:rFonts w:hint="eastAsia"/>
                      <w:bCs/>
                      <w:szCs w:val="21"/>
                    </w:rPr>
                    <w:t>1</w:t>
                  </w:r>
                  <w:r>
                    <w:rPr>
                      <w:bCs/>
                      <w:szCs w:val="21"/>
                    </w:rPr>
                    <w:t>次/</w:t>
                  </w:r>
                  <w:r>
                    <w:rPr>
                      <w:rFonts w:hint="eastAsia"/>
                      <w:bCs/>
                      <w:szCs w:val="21"/>
                    </w:rPr>
                    <w:t>季度</w:t>
                  </w:r>
                </w:p>
              </w:tc>
              <w:tc>
                <w:tcPr>
                  <w:tcW w:w="3935" w:type="dxa"/>
                  <w:tcBorders>
                    <w:right w:val="nil"/>
                  </w:tcBorders>
                  <w:vAlign w:val="center"/>
                </w:tcPr>
                <w:p>
                  <w:pPr>
                    <w:spacing w:line="240" w:lineRule="auto"/>
                    <w:jc w:val="center"/>
                    <w:rPr>
                      <w:bCs/>
                      <w:szCs w:val="21"/>
                    </w:rPr>
                  </w:pPr>
                  <w:r>
                    <w:rPr>
                      <w:szCs w:val="21"/>
                    </w:rPr>
                    <w:t>《工业企业厂界环境噪声排放标准》（GB12348-2008）</w:t>
                  </w:r>
                  <w:r>
                    <w:rPr>
                      <w:rFonts w:hint="eastAsia"/>
                      <w:szCs w:val="21"/>
                    </w:rPr>
                    <w:t>2</w:t>
                  </w:r>
                  <w:r>
                    <w:rPr>
                      <w:szCs w:val="21"/>
                    </w:rPr>
                    <w:t>类标准限值要求</w:t>
                  </w:r>
                </w:p>
              </w:tc>
            </w:tr>
          </w:tbl>
          <w:p>
            <w:pPr>
              <w:spacing w:line="500" w:lineRule="exact"/>
              <w:ind w:firstLine="482" w:firstLineChars="200"/>
              <w:rPr>
                <w:b/>
                <w:bCs/>
                <w:sz w:val="24"/>
              </w:rPr>
            </w:pPr>
            <w:r>
              <w:rPr>
                <w:rFonts w:hint="eastAsia"/>
                <w:b/>
                <w:bCs/>
                <w:sz w:val="24"/>
              </w:rPr>
              <w:t>4、固体废物</w:t>
            </w:r>
          </w:p>
          <w:p>
            <w:pPr>
              <w:spacing w:line="480" w:lineRule="exact"/>
              <w:ind w:firstLine="480" w:firstLineChars="200"/>
              <w:rPr>
                <w:bCs/>
                <w:color w:val="auto"/>
                <w:sz w:val="24"/>
              </w:rPr>
            </w:pPr>
            <w:bookmarkStart w:id="21" w:name="_Hlk27474609"/>
            <w:r>
              <w:rPr>
                <w:bCs/>
                <w:sz w:val="24"/>
              </w:rPr>
              <w:t>（1）固废产生及</w:t>
            </w:r>
            <w:r>
              <w:rPr>
                <w:sz w:val="24"/>
              </w:rPr>
              <w:t>及治理情况</w:t>
            </w:r>
          </w:p>
          <w:p>
            <w:pPr>
              <w:spacing w:line="480" w:lineRule="exact"/>
              <w:ind w:firstLine="480" w:firstLineChars="200"/>
              <w:rPr>
                <w:bCs/>
                <w:color w:val="auto"/>
                <w:sz w:val="24"/>
              </w:rPr>
            </w:pPr>
            <w:r>
              <w:rPr>
                <w:bCs/>
                <w:color w:val="auto"/>
                <w:sz w:val="24"/>
              </w:rPr>
              <w:t>项目</w:t>
            </w:r>
            <w:r>
              <w:rPr>
                <w:rFonts w:hint="eastAsia"/>
                <w:bCs/>
                <w:color w:val="auto"/>
                <w:sz w:val="24"/>
              </w:rPr>
              <w:t>产生的一般工业固体废物主要为除尘灰约</w:t>
            </w:r>
            <w:r>
              <w:rPr>
                <w:rFonts w:hint="eastAsia"/>
                <w:bCs/>
                <w:color w:val="auto"/>
                <w:sz w:val="24"/>
                <w:lang w:eastAsia="zh-CN"/>
              </w:rPr>
              <w:t>50.249</w:t>
            </w:r>
            <w:r>
              <w:rPr>
                <w:rFonts w:hint="eastAsia"/>
                <w:bCs/>
                <w:color w:val="auto"/>
                <w:sz w:val="24"/>
              </w:rPr>
              <w:t>t/a外售综合利用、熔炼渣</w:t>
            </w:r>
            <w:r>
              <w:rPr>
                <w:rFonts w:hint="eastAsia"/>
                <w:bCs/>
                <w:color w:val="auto"/>
                <w:sz w:val="24"/>
                <w:lang w:eastAsia="zh-CN"/>
              </w:rPr>
              <w:t>82.731</w:t>
            </w:r>
            <w:r>
              <w:rPr>
                <w:rFonts w:hint="eastAsia"/>
                <w:bCs/>
                <w:color w:val="auto"/>
                <w:sz w:val="24"/>
              </w:rPr>
              <w:t>t/a外售综合利用，</w:t>
            </w:r>
            <w:r>
              <w:rPr>
                <w:rFonts w:hint="eastAsia"/>
                <w:bCs/>
                <w:color w:val="auto"/>
                <w:sz w:val="24"/>
                <w:lang w:val="en-US" w:eastAsia="zh-CN"/>
              </w:rPr>
              <w:t>打磨、</w:t>
            </w:r>
            <w:r>
              <w:rPr>
                <w:rFonts w:hint="eastAsia"/>
                <w:bCs/>
                <w:color w:val="auto"/>
                <w:sz w:val="24"/>
              </w:rPr>
              <w:t>切冒口</w:t>
            </w:r>
            <w:r>
              <w:rPr>
                <w:rFonts w:hint="eastAsia"/>
                <w:bCs/>
                <w:color w:val="auto"/>
                <w:sz w:val="24"/>
                <w:lang w:val="en-US" w:eastAsia="zh-CN"/>
              </w:rPr>
              <w:t>产生的</w:t>
            </w:r>
            <w:r>
              <w:rPr>
                <w:rFonts w:hint="eastAsia"/>
                <w:bCs/>
                <w:color w:val="auto"/>
                <w:sz w:val="24"/>
              </w:rPr>
              <w:t>废铁</w:t>
            </w:r>
            <w:r>
              <w:rPr>
                <w:rFonts w:hint="eastAsia"/>
                <w:bCs/>
                <w:color w:val="auto"/>
                <w:sz w:val="24"/>
                <w:lang w:eastAsia="zh-CN"/>
              </w:rPr>
              <w:t>51</w:t>
            </w:r>
            <w:r>
              <w:rPr>
                <w:rFonts w:hint="eastAsia"/>
                <w:bCs/>
                <w:color w:val="auto"/>
                <w:sz w:val="24"/>
              </w:rPr>
              <w:t>t/a回用于生产，砂处理产生的废砂</w:t>
            </w:r>
            <w:r>
              <w:rPr>
                <w:rFonts w:hint="eastAsia"/>
                <w:bCs/>
                <w:color w:val="auto"/>
                <w:sz w:val="24"/>
                <w:lang w:eastAsia="zh-CN"/>
              </w:rPr>
              <w:t>238.2</w:t>
            </w:r>
            <w:r>
              <w:rPr>
                <w:rFonts w:hint="eastAsia"/>
                <w:bCs/>
                <w:color w:val="auto"/>
                <w:sz w:val="24"/>
              </w:rPr>
              <w:t>t/a定期作为原料外售于处理厂家，废布袋产生量为0.05t/a定期由厂家回收利用。</w:t>
            </w:r>
          </w:p>
          <w:p>
            <w:pPr>
              <w:spacing w:line="480" w:lineRule="exact"/>
              <w:ind w:firstLine="480" w:firstLineChars="200"/>
              <w:rPr>
                <w:bCs/>
                <w:sz w:val="24"/>
              </w:rPr>
            </w:pPr>
            <w:r>
              <w:rPr>
                <w:rFonts w:hint="eastAsia"/>
                <w:bCs/>
                <w:color w:val="auto"/>
                <w:sz w:val="24"/>
              </w:rPr>
              <w:t>产生的危险废物主要为废</w:t>
            </w:r>
            <w:r>
              <w:rPr>
                <w:color w:val="auto"/>
                <w:sz w:val="24"/>
              </w:rPr>
              <w:t>矿物油</w:t>
            </w:r>
            <w:r>
              <w:rPr>
                <w:rFonts w:hint="eastAsia"/>
                <w:bCs/>
                <w:color w:val="auto"/>
                <w:sz w:val="24"/>
              </w:rPr>
              <w:t>产</w:t>
            </w:r>
            <w:r>
              <w:rPr>
                <w:rFonts w:hint="eastAsia"/>
                <w:bCs/>
                <w:sz w:val="24"/>
              </w:rPr>
              <w:t>生量0.1</w:t>
            </w:r>
            <w:r>
              <w:rPr>
                <w:rFonts w:hint="eastAsia"/>
                <w:bCs/>
                <w:sz w:val="24"/>
                <w:lang w:val="en-US" w:eastAsia="zh-CN"/>
              </w:rPr>
              <w:t>5</w:t>
            </w:r>
            <w:r>
              <w:rPr>
                <w:rFonts w:hint="eastAsia"/>
                <w:bCs/>
                <w:sz w:val="24"/>
              </w:rPr>
              <w:t>t/a，废油桶产生量</w:t>
            </w:r>
            <w:r>
              <w:rPr>
                <w:rFonts w:hint="eastAsia"/>
                <w:bCs/>
                <w:sz w:val="24"/>
                <w:lang w:eastAsia="zh-CN"/>
              </w:rPr>
              <w:t>0.07</w:t>
            </w:r>
            <w:r>
              <w:rPr>
                <w:rFonts w:hint="eastAsia"/>
                <w:bCs/>
                <w:sz w:val="24"/>
              </w:rPr>
              <w:t>t/a，属于HW08类危险废物，暂存于危险废物暂存间，定期委托有资质单位处置。</w:t>
            </w:r>
          </w:p>
          <w:p>
            <w:pPr>
              <w:spacing w:line="480" w:lineRule="exact"/>
              <w:ind w:firstLine="480" w:firstLineChars="200"/>
              <w:rPr>
                <w:bCs/>
                <w:sz w:val="24"/>
              </w:rPr>
            </w:pPr>
            <w:r>
              <w:rPr>
                <w:rFonts w:hint="eastAsia"/>
                <w:bCs/>
                <w:sz w:val="24"/>
              </w:rPr>
              <w:t>职工生活垃圾产生量3t/a，集中收集后</w:t>
            </w:r>
            <w:r>
              <w:rPr>
                <w:bCs/>
                <w:sz w:val="24"/>
              </w:rPr>
              <w:t>由环卫部门定期清运</w:t>
            </w:r>
            <w:r>
              <w:rPr>
                <w:rFonts w:hint="eastAsia"/>
                <w:bCs/>
                <w:sz w:val="24"/>
              </w:rPr>
              <w:t>。</w:t>
            </w:r>
          </w:p>
          <w:p>
            <w:pPr>
              <w:spacing w:line="480" w:lineRule="exact"/>
              <w:ind w:firstLine="480" w:firstLineChars="200"/>
              <w:rPr>
                <w:bCs/>
                <w:sz w:val="24"/>
              </w:rPr>
            </w:pPr>
            <w:r>
              <w:rPr>
                <w:bCs/>
                <w:sz w:val="24"/>
              </w:rPr>
              <w:t>固体废物产生量及处置措施</w:t>
            </w:r>
            <w:r>
              <w:rPr>
                <w:rFonts w:hint="eastAsia"/>
                <w:bCs/>
                <w:sz w:val="24"/>
              </w:rPr>
              <w:t>情况见下表</w:t>
            </w:r>
            <w:r>
              <w:rPr>
                <w:rFonts w:hint="eastAsia"/>
                <w:bCs/>
                <w:sz w:val="24"/>
                <w:lang w:val="en-US" w:eastAsia="zh-CN"/>
              </w:rPr>
              <w:t>42</w:t>
            </w:r>
            <w:r>
              <w:rPr>
                <w:rFonts w:hint="eastAsia"/>
                <w:bCs/>
                <w:sz w:val="24"/>
              </w:rPr>
              <w:t>。</w:t>
            </w:r>
          </w:p>
          <w:bookmarkEnd w:id="21"/>
          <w:p>
            <w:pPr>
              <w:spacing w:line="480" w:lineRule="exact"/>
              <w:jc w:val="center"/>
              <w:rPr>
                <w:b/>
                <w:bCs/>
                <w:snapToGrid w:val="0"/>
                <w:sz w:val="24"/>
              </w:rPr>
            </w:pPr>
            <w:bookmarkStart w:id="22" w:name="_Hlk27474644"/>
          </w:p>
          <w:p>
            <w:pPr>
              <w:spacing w:line="480" w:lineRule="exact"/>
              <w:jc w:val="center"/>
              <w:rPr>
                <w:b/>
                <w:bCs/>
                <w:snapToGrid w:val="0"/>
                <w:sz w:val="24"/>
              </w:rPr>
            </w:pPr>
          </w:p>
          <w:p>
            <w:pPr>
              <w:spacing w:line="480" w:lineRule="exact"/>
              <w:jc w:val="center"/>
              <w:rPr>
                <w:b/>
                <w:bCs/>
                <w:snapToGrid w:val="0"/>
                <w:sz w:val="24"/>
              </w:rPr>
            </w:pPr>
          </w:p>
          <w:p>
            <w:pPr>
              <w:spacing w:line="480" w:lineRule="exact"/>
              <w:jc w:val="center"/>
            </w:pPr>
            <w:r>
              <w:rPr>
                <w:b/>
                <w:bCs/>
                <w:snapToGrid w:val="0"/>
                <w:sz w:val="24"/>
              </w:rPr>
              <w:t>表</w:t>
            </w:r>
            <w:r>
              <w:rPr>
                <w:rFonts w:hint="eastAsia"/>
                <w:b/>
                <w:bCs/>
                <w:snapToGrid w:val="0"/>
                <w:sz w:val="24"/>
                <w:lang w:val="en-US" w:eastAsia="zh-CN"/>
              </w:rPr>
              <w:t>42</w:t>
            </w:r>
            <w:r>
              <w:rPr>
                <w:rFonts w:hint="eastAsia"/>
                <w:b/>
                <w:bCs/>
                <w:snapToGrid w:val="0"/>
                <w:sz w:val="24"/>
              </w:rPr>
              <w:t xml:space="preserve">   </w:t>
            </w:r>
            <w:r>
              <w:rPr>
                <w:b/>
                <w:bCs/>
                <w:snapToGrid w:val="0"/>
                <w:sz w:val="24"/>
              </w:rPr>
              <w:t>固体废物产生量及处置措施一览表</w:t>
            </w:r>
          </w:p>
          <w:tbl>
            <w:tblPr>
              <w:tblStyle w:val="32"/>
              <w:tblW w:w="83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7"/>
              <w:gridCol w:w="594"/>
              <w:gridCol w:w="1797"/>
              <w:gridCol w:w="925"/>
              <w:gridCol w:w="438"/>
              <w:gridCol w:w="596"/>
              <w:gridCol w:w="662"/>
              <w:gridCol w:w="576"/>
              <w:gridCol w:w="617"/>
              <w:gridCol w:w="830"/>
              <w:gridCol w:w="7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349" w:type="pct"/>
                  <w:vAlign w:val="center"/>
                </w:tcPr>
                <w:p>
                  <w:pPr>
                    <w:adjustRightInd w:val="0"/>
                    <w:contextualSpacing/>
                    <w:jc w:val="center"/>
                    <w:rPr>
                      <w:color w:val="auto"/>
                      <w:szCs w:val="21"/>
                    </w:rPr>
                  </w:pPr>
                  <w:r>
                    <w:rPr>
                      <w:color w:val="auto"/>
                      <w:szCs w:val="21"/>
                    </w:rPr>
                    <w:t>产生环节</w:t>
                  </w:r>
                </w:p>
              </w:tc>
              <w:tc>
                <w:tcPr>
                  <w:tcW w:w="354" w:type="pct"/>
                  <w:vAlign w:val="center"/>
                </w:tcPr>
                <w:p>
                  <w:pPr>
                    <w:adjustRightInd w:val="0"/>
                    <w:contextualSpacing/>
                    <w:jc w:val="center"/>
                    <w:rPr>
                      <w:color w:val="auto"/>
                      <w:szCs w:val="21"/>
                    </w:rPr>
                  </w:pPr>
                  <w:r>
                    <w:rPr>
                      <w:color w:val="auto"/>
                      <w:szCs w:val="21"/>
                    </w:rPr>
                    <w:t>固体废物名称</w:t>
                  </w:r>
                </w:p>
              </w:tc>
              <w:tc>
                <w:tcPr>
                  <w:tcW w:w="1071" w:type="pct"/>
                  <w:vAlign w:val="center"/>
                </w:tcPr>
                <w:p>
                  <w:pPr>
                    <w:adjustRightInd w:val="0"/>
                    <w:contextualSpacing/>
                    <w:jc w:val="center"/>
                    <w:rPr>
                      <w:color w:val="auto"/>
                      <w:szCs w:val="21"/>
                    </w:rPr>
                  </w:pPr>
                  <w:r>
                    <w:rPr>
                      <w:color w:val="auto"/>
                      <w:szCs w:val="21"/>
                    </w:rPr>
                    <w:t>属性</w:t>
                  </w:r>
                </w:p>
              </w:tc>
              <w:tc>
                <w:tcPr>
                  <w:tcW w:w="551" w:type="pct"/>
                  <w:vAlign w:val="center"/>
                </w:tcPr>
                <w:p>
                  <w:pPr>
                    <w:adjustRightInd w:val="0"/>
                    <w:contextualSpacing/>
                    <w:jc w:val="center"/>
                    <w:rPr>
                      <w:color w:val="auto"/>
                      <w:szCs w:val="21"/>
                    </w:rPr>
                  </w:pPr>
                  <w:r>
                    <w:rPr>
                      <w:color w:val="auto"/>
                      <w:szCs w:val="21"/>
                    </w:rPr>
                    <w:t>主要有毒有害物质名称</w:t>
                  </w:r>
                </w:p>
              </w:tc>
              <w:tc>
                <w:tcPr>
                  <w:tcW w:w="261" w:type="pct"/>
                  <w:vAlign w:val="center"/>
                </w:tcPr>
                <w:p>
                  <w:pPr>
                    <w:adjustRightInd w:val="0"/>
                    <w:contextualSpacing/>
                    <w:jc w:val="center"/>
                    <w:rPr>
                      <w:color w:val="auto"/>
                      <w:szCs w:val="21"/>
                    </w:rPr>
                  </w:pPr>
                  <w:r>
                    <w:rPr>
                      <w:color w:val="auto"/>
                      <w:szCs w:val="21"/>
                    </w:rPr>
                    <w:t>物理性状</w:t>
                  </w:r>
                </w:p>
              </w:tc>
              <w:tc>
                <w:tcPr>
                  <w:tcW w:w="355" w:type="pct"/>
                  <w:vAlign w:val="center"/>
                </w:tcPr>
                <w:p>
                  <w:pPr>
                    <w:adjustRightInd w:val="0"/>
                    <w:contextualSpacing/>
                    <w:jc w:val="center"/>
                    <w:rPr>
                      <w:color w:val="auto"/>
                      <w:szCs w:val="21"/>
                    </w:rPr>
                  </w:pPr>
                  <w:r>
                    <w:rPr>
                      <w:color w:val="auto"/>
                      <w:szCs w:val="21"/>
                    </w:rPr>
                    <w:t>环境危险特性</w:t>
                  </w:r>
                </w:p>
              </w:tc>
              <w:tc>
                <w:tcPr>
                  <w:tcW w:w="394" w:type="pct"/>
                  <w:vAlign w:val="center"/>
                </w:tcPr>
                <w:p>
                  <w:pPr>
                    <w:adjustRightInd w:val="0"/>
                    <w:contextualSpacing/>
                    <w:jc w:val="center"/>
                    <w:rPr>
                      <w:color w:val="auto"/>
                      <w:szCs w:val="21"/>
                    </w:rPr>
                  </w:pPr>
                  <w:r>
                    <w:rPr>
                      <w:color w:val="auto"/>
                      <w:szCs w:val="21"/>
                    </w:rPr>
                    <w:t>产生量(t/a)</w:t>
                  </w:r>
                </w:p>
              </w:tc>
              <w:tc>
                <w:tcPr>
                  <w:tcW w:w="343" w:type="pct"/>
                  <w:vAlign w:val="center"/>
                </w:tcPr>
                <w:p>
                  <w:pPr>
                    <w:adjustRightInd w:val="0"/>
                    <w:contextualSpacing/>
                    <w:jc w:val="center"/>
                    <w:rPr>
                      <w:color w:val="auto"/>
                      <w:szCs w:val="21"/>
                    </w:rPr>
                  </w:pPr>
                  <w:r>
                    <w:rPr>
                      <w:color w:val="auto"/>
                      <w:szCs w:val="21"/>
                    </w:rPr>
                    <w:t>贮存方式</w:t>
                  </w:r>
                </w:p>
              </w:tc>
              <w:tc>
                <w:tcPr>
                  <w:tcW w:w="367" w:type="pct"/>
                  <w:vAlign w:val="center"/>
                </w:tcPr>
                <w:p>
                  <w:pPr>
                    <w:adjustRightInd w:val="0"/>
                    <w:contextualSpacing/>
                    <w:jc w:val="center"/>
                    <w:rPr>
                      <w:color w:val="auto"/>
                      <w:szCs w:val="21"/>
                    </w:rPr>
                  </w:pPr>
                  <w:r>
                    <w:rPr>
                      <w:color w:val="auto"/>
                      <w:szCs w:val="21"/>
                    </w:rPr>
                    <w:t>利用处置方式</w:t>
                  </w:r>
                </w:p>
              </w:tc>
              <w:tc>
                <w:tcPr>
                  <w:tcW w:w="494" w:type="pct"/>
                  <w:vAlign w:val="center"/>
                </w:tcPr>
                <w:p>
                  <w:pPr>
                    <w:adjustRightInd w:val="0"/>
                    <w:contextualSpacing/>
                    <w:jc w:val="center"/>
                    <w:rPr>
                      <w:color w:val="auto"/>
                      <w:szCs w:val="21"/>
                    </w:rPr>
                  </w:pPr>
                  <w:r>
                    <w:rPr>
                      <w:color w:val="auto"/>
                      <w:szCs w:val="21"/>
                    </w:rPr>
                    <w:t>处置去向</w:t>
                  </w:r>
                </w:p>
              </w:tc>
              <w:tc>
                <w:tcPr>
                  <w:tcW w:w="456" w:type="pct"/>
                  <w:vAlign w:val="center"/>
                </w:tcPr>
                <w:p>
                  <w:pPr>
                    <w:adjustRightInd w:val="0"/>
                    <w:contextualSpacing/>
                    <w:jc w:val="center"/>
                    <w:rPr>
                      <w:szCs w:val="21"/>
                    </w:rPr>
                  </w:pPr>
                  <w:r>
                    <w:rPr>
                      <w:szCs w:val="21"/>
                    </w:rPr>
                    <w:t>利用或处置量(t/a)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restart"/>
                  <w:vAlign w:val="center"/>
                </w:tcPr>
                <w:p>
                  <w:pPr>
                    <w:adjustRightInd w:val="0"/>
                    <w:contextualSpacing/>
                    <w:jc w:val="center"/>
                    <w:rPr>
                      <w:color w:val="auto"/>
                      <w:szCs w:val="21"/>
                    </w:rPr>
                  </w:pPr>
                  <w:r>
                    <w:rPr>
                      <w:rFonts w:hint="eastAsia"/>
                      <w:color w:val="auto"/>
                      <w:szCs w:val="21"/>
                    </w:rPr>
                    <w:t>废气处理</w:t>
                  </w:r>
                </w:p>
              </w:tc>
              <w:tc>
                <w:tcPr>
                  <w:tcW w:w="354" w:type="pct"/>
                  <w:vAlign w:val="center"/>
                </w:tcPr>
                <w:p>
                  <w:pPr>
                    <w:adjustRightInd w:val="0"/>
                    <w:contextualSpacing/>
                    <w:jc w:val="center"/>
                    <w:rPr>
                      <w:color w:val="auto"/>
                      <w:szCs w:val="21"/>
                    </w:rPr>
                  </w:pPr>
                  <w:r>
                    <w:rPr>
                      <w:rFonts w:hint="eastAsia"/>
                      <w:color w:val="auto"/>
                      <w:szCs w:val="21"/>
                    </w:rPr>
                    <w:t>除尘灰</w:t>
                  </w:r>
                </w:p>
              </w:tc>
              <w:tc>
                <w:tcPr>
                  <w:tcW w:w="1071" w:type="pct"/>
                  <w:vAlign w:val="center"/>
                </w:tcPr>
                <w:p>
                  <w:pPr>
                    <w:adjustRightInd w:val="0"/>
                    <w:contextualSpacing/>
                    <w:jc w:val="center"/>
                    <w:rPr>
                      <w:color w:val="auto"/>
                      <w:szCs w:val="21"/>
                    </w:rPr>
                  </w:pPr>
                  <w:r>
                    <w:rPr>
                      <w:rFonts w:hint="eastAsia"/>
                      <w:color w:val="auto"/>
                      <w:szCs w:val="21"/>
                    </w:rPr>
                    <w:t>一般工业固体废物SW59/900-099-S59</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eastAsia" w:eastAsia="宋体"/>
                      <w:color w:val="auto"/>
                      <w:szCs w:val="21"/>
                      <w:lang w:eastAsia="zh-CN"/>
                    </w:rPr>
                  </w:pPr>
                  <w:r>
                    <w:rPr>
                      <w:rFonts w:hint="eastAsia"/>
                      <w:color w:val="auto"/>
                      <w:szCs w:val="21"/>
                      <w:lang w:eastAsia="zh-CN"/>
                    </w:rPr>
                    <w:t>50.249</w:t>
                  </w:r>
                </w:p>
              </w:tc>
              <w:tc>
                <w:tcPr>
                  <w:tcW w:w="343" w:type="pct"/>
                  <w:vAlign w:val="center"/>
                </w:tcPr>
                <w:p>
                  <w:pPr>
                    <w:adjustRightInd w:val="0"/>
                    <w:contextualSpacing/>
                    <w:jc w:val="center"/>
                    <w:rPr>
                      <w:color w:val="auto"/>
                      <w:szCs w:val="21"/>
                    </w:rPr>
                  </w:pPr>
                  <w:r>
                    <w:rPr>
                      <w:rFonts w:hint="eastAsia"/>
                      <w:color w:val="auto"/>
                      <w:szCs w:val="21"/>
                    </w:rPr>
                    <w:t>密闭灰仓</w:t>
                  </w:r>
                </w:p>
              </w:tc>
              <w:tc>
                <w:tcPr>
                  <w:tcW w:w="367" w:type="pct"/>
                  <w:vAlign w:val="center"/>
                </w:tcPr>
                <w:p>
                  <w:pPr>
                    <w:adjustRightInd w:val="0"/>
                    <w:contextualSpacing/>
                    <w:jc w:val="center"/>
                    <w:rPr>
                      <w:color w:val="auto"/>
                      <w:szCs w:val="21"/>
                    </w:rPr>
                  </w:pPr>
                  <w:r>
                    <w:rPr>
                      <w:rFonts w:hint="eastAsia"/>
                      <w:color w:val="auto"/>
                      <w:szCs w:val="21"/>
                    </w:rPr>
                    <w:t>委托利用</w:t>
                  </w:r>
                </w:p>
              </w:tc>
              <w:tc>
                <w:tcPr>
                  <w:tcW w:w="494" w:type="pct"/>
                  <w:vAlign w:val="center"/>
                </w:tcPr>
                <w:p>
                  <w:pPr>
                    <w:adjustRightInd w:val="0"/>
                    <w:contextualSpacing/>
                    <w:jc w:val="center"/>
                    <w:rPr>
                      <w:color w:val="auto"/>
                      <w:szCs w:val="21"/>
                    </w:rPr>
                  </w:pPr>
                  <w:r>
                    <w:rPr>
                      <w:rFonts w:hint="eastAsia"/>
                      <w:color w:val="auto"/>
                      <w:szCs w:val="21"/>
                    </w:rPr>
                    <w:t>外售综合利用</w:t>
                  </w:r>
                </w:p>
              </w:tc>
              <w:tc>
                <w:tcPr>
                  <w:tcW w:w="456" w:type="pct"/>
                  <w:vAlign w:val="center"/>
                </w:tcPr>
                <w:p>
                  <w:pPr>
                    <w:adjustRightInd w:val="0"/>
                    <w:contextualSpacing/>
                    <w:jc w:val="center"/>
                    <w:rPr>
                      <w:rFonts w:hint="eastAsia" w:eastAsia="宋体"/>
                      <w:szCs w:val="21"/>
                      <w:lang w:eastAsia="zh-CN"/>
                    </w:rPr>
                  </w:pPr>
                  <w:r>
                    <w:rPr>
                      <w:rFonts w:hint="eastAsia"/>
                      <w:szCs w:val="21"/>
                      <w:lang w:eastAsia="zh-CN"/>
                    </w:rPr>
                    <w:t>50.249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rPr>
                  </w:pPr>
                </w:p>
              </w:tc>
              <w:tc>
                <w:tcPr>
                  <w:tcW w:w="354" w:type="pct"/>
                  <w:vAlign w:val="center"/>
                </w:tcPr>
                <w:p>
                  <w:pPr>
                    <w:adjustRightInd w:val="0"/>
                    <w:contextualSpacing/>
                    <w:jc w:val="center"/>
                    <w:rPr>
                      <w:color w:val="auto"/>
                      <w:szCs w:val="21"/>
                    </w:rPr>
                  </w:pPr>
                  <w:r>
                    <w:rPr>
                      <w:rFonts w:hint="eastAsia"/>
                      <w:color w:val="auto"/>
                      <w:szCs w:val="21"/>
                    </w:rPr>
                    <w:t>熔炼渣</w:t>
                  </w:r>
                </w:p>
              </w:tc>
              <w:tc>
                <w:tcPr>
                  <w:tcW w:w="1071" w:type="pct"/>
                  <w:vAlign w:val="center"/>
                </w:tcPr>
                <w:p>
                  <w:pPr>
                    <w:adjustRightInd w:val="0"/>
                    <w:contextualSpacing/>
                    <w:jc w:val="center"/>
                    <w:rPr>
                      <w:color w:val="auto"/>
                      <w:szCs w:val="21"/>
                    </w:rPr>
                  </w:pPr>
                  <w:r>
                    <w:rPr>
                      <w:rFonts w:hint="eastAsia"/>
                      <w:color w:val="auto"/>
                      <w:szCs w:val="21"/>
                    </w:rPr>
                    <w:t>一般工业固体废物SW01/900-099-S01</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eastAsia" w:eastAsia="宋体"/>
                      <w:color w:val="auto"/>
                      <w:szCs w:val="21"/>
                      <w:lang w:eastAsia="zh-CN"/>
                    </w:rPr>
                  </w:pPr>
                  <w:r>
                    <w:rPr>
                      <w:rFonts w:hint="eastAsia"/>
                      <w:color w:val="auto"/>
                      <w:szCs w:val="21"/>
                      <w:lang w:eastAsia="zh-CN"/>
                    </w:rPr>
                    <w:t>82.731</w:t>
                  </w:r>
                </w:p>
              </w:tc>
              <w:tc>
                <w:tcPr>
                  <w:tcW w:w="343" w:type="pct"/>
                  <w:vMerge w:val="restart"/>
                  <w:vAlign w:val="center"/>
                </w:tcPr>
                <w:p>
                  <w:pPr>
                    <w:adjustRightInd w:val="0"/>
                    <w:contextualSpacing/>
                    <w:jc w:val="center"/>
                    <w:rPr>
                      <w:color w:val="auto"/>
                      <w:szCs w:val="21"/>
                    </w:rPr>
                  </w:pPr>
                  <w:r>
                    <w:rPr>
                      <w:rFonts w:hint="eastAsia"/>
                      <w:color w:val="auto"/>
                      <w:szCs w:val="21"/>
                    </w:rPr>
                    <w:t>一般固废暂存区</w:t>
                  </w:r>
                </w:p>
              </w:tc>
              <w:tc>
                <w:tcPr>
                  <w:tcW w:w="367" w:type="pct"/>
                  <w:vAlign w:val="center"/>
                </w:tcPr>
                <w:p>
                  <w:pPr>
                    <w:adjustRightInd w:val="0"/>
                    <w:contextualSpacing/>
                    <w:jc w:val="center"/>
                    <w:rPr>
                      <w:color w:val="auto"/>
                      <w:szCs w:val="21"/>
                    </w:rPr>
                  </w:pPr>
                  <w:r>
                    <w:rPr>
                      <w:rFonts w:hint="eastAsia"/>
                      <w:color w:val="auto"/>
                      <w:szCs w:val="21"/>
                    </w:rPr>
                    <w:t>委托利用</w:t>
                  </w:r>
                </w:p>
              </w:tc>
              <w:tc>
                <w:tcPr>
                  <w:tcW w:w="494" w:type="pct"/>
                  <w:vAlign w:val="center"/>
                </w:tcPr>
                <w:p>
                  <w:pPr>
                    <w:adjustRightInd w:val="0"/>
                    <w:contextualSpacing/>
                    <w:jc w:val="center"/>
                    <w:rPr>
                      <w:color w:val="auto"/>
                      <w:szCs w:val="21"/>
                    </w:rPr>
                  </w:pPr>
                  <w:r>
                    <w:rPr>
                      <w:rFonts w:hint="eastAsia"/>
                      <w:color w:val="auto"/>
                      <w:szCs w:val="21"/>
                    </w:rPr>
                    <w:t>外售综合利用</w:t>
                  </w:r>
                </w:p>
              </w:tc>
              <w:tc>
                <w:tcPr>
                  <w:tcW w:w="456" w:type="pct"/>
                  <w:vAlign w:val="center"/>
                </w:tcPr>
                <w:p>
                  <w:pPr>
                    <w:adjustRightInd w:val="0"/>
                    <w:contextualSpacing/>
                    <w:jc w:val="center"/>
                    <w:rPr>
                      <w:rFonts w:hint="eastAsia" w:eastAsia="宋体"/>
                      <w:szCs w:val="21"/>
                      <w:lang w:eastAsia="zh-CN"/>
                    </w:rPr>
                  </w:pPr>
                  <w:r>
                    <w:rPr>
                      <w:rFonts w:hint="eastAsia"/>
                      <w:szCs w:val="21"/>
                      <w:lang w:eastAsia="zh-CN"/>
                    </w:rPr>
                    <w:t>82.731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rPr>
                  </w:pPr>
                </w:p>
              </w:tc>
              <w:tc>
                <w:tcPr>
                  <w:tcW w:w="354" w:type="pct"/>
                  <w:vAlign w:val="center"/>
                </w:tcPr>
                <w:p>
                  <w:pPr>
                    <w:adjustRightInd w:val="0"/>
                    <w:contextualSpacing/>
                    <w:jc w:val="center"/>
                    <w:rPr>
                      <w:color w:val="auto"/>
                      <w:szCs w:val="21"/>
                    </w:rPr>
                  </w:pPr>
                  <w:r>
                    <w:rPr>
                      <w:rFonts w:hint="eastAsia"/>
                      <w:color w:val="auto"/>
                      <w:szCs w:val="21"/>
                      <w:lang w:val="en-US" w:eastAsia="zh-CN"/>
                    </w:rPr>
                    <w:t>打磨、</w:t>
                  </w:r>
                  <w:r>
                    <w:rPr>
                      <w:rFonts w:hint="eastAsia"/>
                      <w:color w:val="auto"/>
                      <w:szCs w:val="21"/>
                    </w:rPr>
                    <w:t>切冒口</w:t>
                  </w:r>
                  <w:r>
                    <w:rPr>
                      <w:rFonts w:hint="eastAsia"/>
                      <w:color w:val="auto"/>
                      <w:szCs w:val="21"/>
                      <w:lang w:val="en-US" w:eastAsia="zh-CN"/>
                    </w:rPr>
                    <w:t>产生的</w:t>
                  </w:r>
                  <w:r>
                    <w:rPr>
                      <w:rFonts w:hint="eastAsia"/>
                      <w:color w:val="auto"/>
                      <w:szCs w:val="21"/>
                    </w:rPr>
                    <w:t>废铁</w:t>
                  </w:r>
                </w:p>
              </w:tc>
              <w:tc>
                <w:tcPr>
                  <w:tcW w:w="1071" w:type="pct"/>
                  <w:vAlign w:val="center"/>
                </w:tcPr>
                <w:p>
                  <w:pPr>
                    <w:adjustRightInd w:val="0"/>
                    <w:contextualSpacing/>
                    <w:jc w:val="center"/>
                    <w:rPr>
                      <w:color w:val="auto"/>
                      <w:szCs w:val="21"/>
                    </w:rPr>
                  </w:pPr>
                  <w:r>
                    <w:rPr>
                      <w:rFonts w:hint="eastAsia"/>
                      <w:color w:val="auto"/>
                      <w:szCs w:val="21"/>
                    </w:rPr>
                    <w:t>一般工业固体废物SW17/900-001-S17</w:t>
                  </w:r>
                </w:p>
              </w:tc>
              <w:tc>
                <w:tcPr>
                  <w:tcW w:w="551" w:type="pct"/>
                  <w:vAlign w:val="center"/>
                </w:tcPr>
                <w:p>
                  <w:pPr>
                    <w:adjustRightInd w:val="0"/>
                    <w:contextualSpacing/>
                    <w:jc w:val="center"/>
                    <w:rPr>
                      <w:color w:val="auto"/>
                      <w:szCs w:val="21"/>
                    </w:rPr>
                  </w:pPr>
                  <w:r>
                    <w:rPr>
                      <w:rFonts w:hint="eastAsia"/>
                      <w:color w:val="auto"/>
                      <w:szCs w:val="21"/>
                    </w:rPr>
                    <w:t>/</w:t>
                  </w:r>
                </w:p>
              </w:tc>
              <w:tc>
                <w:tcPr>
                  <w:tcW w:w="261" w:type="pct"/>
                  <w:vAlign w:val="center"/>
                </w:tcPr>
                <w:p>
                  <w:pPr>
                    <w:adjustRightInd w:val="0"/>
                    <w:contextualSpacing/>
                    <w:jc w:val="center"/>
                    <w:rPr>
                      <w:color w:val="auto"/>
                      <w:szCs w:val="21"/>
                    </w:rPr>
                  </w:pPr>
                  <w:r>
                    <w:rPr>
                      <w:color w:val="auto"/>
                      <w:szCs w:val="21"/>
                    </w:rPr>
                    <w:t>固体</w:t>
                  </w:r>
                </w:p>
              </w:tc>
              <w:tc>
                <w:tcPr>
                  <w:tcW w:w="355" w:type="pct"/>
                  <w:vAlign w:val="center"/>
                </w:tcPr>
                <w:p>
                  <w:pPr>
                    <w:adjustRightInd w:val="0"/>
                    <w:contextualSpacing/>
                    <w:jc w:val="center"/>
                    <w:rPr>
                      <w:color w:val="auto"/>
                      <w:szCs w:val="21"/>
                    </w:rPr>
                  </w:pPr>
                  <w:r>
                    <w:rPr>
                      <w:rFonts w:hint="eastAsia"/>
                      <w:color w:val="auto"/>
                      <w:szCs w:val="21"/>
                    </w:rPr>
                    <w:t>/</w:t>
                  </w:r>
                </w:p>
              </w:tc>
              <w:tc>
                <w:tcPr>
                  <w:tcW w:w="394" w:type="pct"/>
                  <w:vAlign w:val="center"/>
                </w:tcPr>
                <w:p>
                  <w:pPr>
                    <w:adjustRightInd w:val="0"/>
                    <w:contextualSpacing/>
                    <w:jc w:val="center"/>
                    <w:rPr>
                      <w:rFonts w:hint="eastAsia" w:eastAsia="宋体"/>
                      <w:color w:val="auto"/>
                      <w:szCs w:val="21"/>
                      <w:lang w:eastAsia="zh-CN"/>
                    </w:rPr>
                  </w:pPr>
                  <w:r>
                    <w:rPr>
                      <w:rFonts w:hint="eastAsia"/>
                      <w:color w:val="auto"/>
                      <w:szCs w:val="21"/>
                      <w:lang w:eastAsia="zh-CN"/>
                    </w:rPr>
                    <w:t>51</w:t>
                  </w:r>
                </w:p>
              </w:tc>
              <w:tc>
                <w:tcPr>
                  <w:tcW w:w="343" w:type="pct"/>
                  <w:vMerge w:val="continue"/>
                  <w:vAlign w:val="center"/>
                </w:tcPr>
                <w:p>
                  <w:pPr>
                    <w:adjustRightInd w:val="0"/>
                    <w:contextualSpacing/>
                    <w:jc w:val="center"/>
                    <w:rPr>
                      <w:color w:val="auto"/>
                      <w:szCs w:val="21"/>
                    </w:rPr>
                  </w:pPr>
                </w:p>
              </w:tc>
              <w:tc>
                <w:tcPr>
                  <w:tcW w:w="367" w:type="pct"/>
                  <w:vAlign w:val="center"/>
                </w:tcPr>
                <w:p>
                  <w:pPr>
                    <w:adjustRightInd w:val="0"/>
                    <w:contextualSpacing/>
                    <w:jc w:val="center"/>
                    <w:rPr>
                      <w:color w:val="auto"/>
                      <w:szCs w:val="21"/>
                    </w:rPr>
                  </w:pPr>
                  <w:r>
                    <w:rPr>
                      <w:rFonts w:hint="eastAsia"/>
                      <w:color w:val="auto"/>
                      <w:szCs w:val="21"/>
                    </w:rPr>
                    <w:t>自行利用</w:t>
                  </w:r>
                </w:p>
              </w:tc>
              <w:tc>
                <w:tcPr>
                  <w:tcW w:w="494" w:type="pct"/>
                  <w:vAlign w:val="center"/>
                </w:tcPr>
                <w:p>
                  <w:pPr>
                    <w:adjustRightInd w:val="0"/>
                    <w:contextualSpacing/>
                    <w:jc w:val="center"/>
                    <w:rPr>
                      <w:color w:val="auto"/>
                      <w:szCs w:val="21"/>
                    </w:rPr>
                  </w:pPr>
                  <w:r>
                    <w:rPr>
                      <w:color w:val="auto"/>
                      <w:szCs w:val="21"/>
                    </w:rPr>
                    <w:t>收集后返回生产系统</w:t>
                  </w:r>
                </w:p>
              </w:tc>
              <w:tc>
                <w:tcPr>
                  <w:tcW w:w="456" w:type="pct"/>
                  <w:vAlign w:val="center"/>
                </w:tcPr>
                <w:p>
                  <w:pPr>
                    <w:adjustRightInd w:val="0"/>
                    <w:contextualSpacing/>
                    <w:jc w:val="center"/>
                    <w:rPr>
                      <w:rFonts w:hint="eastAsia" w:eastAsia="宋体"/>
                      <w:szCs w:val="21"/>
                      <w:lang w:eastAsia="zh-CN"/>
                    </w:rPr>
                  </w:pPr>
                  <w:r>
                    <w:rPr>
                      <w:rFonts w:hint="eastAsia"/>
                      <w:szCs w:val="21"/>
                      <w:lang w:eastAsia="zh-CN"/>
                    </w:rPr>
                    <w:t>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rPr>
                  </w:pPr>
                </w:p>
              </w:tc>
              <w:tc>
                <w:tcPr>
                  <w:tcW w:w="354" w:type="pct"/>
                  <w:vAlign w:val="center"/>
                </w:tcPr>
                <w:p>
                  <w:pPr>
                    <w:adjustRightInd w:val="0"/>
                    <w:contextualSpacing/>
                    <w:jc w:val="center"/>
                    <w:rPr>
                      <w:color w:val="FF0000"/>
                      <w:szCs w:val="21"/>
                    </w:rPr>
                  </w:pPr>
                  <w:r>
                    <w:rPr>
                      <w:rFonts w:hint="eastAsia"/>
                      <w:color w:val="FF0000"/>
                      <w:szCs w:val="21"/>
                    </w:rPr>
                    <w:t>废砂</w:t>
                  </w:r>
                </w:p>
              </w:tc>
              <w:tc>
                <w:tcPr>
                  <w:tcW w:w="1071" w:type="pct"/>
                  <w:vAlign w:val="center"/>
                </w:tcPr>
                <w:p>
                  <w:pPr>
                    <w:adjustRightInd w:val="0"/>
                    <w:contextualSpacing/>
                    <w:jc w:val="center"/>
                    <w:rPr>
                      <w:color w:val="FF0000"/>
                      <w:szCs w:val="21"/>
                    </w:rPr>
                  </w:pPr>
                  <w:r>
                    <w:rPr>
                      <w:rFonts w:hint="eastAsia"/>
                      <w:color w:val="FF0000"/>
                      <w:szCs w:val="21"/>
                    </w:rPr>
                    <w:t>一般工业固体废物SW59/900-001-S59</w:t>
                  </w:r>
                </w:p>
              </w:tc>
              <w:tc>
                <w:tcPr>
                  <w:tcW w:w="551" w:type="pct"/>
                  <w:vAlign w:val="center"/>
                </w:tcPr>
                <w:p>
                  <w:pPr>
                    <w:adjustRightInd w:val="0"/>
                    <w:contextualSpacing/>
                    <w:jc w:val="center"/>
                    <w:rPr>
                      <w:color w:val="FF0000"/>
                      <w:szCs w:val="21"/>
                    </w:rPr>
                  </w:pPr>
                  <w:r>
                    <w:rPr>
                      <w:rFonts w:hint="eastAsia"/>
                      <w:color w:val="FF0000"/>
                      <w:szCs w:val="21"/>
                    </w:rPr>
                    <w:t>/</w:t>
                  </w:r>
                </w:p>
              </w:tc>
              <w:tc>
                <w:tcPr>
                  <w:tcW w:w="261" w:type="pct"/>
                  <w:vAlign w:val="center"/>
                </w:tcPr>
                <w:p>
                  <w:pPr>
                    <w:adjustRightInd w:val="0"/>
                    <w:contextualSpacing/>
                    <w:jc w:val="center"/>
                    <w:rPr>
                      <w:color w:val="FF0000"/>
                      <w:szCs w:val="21"/>
                    </w:rPr>
                  </w:pPr>
                  <w:r>
                    <w:rPr>
                      <w:color w:val="FF0000"/>
                      <w:szCs w:val="21"/>
                    </w:rPr>
                    <w:t>固体</w:t>
                  </w:r>
                </w:p>
              </w:tc>
              <w:tc>
                <w:tcPr>
                  <w:tcW w:w="355" w:type="pct"/>
                  <w:vAlign w:val="center"/>
                </w:tcPr>
                <w:p>
                  <w:pPr>
                    <w:adjustRightInd w:val="0"/>
                    <w:contextualSpacing/>
                    <w:jc w:val="center"/>
                    <w:rPr>
                      <w:color w:val="FF0000"/>
                      <w:szCs w:val="21"/>
                    </w:rPr>
                  </w:pPr>
                  <w:r>
                    <w:rPr>
                      <w:rFonts w:hint="eastAsia"/>
                      <w:color w:val="FF0000"/>
                      <w:szCs w:val="21"/>
                    </w:rPr>
                    <w:t>/</w:t>
                  </w:r>
                </w:p>
              </w:tc>
              <w:tc>
                <w:tcPr>
                  <w:tcW w:w="394" w:type="pct"/>
                  <w:vAlign w:val="center"/>
                </w:tcPr>
                <w:p>
                  <w:pPr>
                    <w:adjustRightInd w:val="0"/>
                    <w:contextualSpacing/>
                    <w:jc w:val="center"/>
                    <w:rPr>
                      <w:rFonts w:hint="eastAsia" w:eastAsia="宋体"/>
                      <w:color w:val="FF0000"/>
                      <w:szCs w:val="21"/>
                      <w:lang w:eastAsia="zh-CN"/>
                    </w:rPr>
                  </w:pPr>
                  <w:r>
                    <w:rPr>
                      <w:rFonts w:hint="eastAsia"/>
                      <w:color w:val="FF0000"/>
                      <w:szCs w:val="21"/>
                      <w:lang w:eastAsia="zh-CN"/>
                    </w:rPr>
                    <w:t>238.2</w:t>
                  </w:r>
                </w:p>
              </w:tc>
              <w:tc>
                <w:tcPr>
                  <w:tcW w:w="343" w:type="pct"/>
                  <w:vMerge w:val="continue"/>
                  <w:vAlign w:val="center"/>
                </w:tcPr>
                <w:p>
                  <w:pPr>
                    <w:adjustRightInd w:val="0"/>
                    <w:contextualSpacing/>
                    <w:jc w:val="center"/>
                    <w:rPr>
                      <w:color w:val="auto"/>
                      <w:szCs w:val="21"/>
                    </w:rPr>
                  </w:pPr>
                </w:p>
              </w:tc>
              <w:tc>
                <w:tcPr>
                  <w:tcW w:w="367" w:type="pct"/>
                  <w:vAlign w:val="center"/>
                </w:tcPr>
                <w:p>
                  <w:pPr>
                    <w:adjustRightInd w:val="0"/>
                    <w:contextualSpacing/>
                    <w:jc w:val="center"/>
                    <w:rPr>
                      <w:color w:val="auto"/>
                      <w:szCs w:val="21"/>
                    </w:rPr>
                  </w:pPr>
                  <w:r>
                    <w:rPr>
                      <w:rFonts w:hint="eastAsia"/>
                      <w:color w:val="auto"/>
                      <w:szCs w:val="21"/>
                    </w:rPr>
                    <w:t>委托利用</w:t>
                  </w:r>
                </w:p>
              </w:tc>
              <w:tc>
                <w:tcPr>
                  <w:tcW w:w="494" w:type="pct"/>
                  <w:vAlign w:val="center"/>
                </w:tcPr>
                <w:p>
                  <w:pPr>
                    <w:adjustRightInd w:val="0"/>
                    <w:contextualSpacing/>
                    <w:jc w:val="center"/>
                    <w:rPr>
                      <w:color w:val="FF0000"/>
                      <w:szCs w:val="21"/>
                    </w:rPr>
                  </w:pPr>
                  <w:r>
                    <w:rPr>
                      <w:color w:val="FF0000"/>
                      <w:szCs w:val="21"/>
                    </w:rPr>
                    <w:t>定期由厂家回收处理</w:t>
                  </w:r>
                </w:p>
              </w:tc>
              <w:tc>
                <w:tcPr>
                  <w:tcW w:w="456" w:type="pct"/>
                  <w:vAlign w:val="center"/>
                </w:tcPr>
                <w:p>
                  <w:pPr>
                    <w:adjustRightInd w:val="0"/>
                    <w:contextualSpacing/>
                    <w:jc w:val="center"/>
                    <w:rPr>
                      <w:rFonts w:hint="eastAsia" w:eastAsia="宋体"/>
                      <w:szCs w:val="21"/>
                      <w:lang w:eastAsia="zh-CN"/>
                    </w:rPr>
                  </w:pPr>
                  <w:r>
                    <w:rPr>
                      <w:rFonts w:hint="eastAsia"/>
                      <w:szCs w:val="21"/>
                      <w:lang w:eastAsia="zh-CN"/>
                    </w:rPr>
                    <w:t>238.2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szCs w:val="21"/>
                    </w:rPr>
                  </w:pPr>
                </w:p>
              </w:tc>
              <w:tc>
                <w:tcPr>
                  <w:tcW w:w="354" w:type="pct"/>
                  <w:vAlign w:val="center"/>
                </w:tcPr>
                <w:p>
                  <w:pPr>
                    <w:adjustRightInd w:val="0"/>
                    <w:contextualSpacing/>
                    <w:jc w:val="center"/>
                    <w:rPr>
                      <w:szCs w:val="21"/>
                    </w:rPr>
                  </w:pPr>
                  <w:r>
                    <w:rPr>
                      <w:rFonts w:hint="eastAsia"/>
                      <w:szCs w:val="21"/>
                    </w:rPr>
                    <w:t>废布袋</w:t>
                  </w:r>
                </w:p>
              </w:tc>
              <w:tc>
                <w:tcPr>
                  <w:tcW w:w="1071" w:type="pct"/>
                  <w:vAlign w:val="center"/>
                </w:tcPr>
                <w:p>
                  <w:pPr>
                    <w:adjustRightInd w:val="0"/>
                    <w:contextualSpacing/>
                    <w:jc w:val="center"/>
                    <w:rPr>
                      <w:szCs w:val="21"/>
                    </w:rPr>
                  </w:pPr>
                  <w:r>
                    <w:rPr>
                      <w:rFonts w:hint="eastAsia"/>
                      <w:szCs w:val="21"/>
                    </w:rPr>
                    <w:t>一般工业固体废物SW59/900-009-S59</w:t>
                  </w:r>
                </w:p>
              </w:tc>
              <w:tc>
                <w:tcPr>
                  <w:tcW w:w="551" w:type="pct"/>
                  <w:vAlign w:val="center"/>
                </w:tcPr>
                <w:p>
                  <w:pPr>
                    <w:adjustRightInd w:val="0"/>
                    <w:contextualSpacing/>
                    <w:jc w:val="center"/>
                    <w:rPr>
                      <w:szCs w:val="21"/>
                    </w:rPr>
                  </w:pPr>
                  <w:r>
                    <w:rPr>
                      <w:rFonts w:hint="eastAsia"/>
                      <w:szCs w:val="21"/>
                    </w:rPr>
                    <w:t>/</w:t>
                  </w:r>
                </w:p>
              </w:tc>
              <w:tc>
                <w:tcPr>
                  <w:tcW w:w="261" w:type="pct"/>
                  <w:vAlign w:val="center"/>
                </w:tcPr>
                <w:p>
                  <w:pPr>
                    <w:adjustRightInd w:val="0"/>
                    <w:contextualSpacing/>
                    <w:jc w:val="center"/>
                    <w:rPr>
                      <w:szCs w:val="21"/>
                    </w:rPr>
                  </w:pPr>
                  <w:r>
                    <w:rPr>
                      <w:szCs w:val="21"/>
                    </w:rPr>
                    <w:t>固体</w:t>
                  </w:r>
                </w:p>
              </w:tc>
              <w:tc>
                <w:tcPr>
                  <w:tcW w:w="355" w:type="pct"/>
                  <w:vAlign w:val="center"/>
                </w:tcPr>
                <w:p>
                  <w:pPr>
                    <w:adjustRightInd w:val="0"/>
                    <w:contextualSpacing/>
                    <w:jc w:val="center"/>
                    <w:rPr>
                      <w:szCs w:val="21"/>
                    </w:rPr>
                  </w:pPr>
                  <w:r>
                    <w:rPr>
                      <w:rFonts w:hint="eastAsia"/>
                      <w:szCs w:val="21"/>
                    </w:rPr>
                    <w:t>/</w:t>
                  </w:r>
                </w:p>
              </w:tc>
              <w:tc>
                <w:tcPr>
                  <w:tcW w:w="394" w:type="pct"/>
                  <w:vAlign w:val="center"/>
                </w:tcPr>
                <w:p>
                  <w:pPr>
                    <w:adjustRightInd w:val="0"/>
                    <w:contextualSpacing/>
                    <w:jc w:val="center"/>
                    <w:rPr>
                      <w:szCs w:val="21"/>
                    </w:rPr>
                  </w:pPr>
                  <w:r>
                    <w:rPr>
                      <w:rFonts w:hint="eastAsia"/>
                      <w:szCs w:val="21"/>
                    </w:rPr>
                    <w:t>0.05</w:t>
                  </w:r>
                </w:p>
              </w:tc>
              <w:tc>
                <w:tcPr>
                  <w:tcW w:w="343" w:type="pct"/>
                  <w:vAlign w:val="center"/>
                </w:tcPr>
                <w:p>
                  <w:pPr>
                    <w:adjustRightInd w:val="0"/>
                    <w:contextualSpacing/>
                    <w:jc w:val="center"/>
                    <w:rPr>
                      <w:szCs w:val="21"/>
                    </w:rPr>
                  </w:pPr>
                  <w:r>
                    <w:rPr>
                      <w:rFonts w:hint="eastAsia"/>
                      <w:szCs w:val="21"/>
                    </w:rPr>
                    <w:t>袋装</w:t>
                  </w:r>
                </w:p>
              </w:tc>
              <w:tc>
                <w:tcPr>
                  <w:tcW w:w="367" w:type="pct"/>
                  <w:vAlign w:val="center"/>
                </w:tcPr>
                <w:p>
                  <w:pPr>
                    <w:adjustRightInd w:val="0"/>
                    <w:contextualSpacing/>
                    <w:jc w:val="center"/>
                    <w:rPr>
                      <w:szCs w:val="21"/>
                    </w:rPr>
                  </w:pPr>
                  <w:r>
                    <w:rPr>
                      <w:rFonts w:hint="eastAsia"/>
                      <w:szCs w:val="21"/>
                    </w:rPr>
                    <w:t>委托利用</w:t>
                  </w:r>
                </w:p>
              </w:tc>
              <w:tc>
                <w:tcPr>
                  <w:tcW w:w="494" w:type="pct"/>
                  <w:vAlign w:val="center"/>
                </w:tcPr>
                <w:p>
                  <w:pPr>
                    <w:adjustRightInd w:val="0"/>
                    <w:contextualSpacing/>
                    <w:jc w:val="center"/>
                    <w:rPr>
                      <w:color w:val="FF0000"/>
                      <w:szCs w:val="21"/>
                    </w:rPr>
                  </w:pPr>
                  <w:r>
                    <w:rPr>
                      <w:color w:val="FF0000"/>
                      <w:szCs w:val="21"/>
                    </w:rPr>
                    <w:t>定期由厂家回收处理</w:t>
                  </w:r>
                </w:p>
              </w:tc>
              <w:tc>
                <w:tcPr>
                  <w:tcW w:w="456" w:type="pct"/>
                  <w:vAlign w:val="center"/>
                </w:tcPr>
                <w:p>
                  <w:pPr>
                    <w:adjustRightInd w:val="0"/>
                    <w:contextualSpacing/>
                    <w:jc w:val="center"/>
                    <w:rPr>
                      <w:szCs w:val="21"/>
                    </w:rPr>
                  </w:pPr>
                  <w:r>
                    <w:rPr>
                      <w:rFonts w:hint="eastAsia"/>
                      <w:szCs w:val="21"/>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restart"/>
                  <w:vAlign w:val="center"/>
                </w:tcPr>
                <w:p>
                  <w:pPr>
                    <w:adjustRightInd w:val="0"/>
                    <w:contextualSpacing/>
                    <w:jc w:val="center"/>
                    <w:rPr>
                      <w:szCs w:val="21"/>
                    </w:rPr>
                  </w:pPr>
                  <w:r>
                    <w:rPr>
                      <w:rFonts w:hint="eastAsia"/>
                      <w:szCs w:val="21"/>
                    </w:rPr>
                    <w:t>设备维修及维护</w:t>
                  </w:r>
                </w:p>
              </w:tc>
              <w:tc>
                <w:tcPr>
                  <w:tcW w:w="354" w:type="pct"/>
                  <w:vAlign w:val="center"/>
                </w:tcPr>
                <w:p>
                  <w:pPr>
                    <w:adjustRightInd w:val="0"/>
                    <w:contextualSpacing/>
                    <w:jc w:val="center"/>
                    <w:rPr>
                      <w:szCs w:val="21"/>
                    </w:rPr>
                  </w:pPr>
                  <w:r>
                    <w:rPr>
                      <w:rFonts w:hint="eastAsia"/>
                      <w:szCs w:val="21"/>
                    </w:rPr>
                    <w:t>废</w:t>
                  </w:r>
                  <w:r>
                    <w:rPr>
                      <w:szCs w:val="21"/>
                    </w:rPr>
                    <w:t>矿物油</w:t>
                  </w:r>
                </w:p>
              </w:tc>
              <w:tc>
                <w:tcPr>
                  <w:tcW w:w="1071" w:type="pct"/>
                  <w:vAlign w:val="center"/>
                </w:tcPr>
                <w:p>
                  <w:pPr>
                    <w:adjustRightInd w:val="0"/>
                    <w:contextualSpacing/>
                    <w:jc w:val="center"/>
                    <w:rPr>
                      <w:szCs w:val="21"/>
                    </w:rPr>
                  </w:pPr>
                  <w:r>
                    <w:rPr>
                      <w:szCs w:val="21"/>
                    </w:rPr>
                    <w:t>危险废物</w:t>
                  </w:r>
                  <w:r>
                    <w:rPr>
                      <w:rFonts w:hint="eastAsia"/>
                      <w:szCs w:val="21"/>
                    </w:rPr>
                    <w:t>/</w:t>
                  </w:r>
                  <w:r>
                    <w:rPr>
                      <w:szCs w:val="21"/>
                    </w:rPr>
                    <w:t>HW08 900-2</w:t>
                  </w:r>
                  <w:r>
                    <w:rPr>
                      <w:rFonts w:hint="eastAsia"/>
                      <w:szCs w:val="21"/>
                    </w:rPr>
                    <w:t>49</w:t>
                  </w:r>
                  <w:r>
                    <w:rPr>
                      <w:szCs w:val="21"/>
                    </w:rPr>
                    <w:t>-08</w:t>
                  </w:r>
                </w:p>
              </w:tc>
              <w:tc>
                <w:tcPr>
                  <w:tcW w:w="551" w:type="pct"/>
                  <w:vAlign w:val="center"/>
                </w:tcPr>
                <w:p>
                  <w:pPr>
                    <w:adjustRightInd w:val="0"/>
                    <w:contextualSpacing/>
                    <w:jc w:val="center"/>
                    <w:rPr>
                      <w:szCs w:val="21"/>
                    </w:rPr>
                  </w:pPr>
                  <w:r>
                    <w:rPr>
                      <w:rFonts w:hint="eastAsia"/>
                      <w:szCs w:val="21"/>
                    </w:rPr>
                    <w:t>多环芳烃</w:t>
                  </w:r>
                </w:p>
              </w:tc>
              <w:tc>
                <w:tcPr>
                  <w:tcW w:w="261" w:type="pct"/>
                  <w:vAlign w:val="center"/>
                </w:tcPr>
                <w:p>
                  <w:pPr>
                    <w:adjustRightInd w:val="0"/>
                    <w:contextualSpacing/>
                    <w:jc w:val="center"/>
                    <w:rPr>
                      <w:szCs w:val="21"/>
                    </w:rPr>
                  </w:pPr>
                  <w:r>
                    <w:rPr>
                      <w:rFonts w:hint="eastAsia"/>
                      <w:szCs w:val="21"/>
                    </w:rPr>
                    <w:t>液体</w:t>
                  </w:r>
                </w:p>
              </w:tc>
              <w:tc>
                <w:tcPr>
                  <w:tcW w:w="355" w:type="pct"/>
                  <w:vAlign w:val="center"/>
                </w:tcPr>
                <w:p>
                  <w:pPr>
                    <w:adjustRightInd w:val="0"/>
                    <w:contextualSpacing/>
                    <w:jc w:val="center"/>
                    <w:rPr>
                      <w:szCs w:val="21"/>
                    </w:rPr>
                  </w:pPr>
                  <w:r>
                    <w:rPr>
                      <w:rFonts w:hint="eastAsia"/>
                      <w:szCs w:val="21"/>
                    </w:rPr>
                    <w:t>T、I</w:t>
                  </w:r>
                </w:p>
              </w:tc>
              <w:tc>
                <w:tcPr>
                  <w:tcW w:w="394" w:type="pct"/>
                  <w:vAlign w:val="center"/>
                </w:tcPr>
                <w:p>
                  <w:pPr>
                    <w:adjustRightInd w:val="0"/>
                    <w:contextualSpacing/>
                    <w:jc w:val="center"/>
                    <w:rPr>
                      <w:rFonts w:hint="eastAsia" w:eastAsia="宋体"/>
                      <w:szCs w:val="21"/>
                      <w:lang w:val="en-US" w:eastAsia="zh-CN"/>
                    </w:rPr>
                  </w:pPr>
                  <w:r>
                    <w:rPr>
                      <w:rFonts w:hint="eastAsia"/>
                      <w:szCs w:val="21"/>
                    </w:rPr>
                    <w:t>0.1</w:t>
                  </w:r>
                  <w:r>
                    <w:rPr>
                      <w:rFonts w:hint="eastAsia"/>
                      <w:szCs w:val="21"/>
                      <w:lang w:val="en-US" w:eastAsia="zh-CN"/>
                    </w:rPr>
                    <w:t>5</w:t>
                  </w:r>
                </w:p>
              </w:tc>
              <w:tc>
                <w:tcPr>
                  <w:tcW w:w="343" w:type="pct"/>
                  <w:vMerge w:val="restart"/>
                  <w:vAlign w:val="center"/>
                </w:tcPr>
                <w:p>
                  <w:pPr>
                    <w:adjustRightInd w:val="0"/>
                    <w:contextualSpacing/>
                    <w:jc w:val="center"/>
                    <w:rPr>
                      <w:szCs w:val="21"/>
                    </w:rPr>
                  </w:pPr>
                </w:p>
              </w:tc>
              <w:tc>
                <w:tcPr>
                  <w:tcW w:w="367" w:type="pct"/>
                  <w:vAlign w:val="center"/>
                </w:tcPr>
                <w:p>
                  <w:pPr>
                    <w:adjustRightInd w:val="0"/>
                    <w:contextualSpacing/>
                    <w:jc w:val="center"/>
                    <w:rPr>
                      <w:szCs w:val="21"/>
                    </w:rPr>
                  </w:pPr>
                  <w:r>
                    <w:rPr>
                      <w:rFonts w:hint="eastAsia"/>
                      <w:szCs w:val="21"/>
                    </w:rPr>
                    <w:t>委托处置</w:t>
                  </w:r>
                </w:p>
              </w:tc>
              <w:tc>
                <w:tcPr>
                  <w:tcW w:w="494" w:type="pct"/>
                  <w:vMerge w:val="restart"/>
                  <w:vAlign w:val="center"/>
                </w:tcPr>
                <w:p>
                  <w:pPr>
                    <w:adjustRightInd w:val="0"/>
                    <w:contextualSpacing/>
                    <w:jc w:val="center"/>
                    <w:rPr>
                      <w:szCs w:val="21"/>
                    </w:rPr>
                  </w:pPr>
                </w:p>
              </w:tc>
              <w:tc>
                <w:tcPr>
                  <w:tcW w:w="456" w:type="pct"/>
                  <w:vAlign w:val="center"/>
                </w:tcPr>
                <w:p>
                  <w:pPr>
                    <w:adjustRightInd w:val="0"/>
                    <w:contextualSpacing/>
                    <w:jc w:val="center"/>
                    <w:rPr>
                      <w:szCs w:val="21"/>
                    </w:rPr>
                  </w:pPr>
                  <w:r>
                    <w:rPr>
                      <w:rFonts w:hint="eastAsia"/>
                      <w:szCs w:val="21"/>
                    </w:rPr>
                    <w:t>0.</w:t>
                  </w:r>
                  <w:r>
                    <w:rPr>
                      <w:rFonts w:hint="eastAsia"/>
                      <w:szCs w:val="21"/>
                      <w:lang w:val="en-US" w:eastAsia="zh-CN"/>
                    </w:rPr>
                    <w:t>1</w:t>
                  </w:r>
                  <w:r>
                    <w:rPr>
                      <w:rFonts w:hint="eastAsia"/>
                      <w:szCs w:val="21"/>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49" w:hRule="atLeast"/>
                <w:jc w:val="center"/>
              </w:trPr>
              <w:tc>
                <w:tcPr>
                  <w:tcW w:w="349" w:type="pct"/>
                  <w:vMerge w:val="continue"/>
                  <w:vAlign w:val="center"/>
                </w:tcPr>
                <w:p>
                  <w:pPr>
                    <w:adjustRightInd w:val="0"/>
                    <w:contextualSpacing/>
                    <w:jc w:val="center"/>
                    <w:rPr>
                      <w:szCs w:val="21"/>
                    </w:rPr>
                  </w:pPr>
                </w:p>
              </w:tc>
              <w:tc>
                <w:tcPr>
                  <w:tcW w:w="354" w:type="pct"/>
                  <w:vAlign w:val="center"/>
                </w:tcPr>
                <w:p>
                  <w:pPr>
                    <w:adjustRightInd w:val="0"/>
                    <w:contextualSpacing/>
                    <w:jc w:val="center"/>
                    <w:rPr>
                      <w:szCs w:val="21"/>
                    </w:rPr>
                  </w:pPr>
                  <w:r>
                    <w:rPr>
                      <w:rFonts w:hint="eastAsia"/>
                      <w:szCs w:val="21"/>
                    </w:rPr>
                    <w:t>废油桶</w:t>
                  </w:r>
                </w:p>
              </w:tc>
              <w:tc>
                <w:tcPr>
                  <w:tcW w:w="1071" w:type="pct"/>
                  <w:vAlign w:val="center"/>
                </w:tcPr>
                <w:p>
                  <w:pPr>
                    <w:adjustRightInd w:val="0"/>
                    <w:contextualSpacing/>
                    <w:jc w:val="center"/>
                    <w:rPr>
                      <w:szCs w:val="21"/>
                    </w:rPr>
                  </w:pPr>
                  <w:r>
                    <w:rPr>
                      <w:szCs w:val="21"/>
                    </w:rPr>
                    <w:t>危险废物</w:t>
                  </w:r>
                  <w:r>
                    <w:rPr>
                      <w:rFonts w:hint="eastAsia"/>
                      <w:szCs w:val="21"/>
                    </w:rPr>
                    <w:t>/</w:t>
                  </w:r>
                  <w:r>
                    <w:rPr>
                      <w:szCs w:val="21"/>
                    </w:rPr>
                    <w:t>HW08</w:t>
                  </w:r>
                  <w:r>
                    <w:rPr>
                      <w:rFonts w:hint="eastAsia"/>
                      <w:szCs w:val="21"/>
                    </w:rPr>
                    <w:t xml:space="preserve"> </w:t>
                  </w:r>
                  <w:r>
                    <w:rPr>
                      <w:szCs w:val="21"/>
                    </w:rPr>
                    <w:t>900-249-08</w:t>
                  </w:r>
                </w:p>
              </w:tc>
              <w:tc>
                <w:tcPr>
                  <w:tcW w:w="551" w:type="pct"/>
                  <w:vAlign w:val="center"/>
                </w:tcPr>
                <w:p>
                  <w:pPr>
                    <w:adjustRightInd w:val="0"/>
                    <w:contextualSpacing/>
                    <w:jc w:val="center"/>
                    <w:rPr>
                      <w:szCs w:val="21"/>
                    </w:rPr>
                  </w:pPr>
                  <w:r>
                    <w:rPr>
                      <w:rFonts w:hint="eastAsia"/>
                      <w:szCs w:val="21"/>
                    </w:rPr>
                    <w:t>多环芳烃</w:t>
                  </w:r>
                </w:p>
              </w:tc>
              <w:tc>
                <w:tcPr>
                  <w:tcW w:w="261" w:type="pct"/>
                  <w:vAlign w:val="center"/>
                </w:tcPr>
                <w:p>
                  <w:pPr>
                    <w:adjustRightInd w:val="0"/>
                    <w:contextualSpacing/>
                    <w:jc w:val="center"/>
                    <w:rPr>
                      <w:szCs w:val="21"/>
                    </w:rPr>
                  </w:pPr>
                  <w:r>
                    <w:rPr>
                      <w:rFonts w:hint="eastAsia"/>
                      <w:szCs w:val="21"/>
                    </w:rPr>
                    <w:t>固体</w:t>
                  </w:r>
                </w:p>
              </w:tc>
              <w:tc>
                <w:tcPr>
                  <w:tcW w:w="355" w:type="pct"/>
                  <w:vAlign w:val="center"/>
                </w:tcPr>
                <w:p>
                  <w:pPr>
                    <w:adjustRightInd w:val="0"/>
                    <w:contextualSpacing/>
                    <w:jc w:val="center"/>
                    <w:rPr>
                      <w:szCs w:val="21"/>
                    </w:rPr>
                  </w:pPr>
                  <w:r>
                    <w:rPr>
                      <w:rFonts w:hint="eastAsia"/>
                      <w:szCs w:val="21"/>
                    </w:rPr>
                    <w:t>T、I</w:t>
                  </w:r>
                </w:p>
              </w:tc>
              <w:tc>
                <w:tcPr>
                  <w:tcW w:w="394" w:type="pct"/>
                  <w:vAlign w:val="center"/>
                </w:tcPr>
                <w:p>
                  <w:pPr>
                    <w:adjustRightInd w:val="0"/>
                    <w:contextualSpacing/>
                    <w:jc w:val="center"/>
                    <w:rPr>
                      <w:rFonts w:hint="eastAsia" w:eastAsia="宋体"/>
                      <w:szCs w:val="21"/>
                      <w:lang w:eastAsia="zh-CN"/>
                    </w:rPr>
                  </w:pPr>
                  <w:r>
                    <w:rPr>
                      <w:rFonts w:hint="eastAsia"/>
                      <w:szCs w:val="21"/>
                    </w:rPr>
                    <w:t>0.0</w:t>
                  </w:r>
                  <w:r>
                    <w:rPr>
                      <w:rFonts w:hint="eastAsia"/>
                      <w:szCs w:val="21"/>
                      <w:lang w:val="en-US" w:eastAsia="zh-CN"/>
                    </w:rPr>
                    <w:t>7</w:t>
                  </w:r>
                </w:p>
              </w:tc>
              <w:tc>
                <w:tcPr>
                  <w:tcW w:w="343" w:type="pct"/>
                  <w:vMerge w:val="continue"/>
                  <w:vAlign w:val="center"/>
                </w:tcPr>
                <w:p>
                  <w:pPr>
                    <w:adjustRightInd w:val="0"/>
                    <w:contextualSpacing/>
                    <w:jc w:val="center"/>
                    <w:rPr>
                      <w:szCs w:val="21"/>
                    </w:rPr>
                  </w:pPr>
                </w:p>
              </w:tc>
              <w:tc>
                <w:tcPr>
                  <w:tcW w:w="367" w:type="pct"/>
                  <w:vAlign w:val="center"/>
                </w:tcPr>
                <w:p>
                  <w:pPr>
                    <w:adjustRightInd w:val="0"/>
                    <w:contextualSpacing/>
                    <w:jc w:val="center"/>
                    <w:rPr>
                      <w:szCs w:val="21"/>
                    </w:rPr>
                  </w:pPr>
                  <w:r>
                    <w:rPr>
                      <w:rFonts w:hint="eastAsia"/>
                      <w:szCs w:val="21"/>
                    </w:rPr>
                    <w:t>委托处置</w:t>
                  </w:r>
                </w:p>
              </w:tc>
              <w:tc>
                <w:tcPr>
                  <w:tcW w:w="494" w:type="pct"/>
                  <w:vMerge w:val="continue"/>
                  <w:vAlign w:val="center"/>
                </w:tcPr>
                <w:p>
                  <w:pPr>
                    <w:adjustRightInd w:val="0"/>
                    <w:contextualSpacing/>
                    <w:jc w:val="center"/>
                    <w:rPr>
                      <w:szCs w:val="21"/>
                    </w:rPr>
                  </w:pPr>
                </w:p>
              </w:tc>
              <w:tc>
                <w:tcPr>
                  <w:tcW w:w="456" w:type="pct"/>
                  <w:vAlign w:val="center"/>
                </w:tcPr>
                <w:p>
                  <w:pPr>
                    <w:adjustRightInd w:val="0"/>
                    <w:contextualSpacing/>
                    <w:jc w:val="center"/>
                    <w:rPr>
                      <w:rFonts w:hint="default" w:eastAsia="宋体"/>
                      <w:szCs w:val="21"/>
                      <w:lang w:val="en-US" w:eastAsia="zh-CN"/>
                    </w:rPr>
                  </w:pPr>
                  <w:r>
                    <w:rPr>
                      <w:rFonts w:hint="eastAsia"/>
                      <w:szCs w:val="21"/>
                    </w:rPr>
                    <w:t>0.</w:t>
                  </w:r>
                  <w:r>
                    <w:rPr>
                      <w:rFonts w:hint="eastAsia"/>
                      <w:szCs w:val="21"/>
                      <w:lang w:val="en-US" w:eastAsia="zh-CN"/>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880" w:hRule="atLeast"/>
                <w:jc w:val="center"/>
              </w:trPr>
              <w:tc>
                <w:tcPr>
                  <w:tcW w:w="349" w:type="pct"/>
                  <w:vAlign w:val="center"/>
                </w:tcPr>
                <w:p>
                  <w:pPr>
                    <w:adjustRightInd w:val="0"/>
                    <w:contextualSpacing/>
                    <w:jc w:val="center"/>
                    <w:rPr>
                      <w:szCs w:val="21"/>
                    </w:rPr>
                  </w:pPr>
                  <w:r>
                    <w:rPr>
                      <w:rFonts w:hint="eastAsia"/>
                      <w:szCs w:val="21"/>
                    </w:rPr>
                    <w:t>职工生活</w:t>
                  </w:r>
                </w:p>
              </w:tc>
              <w:tc>
                <w:tcPr>
                  <w:tcW w:w="354" w:type="pct"/>
                  <w:vAlign w:val="center"/>
                </w:tcPr>
                <w:p>
                  <w:pPr>
                    <w:adjustRightInd w:val="0"/>
                    <w:contextualSpacing/>
                    <w:jc w:val="center"/>
                    <w:rPr>
                      <w:szCs w:val="21"/>
                    </w:rPr>
                  </w:pPr>
                  <w:r>
                    <w:rPr>
                      <w:rFonts w:hint="eastAsia"/>
                      <w:szCs w:val="21"/>
                    </w:rPr>
                    <w:t>生活垃圾</w:t>
                  </w:r>
                </w:p>
              </w:tc>
              <w:tc>
                <w:tcPr>
                  <w:tcW w:w="1071" w:type="pct"/>
                  <w:vAlign w:val="center"/>
                </w:tcPr>
                <w:p>
                  <w:pPr>
                    <w:adjustRightInd w:val="0"/>
                    <w:contextualSpacing/>
                    <w:jc w:val="center"/>
                    <w:rPr>
                      <w:szCs w:val="21"/>
                    </w:rPr>
                  </w:pPr>
                  <w:r>
                    <w:rPr>
                      <w:rFonts w:hint="eastAsia"/>
                      <w:szCs w:val="21"/>
                    </w:rPr>
                    <w:t>/</w:t>
                  </w:r>
                </w:p>
              </w:tc>
              <w:tc>
                <w:tcPr>
                  <w:tcW w:w="551" w:type="pct"/>
                  <w:vAlign w:val="center"/>
                </w:tcPr>
                <w:p>
                  <w:pPr>
                    <w:adjustRightInd w:val="0"/>
                    <w:contextualSpacing/>
                    <w:jc w:val="center"/>
                    <w:rPr>
                      <w:szCs w:val="21"/>
                    </w:rPr>
                  </w:pPr>
                  <w:r>
                    <w:rPr>
                      <w:rFonts w:hint="eastAsia"/>
                      <w:szCs w:val="21"/>
                    </w:rPr>
                    <w:t>/</w:t>
                  </w:r>
                </w:p>
              </w:tc>
              <w:tc>
                <w:tcPr>
                  <w:tcW w:w="261" w:type="pct"/>
                  <w:vAlign w:val="center"/>
                </w:tcPr>
                <w:p>
                  <w:pPr>
                    <w:adjustRightInd w:val="0"/>
                    <w:contextualSpacing/>
                    <w:jc w:val="center"/>
                    <w:rPr>
                      <w:szCs w:val="21"/>
                    </w:rPr>
                  </w:pPr>
                  <w:r>
                    <w:rPr>
                      <w:rFonts w:hint="eastAsia"/>
                      <w:szCs w:val="21"/>
                    </w:rPr>
                    <w:t>固体</w:t>
                  </w:r>
                </w:p>
              </w:tc>
              <w:tc>
                <w:tcPr>
                  <w:tcW w:w="355" w:type="pct"/>
                  <w:vAlign w:val="center"/>
                </w:tcPr>
                <w:p>
                  <w:pPr>
                    <w:adjustRightInd w:val="0"/>
                    <w:contextualSpacing/>
                    <w:jc w:val="center"/>
                    <w:rPr>
                      <w:szCs w:val="21"/>
                    </w:rPr>
                  </w:pPr>
                  <w:r>
                    <w:rPr>
                      <w:rFonts w:hint="eastAsia"/>
                      <w:szCs w:val="21"/>
                    </w:rPr>
                    <w:t>/</w:t>
                  </w:r>
                </w:p>
              </w:tc>
              <w:tc>
                <w:tcPr>
                  <w:tcW w:w="394" w:type="pct"/>
                  <w:vAlign w:val="center"/>
                </w:tcPr>
                <w:p>
                  <w:pPr>
                    <w:adjustRightInd w:val="0"/>
                    <w:contextualSpacing/>
                    <w:jc w:val="center"/>
                    <w:rPr>
                      <w:szCs w:val="21"/>
                    </w:rPr>
                  </w:pPr>
                  <w:r>
                    <w:rPr>
                      <w:rFonts w:hint="eastAsia"/>
                      <w:szCs w:val="21"/>
                    </w:rPr>
                    <w:t>3</w:t>
                  </w:r>
                </w:p>
              </w:tc>
              <w:tc>
                <w:tcPr>
                  <w:tcW w:w="343" w:type="pct"/>
                  <w:vAlign w:val="center"/>
                </w:tcPr>
                <w:p>
                  <w:pPr>
                    <w:adjustRightInd w:val="0"/>
                    <w:contextualSpacing/>
                    <w:jc w:val="center"/>
                    <w:rPr>
                      <w:szCs w:val="21"/>
                    </w:rPr>
                  </w:pPr>
                  <w:r>
                    <w:rPr>
                      <w:rFonts w:hint="eastAsia"/>
                      <w:szCs w:val="21"/>
                    </w:rPr>
                    <w:t>垃圾桶</w:t>
                  </w:r>
                </w:p>
              </w:tc>
              <w:tc>
                <w:tcPr>
                  <w:tcW w:w="367" w:type="pct"/>
                  <w:vAlign w:val="center"/>
                </w:tcPr>
                <w:p>
                  <w:pPr>
                    <w:adjustRightInd w:val="0"/>
                    <w:contextualSpacing/>
                    <w:jc w:val="center"/>
                    <w:rPr>
                      <w:szCs w:val="21"/>
                    </w:rPr>
                  </w:pPr>
                  <w:r>
                    <w:rPr>
                      <w:rFonts w:hint="eastAsia"/>
                      <w:szCs w:val="21"/>
                    </w:rPr>
                    <w:t>委托处置</w:t>
                  </w:r>
                </w:p>
              </w:tc>
              <w:tc>
                <w:tcPr>
                  <w:tcW w:w="494" w:type="pct"/>
                  <w:vAlign w:val="center"/>
                </w:tcPr>
                <w:p>
                  <w:pPr>
                    <w:adjustRightInd w:val="0"/>
                    <w:contextualSpacing/>
                    <w:jc w:val="center"/>
                    <w:rPr>
                      <w:szCs w:val="21"/>
                    </w:rPr>
                  </w:pPr>
                  <w:r>
                    <w:rPr>
                      <w:rFonts w:hint="eastAsia"/>
                      <w:szCs w:val="21"/>
                    </w:rPr>
                    <w:t>委托环卫部门处置</w:t>
                  </w:r>
                </w:p>
              </w:tc>
              <w:tc>
                <w:tcPr>
                  <w:tcW w:w="456" w:type="pct"/>
                  <w:vAlign w:val="center"/>
                </w:tcPr>
                <w:p>
                  <w:pPr>
                    <w:adjustRightInd w:val="0"/>
                    <w:contextualSpacing/>
                    <w:jc w:val="center"/>
                    <w:rPr>
                      <w:szCs w:val="21"/>
                    </w:rPr>
                  </w:pPr>
                  <w:r>
                    <w:rPr>
                      <w:rFonts w:hint="eastAsia"/>
                      <w:szCs w:val="21"/>
                    </w:rPr>
                    <w:t>3</w:t>
                  </w:r>
                </w:p>
              </w:tc>
            </w:tr>
            <w:bookmarkEnd w:id="22"/>
          </w:tbl>
          <w:p>
            <w:pPr>
              <w:spacing w:line="480" w:lineRule="exact"/>
              <w:ind w:firstLine="480" w:firstLineChars="200"/>
              <w:rPr>
                <w:sz w:val="24"/>
              </w:rPr>
            </w:pPr>
            <w:r>
              <w:rPr>
                <w:rFonts w:hint="eastAsia"/>
                <w:sz w:val="24"/>
              </w:rPr>
              <w:t>（2）危险废物影响分析</w:t>
            </w:r>
          </w:p>
          <w:p>
            <w:pPr>
              <w:spacing w:line="480" w:lineRule="exact"/>
              <w:ind w:firstLine="480" w:firstLineChars="200"/>
              <w:rPr>
                <w:sz w:val="24"/>
              </w:rPr>
            </w:pPr>
            <w:r>
              <w:rPr>
                <w:rFonts w:hint="eastAsia"/>
                <w:sz w:val="24"/>
              </w:rPr>
              <w:t>①危险废物情况</w:t>
            </w:r>
          </w:p>
          <w:p>
            <w:pPr>
              <w:spacing w:line="480" w:lineRule="exact"/>
              <w:ind w:firstLine="480" w:firstLineChars="200"/>
              <w:rPr>
                <w:sz w:val="24"/>
              </w:rPr>
            </w:pPr>
            <w:r>
              <w:rPr>
                <w:rFonts w:hint="eastAsia"/>
                <w:sz w:val="24"/>
              </w:rPr>
              <w:t>项目危险废物汇总情况见表4</w:t>
            </w:r>
            <w:r>
              <w:rPr>
                <w:rFonts w:hint="eastAsia"/>
                <w:sz w:val="24"/>
                <w:lang w:val="en-US" w:eastAsia="zh-CN"/>
              </w:rPr>
              <w:t>3</w:t>
            </w:r>
            <w:r>
              <w:rPr>
                <w:rFonts w:hint="eastAsia"/>
                <w:sz w:val="24"/>
              </w:rPr>
              <w:t>。</w:t>
            </w:r>
          </w:p>
          <w:p>
            <w:pPr>
              <w:spacing w:line="480" w:lineRule="exact"/>
              <w:jc w:val="center"/>
              <w:rPr>
                <w:b/>
                <w:bCs/>
                <w:snapToGrid w:val="0"/>
                <w:sz w:val="24"/>
              </w:rPr>
            </w:pPr>
            <w:r>
              <w:rPr>
                <w:rFonts w:hint="eastAsia"/>
                <w:b/>
                <w:bCs/>
                <w:snapToGrid w:val="0"/>
                <w:sz w:val="24"/>
              </w:rPr>
              <w:t>表4</w:t>
            </w:r>
            <w:r>
              <w:rPr>
                <w:rFonts w:hint="eastAsia"/>
                <w:b/>
                <w:bCs/>
                <w:snapToGrid w:val="0"/>
                <w:sz w:val="24"/>
                <w:lang w:val="en-US" w:eastAsia="zh-CN"/>
              </w:rPr>
              <w:t>3</w:t>
            </w:r>
            <w:r>
              <w:rPr>
                <w:rFonts w:hint="eastAsia"/>
                <w:b/>
                <w:bCs/>
                <w:snapToGrid w:val="0"/>
                <w:sz w:val="24"/>
              </w:rPr>
              <w:t xml:space="preserve">  项目危险废物汇总情况一览表</w:t>
            </w:r>
          </w:p>
          <w:tbl>
            <w:tblPr>
              <w:tblStyle w:val="32"/>
              <w:tblW w:w="80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6"/>
              <w:gridCol w:w="1191"/>
              <w:gridCol w:w="642"/>
              <w:gridCol w:w="1066"/>
              <w:gridCol w:w="769"/>
              <w:gridCol w:w="772"/>
              <w:gridCol w:w="530"/>
              <w:gridCol w:w="742"/>
              <w:gridCol w:w="575"/>
              <w:gridCol w:w="1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66" w:type="dxa"/>
                  <w:tcBorders>
                    <w:tl2br w:val="nil"/>
                    <w:tr2bl w:val="nil"/>
                  </w:tcBorders>
                  <w:vAlign w:val="center"/>
                </w:tcPr>
                <w:p>
                  <w:pPr>
                    <w:adjustRightInd w:val="0"/>
                    <w:contextualSpacing/>
                    <w:jc w:val="center"/>
                    <w:rPr>
                      <w:szCs w:val="21"/>
                    </w:rPr>
                  </w:pPr>
                  <w:r>
                    <w:rPr>
                      <w:szCs w:val="21"/>
                    </w:rPr>
                    <w:t>序号</w:t>
                  </w:r>
                </w:p>
              </w:tc>
              <w:tc>
                <w:tcPr>
                  <w:tcW w:w="1191" w:type="dxa"/>
                  <w:tcBorders>
                    <w:tl2br w:val="nil"/>
                    <w:tr2bl w:val="nil"/>
                  </w:tcBorders>
                  <w:vAlign w:val="center"/>
                </w:tcPr>
                <w:p>
                  <w:pPr>
                    <w:adjustRightInd w:val="0"/>
                    <w:contextualSpacing/>
                    <w:jc w:val="center"/>
                    <w:rPr>
                      <w:szCs w:val="21"/>
                    </w:rPr>
                  </w:pPr>
                  <w:r>
                    <w:rPr>
                      <w:szCs w:val="21"/>
                    </w:rPr>
                    <w:t>危险废物名称</w:t>
                  </w:r>
                </w:p>
              </w:tc>
              <w:tc>
                <w:tcPr>
                  <w:tcW w:w="642" w:type="dxa"/>
                  <w:tcBorders>
                    <w:tl2br w:val="nil"/>
                    <w:tr2bl w:val="nil"/>
                  </w:tcBorders>
                  <w:vAlign w:val="center"/>
                </w:tcPr>
                <w:p>
                  <w:pPr>
                    <w:adjustRightInd w:val="0"/>
                    <w:contextualSpacing/>
                    <w:jc w:val="center"/>
                    <w:rPr>
                      <w:szCs w:val="21"/>
                    </w:rPr>
                  </w:pPr>
                  <w:r>
                    <w:rPr>
                      <w:szCs w:val="21"/>
                    </w:rPr>
                    <w:t>危险废物类别</w:t>
                  </w:r>
                </w:p>
              </w:tc>
              <w:tc>
                <w:tcPr>
                  <w:tcW w:w="1066" w:type="dxa"/>
                  <w:tcBorders>
                    <w:tl2br w:val="nil"/>
                    <w:tr2bl w:val="nil"/>
                  </w:tcBorders>
                  <w:vAlign w:val="center"/>
                </w:tcPr>
                <w:p>
                  <w:pPr>
                    <w:adjustRightInd w:val="0"/>
                    <w:contextualSpacing/>
                    <w:jc w:val="center"/>
                    <w:rPr>
                      <w:szCs w:val="21"/>
                    </w:rPr>
                  </w:pPr>
                  <w:r>
                    <w:rPr>
                      <w:szCs w:val="21"/>
                    </w:rPr>
                    <w:t>危险废物代码</w:t>
                  </w:r>
                </w:p>
              </w:tc>
              <w:tc>
                <w:tcPr>
                  <w:tcW w:w="769" w:type="dxa"/>
                  <w:tcBorders>
                    <w:tl2br w:val="nil"/>
                    <w:tr2bl w:val="nil"/>
                  </w:tcBorders>
                  <w:vAlign w:val="center"/>
                </w:tcPr>
                <w:p>
                  <w:pPr>
                    <w:adjustRightInd w:val="0"/>
                    <w:contextualSpacing/>
                    <w:jc w:val="center"/>
                    <w:rPr>
                      <w:szCs w:val="21"/>
                    </w:rPr>
                  </w:pPr>
                  <w:r>
                    <w:rPr>
                      <w:szCs w:val="21"/>
                    </w:rPr>
                    <w:t>产生量（t/a）</w:t>
                  </w:r>
                </w:p>
              </w:tc>
              <w:tc>
                <w:tcPr>
                  <w:tcW w:w="772" w:type="dxa"/>
                  <w:tcBorders>
                    <w:tl2br w:val="nil"/>
                    <w:tr2bl w:val="nil"/>
                  </w:tcBorders>
                  <w:vAlign w:val="center"/>
                </w:tcPr>
                <w:p>
                  <w:pPr>
                    <w:adjustRightInd w:val="0"/>
                    <w:contextualSpacing/>
                    <w:jc w:val="center"/>
                    <w:rPr>
                      <w:szCs w:val="21"/>
                    </w:rPr>
                  </w:pPr>
                  <w:r>
                    <w:rPr>
                      <w:szCs w:val="21"/>
                    </w:rPr>
                    <w:t>产生工序及装置</w:t>
                  </w:r>
                </w:p>
              </w:tc>
              <w:tc>
                <w:tcPr>
                  <w:tcW w:w="530" w:type="dxa"/>
                  <w:tcBorders>
                    <w:tl2br w:val="nil"/>
                    <w:tr2bl w:val="nil"/>
                  </w:tcBorders>
                  <w:vAlign w:val="center"/>
                </w:tcPr>
                <w:p>
                  <w:pPr>
                    <w:adjustRightInd w:val="0"/>
                    <w:contextualSpacing/>
                    <w:jc w:val="center"/>
                    <w:rPr>
                      <w:szCs w:val="21"/>
                    </w:rPr>
                  </w:pPr>
                  <w:r>
                    <w:rPr>
                      <w:szCs w:val="21"/>
                    </w:rPr>
                    <w:t>形态</w:t>
                  </w:r>
                </w:p>
              </w:tc>
              <w:tc>
                <w:tcPr>
                  <w:tcW w:w="742" w:type="dxa"/>
                  <w:tcBorders>
                    <w:tl2br w:val="nil"/>
                    <w:tr2bl w:val="nil"/>
                  </w:tcBorders>
                  <w:vAlign w:val="center"/>
                </w:tcPr>
                <w:p>
                  <w:pPr>
                    <w:adjustRightInd w:val="0"/>
                    <w:contextualSpacing/>
                    <w:jc w:val="center"/>
                    <w:rPr>
                      <w:szCs w:val="21"/>
                    </w:rPr>
                  </w:pPr>
                  <w:r>
                    <w:rPr>
                      <w:szCs w:val="21"/>
                    </w:rPr>
                    <w:t>有害成分</w:t>
                  </w:r>
                </w:p>
              </w:tc>
              <w:tc>
                <w:tcPr>
                  <w:tcW w:w="575" w:type="dxa"/>
                  <w:tcBorders>
                    <w:tl2br w:val="nil"/>
                    <w:tr2bl w:val="nil"/>
                  </w:tcBorders>
                  <w:vAlign w:val="center"/>
                </w:tcPr>
                <w:p>
                  <w:pPr>
                    <w:adjustRightInd w:val="0"/>
                    <w:contextualSpacing/>
                    <w:jc w:val="center"/>
                    <w:rPr>
                      <w:szCs w:val="21"/>
                    </w:rPr>
                  </w:pPr>
                  <w:r>
                    <w:rPr>
                      <w:szCs w:val="21"/>
                    </w:rPr>
                    <w:t>危险</w:t>
                  </w:r>
                </w:p>
                <w:p>
                  <w:pPr>
                    <w:adjustRightInd w:val="0"/>
                    <w:contextualSpacing/>
                    <w:jc w:val="center"/>
                    <w:rPr>
                      <w:szCs w:val="21"/>
                    </w:rPr>
                  </w:pPr>
                  <w:r>
                    <w:rPr>
                      <w:szCs w:val="21"/>
                    </w:rPr>
                    <w:t>特性</w:t>
                  </w:r>
                </w:p>
              </w:tc>
              <w:tc>
                <w:tcPr>
                  <w:tcW w:w="1522" w:type="dxa"/>
                  <w:tcBorders>
                    <w:tl2br w:val="nil"/>
                    <w:tr2bl w:val="nil"/>
                  </w:tcBorders>
                  <w:vAlign w:val="center"/>
                </w:tcPr>
                <w:p>
                  <w:pPr>
                    <w:adjustRightInd w:val="0"/>
                    <w:contextualSpacing/>
                    <w:jc w:val="center"/>
                    <w:rPr>
                      <w:szCs w:val="21"/>
                    </w:rPr>
                  </w:pPr>
                  <w:r>
                    <w:rPr>
                      <w:szCs w:val="21"/>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66" w:type="dxa"/>
                  <w:tcBorders>
                    <w:tl2br w:val="nil"/>
                    <w:tr2bl w:val="nil"/>
                  </w:tcBorders>
                  <w:vAlign w:val="center"/>
                </w:tcPr>
                <w:p>
                  <w:pPr>
                    <w:adjustRightInd w:val="0"/>
                    <w:contextualSpacing/>
                    <w:jc w:val="center"/>
                    <w:rPr>
                      <w:szCs w:val="21"/>
                    </w:rPr>
                  </w:pPr>
                  <w:r>
                    <w:rPr>
                      <w:szCs w:val="21"/>
                    </w:rPr>
                    <w:t>1</w:t>
                  </w:r>
                </w:p>
              </w:tc>
              <w:tc>
                <w:tcPr>
                  <w:tcW w:w="1191" w:type="dxa"/>
                  <w:tcBorders>
                    <w:tl2br w:val="nil"/>
                    <w:tr2bl w:val="nil"/>
                  </w:tcBorders>
                  <w:vAlign w:val="center"/>
                </w:tcPr>
                <w:p>
                  <w:pPr>
                    <w:adjustRightInd w:val="0"/>
                    <w:contextualSpacing/>
                    <w:jc w:val="center"/>
                    <w:rPr>
                      <w:szCs w:val="21"/>
                    </w:rPr>
                  </w:pPr>
                  <w:r>
                    <w:rPr>
                      <w:szCs w:val="21"/>
                    </w:rPr>
                    <w:t>废矿物油</w:t>
                  </w:r>
                </w:p>
              </w:tc>
              <w:tc>
                <w:tcPr>
                  <w:tcW w:w="642" w:type="dxa"/>
                  <w:tcBorders>
                    <w:tl2br w:val="nil"/>
                    <w:tr2bl w:val="nil"/>
                  </w:tcBorders>
                  <w:vAlign w:val="center"/>
                </w:tcPr>
                <w:p>
                  <w:pPr>
                    <w:adjustRightInd w:val="0"/>
                    <w:contextualSpacing/>
                    <w:jc w:val="center"/>
                    <w:rPr>
                      <w:szCs w:val="21"/>
                    </w:rPr>
                  </w:pPr>
                  <w:r>
                    <w:rPr>
                      <w:szCs w:val="21"/>
                    </w:rPr>
                    <w:t>HW08</w:t>
                  </w:r>
                </w:p>
              </w:tc>
              <w:tc>
                <w:tcPr>
                  <w:tcW w:w="1066" w:type="dxa"/>
                  <w:tcBorders>
                    <w:tl2br w:val="nil"/>
                    <w:tr2bl w:val="nil"/>
                  </w:tcBorders>
                  <w:vAlign w:val="center"/>
                </w:tcPr>
                <w:p>
                  <w:pPr>
                    <w:adjustRightInd w:val="0"/>
                    <w:contextualSpacing/>
                    <w:jc w:val="center"/>
                    <w:rPr>
                      <w:szCs w:val="21"/>
                    </w:rPr>
                  </w:pPr>
                  <w:r>
                    <w:rPr>
                      <w:szCs w:val="21"/>
                    </w:rPr>
                    <w:t>900-2</w:t>
                  </w:r>
                  <w:r>
                    <w:rPr>
                      <w:rFonts w:hint="eastAsia"/>
                      <w:szCs w:val="21"/>
                    </w:rPr>
                    <w:t>49</w:t>
                  </w:r>
                  <w:r>
                    <w:rPr>
                      <w:szCs w:val="21"/>
                    </w:rPr>
                    <w:t>-08</w:t>
                  </w:r>
                </w:p>
              </w:tc>
              <w:tc>
                <w:tcPr>
                  <w:tcW w:w="769" w:type="dxa"/>
                  <w:tcBorders>
                    <w:tl2br w:val="nil"/>
                    <w:tr2bl w:val="nil"/>
                  </w:tcBorders>
                  <w:vAlign w:val="center"/>
                </w:tcPr>
                <w:p>
                  <w:pPr>
                    <w:adjustRightInd w:val="0"/>
                    <w:contextualSpacing/>
                    <w:jc w:val="center"/>
                    <w:rPr>
                      <w:rFonts w:hint="eastAsia" w:eastAsia="宋体"/>
                      <w:szCs w:val="21"/>
                      <w:lang w:val="en-US" w:eastAsia="zh-CN"/>
                    </w:rPr>
                  </w:pPr>
                  <w:r>
                    <w:rPr>
                      <w:rFonts w:hint="eastAsia"/>
                      <w:szCs w:val="21"/>
                    </w:rPr>
                    <w:t>0.1</w:t>
                  </w:r>
                  <w:r>
                    <w:rPr>
                      <w:rFonts w:hint="eastAsia"/>
                      <w:szCs w:val="21"/>
                      <w:lang w:val="en-US" w:eastAsia="zh-CN"/>
                    </w:rPr>
                    <w:t>5</w:t>
                  </w:r>
                </w:p>
              </w:tc>
              <w:tc>
                <w:tcPr>
                  <w:tcW w:w="772" w:type="dxa"/>
                  <w:vMerge w:val="restart"/>
                  <w:tcBorders>
                    <w:tl2br w:val="nil"/>
                    <w:tr2bl w:val="nil"/>
                  </w:tcBorders>
                  <w:vAlign w:val="center"/>
                </w:tcPr>
                <w:p>
                  <w:pPr>
                    <w:adjustRightInd w:val="0"/>
                    <w:contextualSpacing/>
                    <w:jc w:val="center"/>
                    <w:rPr>
                      <w:szCs w:val="21"/>
                    </w:rPr>
                  </w:pPr>
                  <w:r>
                    <w:rPr>
                      <w:szCs w:val="21"/>
                    </w:rPr>
                    <w:t>机械设备</w:t>
                  </w:r>
                  <w:r>
                    <w:rPr>
                      <w:rFonts w:hint="eastAsia"/>
                      <w:szCs w:val="21"/>
                    </w:rPr>
                    <w:t>维修及维护</w:t>
                  </w:r>
                </w:p>
                <w:p>
                  <w:pPr>
                    <w:adjustRightInd w:val="0"/>
                    <w:contextualSpacing/>
                    <w:jc w:val="center"/>
                    <w:rPr>
                      <w:szCs w:val="21"/>
                    </w:rPr>
                  </w:pPr>
                </w:p>
              </w:tc>
              <w:tc>
                <w:tcPr>
                  <w:tcW w:w="530" w:type="dxa"/>
                  <w:tcBorders>
                    <w:tl2br w:val="nil"/>
                    <w:tr2bl w:val="nil"/>
                  </w:tcBorders>
                  <w:vAlign w:val="center"/>
                </w:tcPr>
                <w:p>
                  <w:pPr>
                    <w:adjustRightInd w:val="0"/>
                    <w:contextualSpacing/>
                    <w:jc w:val="center"/>
                    <w:rPr>
                      <w:szCs w:val="21"/>
                    </w:rPr>
                  </w:pPr>
                  <w:r>
                    <w:rPr>
                      <w:szCs w:val="21"/>
                    </w:rPr>
                    <w:t>液态</w:t>
                  </w:r>
                </w:p>
              </w:tc>
              <w:tc>
                <w:tcPr>
                  <w:tcW w:w="742" w:type="dxa"/>
                  <w:vMerge w:val="restart"/>
                  <w:tcBorders>
                    <w:tl2br w:val="nil"/>
                    <w:tr2bl w:val="nil"/>
                  </w:tcBorders>
                  <w:vAlign w:val="center"/>
                </w:tcPr>
                <w:p>
                  <w:pPr>
                    <w:adjustRightInd w:val="0"/>
                    <w:contextualSpacing/>
                    <w:jc w:val="center"/>
                    <w:rPr>
                      <w:szCs w:val="21"/>
                    </w:rPr>
                  </w:pPr>
                  <w:r>
                    <w:rPr>
                      <w:szCs w:val="21"/>
                    </w:rPr>
                    <w:t>苯系物、多环芳烃</w:t>
                  </w:r>
                </w:p>
              </w:tc>
              <w:tc>
                <w:tcPr>
                  <w:tcW w:w="575" w:type="dxa"/>
                  <w:tcBorders>
                    <w:tl2br w:val="nil"/>
                    <w:tr2bl w:val="nil"/>
                  </w:tcBorders>
                  <w:vAlign w:val="center"/>
                </w:tcPr>
                <w:p>
                  <w:pPr>
                    <w:adjustRightInd w:val="0"/>
                    <w:contextualSpacing/>
                    <w:jc w:val="center"/>
                    <w:rPr>
                      <w:szCs w:val="21"/>
                    </w:rPr>
                  </w:pPr>
                  <w:r>
                    <w:rPr>
                      <w:szCs w:val="21"/>
                    </w:rPr>
                    <w:t>T、I</w:t>
                  </w:r>
                </w:p>
              </w:tc>
              <w:tc>
                <w:tcPr>
                  <w:tcW w:w="1522" w:type="dxa"/>
                  <w:vMerge w:val="restart"/>
                  <w:tcBorders>
                    <w:tl2br w:val="nil"/>
                    <w:tr2bl w:val="nil"/>
                  </w:tcBorders>
                  <w:vAlign w:val="center"/>
                </w:tcPr>
                <w:p>
                  <w:pPr>
                    <w:pStyle w:val="8"/>
                    <w:jc w:val="center"/>
                    <w:rPr>
                      <w:kern w:val="2"/>
                      <w:sz w:val="21"/>
                      <w:szCs w:val="21"/>
                    </w:rPr>
                  </w:pPr>
                  <w:r>
                    <w:rPr>
                      <w:rFonts w:hint="eastAsia"/>
                      <w:kern w:val="2"/>
                      <w:sz w:val="21"/>
                      <w:szCs w:val="21"/>
                    </w:rPr>
                    <w:t>采用专用容器收集，于废油桶一起</w:t>
                  </w:r>
                  <w:r>
                    <w:rPr>
                      <w:kern w:val="2"/>
                      <w:sz w:val="21"/>
                      <w:szCs w:val="21"/>
                    </w:rPr>
                    <w:t>暂存于厂区</w:t>
                  </w:r>
                  <w:r>
                    <w:rPr>
                      <w:rFonts w:hint="eastAsia"/>
                      <w:kern w:val="2"/>
                      <w:sz w:val="21"/>
                      <w:szCs w:val="21"/>
                    </w:rPr>
                    <w:t>危险废物暂存间</w:t>
                  </w:r>
                  <w:r>
                    <w:rPr>
                      <w:kern w:val="2"/>
                      <w:sz w:val="21"/>
                      <w:szCs w:val="21"/>
                    </w:rPr>
                    <w:t>，</w:t>
                  </w:r>
                  <w:r>
                    <w:rPr>
                      <w:rFonts w:hint="eastAsia"/>
                      <w:kern w:val="2"/>
                      <w:sz w:val="21"/>
                      <w:szCs w:val="21"/>
                    </w:rPr>
                    <w:t>委托</w:t>
                  </w:r>
                  <w:r>
                    <w:rPr>
                      <w:kern w:val="2"/>
                      <w:sz w:val="21"/>
                      <w:szCs w:val="21"/>
                    </w:rPr>
                    <w:t>有资质的危险废物处置单位处置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66" w:type="dxa"/>
                  <w:tcBorders>
                    <w:tl2br w:val="nil"/>
                    <w:tr2bl w:val="nil"/>
                  </w:tcBorders>
                  <w:vAlign w:val="center"/>
                </w:tcPr>
                <w:p>
                  <w:pPr>
                    <w:adjustRightInd w:val="0"/>
                    <w:contextualSpacing/>
                    <w:jc w:val="center"/>
                    <w:rPr>
                      <w:szCs w:val="21"/>
                    </w:rPr>
                  </w:pPr>
                  <w:r>
                    <w:rPr>
                      <w:szCs w:val="21"/>
                    </w:rPr>
                    <w:t>2</w:t>
                  </w:r>
                </w:p>
              </w:tc>
              <w:tc>
                <w:tcPr>
                  <w:tcW w:w="1191" w:type="dxa"/>
                  <w:tcBorders>
                    <w:tl2br w:val="nil"/>
                    <w:tr2bl w:val="nil"/>
                  </w:tcBorders>
                  <w:vAlign w:val="center"/>
                </w:tcPr>
                <w:p>
                  <w:pPr>
                    <w:adjustRightInd w:val="0"/>
                    <w:contextualSpacing/>
                    <w:jc w:val="center"/>
                    <w:rPr>
                      <w:szCs w:val="21"/>
                    </w:rPr>
                  </w:pPr>
                  <w:r>
                    <w:rPr>
                      <w:szCs w:val="21"/>
                    </w:rPr>
                    <w:t>废油桶</w:t>
                  </w:r>
                </w:p>
              </w:tc>
              <w:tc>
                <w:tcPr>
                  <w:tcW w:w="642" w:type="dxa"/>
                  <w:tcBorders>
                    <w:tl2br w:val="nil"/>
                    <w:tr2bl w:val="nil"/>
                  </w:tcBorders>
                  <w:vAlign w:val="center"/>
                </w:tcPr>
                <w:p>
                  <w:pPr>
                    <w:adjustRightInd w:val="0"/>
                    <w:contextualSpacing/>
                    <w:jc w:val="center"/>
                    <w:rPr>
                      <w:szCs w:val="21"/>
                    </w:rPr>
                  </w:pPr>
                  <w:r>
                    <w:rPr>
                      <w:szCs w:val="21"/>
                    </w:rPr>
                    <w:t>HW08</w:t>
                  </w:r>
                </w:p>
              </w:tc>
              <w:tc>
                <w:tcPr>
                  <w:tcW w:w="1066" w:type="dxa"/>
                  <w:tcBorders>
                    <w:tl2br w:val="nil"/>
                    <w:tr2bl w:val="nil"/>
                  </w:tcBorders>
                  <w:vAlign w:val="center"/>
                </w:tcPr>
                <w:p>
                  <w:pPr>
                    <w:adjustRightInd w:val="0"/>
                    <w:contextualSpacing/>
                    <w:jc w:val="center"/>
                    <w:rPr>
                      <w:szCs w:val="21"/>
                    </w:rPr>
                  </w:pPr>
                  <w:r>
                    <w:rPr>
                      <w:szCs w:val="21"/>
                    </w:rPr>
                    <w:t>900-249-08</w:t>
                  </w:r>
                </w:p>
              </w:tc>
              <w:tc>
                <w:tcPr>
                  <w:tcW w:w="769" w:type="dxa"/>
                  <w:tcBorders>
                    <w:tl2br w:val="nil"/>
                    <w:tr2bl w:val="nil"/>
                  </w:tcBorders>
                  <w:vAlign w:val="center"/>
                </w:tcPr>
                <w:p>
                  <w:pPr>
                    <w:adjustRightInd w:val="0"/>
                    <w:contextualSpacing/>
                    <w:jc w:val="center"/>
                    <w:rPr>
                      <w:rFonts w:hint="eastAsia" w:eastAsia="宋体"/>
                      <w:szCs w:val="21"/>
                      <w:lang w:eastAsia="zh-CN"/>
                    </w:rPr>
                  </w:pPr>
                  <w:r>
                    <w:rPr>
                      <w:rFonts w:hint="eastAsia"/>
                      <w:szCs w:val="21"/>
                    </w:rPr>
                    <w:t>0.0</w:t>
                  </w:r>
                  <w:r>
                    <w:rPr>
                      <w:rFonts w:hint="eastAsia"/>
                      <w:szCs w:val="21"/>
                      <w:lang w:val="en-US" w:eastAsia="zh-CN"/>
                    </w:rPr>
                    <w:t>7</w:t>
                  </w:r>
                </w:p>
              </w:tc>
              <w:tc>
                <w:tcPr>
                  <w:tcW w:w="772" w:type="dxa"/>
                  <w:vMerge w:val="continue"/>
                  <w:tcBorders>
                    <w:tl2br w:val="nil"/>
                    <w:tr2bl w:val="nil"/>
                  </w:tcBorders>
                  <w:vAlign w:val="center"/>
                </w:tcPr>
                <w:p>
                  <w:pPr>
                    <w:adjustRightInd w:val="0"/>
                    <w:contextualSpacing/>
                    <w:jc w:val="center"/>
                    <w:rPr>
                      <w:szCs w:val="21"/>
                    </w:rPr>
                  </w:pPr>
                </w:p>
              </w:tc>
              <w:tc>
                <w:tcPr>
                  <w:tcW w:w="530" w:type="dxa"/>
                  <w:tcBorders>
                    <w:tl2br w:val="nil"/>
                    <w:tr2bl w:val="nil"/>
                  </w:tcBorders>
                  <w:vAlign w:val="center"/>
                </w:tcPr>
                <w:p>
                  <w:pPr>
                    <w:topLinePunct/>
                    <w:spacing w:line="0" w:lineRule="atLeast"/>
                    <w:jc w:val="center"/>
                    <w:rPr>
                      <w:spacing w:val="-23"/>
                      <w:szCs w:val="21"/>
                    </w:rPr>
                  </w:pPr>
                  <w:r>
                    <w:rPr>
                      <w:spacing w:val="-23"/>
                      <w:szCs w:val="21"/>
                    </w:rPr>
                    <w:t>固态</w:t>
                  </w:r>
                </w:p>
              </w:tc>
              <w:tc>
                <w:tcPr>
                  <w:tcW w:w="742" w:type="dxa"/>
                  <w:vMerge w:val="continue"/>
                  <w:tcBorders>
                    <w:tl2br w:val="nil"/>
                    <w:tr2bl w:val="nil"/>
                  </w:tcBorders>
                  <w:vAlign w:val="center"/>
                </w:tcPr>
                <w:p>
                  <w:pPr>
                    <w:adjustRightInd w:val="0"/>
                    <w:contextualSpacing/>
                    <w:jc w:val="center"/>
                    <w:rPr>
                      <w:szCs w:val="21"/>
                    </w:rPr>
                  </w:pPr>
                </w:p>
              </w:tc>
              <w:tc>
                <w:tcPr>
                  <w:tcW w:w="575" w:type="dxa"/>
                  <w:tcBorders>
                    <w:tl2br w:val="nil"/>
                    <w:tr2bl w:val="nil"/>
                  </w:tcBorders>
                  <w:vAlign w:val="center"/>
                </w:tcPr>
                <w:p>
                  <w:pPr>
                    <w:topLinePunct/>
                    <w:spacing w:line="0" w:lineRule="atLeast"/>
                    <w:jc w:val="center"/>
                    <w:rPr>
                      <w:spacing w:val="-23"/>
                      <w:szCs w:val="21"/>
                    </w:rPr>
                  </w:pPr>
                  <w:r>
                    <w:rPr>
                      <w:spacing w:val="-23"/>
                      <w:szCs w:val="21"/>
                    </w:rPr>
                    <w:t>T、I</w:t>
                  </w:r>
                </w:p>
              </w:tc>
              <w:tc>
                <w:tcPr>
                  <w:tcW w:w="1522" w:type="dxa"/>
                  <w:vMerge w:val="continue"/>
                  <w:tcBorders>
                    <w:tl2br w:val="nil"/>
                    <w:tr2bl w:val="nil"/>
                  </w:tcBorders>
                  <w:vAlign w:val="center"/>
                </w:tcPr>
                <w:p>
                  <w:pPr>
                    <w:spacing w:line="264" w:lineRule="auto"/>
                    <w:jc w:val="center"/>
                    <w:rPr>
                      <w:spacing w:val="-20"/>
                      <w:szCs w:val="21"/>
                    </w:rPr>
                  </w:pPr>
                </w:p>
              </w:tc>
            </w:tr>
          </w:tbl>
          <w:p>
            <w:pPr>
              <w:spacing w:line="480" w:lineRule="exact"/>
              <w:ind w:firstLine="480" w:firstLineChars="200"/>
              <w:rPr>
                <w:sz w:val="24"/>
              </w:rPr>
            </w:pPr>
            <w:r>
              <w:rPr>
                <w:sz w:val="24"/>
              </w:rPr>
              <w:t>②贮存场所环境影响分析</w:t>
            </w:r>
          </w:p>
          <w:p>
            <w:pPr>
              <w:spacing w:line="480" w:lineRule="exact"/>
              <w:ind w:firstLine="480" w:firstLineChars="200"/>
              <w:rPr>
                <w:sz w:val="24"/>
              </w:rPr>
            </w:pPr>
            <w:r>
              <w:rPr>
                <w:sz w:val="24"/>
              </w:rPr>
              <w:t>Ⅰ、贮存场所基本情况</w:t>
            </w:r>
          </w:p>
          <w:p>
            <w:pPr>
              <w:spacing w:line="480" w:lineRule="exact"/>
              <w:ind w:firstLine="480" w:firstLineChars="200"/>
              <w:rPr>
                <w:sz w:val="24"/>
              </w:rPr>
            </w:pPr>
            <w:r>
              <w:rPr>
                <w:sz w:val="24"/>
              </w:rPr>
              <w:t>危险废物暂存间位于厂区</w:t>
            </w:r>
            <w:r>
              <w:rPr>
                <w:rFonts w:hint="eastAsia"/>
                <w:sz w:val="24"/>
              </w:rPr>
              <w:t>东</w:t>
            </w:r>
            <w:r>
              <w:rPr>
                <w:sz w:val="24"/>
              </w:rPr>
              <w:t>侧，</w:t>
            </w:r>
            <w:r>
              <w:rPr>
                <w:rFonts w:hint="eastAsia"/>
                <w:sz w:val="24"/>
              </w:rPr>
              <w:t>危险废物暂存间占地面积为4m</w:t>
            </w:r>
            <w:r>
              <w:rPr>
                <w:rFonts w:hint="eastAsia"/>
                <w:sz w:val="24"/>
                <w:vertAlign w:val="superscript"/>
              </w:rPr>
              <w:t>2</w:t>
            </w:r>
            <w:r>
              <w:rPr>
                <w:rFonts w:hint="eastAsia"/>
                <w:sz w:val="24"/>
              </w:rPr>
              <w:t>，</w:t>
            </w:r>
            <w:r>
              <w:rPr>
                <w:sz w:val="24"/>
              </w:rPr>
              <w:t>危险废物在收集和贮存过程中按照《危险废物贮存污染控制标准》(GB18597-20</w:t>
            </w:r>
            <w:r>
              <w:rPr>
                <w:rFonts w:hint="eastAsia"/>
                <w:sz w:val="24"/>
              </w:rPr>
              <w:t>23</w:t>
            </w:r>
            <w:r>
              <w:rPr>
                <w:sz w:val="24"/>
              </w:rPr>
              <w:t>)相关要求张贴对应标签，包括危废类别、主要成分、危险情况、安全措施、数量等内容。项目危险废物贮存场所基本情况具体见表</w:t>
            </w:r>
            <w:r>
              <w:rPr>
                <w:rFonts w:hint="eastAsia"/>
                <w:sz w:val="24"/>
              </w:rPr>
              <w:t>4</w:t>
            </w:r>
            <w:r>
              <w:rPr>
                <w:rFonts w:hint="eastAsia"/>
                <w:sz w:val="24"/>
                <w:lang w:val="en-US" w:eastAsia="zh-CN"/>
              </w:rPr>
              <w:t>4</w:t>
            </w:r>
            <w:r>
              <w:rPr>
                <w:sz w:val="24"/>
              </w:rPr>
              <w:t xml:space="preserve">。 </w:t>
            </w:r>
          </w:p>
          <w:p>
            <w:pPr>
              <w:spacing w:line="480" w:lineRule="exact"/>
              <w:jc w:val="center"/>
              <w:rPr>
                <w:b/>
                <w:bCs/>
                <w:snapToGrid w:val="0"/>
                <w:sz w:val="24"/>
              </w:rPr>
            </w:pPr>
            <w:r>
              <w:rPr>
                <w:b/>
                <w:bCs/>
                <w:snapToGrid w:val="0"/>
                <w:sz w:val="24"/>
              </w:rPr>
              <w:t>表</w:t>
            </w:r>
            <w:r>
              <w:rPr>
                <w:rFonts w:hint="eastAsia"/>
                <w:b/>
                <w:bCs/>
                <w:snapToGrid w:val="0"/>
                <w:sz w:val="24"/>
              </w:rPr>
              <w:t>4</w:t>
            </w:r>
            <w:r>
              <w:rPr>
                <w:rFonts w:hint="eastAsia"/>
                <w:b/>
                <w:bCs/>
                <w:snapToGrid w:val="0"/>
                <w:sz w:val="24"/>
                <w:lang w:val="en-US" w:eastAsia="zh-CN"/>
              </w:rPr>
              <w:t>4</w:t>
            </w:r>
            <w:r>
              <w:rPr>
                <w:rFonts w:hint="eastAsia"/>
                <w:b/>
                <w:bCs/>
                <w:snapToGrid w:val="0"/>
                <w:sz w:val="24"/>
              </w:rPr>
              <w:t xml:space="preserve">  项目</w:t>
            </w:r>
            <w:r>
              <w:rPr>
                <w:b/>
                <w:bCs/>
                <w:snapToGrid w:val="0"/>
                <w:sz w:val="24"/>
              </w:rPr>
              <w:t>危险废物</w:t>
            </w:r>
            <w:r>
              <w:rPr>
                <w:rFonts w:hint="eastAsia"/>
                <w:b/>
                <w:bCs/>
                <w:snapToGrid w:val="0"/>
                <w:sz w:val="24"/>
              </w:rPr>
              <w:t>暂存间</w:t>
            </w:r>
            <w:r>
              <w:rPr>
                <w:b/>
                <w:bCs/>
                <w:snapToGrid w:val="0"/>
                <w:sz w:val="24"/>
              </w:rPr>
              <w:t>危废储存情况一览表</w:t>
            </w:r>
          </w:p>
          <w:tbl>
            <w:tblPr>
              <w:tblStyle w:val="32"/>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69"/>
              <w:gridCol w:w="1215"/>
              <w:gridCol w:w="685"/>
              <w:gridCol w:w="842"/>
              <w:gridCol w:w="846"/>
              <w:gridCol w:w="891"/>
              <w:gridCol w:w="715"/>
              <w:gridCol w:w="779"/>
              <w:gridCol w:w="7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5" w:hRule="atLeast"/>
                <w:jc w:val="center"/>
              </w:trPr>
              <w:tc>
                <w:tcPr>
                  <w:tcW w:w="554" w:type="pct"/>
                  <w:vAlign w:val="center"/>
                </w:tcPr>
                <w:p>
                  <w:pPr>
                    <w:adjustRightInd w:val="0"/>
                    <w:snapToGrid w:val="0"/>
                    <w:jc w:val="center"/>
                    <w:rPr>
                      <w:szCs w:val="21"/>
                    </w:rPr>
                  </w:pPr>
                  <w:r>
                    <w:rPr>
                      <w:rFonts w:hint="eastAsia"/>
                      <w:szCs w:val="21"/>
                    </w:rPr>
                    <w:t>来源</w:t>
                  </w:r>
                </w:p>
              </w:tc>
              <w:tc>
                <w:tcPr>
                  <w:tcW w:w="404" w:type="pct"/>
                  <w:vAlign w:val="center"/>
                </w:tcPr>
                <w:p>
                  <w:pPr>
                    <w:adjustRightInd w:val="0"/>
                    <w:snapToGrid w:val="0"/>
                    <w:jc w:val="center"/>
                    <w:rPr>
                      <w:szCs w:val="21"/>
                    </w:rPr>
                  </w:pPr>
                  <w:r>
                    <w:rPr>
                      <w:szCs w:val="21"/>
                    </w:rPr>
                    <w:t>危废名称</w:t>
                  </w:r>
                </w:p>
              </w:tc>
              <w:tc>
                <w:tcPr>
                  <w:tcW w:w="735" w:type="pct"/>
                  <w:vAlign w:val="center"/>
                </w:tcPr>
                <w:p>
                  <w:pPr>
                    <w:adjustRightInd w:val="0"/>
                    <w:snapToGrid w:val="0"/>
                    <w:jc w:val="center"/>
                    <w:rPr>
                      <w:szCs w:val="21"/>
                    </w:rPr>
                  </w:pPr>
                  <w:r>
                    <w:rPr>
                      <w:szCs w:val="21"/>
                    </w:rPr>
                    <w:t>危废类别</w:t>
                  </w:r>
                </w:p>
              </w:tc>
              <w:tc>
                <w:tcPr>
                  <w:tcW w:w="414" w:type="pct"/>
                  <w:vAlign w:val="center"/>
                </w:tcPr>
                <w:p>
                  <w:pPr>
                    <w:adjustRightInd w:val="0"/>
                    <w:snapToGrid w:val="0"/>
                    <w:jc w:val="center"/>
                    <w:rPr>
                      <w:szCs w:val="21"/>
                    </w:rPr>
                  </w:pPr>
                  <w:r>
                    <w:rPr>
                      <w:szCs w:val="21"/>
                    </w:rPr>
                    <w:t>危险特性</w:t>
                  </w:r>
                </w:p>
              </w:tc>
              <w:tc>
                <w:tcPr>
                  <w:tcW w:w="509" w:type="pct"/>
                  <w:vAlign w:val="center"/>
                </w:tcPr>
                <w:p>
                  <w:pPr>
                    <w:adjustRightInd w:val="0"/>
                    <w:snapToGrid w:val="0"/>
                    <w:jc w:val="center"/>
                    <w:rPr>
                      <w:szCs w:val="21"/>
                    </w:rPr>
                  </w:pPr>
                  <w:r>
                    <w:rPr>
                      <w:szCs w:val="21"/>
                    </w:rPr>
                    <w:t>包装方式</w:t>
                  </w:r>
                </w:p>
              </w:tc>
              <w:tc>
                <w:tcPr>
                  <w:tcW w:w="512" w:type="pct"/>
                  <w:vAlign w:val="center"/>
                </w:tcPr>
                <w:p>
                  <w:pPr>
                    <w:adjustRightInd w:val="0"/>
                    <w:snapToGrid w:val="0"/>
                    <w:jc w:val="center"/>
                    <w:rPr>
                      <w:szCs w:val="21"/>
                    </w:rPr>
                  </w:pPr>
                  <w:r>
                    <w:rPr>
                      <w:szCs w:val="21"/>
                    </w:rPr>
                    <w:t>年产生量</w:t>
                  </w:r>
                </w:p>
              </w:tc>
              <w:tc>
                <w:tcPr>
                  <w:tcW w:w="538" w:type="pct"/>
                  <w:vAlign w:val="center"/>
                </w:tcPr>
                <w:p>
                  <w:pPr>
                    <w:adjustRightInd w:val="0"/>
                    <w:snapToGrid w:val="0"/>
                    <w:jc w:val="center"/>
                    <w:rPr>
                      <w:szCs w:val="21"/>
                    </w:rPr>
                  </w:pPr>
                  <w:r>
                    <w:rPr>
                      <w:szCs w:val="21"/>
                    </w:rPr>
                    <w:t>最大储存量（t/a）</w:t>
                  </w:r>
                </w:p>
              </w:tc>
              <w:tc>
                <w:tcPr>
                  <w:tcW w:w="432" w:type="pct"/>
                  <w:vAlign w:val="center"/>
                </w:tcPr>
                <w:p>
                  <w:pPr>
                    <w:adjustRightInd w:val="0"/>
                    <w:snapToGrid w:val="0"/>
                    <w:jc w:val="center"/>
                    <w:rPr>
                      <w:szCs w:val="21"/>
                    </w:rPr>
                  </w:pPr>
                  <w:r>
                    <w:rPr>
                      <w:rFonts w:hint="eastAsia"/>
                      <w:szCs w:val="21"/>
                    </w:rPr>
                    <w:t>周转</w:t>
                  </w:r>
                  <w:r>
                    <w:rPr>
                      <w:szCs w:val="21"/>
                    </w:rPr>
                    <w:t>周期</w:t>
                  </w:r>
                </w:p>
              </w:tc>
              <w:tc>
                <w:tcPr>
                  <w:tcW w:w="471" w:type="pct"/>
                  <w:vAlign w:val="center"/>
                </w:tcPr>
                <w:p>
                  <w:pPr>
                    <w:adjustRightInd w:val="0"/>
                    <w:snapToGrid w:val="0"/>
                    <w:jc w:val="center"/>
                    <w:rPr>
                      <w:szCs w:val="21"/>
                    </w:rPr>
                  </w:pPr>
                  <w:r>
                    <w:rPr>
                      <w:rFonts w:hint="eastAsia"/>
                      <w:szCs w:val="21"/>
                    </w:rPr>
                    <w:t>转运情况</w:t>
                  </w:r>
                </w:p>
              </w:tc>
              <w:tc>
                <w:tcPr>
                  <w:tcW w:w="425" w:type="pct"/>
                  <w:vAlign w:val="center"/>
                </w:tcPr>
                <w:p>
                  <w:pPr>
                    <w:adjustRightInd w:val="0"/>
                    <w:snapToGrid w:val="0"/>
                    <w:jc w:val="center"/>
                    <w:rPr>
                      <w:szCs w:val="21"/>
                    </w:rPr>
                  </w:pPr>
                  <w:r>
                    <w:rPr>
                      <w:rFonts w:hint="eastAsia"/>
                      <w:szCs w:val="21"/>
                    </w:rPr>
                    <w:t>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restart"/>
                  <w:vAlign w:val="center"/>
                </w:tcPr>
                <w:p>
                  <w:pPr>
                    <w:adjustRightInd w:val="0"/>
                    <w:snapToGrid w:val="0"/>
                    <w:jc w:val="center"/>
                    <w:rPr>
                      <w:szCs w:val="21"/>
                    </w:rPr>
                  </w:pPr>
                  <w:r>
                    <w:rPr>
                      <w:rFonts w:hint="eastAsia"/>
                      <w:szCs w:val="21"/>
                    </w:rPr>
                    <w:t>生产设备维修及维护</w:t>
                  </w:r>
                </w:p>
              </w:tc>
              <w:tc>
                <w:tcPr>
                  <w:tcW w:w="404" w:type="pct"/>
                  <w:vAlign w:val="center"/>
                </w:tcPr>
                <w:p>
                  <w:pPr>
                    <w:adjustRightInd w:val="0"/>
                    <w:snapToGrid w:val="0"/>
                    <w:jc w:val="center"/>
                    <w:rPr>
                      <w:szCs w:val="21"/>
                    </w:rPr>
                  </w:pPr>
                  <w:r>
                    <w:rPr>
                      <w:szCs w:val="21"/>
                    </w:rPr>
                    <w:t>废</w:t>
                  </w:r>
                  <w:r>
                    <w:rPr>
                      <w:rFonts w:hint="eastAsia"/>
                      <w:szCs w:val="21"/>
                    </w:rPr>
                    <w:t>矿物</w:t>
                  </w:r>
                  <w:r>
                    <w:rPr>
                      <w:szCs w:val="21"/>
                    </w:rPr>
                    <w:t>油</w:t>
                  </w:r>
                </w:p>
              </w:tc>
              <w:tc>
                <w:tcPr>
                  <w:tcW w:w="735" w:type="pct"/>
                  <w:vAlign w:val="center"/>
                </w:tcPr>
                <w:p>
                  <w:pPr>
                    <w:adjustRightInd w:val="0"/>
                    <w:snapToGrid w:val="0"/>
                    <w:jc w:val="center"/>
                    <w:rPr>
                      <w:szCs w:val="21"/>
                    </w:rPr>
                  </w:pPr>
                  <w:r>
                    <w:rPr>
                      <w:szCs w:val="21"/>
                    </w:rPr>
                    <w:t>HW08</w:t>
                  </w:r>
                </w:p>
                <w:p>
                  <w:pPr>
                    <w:adjustRightInd w:val="0"/>
                    <w:snapToGrid w:val="0"/>
                    <w:jc w:val="center"/>
                    <w:rPr>
                      <w:szCs w:val="21"/>
                    </w:rPr>
                  </w:pPr>
                  <w:r>
                    <w:rPr>
                      <w:szCs w:val="21"/>
                    </w:rPr>
                    <w:t>900-2</w:t>
                  </w:r>
                  <w:r>
                    <w:rPr>
                      <w:rFonts w:hint="eastAsia"/>
                      <w:szCs w:val="21"/>
                    </w:rPr>
                    <w:t>49</w:t>
                  </w:r>
                  <w:r>
                    <w:rPr>
                      <w:szCs w:val="21"/>
                    </w:rPr>
                    <w:t>-08</w:t>
                  </w:r>
                </w:p>
              </w:tc>
              <w:tc>
                <w:tcPr>
                  <w:tcW w:w="414" w:type="pct"/>
                  <w:vAlign w:val="center"/>
                </w:tcPr>
                <w:p>
                  <w:pPr>
                    <w:adjustRightInd w:val="0"/>
                    <w:snapToGrid w:val="0"/>
                    <w:jc w:val="center"/>
                    <w:rPr>
                      <w:szCs w:val="21"/>
                    </w:rPr>
                  </w:pPr>
                  <w:r>
                    <w:rPr>
                      <w:szCs w:val="21"/>
                    </w:rPr>
                    <w:t>T,I</w:t>
                  </w:r>
                </w:p>
              </w:tc>
              <w:tc>
                <w:tcPr>
                  <w:tcW w:w="509" w:type="pct"/>
                  <w:vAlign w:val="center"/>
                </w:tcPr>
                <w:p>
                  <w:pPr>
                    <w:adjustRightInd w:val="0"/>
                    <w:snapToGrid w:val="0"/>
                    <w:jc w:val="center"/>
                    <w:rPr>
                      <w:szCs w:val="21"/>
                    </w:rPr>
                  </w:pPr>
                  <w:r>
                    <w:rPr>
                      <w:rFonts w:hint="eastAsia"/>
                      <w:szCs w:val="21"/>
                    </w:rPr>
                    <w:t>钢制</w:t>
                  </w:r>
                  <w:r>
                    <w:rPr>
                      <w:szCs w:val="21"/>
                    </w:rPr>
                    <w:t>桶装</w:t>
                  </w:r>
                </w:p>
              </w:tc>
              <w:tc>
                <w:tcPr>
                  <w:tcW w:w="512" w:type="pct"/>
                  <w:vAlign w:val="center"/>
                </w:tcPr>
                <w:p>
                  <w:pPr>
                    <w:adjustRightInd w:val="0"/>
                    <w:snapToGrid w:val="0"/>
                    <w:jc w:val="center"/>
                    <w:rPr>
                      <w:szCs w:val="21"/>
                    </w:rPr>
                  </w:pPr>
                  <w:r>
                    <w:rPr>
                      <w:rFonts w:hint="eastAsia"/>
                      <w:szCs w:val="21"/>
                    </w:rPr>
                    <w:t>0.1</w:t>
                  </w:r>
                  <w:r>
                    <w:rPr>
                      <w:rFonts w:hint="eastAsia"/>
                      <w:szCs w:val="21"/>
                      <w:lang w:val="en-US" w:eastAsia="zh-CN"/>
                    </w:rPr>
                    <w:t>5</w:t>
                  </w:r>
                  <w:r>
                    <w:rPr>
                      <w:szCs w:val="21"/>
                    </w:rPr>
                    <w:t>t/a</w:t>
                  </w:r>
                </w:p>
              </w:tc>
              <w:tc>
                <w:tcPr>
                  <w:tcW w:w="538" w:type="pct"/>
                  <w:vAlign w:val="center"/>
                </w:tcPr>
                <w:p>
                  <w:pPr>
                    <w:adjustRightInd w:val="0"/>
                    <w:snapToGrid w:val="0"/>
                    <w:jc w:val="center"/>
                    <w:rPr>
                      <w:szCs w:val="21"/>
                    </w:rPr>
                  </w:pPr>
                  <w:r>
                    <w:rPr>
                      <w:rFonts w:hint="eastAsia"/>
                      <w:szCs w:val="21"/>
                    </w:rPr>
                    <w:t>0.1</w:t>
                  </w:r>
                  <w:r>
                    <w:rPr>
                      <w:rFonts w:hint="eastAsia"/>
                      <w:szCs w:val="21"/>
                      <w:lang w:val="en-US" w:eastAsia="zh-CN"/>
                    </w:rPr>
                    <w:t>5</w:t>
                  </w:r>
                  <w:r>
                    <w:rPr>
                      <w:szCs w:val="21"/>
                    </w:rPr>
                    <w:t>t/a</w:t>
                  </w:r>
                </w:p>
              </w:tc>
              <w:tc>
                <w:tcPr>
                  <w:tcW w:w="432" w:type="pct"/>
                  <w:vAlign w:val="center"/>
                </w:tcPr>
                <w:p>
                  <w:pPr>
                    <w:adjustRightInd w:val="0"/>
                    <w:snapToGrid w:val="0"/>
                    <w:jc w:val="center"/>
                    <w:rPr>
                      <w:szCs w:val="21"/>
                    </w:rPr>
                  </w:pPr>
                  <w:r>
                    <w:rPr>
                      <w:rFonts w:hint="eastAsia"/>
                      <w:szCs w:val="21"/>
                    </w:rPr>
                    <w:t>300d</w:t>
                  </w:r>
                </w:p>
              </w:tc>
              <w:tc>
                <w:tcPr>
                  <w:tcW w:w="471" w:type="pct"/>
                  <w:vAlign w:val="center"/>
                </w:tcPr>
                <w:p>
                  <w:pPr>
                    <w:adjustRightInd w:val="0"/>
                    <w:snapToGrid w:val="0"/>
                    <w:jc w:val="center"/>
                    <w:rPr>
                      <w:szCs w:val="21"/>
                    </w:rPr>
                  </w:pPr>
                  <w:r>
                    <w:rPr>
                      <w:rFonts w:hint="eastAsia"/>
                      <w:szCs w:val="21"/>
                    </w:rPr>
                    <w:t>1次/a</w:t>
                  </w:r>
                </w:p>
              </w:tc>
              <w:tc>
                <w:tcPr>
                  <w:tcW w:w="425" w:type="pct"/>
                  <w:vMerge w:val="restart"/>
                  <w:vAlign w:val="center"/>
                </w:tcPr>
                <w:p>
                  <w:pPr>
                    <w:adjustRightInd w:val="0"/>
                    <w:snapToGrid w:val="0"/>
                    <w:jc w:val="center"/>
                    <w:rPr>
                      <w:szCs w:val="21"/>
                    </w:rPr>
                  </w:pPr>
                  <w:r>
                    <w:rPr>
                      <w:rFonts w:hint="eastAsia"/>
                      <w:szCs w:val="21"/>
                    </w:rPr>
                    <w:t>具有相应资质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continue"/>
                  <w:vAlign w:val="center"/>
                </w:tcPr>
                <w:p>
                  <w:pPr>
                    <w:adjustRightInd w:val="0"/>
                    <w:snapToGrid w:val="0"/>
                    <w:jc w:val="center"/>
                    <w:rPr>
                      <w:szCs w:val="21"/>
                    </w:rPr>
                  </w:pPr>
                </w:p>
              </w:tc>
              <w:tc>
                <w:tcPr>
                  <w:tcW w:w="404" w:type="pct"/>
                  <w:vAlign w:val="center"/>
                </w:tcPr>
                <w:p>
                  <w:pPr>
                    <w:adjustRightInd w:val="0"/>
                    <w:snapToGrid w:val="0"/>
                    <w:jc w:val="center"/>
                    <w:rPr>
                      <w:szCs w:val="21"/>
                    </w:rPr>
                  </w:pPr>
                  <w:r>
                    <w:rPr>
                      <w:szCs w:val="21"/>
                    </w:rPr>
                    <w:t>废油桶</w:t>
                  </w:r>
                </w:p>
              </w:tc>
              <w:tc>
                <w:tcPr>
                  <w:tcW w:w="735" w:type="pct"/>
                  <w:vAlign w:val="center"/>
                </w:tcPr>
                <w:p>
                  <w:pPr>
                    <w:adjustRightInd w:val="0"/>
                    <w:snapToGrid w:val="0"/>
                    <w:jc w:val="center"/>
                    <w:rPr>
                      <w:szCs w:val="21"/>
                    </w:rPr>
                  </w:pPr>
                  <w:r>
                    <w:rPr>
                      <w:szCs w:val="21"/>
                    </w:rPr>
                    <w:t>HW</w:t>
                  </w:r>
                  <w:r>
                    <w:rPr>
                      <w:rFonts w:hint="eastAsia"/>
                      <w:szCs w:val="21"/>
                    </w:rPr>
                    <w:t>08</w:t>
                  </w:r>
                </w:p>
                <w:p>
                  <w:pPr>
                    <w:adjustRightInd w:val="0"/>
                    <w:snapToGrid w:val="0"/>
                    <w:jc w:val="center"/>
                    <w:rPr>
                      <w:szCs w:val="21"/>
                    </w:rPr>
                  </w:pPr>
                  <w:r>
                    <w:rPr>
                      <w:szCs w:val="21"/>
                    </w:rPr>
                    <w:t>900-</w:t>
                  </w:r>
                  <w:r>
                    <w:rPr>
                      <w:rFonts w:hint="eastAsia"/>
                      <w:szCs w:val="21"/>
                    </w:rPr>
                    <w:t>249</w:t>
                  </w:r>
                  <w:r>
                    <w:rPr>
                      <w:szCs w:val="21"/>
                    </w:rPr>
                    <w:t>-</w:t>
                  </w:r>
                  <w:r>
                    <w:rPr>
                      <w:rFonts w:hint="eastAsia"/>
                      <w:szCs w:val="21"/>
                    </w:rPr>
                    <w:t>08</w:t>
                  </w:r>
                </w:p>
              </w:tc>
              <w:tc>
                <w:tcPr>
                  <w:tcW w:w="414" w:type="pct"/>
                  <w:vAlign w:val="center"/>
                </w:tcPr>
                <w:p>
                  <w:pPr>
                    <w:adjustRightInd w:val="0"/>
                    <w:snapToGrid w:val="0"/>
                    <w:jc w:val="center"/>
                    <w:rPr>
                      <w:szCs w:val="21"/>
                    </w:rPr>
                  </w:pPr>
                  <w:r>
                    <w:rPr>
                      <w:szCs w:val="21"/>
                    </w:rPr>
                    <w:t>T,I</w:t>
                  </w:r>
                </w:p>
              </w:tc>
              <w:tc>
                <w:tcPr>
                  <w:tcW w:w="509" w:type="pct"/>
                  <w:vAlign w:val="center"/>
                </w:tcPr>
                <w:p>
                  <w:pPr>
                    <w:adjustRightInd w:val="0"/>
                    <w:snapToGrid w:val="0"/>
                    <w:jc w:val="center"/>
                    <w:rPr>
                      <w:szCs w:val="21"/>
                    </w:rPr>
                  </w:pPr>
                  <w:r>
                    <w:rPr>
                      <w:rFonts w:hint="eastAsia"/>
                      <w:szCs w:val="21"/>
                    </w:rPr>
                    <w:t>-</w:t>
                  </w:r>
                </w:p>
              </w:tc>
              <w:tc>
                <w:tcPr>
                  <w:tcW w:w="512" w:type="pct"/>
                  <w:vAlign w:val="center"/>
                </w:tcPr>
                <w:p>
                  <w:pPr>
                    <w:adjustRightInd w:val="0"/>
                    <w:snapToGrid w:val="0"/>
                    <w:jc w:val="center"/>
                    <w:rPr>
                      <w:szCs w:val="21"/>
                    </w:rPr>
                  </w:pPr>
                  <w:r>
                    <w:rPr>
                      <w:rFonts w:hint="eastAsia"/>
                      <w:szCs w:val="21"/>
                    </w:rPr>
                    <w:t>0.0</w:t>
                  </w:r>
                  <w:r>
                    <w:rPr>
                      <w:rFonts w:hint="eastAsia"/>
                      <w:szCs w:val="21"/>
                      <w:lang w:val="en-US" w:eastAsia="zh-CN"/>
                    </w:rPr>
                    <w:t>7</w:t>
                  </w:r>
                  <w:r>
                    <w:rPr>
                      <w:rFonts w:hint="eastAsia"/>
                      <w:szCs w:val="21"/>
                    </w:rPr>
                    <w:t>t</w:t>
                  </w:r>
                  <w:r>
                    <w:rPr>
                      <w:szCs w:val="21"/>
                    </w:rPr>
                    <w:t>/a</w:t>
                  </w:r>
                </w:p>
              </w:tc>
              <w:tc>
                <w:tcPr>
                  <w:tcW w:w="538" w:type="pct"/>
                  <w:vAlign w:val="center"/>
                </w:tcPr>
                <w:p>
                  <w:pPr>
                    <w:adjustRightInd w:val="0"/>
                    <w:snapToGrid w:val="0"/>
                    <w:jc w:val="center"/>
                    <w:rPr>
                      <w:szCs w:val="21"/>
                    </w:rPr>
                  </w:pPr>
                  <w:r>
                    <w:rPr>
                      <w:rFonts w:hint="eastAsia"/>
                      <w:szCs w:val="21"/>
                      <w:lang w:eastAsia="zh-CN"/>
                    </w:rPr>
                    <w:t>0.07</w:t>
                  </w:r>
                  <w:r>
                    <w:rPr>
                      <w:rFonts w:hint="eastAsia"/>
                      <w:szCs w:val="21"/>
                    </w:rPr>
                    <w:t>t</w:t>
                  </w:r>
                  <w:r>
                    <w:rPr>
                      <w:szCs w:val="21"/>
                    </w:rPr>
                    <w:t>/a</w:t>
                  </w:r>
                </w:p>
              </w:tc>
              <w:tc>
                <w:tcPr>
                  <w:tcW w:w="432" w:type="pct"/>
                  <w:vAlign w:val="center"/>
                </w:tcPr>
                <w:p>
                  <w:pPr>
                    <w:adjustRightInd w:val="0"/>
                    <w:snapToGrid w:val="0"/>
                    <w:jc w:val="center"/>
                    <w:rPr>
                      <w:szCs w:val="21"/>
                    </w:rPr>
                  </w:pPr>
                  <w:r>
                    <w:rPr>
                      <w:rFonts w:hint="eastAsia"/>
                      <w:szCs w:val="21"/>
                    </w:rPr>
                    <w:t>300d</w:t>
                  </w:r>
                </w:p>
              </w:tc>
              <w:tc>
                <w:tcPr>
                  <w:tcW w:w="471" w:type="pct"/>
                  <w:vAlign w:val="center"/>
                </w:tcPr>
                <w:p>
                  <w:pPr>
                    <w:adjustRightInd w:val="0"/>
                    <w:snapToGrid w:val="0"/>
                    <w:jc w:val="center"/>
                    <w:rPr>
                      <w:szCs w:val="21"/>
                    </w:rPr>
                  </w:pPr>
                  <w:r>
                    <w:rPr>
                      <w:rFonts w:hint="eastAsia"/>
                      <w:szCs w:val="21"/>
                    </w:rPr>
                    <w:t>1次/a</w:t>
                  </w:r>
                </w:p>
              </w:tc>
              <w:tc>
                <w:tcPr>
                  <w:tcW w:w="425" w:type="pct"/>
                  <w:vMerge w:val="continue"/>
                  <w:vAlign w:val="center"/>
                </w:tcPr>
                <w:p>
                  <w:pPr>
                    <w:adjustRightInd w:val="0"/>
                    <w:snapToGrid w:val="0"/>
                    <w:jc w:val="center"/>
                    <w:rPr>
                      <w:szCs w:val="21"/>
                    </w:rPr>
                  </w:pPr>
                </w:p>
              </w:tc>
            </w:tr>
          </w:tbl>
          <w:p>
            <w:pPr>
              <w:rPr>
                <w:spacing w:val="-2"/>
                <w:szCs w:val="21"/>
              </w:rPr>
            </w:pPr>
            <w:r>
              <w:rPr>
                <w:spacing w:val="-2"/>
                <w:szCs w:val="21"/>
              </w:rPr>
              <w:t>注：</w:t>
            </w:r>
            <w:r>
              <w:rPr>
                <w:rFonts w:hint="eastAsia"/>
                <w:spacing w:val="-2"/>
                <w:szCs w:val="21"/>
              </w:rPr>
              <w:t>最大储存量通过转运周期换算而来</w:t>
            </w:r>
          </w:p>
          <w:p>
            <w:pPr>
              <w:spacing w:line="480" w:lineRule="exact"/>
              <w:ind w:firstLine="480" w:firstLineChars="200"/>
              <w:rPr>
                <w:sz w:val="24"/>
              </w:rPr>
            </w:pPr>
            <w:r>
              <w:rPr>
                <w:sz w:val="24"/>
              </w:rPr>
              <w:t>Ⅱ、危险废物贮存能力环境影响分析</w:t>
            </w:r>
          </w:p>
          <w:p>
            <w:pPr>
              <w:spacing w:line="480" w:lineRule="exact"/>
              <w:ind w:firstLine="480" w:firstLineChars="200"/>
              <w:rPr>
                <w:sz w:val="24"/>
              </w:rPr>
            </w:pPr>
            <w:r>
              <w:rPr>
                <w:rFonts w:hint="eastAsia"/>
                <w:bCs/>
                <w:sz w:val="24"/>
              </w:rPr>
              <w:t>厂区</w:t>
            </w:r>
            <w:r>
              <w:rPr>
                <w:sz w:val="24"/>
              </w:rPr>
              <w:t>危险废物暂存间位于</w:t>
            </w:r>
            <w:r>
              <w:rPr>
                <w:rFonts w:hint="eastAsia"/>
                <w:sz w:val="24"/>
              </w:rPr>
              <w:t>生产车间内</w:t>
            </w:r>
            <w:r>
              <w:rPr>
                <w:rFonts w:hint="eastAsia"/>
                <w:sz w:val="24"/>
                <w:lang w:val="en-US" w:eastAsia="zh-CN"/>
              </w:rPr>
              <w:t>西南</w:t>
            </w:r>
            <w:r>
              <w:rPr>
                <w:rFonts w:hint="eastAsia"/>
                <w:sz w:val="24"/>
              </w:rPr>
              <w:t>角</w:t>
            </w:r>
            <w:r>
              <w:rPr>
                <w:sz w:val="24"/>
              </w:rPr>
              <w:t>，占地面积为</w:t>
            </w:r>
            <w:r>
              <w:rPr>
                <w:rFonts w:hint="eastAsia"/>
                <w:sz w:val="24"/>
              </w:rPr>
              <w:t>4</w:t>
            </w:r>
            <w:r>
              <w:rPr>
                <w:sz w:val="24"/>
              </w:rPr>
              <w:t>m</w:t>
            </w:r>
            <w:r>
              <w:rPr>
                <w:sz w:val="24"/>
                <w:vertAlign w:val="superscript"/>
              </w:rPr>
              <w:t>2</w:t>
            </w:r>
            <w:r>
              <w:rPr>
                <w:sz w:val="24"/>
              </w:rPr>
              <w:t>，项目产生少量废矿物油和废油桶，危废间存储面积可以满足危险废物存储需求。</w:t>
            </w:r>
            <w:r>
              <w:rPr>
                <w:rFonts w:hint="eastAsia"/>
                <w:sz w:val="24"/>
              </w:rPr>
              <w:t>危险废物暂存间</w:t>
            </w:r>
            <w:r>
              <w:rPr>
                <w:sz w:val="24"/>
              </w:rPr>
              <w:t>按照《危险废物贮存污染控制标准》(GB18597-20</w:t>
            </w:r>
            <w:r>
              <w:rPr>
                <w:rFonts w:hint="eastAsia"/>
                <w:sz w:val="24"/>
              </w:rPr>
              <w:t>23</w:t>
            </w:r>
            <w:r>
              <w:rPr>
                <w:sz w:val="24"/>
              </w:rPr>
              <w:t>)的相关要求采取防火、防雨、防渗处理，设有防渗透、防溢流围堰，配有消防栓、消防沙等消防应急物资，并设立危险废物警示标志，由专人进行管理，并建有危险废物排放量及处置记录等，</w:t>
            </w:r>
            <w:r>
              <w:rPr>
                <w:rFonts w:hint="eastAsia"/>
                <w:sz w:val="24"/>
              </w:rPr>
              <w:t>危险废物暂存间</w:t>
            </w:r>
            <w:r>
              <w:rPr>
                <w:sz w:val="24"/>
              </w:rPr>
              <w:t>的地面和四周裙角均需进行防渗处理，保证防渗层渗透系数小于等于1×10</w:t>
            </w:r>
            <w:r>
              <w:rPr>
                <w:sz w:val="24"/>
                <w:vertAlign w:val="superscript"/>
              </w:rPr>
              <w:t>-10</w:t>
            </w:r>
            <w:r>
              <w:rPr>
                <w:sz w:val="24"/>
              </w:rPr>
              <w:t>cm/s。</w:t>
            </w:r>
          </w:p>
          <w:p>
            <w:pPr>
              <w:spacing w:line="480" w:lineRule="exact"/>
              <w:ind w:firstLine="480" w:firstLineChars="200"/>
              <w:rPr>
                <w:sz w:val="24"/>
              </w:rPr>
            </w:pPr>
            <w:r>
              <w:rPr>
                <w:rFonts w:hint="eastAsia"/>
                <w:sz w:val="24"/>
              </w:rPr>
              <w:t>③</w:t>
            </w:r>
            <w:r>
              <w:rPr>
                <w:sz w:val="24"/>
              </w:rPr>
              <w:t>运输过程影响分析</w:t>
            </w:r>
          </w:p>
          <w:p>
            <w:pPr>
              <w:spacing w:line="480" w:lineRule="exact"/>
              <w:ind w:firstLine="480" w:firstLineChars="200"/>
              <w:rPr>
                <w:sz w:val="24"/>
              </w:rPr>
            </w:pPr>
            <w:r>
              <w:rPr>
                <w:sz w:val="24"/>
              </w:rPr>
              <w:t>厂区产生的危险废物经收集后通过运至危险废物暂存间贮存，运输</w:t>
            </w:r>
            <w:r>
              <w:rPr>
                <w:rFonts w:hint="eastAsia"/>
                <w:sz w:val="24"/>
              </w:rPr>
              <w:t>路线</w:t>
            </w:r>
            <w:r>
              <w:rPr>
                <w:sz w:val="24"/>
              </w:rPr>
              <w:t>较短，且路线不经过办公区等人员密集区，转运结束后及时对转运路线进行检查和清理，确保无危险废物散落或泄漏在转运路线上。危险废物运输过程中全部采用密闭容器储存，正常情况下不会发生散落或泄漏，同时本项目</w:t>
            </w:r>
            <w:r>
              <w:rPr>
                <w:rFonts w:hint="eastAsia"/>
                <w:sz w:val="24"/>
              </w:rPr>
              <w:t>车间内全部硬化</w:t>
            </w:r>
            <w:r>
              <w:rPr>
                <w:sz w:val="24"/>
              </w:rPr>
              <w:t xml:space="preserve">，可有效阻止泄漏后危险废物的下渗，因此危险废物在运输过程中发生散落或泄漏时，及时清理，不会对周边环境产生明显影响。 </w:t>
            </w:r>
          </w:p>
          <w:p>
            <w:pPr>
              <w:spacing w:line="480" w:lineRule="exact"/>
              <w:ind w:firstLine="480" w:firstLineChars="200"/>
              <w:rPr>
                <w:rFonts w:ascii="宋体" w:hAnsi="宋体" w:cs="宋体"/>
                <w:sz w:val="24"/>
              </w:rPr>
            </w:pPr>
            <w:r>
              <w:rPr>
                <w:rFonts w:hint="eastAsia" w:ascii="宋体" w:hAnsi="宋体" w:cs="宋体"/>
                <w:sz w:val="24"/>
              </w:rPr>
              <w:t xml:space="preserve">④委托处置的环境影响分析 </w:t>
            </w:r>
          </w:p>
          <w:p>
            <w:pPr>
              <w:spacing w:line="480" w:lineRule="exact"/>
              <w:ind w:firstLine="480" w:firstLineChars="200"/>
              <w:rPr>
                <w:rFonts w:ascii="宋体" w:hAnsi="宋体" w:cs="宋体"/>
                <w:sz w:val="24"/>
              </w:rPr>
            </w:pPr>
            <w:r>
              <w:rPr>
                <w:sz w:val="24"/>
              </w:rPr>
              <w:t>项目产生的危险废物中废矿物油</w:t>
            </w:r>
            <w:r>
              <w:rPr>
                <w:rFonts w:hint="eastAsia"/>
                <w:sz w:val="24"/>
              </w:rPr>
              <w:t>、废油桶</w:t>
            </w:r>
            <w:r>
              <w:rPr>
                <w:sz w:val="24"/>
              </w:rPr>
              <w:t>委托</w:t>
            </w:r>
            <w:r>
              <w:rPr>
                <w:rFonts w:hint="eastAsia"/>
                <w:sz w:val="24"/>
              </w:rPr>
              <w:t>有资质单位处理</w:t>
            </w:r>
            <w:r>
              <w:rPr>
                <w:sz w:val="24"/>
              </w:rPr>
              <w:t>处理，危险废物处置单位危险废物经营许可范围</w:t>
            </w:r>
            <w:r>
              <w:rPr>
                <w:rFonts w:hint="eastAsia"/>
                <w:sz w:val="24"/>
              </w:rPr>
              <w:t>应</w:t>
            </w:r>
            <w:r>
              <w:rPr>
                <w:sz w:val="24"/>
              </w:rPr>
              <w:t>包含项目危险废物类别，</w:t>
            </w:r>
            <w:r>
              <w:rPr>
                <w:rFonts w:hint="eastAsia"/>
                <w:sz w:val="24"/>
              </w:rPr>
              <w:t>且许可证在有效期范围内，满足上述要求后，</w:t>
            </w:r>
            <w:r>
              <w:rPr>
                <w:sz w:val="24"/>
              </w:rPr>
              <w:t>能够满足委托处置要求，不会对周边环境产生明显影响。</w:t>
            </w:r>
          </w:p>
          <w:p>
            <w:pPr>
              <w:spacing w:line="480" w:lineRule="exact"/>
              <w:ind w:firstLine="480" w:firstLineChars="200"/>
              <w:rPr>
                <w:sz w:val="24"/>
              </w:rPr>
            </w:pPr>
            <w:r>
              <w:rPr>
                <w:sz w:val="24"/>
              </w:rPr>
              <w:t>（2）环境管理要求</w:t>
            </w:r>
          </w:p>
          <w:p>
            <w:pPr>
              <w:tabs>
                <w:tab w:val="left" w:pos="6520"/>
              </w:tabs>
              <w:spacing w:line="480" w:lineRule="exact"/>
              <w:ind w:firstLine="480" w:firstLineChars="200"/>
              <w:rPr>
                <w:sz w:val="24"/>
              </w:rPr>
            </w:pPr>
            <w:r>
              <w:rPr>
                <w:sz w:val="24"/>
              </w:rPr>
              <w:t>①一般固废环境管理要求</w:t>
            </w:r>
          </w:p>
          <w:p>
            <w:pPr>
              <w:tabs>
                <w:tab w:val="left" w:pos="6520"/>
              </w:tabs>
              <w:spacing w:line="480" w:lineRule="exact"/>
              <w:ind w:firstLine="480" w:firstLineChars="200"/>
              <w:rPr>
                <w:sz w:val="24"/>
              </w:rPr>
            </w:pPr>
            <w:r>
              <w:rPr>
                <w:sz w:val="24"/>
              </w:rPr>
              <w:t>项目产生的一般固废</w:t>
            </w:r>
            <w:r>
              <w:rPr>
                <w:rFonts w:hint="eastAsia"/>
                <w:sz w:val="24"/>
              </w:rPr>
              <w:t>集中</w:t>
            </w:r>
            <w:r>
              <w:rPr>
                <w:sz w:val="24"/>
              </w:rPr>
              <w:t>收集后暂存于</w:t>
            </w:r>
            <w:r>
              <w:rPr>
                <w:rFonts w:hint="eastAsia"/>
                <w:sz w:val="24"/>
              </w:rPr>
              <w:t>生产车间内部</w:t>
            </w:r>
            <w:r>
              <w:rPr>
                <w:sz w:val="24"/>
              </w:rPr>
              <w:t>一般工业固废暂存</w:t>
            </w:r>
            <w:r>
              <w:rPr>
                <w:rFonts w:hint="eastAsia"/>
                <w:sz w:val="24"/>
              </w:rPr>
              <w:t>区</w:t>
            </w:r>
            <w:r>
              <w:rPr>
                <w:sz w:val="24"/>
              </w:rPr>
              <w:t>。</w:t>
            </w:r>
          </w:p>
          <w:p>
            <w:pPr>
              <w:tabs>
                <w:tab w:val="left" w:pos="6520"/>
              </w:tabs>
              <w:spacing w:line="480" w:lineRule="exact"/>
              <w:ind w:firstLine="480" w:firstLineChars="200"/>
              <w:rPr>
                <w:sz w:val="24"/>
              </w:rPr>
            </w:pPr>
            <w:r>
              <w:rPr>
                <w:sz w:val="24"/>
              </w:rPr>
              <w:t>一般固废暂存满足以下要求：</w:t>
            </w:r>
          </w:p>
          <w:p>
            <w:pPr>
              <w:tabs>
                <w:tab w:val="left" w:pos="6520"/>
              </w:tabs>
              <w:spacing w:line="480" w:lineRule="exact"/>
              <w:ind w:firstLine="480" w:firstLineChars="200"/>
              <w:rPr>
                <w:sz w:val="24"/>
              </w:rPr>
            </w:pPr>
            <w:r>
              <w:rPr>
                <w:sz w:val="24"/>
              </w:rPr>
              <w:t>为防止一般工业固体废物在厂内临时存储过程中对环境产生污染影响</w:t>
            </w:r>
            <w:r>
              <w:rPr>
                <w:rFonts w:hint="eastAsia"/>
                <w:sz w:val="24"/>
              </w:rPr>
              <w:t>，</w:t>
            </w:r>
            <w:r>
              <w:rPr>
                <w:sz w:val="24"/>
              </w:rPr>
              <w:t>厂内一般固体废弃物应按规定设置一般工业固体废物临时贮存场所，并专人负责固体废物的收集、贮存，同时配合地方要求进行集中处置。一般工业固体废物贮存应满足以下要求：</w:t>
            </w:r>
          </w:p>
          <w:p>
            <w:pPr>
              <w:tabs>
                <w:tab w:val="left" w:pos="6520"/>
              </w:tabs>
              <w:spacing w:line="480" w:lineRule="exact"/>
              <w:ind w:firstLine="480" w:firstLineChars="200"/>
              <w:rPr>
                <w:sz w:val="24"/>
              </w:rPr>
            </w:pPr>
            <w:r>
              <w:rPr>
                <w:sz w:val="24"/>
              </w:rPr>
              <w:t>1)加强监督管理，贮存场所设置环境保护图形标志；</w:t>
            </w:r>
          </w:p>
          <w:p>
            <w:pPr>
              <w:tabs>
                <w:tab w:val="left" w:pos="6520"/>
              </w:tabs>
              <w:spacing w:line="480" w:lineRule="exact"/>
              <w:ind w:firstLine="480" w:firstLineChars="200"/>
              <w:rPr>
                <w:sz w:val="24"/>
              </w:rPr>
            </w:pPr>
            <w:r>
              <w:rPr>
                <w:sz w:val="24"/>
              </w:rPr>
              <w:t>2)一般工业固体废物贮存，禁止危险废物和生活垃圾混入；</w:t>
            </w:r>
          </w:p>
          <w:p>
            <w:pPr>
              <w:tabs>
                <w:tab w:val="left" w:pos="6520"/>
              </w:tabs>
              <w:spacing w:line="480" w:lineRule="exact"/>
              <w:ind w:firstLine="480" w:firstLineChars="200"/>
              <w:rPr>
                <w:sz w:val="24"/>
              </w:rPr>
            </w:pPr>
            <w:r>
              <w:rPr>
                <w:sz w:val="24"/>
              </w:rPr>
              <w:t>3)一般工业固体废物贮存过程应满足相应防渗漏、防雨淋、防扬尘等环境保护要求；</w:t>
            </w:r>
          </w:p>
          <w:p>
            <w:pPr>
              <w:tabs>
                <w:tab w:val="left" w:pos="6520"/>
              </w:tabs>
              <w:spacing w:line="480" w:lineRule="exact"/>
              <w:ind w:firstLine="480" w:firstLineChars="200"/>
              <w:rPr>
                <w:sz w:val="24"/>
              </w:rPr>
            </w:pPr>
            <w:r>
              <w:rPr>
                <w:rFonts w:hint="eastAsia"/>
                <w:sz w:val="24"/>
              </w:rPr>
              <w:t>4</w:t>
            </w:r>
            <w:r>
              <w:rPr>
                <w:sz w:val="24"/>
              </w:rPr>
              <w:t>)应建立检查维护制度；</w:t>
            </w:r>
          </w:p>
          <w:p>
            <w:pPr>
              <w:tabs>
                <w:tab w:val="left" w:pos="6520"/>
              </w:tabs>
              <w:spacing w:line="480" w:lineRule="exact"/>
              <w:ind w:firstLine="480" w:firstLineChars="200"/>
              <w:rPr>
                <w:sz w:val="24"/>
              </w:rPr>
            </w:pPr>
            <w:r>
              <w:rPr>
                <w:rFonts w:hint="eastAsia"/>
                <w:sz w:val="24"/>
              </w:rPr>
              <w:t>5</w:t>
            </w:r>
            <w:r>
              <w:rPr>
                <w:sz w:val="24"/>
              </w:rPr>
              <w:t>)应建立档案制度，应将一般工业固体废物的种类和数量等资料详细记录在案，长期保存，供随时查阅。</w:t>
            </w:r>
          </w:p>
          <w:p>
            <w:pPr>
              <w:tabs>
                <w:tab w:val="left" w:pos="6520"/>
              </w:tabs>
              <w:spacing w:line="480" w:lineRule="exact"/>
              <w:ind w:firstLine="480" w:firstLineChars="200"/>
              <w:rPr>
                <w:sz w:val="24"/>
              </w:rPr>
            </w:pPr>
            <w:r>
              <w:rPr>
                <w:sz w:val="24"/>
              </w:rPr>
              <w:t>②危险废物环境管理要求</w:t>
            </w:r>
          </w:p>
          <w:p>
            <w:pPr>
              <w:tabs>
                <w:tab w:val="left" w:pos="6520"/>
              </w:tabs>
              <w:spacing w:line="480" w:lineRule="exact"/>
              <w:ind w:firstLine="480" w:firstLineChars="200"/>
              <w:rPr>
                <w:sz w:val="24"/>
              </w:rPr>
            </w:pPr>
            <w:r>
              <w:rPr>
                <w:sz w:val="24"/>
              </w:rPr>
              <w:t>为防止危险废物在厂内临时存储过程中对环境产生污染影响，根据《危险废物贮存污染控制标准》(GB18597-20</w:t>
            </w:r>
            <w:r>
              <w:rPr>
                <w:rFonts w:hint="eastAsia"/>
                <w:sz w:val="24"/>
              </w:rPr>
              <w:t>23</w:t>
            </w:r>
            <w:r>
              <w:rPr>
                <w:sz w:val="24"/>
              </w:rPr>
              <w:t>)相关内容，本评价要求公司危险废物环境管理应满足以下要求：</w:t>
            </w:r>
          </w:p>
          <w:p>
            <w:pPr>
              <w:tabs>
                <w:tab w:val="left" w:pos="6520"/>
              </w:tabs>
              <w:spacing w:line="480" w:lineRule="exact"/>
              <w:ind w:firstLine="480" w:firstLineChars="200"/>
              <w:rPr>
                <w:sz w:val="24"/>
              </w:rPr>
            </w:pPr>
            <w:r>
              <w:rPr>
                <w:sz w:val="24"/>
              </w:rPr>
              <w:t>1)危险废物</w:t>
            </w:r>
            <w:r>
              <w:rPr>
                <w:rFonts w:hint="eastAsia"/>
                <w:sz w:val="24"/>
              </w:rPr>
              <w:t>暂存于生产车间</w:t>
            </w:r>
            <w:r>
              <w:rPr>
                <w:rFonts w:hint="eastAsia"/>
                <w:sz w:val="24"/>
                <w:lang w:val="en-US" w:eastAsia="zh-CN"/>
              </w:rPr>
              <w:t>内</w:t>
            </w:r>
            <w:r>
              <w:rPr>
                <w:rFonts w:hint="eastAsia"/>
                <w:sz w:val="24"/>
                <w:lang w:eastAsia="zh-CN"/>
              </w:rPr>
              <w:t>西南</w:t>
            </w:r>
            <w:r>
              <w:rPr>
                <w:rFonts w:hint="eastAsia"/>
                <w:sz w:val="24"/>
              </w:rPr>
              <w:t>侧设置</w:t>
            </w:r>
            <w:r>
              <w:rPr>
                <w:sz w:val="24"/>
              </w:rPr>
              <w:t>一座</w:t>
            </w:r>
            <w:r>
              <w:rPr>
                <w:rFonts w:hint="eastAsia"/>
                <w:sz w:val="24"/>
              </w:rPr>
              <w:t>4</w:t>
            </w:r>
            <w:r>
              <w:rPr>
                <w:sz w:val="24"/>
              </w:rPr>
              <w:t>m</w:t>
            </w:r>
            <w:r>
              <w:rPr>
                <w:sz w:val="24"/>
                <w:vertAlign w:val="superscript"/>
              </w:rPr>
              <w:t>2</w:t>
            </w:r>
            <w:r>
              <w:rPr>
                <w:rFonts w:hint="eastAsia"/>
                <w:sz w:val="24"/>
              </w:rPr>
              <w:t>危险废物暂存间</w:t>
            </w:r>
            <w:r>
              <w:rPr>
                <w:sz w:val="24"/>
              </w:rPr>
              <w:t>暂存，根据调查，按照《危险废物贮存污染控制标准》的相关要求，</w:t>
            </w:r>
            <w:r>
              <w:rPr>
                <w:rFonts w:hint="eastAsia"/>
                <w:sz w:val="24"/>
              </w:rPr>
              <w:t>危险废物暂存间</w:t>
            </w:r>
            <w:r>
              <w:rPr>
                <w:sz w:val="24"/>
              </w:rPr>
              <w:t>的地面和裙脚已进行防腐防渗处理，同时设置明沟和泄漏液体的收集设施。</w:t>
            </w:r>
          </w:p>
          <w:p>
            <w:pPr>
              <w:jc w:val="center"/>
            </w:pPr>
            <w:r>
              <w:drawing>
                <wp:inline distT="0" distB="0" distL="114300" distR="114300">
                  <wp:extent cx="3541395" cy="2232025"/>
                  <wp:effectExtent l="0" t="0" r="1905" b="15875"/>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3"/>
                          <a:stretch>
                            <a:fillRect/>
                          </a:stretch>
                        </pic:blipFill>
                        <pic:spPr>
                          <a:xfrm>
                            <a:off x="0" y="0"/>
                            <a:ext cx="3541395" cy="2232025"/>
                          </a:xfrm>
                          <a:prstGeom prst="rect">
                            <a:avLst/>
                          </a:prstGeom>
                          <a:noFill/>
                          <a:ln>
                            <a:noFill/>
                          </a:ln>
                        </pic:spPr>
                      </pic:pic>
                    </a:graphicData>
                  </a:graphic>
                </wp:inline>
              </w:drawing>
            </w:r>
          </w:p>
          <w:p>
            <w:pPr>
              <w:jc w:val="center"/>
              <w:rPr>
                <w:b/>
                <w:bCs/>
                <w:snapToGrid w:val="0"/>
                <w:sz w:val="24"/>
              </w:rPr>
            </w:pPr>
            <w:r>
              <w:rPr>
                <w:b/>
                <w:bCs/>
                <w:snapToGrid w:val="0"/>
                <w:sz w:val="24"/>
              </w:rPr>
              <w:t>图</w:t>
            </w:r>
            <w:r>
              <w:rPr>
                <w:rFonts w:hint="eastAsia"/>
                <w:b/>
                <w:bCs/>
                <w:snapToGrid w:val="0"/>
                <w:sz w:val="24"/>
              </w:rPr>
              <w:t>4</w:t>
            </w:r>
            <w:r>
              <w:rPr>
                <w:b/>
                <w:bCs/>
                <w:snapToGrid w:val="0"/>
                <w:sz w:val="24"/>
              </w:rPr>
              <w:t xml:space="preserve"> 危险废物贮存场所标识示意图</w:t>
            </w:r>
          </w:p>
          <w:p>
            <w:pPr>
              <w:tabs>
                <w:tab w:val="left" w:pos="6520"/>
              </w:tabs>
              <w:spacing w:line="480" w:lineRule="exact"/>
              <w:ind w:firstLine="480" w:firstLineChars="200"/>
              <w:rPr>
                <w:sz w:val="24"/>
              </w:rPr>
            </w:pPr>
            <w:r>
              <w:rPr>
                <w:sz w:val="24"/>
              </w:rPr>
              <w:t>2)按照危险废物贮存污染控制标准要求，废矿物油采用容器密闭收集，与废油桶一期暂存于</w:t>
            </w:r>
            <w:r>
              <w:rPr>
                <w:rFonts w:hint="eastAsia"/>
                <w:sz w:val="24"/>
              </w:rPr>
              <w:t>危险废物暂存间</w:t>
            </w:r>
            <w:r>
              <w:rPr>
                <w:sz w:val="24"/>
              </w:rPr>
              <w:t>，</w:t>
            </w:r>
            <w:r>
              <w:rPr>
                <w:rFonts w:hint="eastAsia"/>
                <w:sz w:val="24"/>
              </w:rPr>
              <w:t>危险废物暂存间</w:t>
            </w:r>
            <w:r>
              <w:rPr>
                <w:sz w:val="24"/>
              </w:rPr>
              <w:t>内进行分区，不相容的危险废物分开存放，并设有隔断隔离。</w:t>
            </w:r>
          </w:p>
          <w:p>
            <w:pPr>
              <w:autoSpaceDE w:val="0"/>
              <w:autoSpaceDN w:val="0"/>
              <w:adjustRightInd w:val="0"/>
              <w:spacing w:line="480" w:lineRule="exact"/>
              <w:ind w:firstLine="480" w:firstLineChars="200"/>
              <w:jc w:val="left"/>
            </w:pPr>
            <w:r>
              <w:rPr>
                <w:sz w:val="24"/>
              </w:rPr>
              <w:t>3)盛放危险废物的容器应按要求设置明显的表明危险废物相关信息的标签，标签信息应填写完整翔实。</w:t>
            </w:r>
          </w:p>
          <w:p>
            <w:pPr>
              <w:spacing w:line="480" w:lineRule="exact"/>
              <w:ind w:firstLine="480" w:firstLineChars="200"/>
              <w:rPr>
                <w:bCs/>
                <w:sz w:val="24"/>
              </w:rPr>
            </w:pPr>
            <w:r>
              <w:rPr>
                <w:bCs/>
                <w:sz w:val="24"/>
              </w:rPr>
              <w:t>4)装载液体、半固体的危险废物的容器内必须留足够的空间，容器顶部与液体表面之间保留100mm以上的空间；</w:t>
            </w:r>
          </w:p>
          <w:p>
            <w:pPr>
              <w:spacing w:line="480" w:lineRule="exact"/>
              <w:ind w:firstLine="480" w:firstLineChars="200"/>
              <w:rPr>
                <w:bCs/>
                <w:sz w:val="24"/>
              </w:rPr>
            </w:pPr>
            <w:r>
              <w:rPr>
                <w:bCs/>
                <w:sz w:val="24"/>
              </w:rPr>
              <w:t>5)危险废物的产生、贮存、运移通道等按照《关于印发全省危险废物智能监控体系数据联网规范的通知》(冀环办字函[2018]203号)相关要求安装视频监控、智能地磅、电子液位计等设备并将有关数据实时传输至河北省固体废物动态管理信息平台；</w:t>
            </w:r>
          </w:p>
          <w:p>
            <w:pPr>
              <w:spacing w:line="480" w:lineRule="exact"/>
              <w:ind w:firstLine="480" w:firstLineChars="200"/>
              <w:rPr>
                <w:bCs/>
                <w:sz w:val="24"/>
              </w:rPr>
            </w:pPr>
            <w:r>
              <w:rPr>
                <w:bCs/>
                <w:sz w:val="24"/>
              </w:rPr>
              <w:t>6)危险废物的贮存要建立台账制度，危险废物的出入库交接记录。</w:t>
            </w:r>
          </w:p>
          <w:p>
            <w:pPr>
              <w:adjustRightInd w:val="0"/>
              <w:snapToGrid w:val="0"/>
              <w:spacing w:line="500" w:lineRule="exact"/>
              <w:ind w:firstLine="436" w:firstLineChars="182"/>
              <w:rPr>
                <w:sz w:val="24"/>
              </w:rPr>
            </w:pPr>
            <w:r>
              <w:rPr>
                <w:sz w:val="24"/>
              </w:rPr>
              <w:t>综合以上分析，</w:t>
            </w:r>
            <w:r>
              <w:rPr>
                <w:rFonts w:hint="eastAsia"/>
                <w:sz w:val="24"/>
              </w:rPr>
              <w:t>项目</w:t>
            </w:r>
            <w:r>
              <w:rPr>
                <w:sz w:val="24"/>
              </w:rPr>
              <w:t>产生的固体废物全部妥善处置。。</w:t>
            </w:r>
          </w:p>
          <w:p>
            <w:pPr>
              <w:adjustRightInd w:val="0"/>
              <w:snapToGrid w:val="0"/>
              <w:spacing w:line="500" w:lineRule="exact"/>
              <w:ind w:firstLine="439" w:firstLineChars="182"/>
              <w:rPr>
                <w:b/>
                <w:sz w:val="24"/>
              </w:rPr>
            </w:pPr>
            <w:r>
              <w:rPr>
                <w:rFonts w:hint="eastAsia"/>
                <w:b/>
                <w:sz w:val="24"/>
              </w:rPr>
              <w:t>5、地下水、土壤</w:t>
            </w:r>
          </w:p>
          <w:p>
            <w:pPr>
              <w:widowControl/>
              <w:spacing w:line="500" w:lineRule="exact"/>
              <w:ind w:firstLine="480" w:firstLineChars="200"/>
              <w:jc w:val="left"/>
              <w:rPr>
                <w:sz w:val="24"/>
              </w:rPr>
            </w:pPr>
            <w:r>
              <w:rPr>
                <w:sz w:val="24"/>
              </w:rPr>
              <w:t>项目可能涉及</w:t>
            </w:r>
            <w:r>
              <w:rPr>
                <w:rFonts w:hint="eastAsia"/>
                <w:sz w:val="24"/>
              </w:rPr>
              <w:t>地下水和</w:t>
            </w:r>
            <w:r>
              <w:rPr>
                <w:sz w:val="24"/>
              </w:rPr>
              <w:t>土壤污染的途径主要为</w:t>
            </w:r>
            <w:r>
              <w:rPr>
                <w:rFonts w:hint="eastAsia"/>
                <w:sz w:val="24"/>
              </w:rPr>
              <w:t>润滑油</w:t>
            </w:r>
            <w:r>
              <w:rPr>
                <w:sz w:val="24"/>
              </w:rPr>
              <w:t>及危险废物。通过工程分析可知，</w:t>
            </w:r>
            <w:r>
              <w:rPr>
                <w:rFonts w:hint="eastAsia"/>
                <w:bCs/>
                <w:sz w:val="24"/>
              </w:rPr>
              <w:t>本项目废气</w:t>
            </w:r>
            <w:r>
              <w:rPr>
                <w:rFonts w:hint="eastAsia"/>
                <w:sz w:val="24"/>
              </w:rPr>
              <w:t>为颗粒物，不涉及重金属，项目地下水和土壤污染识别见下表。</w:t>
            </w:r>
          </w:p>
          <w:p>
            <w:pPr>
              <w:widowControl/>
              <w:spacing w:line="500" w:lineRule="exact"/>
              <w:ind w:firstLine="480" w:firstLineChars="200"/>
              <w:jc w:val="left"/>
              <w:rPr>
                <w:sz w:val="24"/>
              </w:rPr>
            </w:pPr>
          </w:p>
          <w:p>
            <w:pPr>
              <w:widowControl/>
              <w:spacing w:line="500" w:lineRule="exact"/>
              <w:ind w:firstLine="2650" w:firstLineChars="1100"/>
              <w:jc w:val="left"/>
              <w:rPr>
                <w:b/>
                <w:bCs/>
                <w:sz w:val="24"/>
              </w:rPr>
            </w:pPr>
          </w:p>
          <w:p>
            <w:pPr>
              <w:widowControl/>
              <w:spacing w:line="500" w:lineRule="exact"/>
              <w:ind w:firstLine="2650" w:firstLineChars="1100"/>
              <w:jc w:val="left"/>
              <w:rPr>
                <w:b/>
                <w:bCs/>
                <w:sz w:val="24"/>
              </w:rPr>
            </w:pPr>
            <w:r>
              <w:rPr>
                <w:b/>
                <w:bCs/>
                <w:sz w:val="24"/>
              </w:rPr>
              <w:t>表</w:t>
            </w:r>
            <w:r>
              <w:rPr>
                <w:rFonts w:hint="eastAsia"/>
                <w:b/>
                <w:bCs/>
                <w:sz w:val="24"/>
              </w:rPr>
              <w:t>4</w:t>
            </w:r>
            <w:r>
              <w:rPr>
                <w:rFonts w:hint="eastAsia"/>
                <w:b/>
                <w:bCs/>
                <w:sz w:val="24"/>
                <w:lang w:val="en-US" w:eastAsia="zh-CN"/>
              </w:rPr>
              <w:t>5</w:t>
            </w:r>
            <w:r>
              <w:rPr>
                <w:b/>
                <w:bCs/>
                <w:sz w:val="24"/>
              </w:rPr>
              <w:t xml:space="preserve">  </w:t>
            </w:r>
            <w:r>
              <w:rPr>
                <w:rFonts w:hint="eastAsia"/>
                <w:b/>
                <w:bCs/>
                <w:sz w:val="24"/>
              </w:rPr>
              <w:t>地下水污染识别结果</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398"/>
              <w:gridCol w:w="1551"/>
              <w:gridCol w:w="3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vAlign w:val="center"/>
                </w:tcPr>
                <w:p>
                  <w:pPr>
                    <w:jc w:val="center"/>
                    <w:rPr>
                      <w:szCs w:val="21"/>
                    </w:rPr>
                  </w:pPr>
                  <w:r>
                    <w:rPr>
                      <w:rFonts w:hint="eastAsia"/>
                      <w:szCs w:val="21"/>
                    </w:rPr>
                    <w:t>识别情景</w:t>
                  </w:r>
                </w:p>
              </w:tc>
              <w:tc>
                <w:tcPr>
                  <w:tcW w:w="1398" w:type="dxa"/>
                  <w:vMerge w:val="restart"/>
                  <w:vAlign w:val="center"/>
                </w:tcPr>
                <w:p>
                  <w:pPr>
                    <w:jc w:val="center"/>
                    <w:rPr>
                      <w:szCs w:val="21"/>
                    </w:rPr>
                  </w:pPr>
                  <w:r>
                    <w:rPr>
                      <w:rFonts w:hint="eastAsia"/>
                      <w:szCs w:val="21"/>
                    </w:rPr>
                    <w:t>识别内容</w:t>
                  </w:r>
                </w:p>
              </w:tc>
              <w:tc>
                <w:tcPr>
                  <w:tcW w:w="5099" w:type="dxa"/>
                  <w:gridSpan w:val="2"/>
                  <w:tcBorders>
                    <w:right w:val="nil"/>
                  </w:tcBorders>
                  <w:vAlign w:val="center"/>
                </w:tcPr>
                <w:p>
                  <w:pPr>
                    <w:jc w:val="center"/>
                    <w:rPr>
                      <w:szCs w:val="21"/>
                    </w:rPr>
                  </w:pPr>
                  <w:r>
                    <w:rPr>
                      <w:rFonts w:hint="eastAsia"/>
                      <w:szCs w:val="21"/>
                    </w:rPr>
                    <w:t>运行阶段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vAlign w:val="center"/>
                </w:tcPr>
                <w:p>
                  <w:pPr>
                    <w:jc w:val="center"/>
                    <w:rPr>
                      <w:szCs w:val="21"/>
                    </w:rPr>
                  </w:pPr>
                </w:p>
              </w:tc>
              <w:tc>
                <w:tcPr>
                  <w:tcW w:w="1398" w:type="dxa"/>
                  <w:vMerge w:val="continue"/>
                  <w:vAlign w:val="center"/>
                </w:tcPr>
                <w:p>
                  <w:pPr>
                    <w:jc w:val="center"/>
                    <w:rPr>
                      <w:szCs w:val="21"/>
                    </w:rPr>
                  </w:pPr>
                </w:p>
              </w:tc>
              <w:tc>
                <w:tcPr>
                  <w:tcW w:w="1551" w:type="dxa"/>
                  <w:vAlign w:val="center"/>
                </w:tcPr>
                <w:p>
                  <w:pPr>
                    <w:jc w:val="center"/>
                    <w:rPr>
                      <w:szCs w:val="21"/>
                    </w:rPr>
                  </w:pPr>
                  <w:r>
                    <w:rPr>
                      <w:rFonts w:hint="eastAsia"/>
                      <w:szCs w:val="21"/>
                    </w:rPr>
                    <w:t>施工期</w:t>
                  </w:r>
                </w:p>
              </w:tc>
              <w:tc>
                <w:tcPr>
                  <w:tcW w:w="3548" w:type="dxa"/>
                  <w:tcBorders>
                    <w:right w:val="nil"/>
                  </w:tcBorders>
                  <w:vAlign w:val="center"/>
                </w:tcPr>
                <w:p>
                  <w:pPr>
                    <w:jc w:val="center"/>
                    <w:rPr>
                      <w:szCs w:val="21"/>
                    </w:rPr>
                  </w:pPr>
                  <w:r>
                    <w:rPr>
                      <w:rFonts w:hint="eastAsia"/>
                      <w:szCs w:val="21"/>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vAlign w:val="center"/>
                </w:tcPr>
                <w:p>
                  <w:pPr>
                    <w:jc w:val="center"/>
                    <w:rPr>
                      <w:szCs w:val="21"/>
                    </w:rPr>
                  </w:pPr>
                </w:p>
              </w:tc>
              <w:tc>
                <w:tcPr>
                  <w:tcW w:w="1398" w:type="dxa"/>
                  <w:vAlign w:val="center"/>
                </w:tcPr>
                <w:p>
                  <w:pPr>
                    <w:jc w:val="center"/>
                    <w:rPr>
                      <w:szCs w:val="21"/>
                    </w:rPr>
                  </w:pPr>
                  <w:r>
                    <w:rPr>
                      <w:rFonts w:hint="eastAsia"/>
                      <w:szCs w:val="21"/>
                    </w:rPr>
                    <w:t>特征因子</w:t>
                  </w:r>
                </w:p>
              </w:tc>
              <w:tc>
                <w:tcPr>
                  <w:tcW w:w="1551" w:type="dxa"/>
                  <w:vAlign w:val="center"/>
                </w:tcPr>
                <w:p>
                  <w:pPr>
                    <w:jc w:val="center"/>
                    <w:rPr>
                      <w:szCs w:val="21"/>
                    </w:rPr>
                  </w:pPr>
                  <w:r>
                    <w:rPr>
                      <w:rFonts w:hint="eastAsia"/>
                      <w:szCs w:val="21"/>
                    </w:rPr>
                    <w:t>/</w:t>
                  </w:r>
                </w:p>
              </w:tc>
              <w:tc>
                <w:tcPr>
                  <w:tcW w:w="3548" w:type="dxa"/>
                  <w:tcBorders>
                    <w:right w:val="nil"/>
                  </w:tcBorders>
                  <w:vAlign w:val="center"/>
                </w:tcPr>
                <w:p>
                  <w:pPr>
                    <w:jc w:val="center"/>
                    <w:rPr>
                      <w:szCs w:val="21"/>
                    </w:rPr>
                  </w:pPr>
                  <w:r>
                    <w:rPr>
                      <w:rFonts w:hint="eastAsia"/>
                      <w:szCs w:val="21"/>
                    </w:rPr>
                    <w:t>pH、石油烃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szCs w:val="21"/>
                    </w:rPr>
                  </w:pPr>
                  <w:r>
                    <w:rPr>
                      <w:rFonts w:hint="eastAsia"/>
                      <w:szCs w:val="21"/>
                    </w:rPr>
                    <w:t>正常状况</w:t>
                  </w:r>
                </w:p>
              </w:tc>
              <w:tc>
                <w:tcPr>
                  <w:tcW w:w="1398" w:type="dxa"/>
                  <w:vMerge w:val="restart"/>
                  <w:vAlign w:val="center"/>
                </w:tcPr>
                <w:p>
                  <w:pPr>
                    <w:jc w:val="center"/>
                    <w:rPr>
                      <w:szCs w:val="21"/>
                    </w:rPr>
                  </w:pPr>
                  <w:r>
                    <w:rPr>
                      <w:rFonts w:hint="eastAsia"/>
                      <w:szCs w:val="21"/>
                    </w:rPr>
                    <w:t>污染途径</w:t>
                  </w:r>
                </w:p>
              </w:tc>
              <w:tc>
                <w:tcPr>
                  <w:tcW w:w="1551" w:type="dxa"/>
                  <w:vAlign w:val="center"/>
                </w:tcPr>
                <w:p>
                  <w:pPr>
                    <w:jc w:val="center"/>
                    <w:rPr>
                      <w:szCs w:val="21"/>
                    </w:rPr>
                  </w:pPr>
                  <w:r>
                    <w:rPr>
                      <w:rFonts w:hint="eastAsia"/>
                      <w:szCs w:val="21"/>
                    </w:rPr>
                    <w:t>/</w:t>
                  </w:r>
                </w:p>
              </w:tc>
              <w:tc>
                <w:tcPr>
                  <w:tcW w:w="3548" w:type="dxa"/>
                  <w:tcBorders>
                    <w:right w:val="nil"/>
                  </w:tcBorders>
                  <w:vAlign w:val="center"/>
                </w:tcPr>
                <w:p>
                  <w:pPr>
                    <w:jc w:val="center"/>
                    <w:rPr>
                      <w:szCs w:val="21"/>
                    </w:rPr>
                  </w:pP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szCs w:val="21"/>
                    </w:rPr>
                  </w:pPr>
                  <w:r>
                    <w:rPr>
                      <w:rFonts w:hint="eastAsia"/>
                      <w:szCs w:val="21"/>
                    </w:rPr>
                    <w:t>非正常状况</w:t>
                  </w:r>
                </w:p>
              </w:tc>
              <w:tc>
                <w:tcPr>
                  <w:tcW w:w="1398" w:type="dxa"/>
                  <w:vMerge w:val="continue"/>
                  <w:vAlign w:val="center"/>
                </w:tcPr>
                <w:p>
                  <w:pPr>
                    <w:jc w:val="center"/>
                    <w:rPr>
                      <w:szCs w:val="21"/>
                    </w:rPr>
                  </w:pPr>
                </w:p>
              </w:tc>
              <w:tc>
                <w:tcPr>
                  <w:tcW w:w="1551" w:type="dxa"/>
                  <w:vAlign w:val="center"/>
                </w:tcPr>
                <w:p>
                  <w:pPr>
                    <w:jc w:val="center"/>
                    <w:rPr>
                      <w:szCs w:val="21"/>
                    </w:rPr>
                  </w:pPr>
                  <w:r>
                    <w:rPr>
                      <w:rFonts w:hint="eastAsia"/>
                      <w:szCs w:val="21"/>
                    </w:rPr>
                    <w:t>/</w:t>
                  </w:r>
                </w:p>
              </w:tc>
              <w:tc>
                <w:tcPr>
                  <w:tcW w:w="3548" w:type="dxa"/>
                  <w:tcBorders>
                    <w:right w:val="nil"/>
                  </w:tcBorders>
                  <w:vAlign w:val="center"/>
                </w:tcPr>
                <w:p>
                  <w:pPr>
                    <w:jc w:val="center"/>
                    <w:rPr>
                      <w:szCs w:val="21"/>
                    </w:rPr>
                  </w:pPr>
                  <w:r>
                    <w:rPr>
                      <w:rFonts w:hint="eastAsia"/>
                      <w:szCs w:val="21"/>
                    </w:rPr>
                    <w:t>防腐防渗措施失效，垂直入渗</w:t>
                  </w:r>
                </w:p>
              </w:tc>
            </w:tr>
          </w:tbl>
          <w:p>
            <w:pPr>
              <w:widowControl/>
              <w:spacing w:line="500" w:lineRule="exact"/>
              <w:jc w:val="center"/>
              <w:rPr>
                <w:b/>
                <w:bCs/>
                <w:sz w:val="24"/>
              </w:rPr>
            </w:pPr>
            <w:r>
              <w:rPr>
                <w:b/>
                <w:bCs/>
                <w:sz w:val="24"/>
              </w:rPr>
              <w:t>表</w:t>
            </w:r>
            <w:r>
              <w:rPr>
                <w:rFonts w:hint="eastAsia"/>
                <w:b/>
                <w:bCs/>
                <w:sz w:val="24"/>
              </w:rPr>
              <w:t>4</w:t>
            </w:r>
            <w:r>
              <w:rPr>
                <w:rFonts w:hint="eastAsia"/>
                <w:b/>
                <w:bCs/>
                <w:sz w:val="24"/>
                <w:lang w:val="en-US" w:eastAsia="zh-CN"/>
              </w:rPr>
              <w:t>6</w:t>
            </w:r>
            <w:r>
              <w:rPr>
                <w:rFonts w:hint="eastAsia"/>
                <w:b/>
                <w:bCs/>
                <w:sz w:val="24"/>
              </w:rPr>
              <w:t xml:space="preserve">  </w:t>
            </w:r>
            <w:r>
              <w:rPr>
                <w:b/>
                <w:bCs/>
                <w:sz w:val="24"/>
              </w:rPr>
              <w:t xml:space="preserve"> </w:t>
            </w:r>
            <w:r>
              <w:rPr>
                <w:rFonts w:hint="eastAsia"/>
                <w:b/>
                <w:bCs/>
                <w:sz w:val="24"/>
              </w:rPr>
              <w:t>土壤环境影响及影响因子识别表</w:t>
            </w:r>
          </w:p>
          <w:tbl>
            <w:tblPr>
              <w:tblStyle w:val="32"/>
              <w:tblW w:w="816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1522"/>
              <w:gridCol w:w="3136"/>
              <w:gridCol w:w="1174"/>
              <w:gridCol w:w="688"/>
              <w:gridCol w:w="4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0" w:type="pct"/>
                  <w:vAlign w:val="center"/>
                </w:tcPr>
                <w:p>
                  <w:pPr>
                    <w:tabs>
                      <w:tab w:val="left" w:pos="600"/>
                    </w:tabs>
                    <w:jc w:val="center"/>
                    <w:rPr>
                      <w:b/>
                    </w:rPr>
                  </w:pPr>
                  <w:r>
                    <w:rPr>
                      <w:bCs/>
                    </w:rPr>
                    <w:t>污染源</w:t>
                  </w:r>
                </w:p>
              </w:tc>
              <w:tc>
                <w:tcPr>
                  <w:tcW w:w="931" w:type="pct"/>
                  <w:vAlign w:val="center"/>
                </w:tcPr>
                <w:p>
                  <w:pPr>
                    <w:widowControl/>
                    <w:jc w:val="center"/>
                    <w:rPr>
                      <w:bCs/>
                    </w:rPr>
                  </w:pPr>
                  <w:r>
                    <w:rPr>
                      <w:bCs/>
                    </w:rPr>
                    <w:t>工艺流程/节点</w:t>
                  </w:r>
                </w:p>
              </w:tc>
              <w:tc>
                <w:tcPr>
                  <w:tcW w:w="1919" w:type="pct"/>
                  <w:vAlign w:val="center"/>
                </w:tcPr>
                <w:p>
                  <w:pPr>
                    <w:widowControl/>
                    <w:jc w:val="center"/>
                    <w:rPr>
                      <w:bCs/>
                    </w:rPr>
                  </w:pPr>
                  <w:r>
                    <w:rPr>
                      <w:bCs/>
                    </w:rPr>
                    <w:t>污染途径</w:t>
                  </w:r>
                </w:p>
              </w:tc>
              <w:tc>
                <w:tcPr>
                  <w:tcW w:w="719" w:type="pct"/>
                  <w:vAlign w:val="center"/>
                </w:tcPr>
                <w:p>
                  <w:pPr>
                    <w:widowControl/>
                    <w:jc w:val="center"/>
                    <w:rPr>
                      <w:bCs/>
                    </w:rPr>
                  </w:pPr>
                  <w:r>
                    <w:rPr>
                      <w:bCs/>
                    </w:rPr>
                    <w:t>全部污染物指标</w:t>
                  </w:r>
                </w:p>
              </w:tc>
              <w:tc>
                <w:tcPr>
                  <w:tcW w:w="421" w:type="pct"/>
                  <w:vAlign w:val="center"/>
                </w:tcPr>
                <w:p>
                  <w:pPr>
                    <w:widowControl/>
                    <w:jc w:val="center"/>
                    <w:rPr>
                      <w:bCs/>
                    </w:rPr>
                  </w:pPr>
                  <w:r>
                    <w:rPr>
                      <w:bCs/>
                    </w:rPr>
                    <w:t>特征因子</w:t>
                  </w:r>
                </w:p>
              </w:tc>
              <w:tc>
                <w:tcPr>
                  <w:tcW w:w="267" w:type="pct"/>
                  <w:tcBorders>
                    <w:right w:val="nil"/>
                  </w:tcBorders>
                  <w:vAlign w:val="center"/>
                </w:tcPr>
                <w:p>
                  <w:pPr>
                    <w:widowControl/>
                    <w:jc w:val="center"/>
                    <w:rPr>
                      <w:bCs/>
                    </w:rPr>
                  </w:pPr>
                  <w:r>
                    <w:rPr>
                      <w:bCs/>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40" w:type="pct"/>
                  <w:tcBorders>
                    <w:left w:val="nil"/>
                  </w:tcBorders>
                  <w:vAlign w:val="center"/>
                </w:tcPr>
                <w:p>
                  <w:pPr>
                    <w:widowControl/>
                    <w:jc w:val="center"/>
                  </w:pPr>
                  <w:r>
                    <w:rPr>
                      <w:rFonts w:hint="eastAsia"/>
                    </w:rPr>
                    <w:t>润滑油</w:t>
                  </w:r>
                </w:p>
              </w:tc>
              <w:tc>
                <w:tcPr>
                  <w:tcW w:w="931" w:type="pct"/>
                  <w:vAlign w:val="center"/>
                </w:tcPr>
                <w:p>
                  <w:pPr>
                    <w:widowControl/>
                    <w:jc w:val="center"/>
                  </w:pPr>
                  <w:r>
                    <w:rPr>
                      <w:rFonts w:hint="eastAsia"/>
                    </w:rPr>
                    <w:t>生产车间内润滑油储存区</w:t>
                  </w:r>
                </w:p>
              </w:tc>
              <w:tc>
                <w:tcPr>
                  <w:tcW w:w="1919" w:type="pct"/>
                  <w:vAlign w:val="center"/>
                </w:tcPr>
                <w:p>
                  <w:pPr>
                    <w:widowControl/>
                    <w:jc w:val="center"/>
                  </w:pPr>
                  <w:r>
                    <w:t>使用油类物质的设备区，因油跑、冒、滴、漏，发生垂直入渗</w:t>
                  </w:r>
                </w:p>
              </w:tc>
              <w:tc>
                <w:tcPr>
                  <w:tcW w:w="719" w:type="pct"/>
                  <w:vAlign w:val="center"/>
                </w:tcPr>
                <w:p>
                  <w:pPr>
                    <w:widowControl/>
                    <w:jc w:val="center"/>
                  </w:pPr>
                  <w:r>
                    <w:rPr>
                      <w:rFonts w:hint="eastAsia"/>
                      <w:szCs w:val="21"/>
                    </w:rPr>
                    <w:t>石油烃</w:t>
                  </w:r>
                </w:p>
              </w:tc>
              <w:tc>
                <w:tcPr>
                  <w:tcW w:w="421" w:type="pct"/>
                  <w:vAlign w:val="center"/>
                </w:tcPr>
                <w:p>
                  <w:pPr>
                    <w:widowControl/>
                    <w:jc w:val="center"/>
                    <w:rPr>
                      <w:bCs/>
                    </w:rPr>
                  </w:pPr>
                  <w:r>
                    <w:rPr>
                      <w:bCs/>
                    </w:rPr>
                    <w:t>石油烃</w:t>
                  </w:r>
                </w:p>
              </w:tc>
              <w:tc>
                <w:tcPr>
                  <w:tcW w:w="267" w:type="pct"/>
                  <w:tcBorders>
                    <w:right w:val="nil"/>
                  </w:tcBorders>
                  <w:vAlign w:val="center"/>
                </w:tcPr>
                <w:p>
                  <w:pPr>
                    <w:widowControl/>
                    <w:jc w:val="center"/>
                    <w:rPr>
                      <w:bCs/>
                    </w:rPr>
                  </w:pPr>
                  <w:r>
                    <w:rPr>
                      <w:bCs/>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40" w:type="pct"/>
                  <w:tcBorders>
                    <w:left w:val="nil"/>
                  </w:tcBorders>
                  <w:vAlign w:val="center"/>
                </w:tcPr>
                <w:p>
                  <w:pPr>
                    <w:widowControl/>
                    <w:jc w:val="center"/>
                  </w:pPr>
                  <w:r>
                    <w:rPr>
                      <w:rFonts w:hint="eastAsia"/>
                    </w:rPr>
                    <w:t>废润滑油、废油桶</w:t>
                  </w:r>
                </w:p>
              </w:tc>
              <w:tc>
                <w:tcPr>
                  <w:tcW w:w="931" w:type="pct"/>
                  <w:vAlign w:val="center"/>
                </w:tcPr>
                <w:p>
                  <w:pPr>
                    <w:widowControl/>
                    <w:jc w:val="center"/>
                  </w:pPr>
                  <w:r>
                    <w:t>危险废物暂存</w:t>
                  </w:r>
                </w:p>
              </w:tc>
              <w:tc>
                <w:tcPr>
                  <w:tcW w:w="1919" w:type="pct"/>
                  <w:vAlign w:val="center"/>
                </w:tcPr>
                <w:p>
                  <w:pPr>
                    <w:widowControl/>
                    <w:jc w:val="center"/>
                  </w:pPr>
                  <w:r>
                    <w:t>包装损坏、防渗失效，发生垂直入渗</w:t>
                  </w:r>
                </w:p>
              </w:tc>
              <w:tc>
                <w:tcPr>
                  <w:tcW w:w="719" w:type="pct"/>
                  <w:vAlign w:val="center"/>
                </w:tcPr>
                <w:p>
                  <w:pPr>
                    <w:widowControl/>
                    <w:jc w:val="center"/>
                  </w:pPr>
                  <w:r>
                    <w:t>石油烃</w:t>
                  </w:r>
                </w:p>
              </w:tc>
              <w:tc>
                <w:tcPr>
                  <w:tcW w:w="421" w:type="pct"/>
                  <w:vAlign w:val="center"/>
                </w:tcPr>
                <w:p>
                  <w:pPr>
                    <w:widowControl/>
                    <w:jc w:val="center"/>
                    <w:rPr>
                      <w:bCs/>
                    </w:rPr>
                  </w:pPr>
                  <w:r>
                    <w:rPr>
                      <w:bCs/>
                    </w:rPr>
                    <w:t>石油烃</w:t>
                  </w:r>
                </w:p>
              </w:tc>
              <w:tc>
                <w:tcPr>
                  <w:tcW w:w="267" w:type="pct"/>
                  <w:tcBorders>
                    <w:right w:val="nil"/>
                  </w:tcBorders>
                  <w:vAlign w:val="center"/>
                </w:tcPr>
                <w:p>
                  <w:pPr>
                    <w:widowControl/>
                    <w:jc w:val="center"/>
                    <w:rPr>
                      <w:bCs/>
                    </w:rPr>
                  </w:pPr>
                  <w:r>
                    <w:rPr>
                      <w:bCs/>
                    </w:rPr>
                    <w:t>事故</w:t>
                  </w:r>
                </w:p>
              </w:tc>
            </w:tr>
          </w:tbl>
          <w:p>
            <w:pPr>
              <w:autoSpaceDE w:val="0"/>
              <w:autoSpaceDN w:val="0"/>
              <w:adjustRightInd w:val="0"/>
              <w:spacing w:line="500" w:lineRule="exact"/>
              <w:ind w:firstLine="480" w:firstLineChars="200"/>
              <w:rPr>
                <w:sz w:val="24"/>
              </w:rPr>
            </w:pPr>
            <w:r>
              <w:rPr>
                <w:rFonts w:hint="eastAsia"/>
                <w:sz w:val="24"/>
              </w:rPr>
              <w:t>根据上表分析可知，</w:t>
            </w:r>
            <w:r>
              <w:rPr>
                <w:sz w:val="24"/>
              </w:rPr>
              <w:t>本项目涉及土壤污染的途径为</w:t>
            </w:r>
            <w:r>
              <w:rPr>
                <w:rFonts w:hint="eastAsia"/>
                <w:sz w:val="24"/>
              </w:rPr>
              <w:t>润滑油、废润滑油物质</w:t>
            </w:r>
            <w:r>
              <w:rPr>
                <w:sz w:val="24"/>
              </w:rPr>
              <w:t>垂直入渗。根据生产装置、辅助设施可能泄漏特殊的性质将污染区</w:t>
            </w:r>
            <w:r>
              <w:rPr>
                <w:rFonts w:hint="eastAsia"/>
                <w:sz w:val="24"/>
              </w:rPr>
              <w:t>设</w:t>
            </w:r>
            <w:r>
              <w:rPr>
                <w:sz w:val="24"/>
              </w:rPr>
              <w:t>为重点污染防治区，对污染防治区采取防渗方案：</w:t>
            </w:r>
          </w:p>
          <w:p>
            <w:pPr>
              <w:spacing w:line="480" w:lineRule="exact"/>
              <w:ind w:firstLine="480" w:firstLineChars="200"/>
              <w:rPr>
                <w:bCs/>
                <w:sz w:val="24"/>
              </w:rPr>
            </w:pPr>
            <w:r>
              <w:rPr>
                <w:rFonts w:hint="eastAsia"/>
                <w:sz w:val="24"/>
              </w:rPr>
              <w:t>（1）</w:t>
            </w:r>
            <w:r>
              <w:rPr>
                <w:rFonts w:hint="eastAsia"/>
                <w:bCs/>
                <w:sz w:val="24"/>
              </w:rPr>
              <w:t>地下水</w:t>
            </w:r>
            <w:r>
              <w:rPr>
                <w:rFonts w:hint="eastAsia"/>
                <w:sz w:val="24"/>
              </w:rPr>
              <w:t>、土壤</w:t>
            </w:r>
            <w:r>
              <w:rPr>
                <w:bCs/>
                <w:sz w:val="24"/>
              </w:rPr>
              <w:t>污染防护措施</w:t>
            </w:r>
          </w:p>
          <w:p>
            <w:pPr>
              <w:spacing w:line="480" w:lineRule="exact"/>
              <w:ind w:firstLine="480" w:firstLineChars="200"/>
              <w:rPr>
                <w:bCs/>
                <w:sz w:val="24"/>
              </w:rPr>
            </w:pPr>
            <w:r>
              <w:rPr>
                <w:sz w:val="24"/>
              </w:rPr>
              <w:t>根据</w:t>
            </w:r>
            <w:r>
              <w:rPr>
                <w:rFonts w:hint="eastAsia"/>
                <w:sz w:val="24"/>
              </w:rPr>
              <w:t>导则</w:t>
            </w:r>
            <w:r>
              <w:rPr>
                <w:sz w:val="24"/>
              </w:rPr>
              <w:t>要求，</w:t>
            </w:r>
            <w:r>
              <w:rPr>
                <w:rFonts w:hint="eastAsia"/>
                <w:sz w:val="24"/>
              </w:rPr>
              <w:t>地下水、土壤</w:t>
            </w:r>
            <w:r>
              <w:rPr>
                <w:bCs/>
                <w:sz w:val="24"/>
              </w:rPr>
              <w:t>防治措施按照</w:t>
            </w:r>
            <w:r>
              <w:rPr>
                <w:rFonts w:hint="eastAsia"/>
                <w:bCs/>
                <w:sz w:val="24"/>
              </w:rPr>
              <w:t>“</w:t>
            </w:r>
            <w:r>
              <w:rPr>
                <w:bCs/>
                <w:sz w:val="24"/>
              </w:rPr>
              <w:t>源头控制、分区防治、污染监控、应急响应</w:t>
            </w:r>
            <w:r>
              <w:rPr>
                <w:rFonts w:hint="eastAsia"/>
                <w:bCs/>
                <w:sz w:val="24"/>
              </w:rPr>
              <w:t>”</w:t>
            </w:r>
            <w:r>
              <w:rPr>
                <w:bCs/>
                <w:sz w:val="24"/>
              </w:rPr>
              <w:t>相结合的原则，从污染物的产生、入渗、扩散、应急响应进行控制，尽可能从源头上减少污染物的产生，防止环境污染，严格按照国家相关规范要求，对工艺、管道、设备、污水储存及处理构</w:t>
            </w:r>
            <w:r>
              <w:rPr>
                <w:rFonts w:hint="eastAsia"/>
                <w:bCs/>
                <w:sz w:val="24"/>
              </w:rPr>
              <w:t>建筑</w:t>
            </w:r>
            <w:r>
              <w:rPr>
                <w:bCs/>
                <w:sz w:val="24"/>
              </w:rPr>
              <w:t>物采取相应措施，避免由于泄漏造成物料下渗污染</w:t>
            </w:r>
            <w:r>
              <w:rPr>
                <w:rFonts w:hint="eastAsia"/>
                <w:sz w:val="24"/>
              </w:rPr>
              <w:t>地下水、土壤</w:t>
            </w:r>
            <w:r>
              <w:rPr>
                <w:bCs/>
                <w:sz w:val="24"/>
              </w:rPr>
              <w:t>。</w:t>
            </w:r>
          </w:p>
          <w:p>
            <w:pPr>
              <w:spacing w:line="480" w:lineRule="exact"/>
              <w:ind w:firstLine="480" w:firstLineChars="200"/>
              <w:rPr>
                <w:bCs/>
                <w:sz w:val="24"/>
              </w:rPr>
            </w:pPr>
            <w:r>
              <w:rPr>
                <w:bCs/>
                <w:sz w:val="24"/>
              </w:rPr>
              <w:t>为防止</w:t>
            </w:r>
            <w:r>
              <w:rPr>
                <w:rFonts w:hint="eastAsia"/>
                <w:bCs/>
                <w:sz w:val="24"/>
              </w:rPr>
              <w:t>有机物、油类物质</w:t>
            </w:r>
            <w:r>
              <w:rPr>
                <w:bCs/>
                <w:sz w:val="24"/>
              </w:rPr>
              <w:t>对区域</w:t>
            </w:r>
            <w:r>
              <w:rPr>
                <w:rFonts w:hint="eastAsia"/>
                <w:sz w:val="24"/>
              </w:rPr>
              <w:t>地下水、土壤</w:t>
            </w:r>
            <w:r>
              <w:rPr>
                <w:bCs/>
                <w:sz w:val="24"/>
              </w:rPr>
              <w:t>产生污染影响，</w:t>
            </w:r>
            <w:r>
              <w:rPr>
                <w:rFonts w:hint="eastAsia"/>
                <w:bCs/>
                <w:sz w:val="24"/>
              </w:rPr>
              <w:t>本项目提出地下水防护措施如下：</w:t>
            </w:r>
          </w:p>
          <w:p>
            <w:pPr>
              <w:spacing w:line="480" w:lineRule="exact"/>
              <w:ind w:firstLine="480" w:firstLineChars="200"/>
              <w:rPr>
                <w:bCs/>
                <w:sz w:val="24"/>
              </w:rPr>
            </w:pPr>
            <w:r>
              <w:rPr>
                <w:rFonts w:hint="eastAsia"/>
                <w:bCs/>
                <w:sz w:val="24"/>
              </w:rPr>
              <w:t>①</w:t>
            </w:r>
            <w:r>
              <w:rPr>
                <w:bCs/>
                <w:sz w:val="24"/>
              </w:rPr>
              <w:t>加强设施的维护和管理，防止污染物的跑、冒、滴、漏和非正常排放。</w:t>
            </w:r>
          </w:p>
          <w:p>
            <w:pPr>
              <w:snapToGrid w:val="0"/>
              <w:spacing w:line="480" w:lineRule="exact"/>
              <w:ind w:firstLine="480" w:firstLineChars="200"/>
              <w:jc w:val="left"/>
              <w:rPr>
                <w:sz w:val="24"/>
              </w:rPr>
            </w:pPr>
            <w:r>
              <w:rPr>
                <w:rFonts w:hint="eastAsia"/>
                <w:bCs/>
                <w:sz w:val="24"/>
              </w:rPr>
              <w:t>②</w:t>
            </w:r>
            <w:r>
              <w:rPr>
                <w:rFonts w:hint="eastAsia"/>
                <w:sz w:val="24"/>
              </w:rPr>
              <w:t>建设单位全厂分区防渗管控，具体分区防渗管控情况如下：</w:t>
            </w:r>
          </w:p>
          <w:p>
            <w:pPr>
              <w:spacing w:line="480" w:lineRule="exact"/>
              <w:ind w:firstLine="480" w:firstLineChars="200"/>
              <w:rPr>
                <w:sz w:val="24"/>
              </w:rPr>
            </w:pPr>
            <w:r>
              <w:rPr>
                <w:rFonts w:hint="eastAsia"/>
                <w:sz w:val="24"/>
              </w:rPr>
              <w:t>厂区内防渗情况应该分为重点防治区、一般防治区和简单防渗区。</w:t>
            </w:r>
          </w:p>
          <w:p>
            <w:pPr>
              <w:spacing w:line="480" w:lineRule="exact"/>
              <w:ind w:firstLine="480" w:firstLineChars="200"/>
              <w:rPr>
                <w:sz w:val="24"/>
              </w:rPr>
            </w:pPr>
            <w:r>
              <w:rPr>
                <w:rFonts w:hint="eastAsia"/>
                <w:sz w:val="24"/>
              </w:rPr>
              <w:t>重点防渗区（生产车间内润滑油储存区及</w:t>
            </w:r>
            <w:r>
              <w:rPr>
                <w:sz w:val="24"/>
              </w:rPr>
              <w:t>危险废物暂存间</w:t>
            </w:r>
            <w:r>
              <w:rPr>
                <w:rFonts w:hint="eastAsia"/>
                <w:sz w:val="24"/>
              </w:rPr>
              <w:t>）防渗技术要求：等效黏土防渗层Mb≥6.0m；K≤1×10</w:t>
            </w:r>
            <w:r>
              <w:rPr>
                <w:rFonts w:hint="eastAsia"/>
                <w:sz w:val="24"/>
                <w:vertAlign w:val="superscript"/>
              </w:rPr>
              <w:t>-10</w:t>
            </w:r>
            <w:r>
              <w:rPr>
                <w:rFonts w:hint="eastAsia"/>
                <w:sz w:val="24"/>
              </w:rPr>
              <w:t>cm/s。</w:t>
            </w:r>
          </w:p>
          <w:p>
            <w:pPr>
              <w:spacing w:line="480" w:lineRule="exact"/>
              <w:ind w:firstLine="480" w:firstLineChars="200"/>
              <w:rPr>
                <w:sz w:val="24"/>
              </w:rPr>
            </w:pPr>
            <w:r>
              <w:rPr>
                <w:rFonts w:hint="eastAsia"/>
                <w:sz w:val="24"/>
              </w:rPr>
              <w:t>一般防渗区：生产车间防渗技术要求：等效黏土防渗层Mb≥1.5m；K≤1×10</w:t>
            </w:r>
            <w:r>
              <w:rPr>
                <w:rFonts w:hint="eastAsia"/>
                <w:sz w:val="24"/>
                <w:vertAlign w:val="superscript"/>
              </w:rPr>
              <w:t>-7</w:t>
            </w:r>
            <w:r>
              <w:rPr>
                <w:rFonts w:hint="eastAsia"/>
                <w:sz w:val="24"/>
              </w:rPr>
              <w:t>cm/s，</w:t>
            </w:r>
          </w:p>
          <w:p>
            <w:pPr>
              <w:spacing w:line="500" w:lineRule="exact"/>
              <w:ind w:firstLine="480" w:firstLineChars="200"/>
              <w:rPr>
                <w:sz w:val="24"/>
              </w:rPr>
            </w:pPr>
            <w:r>
              <w:rPr>
                <w:rFonts w:hint="eastAsia"/>
                <w:sz w:val="24"/>
              </w:rPr>
              <w:t>简单防渗区：其它区域均为简单防渗区，一般地面硬化即可。</w:t>
            </w:r>
          </w:p>
          <w:p>
            <w:pPr>
              <w:spacing w:line="480" w:lineRule="exact"/>
              <w:ind w:firstLine="480" w:firstLineChars="200"/>
              <w:rPr>
                <w:bCs/>
                <w:sz w:val="24"/>
              </w:rPr>
            </w:pPr>
            <w:r>
              <w:rPr>
                <w:rFonts w:hint="eastAsia"/>
                <w:sz w:val="24"/>
              </w:rPr>
              <w:t>（2）</w:t>
            </w:r>
            <w:r>
              <w:rPr>
                <w:bCs/>
                <w:sz w:val="24"/>
              </w:rPr>
              <w:t>环境影响分析结论</w:t>
            </w:r>
          </w:p>
          <w:p>
            <w:pPr>
              <w:pStyle w:val="31"/>
              <w:spacing w:after="0" w:line="500" w:lineRule="exact"/>
              <w:ind w:left="0" w:leftChars="0" w:firstLine="480"/>
              <w:rPr>
                <w:sz w:val="24"/>
                <w:szCs w:val="24"/>
              </w:rPr>
            </w:pPr>
            <w:r>
              <w:rPr>
                <w:rFonts w:hint="eastAsia"/>
                <w:sz w:val="24"/>
                <w:szCs w:val="24"/>
              </w:rPr>
              <w:t>综上，本项目采取上述防控措施后，项目实施无污染土壤及地下水环境的途径，不会对土壤及地下水环境产生明显影响</w:t>
            </w:r>
            <w:r>
              <w:rPr>
                <w:sz w:val="24"/>
                <w:szCs w:val="24"/>
              </w:rPr>
              <w:t>为</w:t>
            </w:r>
            <w:r>
              <w:rPr>
                <w:rFonts w:hint="eastAsia"/>
                <w:sz w:val="24"/>
                <w:szCs w:val="24"/>
              </w:rPr>
              <w:t>。</w:t>
            </w:r>
          </w:p>
          <w:p>
            <w:pPr>
              <w:pStyle w:val="15"/>
              <w:spacing w:line="500" w:lineRule="exact"/>
              <w:ind w:left="0" w:right="0" w:firstLine="482" w:firstLineChars="200"/>
              <w:rPr>
                <w:b/>
                <w:bCs/>
                <w:sz w:val="24"/>
              </w:rPr>
            </w:pPr>
            <w:r>
              <w:rPr>
                <w:rFonts w:hint="eastAsia"/>
                <w:b/>
                <w:bCs/>
                <w:sz w:val="24"/>
              </w:rPr>
              <w:t>6、生态</w:t>
            </w:r>
          </w:p>
          <w:p>
            <w:pPr>
              <w:spacing w:line="500" w:lineRule="exact"/>
              <w:ind w:firstLine="480" w:firstLineChars="200"/>
              <w:rPr>
                <w:sz w:val="24"/>
              </w:rPr>
            </w:pPr>
            <w:r>
              <w:rPr>
                <w:sz w:val="24"/>
              </w:rPr>
              <w:t>本项目</w:t>
            </w:r>
            <w:r>
              <w:rPr>
                <w:rFonts w:hint="eastAsia"/>
                <w:sz w:val="24"/>
              </w:rPr>
              <w:t>位于</w:t>
            </w:r>
            <w:r>
              <w:rPr>
                <w:rFonts w:hint="eastAsia"/>
                <w:snapToGrid w:val="0"/>
                <w:kern w:val="0"/>
                <w:sz w:val="24"/>
                <w:szCs w:val="22"/>
                <w:lang w:eastAsia="zh-CN"/>
              </w:rPr>
              <w:t>河北省遵化市铁厂镇铁厂村</w:t>
            </w:r>
            <w:r>
              <w:rPr>
                <w:rFonts w:hint="eastAsia"/>
                <w:sz w:val="24"/>
              </w:rPr>
              <w:t>，</w:t>
            </w:r>
            <w:r>
              <w:rPr>
                <w:rFonts w:hint="eastAsia"/>
                <w:kern w:val="0"/>
                <w:sz w:val="24"/>
              </w:rPr>
              <w:t>利用现有闲置厂房进行建设，占地区域为现有建设用地，占地现状植被覆盖度低，</w:t>
            </w:r>
            <w:r>
              <w:rPr>
                <w:rFonts w:hint="eastAsia"/>
                <w:sz w:val="24"/>
              </w:rPr>
              <w:t>项目实施后对厂区合理进行绿化，不会对区域内生态环境造成明显影响。</w:t>
            </w:r>
          </w:p>
          <w:p>
            <w:pPr>
              <w:pStyle w:val="15"/>
              <w:spacing w:line="500" w:lineRule="exact"/>
              <w:ind w:left="0" w:right="0" w:firstLine="482" w:firstLineChars="200"/>
              <w:rPr>
                <w:b/>
                <w:bCs/>
                <w:sz w:val="24"/>
              </w:rPr>
            </w:pPr>
            <w:r>
              <w:rPr>
                <w:rFonts w:hint="eastAsia"/>
                <w:b/>
                <w:bCs/>
                <w:sz w:val="24"/>
              </w:rPr>
              <w:t>7、环境风险</w:t>
            </w:r>
          </w:p>
          <w:p>
            <w:pPr>
              <w:spacing w:line="480" w:lineRule="exact"/>
              <w:ind w:firstLine="480" w:firstLineChars="200"/>
              <w:textAlignment w:val="baseline"/>
              <w:rPr>
                <w:sz w:val="24"/>
                <w:szCs w:val="20"/>
              </w:rPr>
            </w:pPr>
            <w:r>
              <w:rPr>
                <w:rFonts w:hint="eastAsia"/>
                <w:sz w:val="24"/>
                <w:szCs w:val="20"/>
              </w:rPr>
              <w:t>（1）建设项目风险物质调查及Q值计算</w:t>
            </w:r>
          </w:p>
          <w:p>
            <w:pPr>
              <w:spacing w:line="480" w:lineRule="exact"/>
              <w:ind w:firstLine="480" w:firstLineChars="200"/>
              <w:textAlignment w:val="baseline"/>
              <w:rPr>
                <w:sz w:val="24"/>
                <w:szCs w:val="20"/>
              </w:rPr>
            </w:pPr>
            <w:r>
              <w:rPr>
                <w:rFonts w:hint="eastAsia"/>
                <w:sz w:val="24"/>
                <w:szCs w:val="20"/>
              </w:rPr>
              <w:t>项目所涉及的风险物质主要为润滑油、废矿物油、废油桶，润滑油储存于生产车间内润滑油储存区，危险废物暂存危险废物暂存间。本项目涉及的风险物质概况见下表。</w:t>
            </w:r>
          </w:p>
          <w:p>
            <w:pPr>
              <w:autoSpaceDE w:val="0"/>
              <w:autoSpaceDN w:val="0"/>
              <w:spacing w:line="480" w:lineRule="exact"/>
              <w:jc w:val="center"/>
              <w:rPr>
                <w:b/>
                <w:bCs/>
                <w:kern w:val="0"/>
                <w:sz w:val="24"/>
              </w:rPr>
            </w:pPr>
            <w:r>
              <w:rPr>
                <w:b/>
                <w:bCs/>
                <w:kern w:val="0"/>
                <w:sz w:val="24"/>
              </w:rPr>
              <w:t>表</w:t>
            </w:r>
            <w:r>
              <w:rPr>
                <w:rFonts w:hint="eastAsia"/>
                <w:b/>
                <w:bCs/>
                <w:kern w:val="0"/>
                <w:sz w:val="24"/>
                <w:lang w:val="en-US" w:eastAsia="zh-CN"/>
              </w:rPr>
              <w:t>47</w:t>
            </w:r>
            <w:r>
              <w:rPr>
                <w:rFonts w:hint="eastAsia"/>
                <w:b/>
                <w:bCs/>
                <w:kern w:val="0"/>
                <w:sz w:val="24"/>
              </w:rPr>
              <w:t xml:space="preserve">   建设项目风险源调查概况一览表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8"/>
              <w:gridCol w:w="1276"/>
              <w:gridCol w:w="2256"/>
              <w:gridCol w:w="1571"/>
              <w:gridCol w:w="23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spacing w:val="-10"/>
                      <w:szCs w:val="21"/>
                    </w:rPr>
                    <w:t>序号</w:t>
                  </w:r>
                </w:p>
              </w:tc>
              <w:tc>
                <w:tcPr>
                  <w:tcW w:w="1276" w:type="dxa"/>
                  <w:vAlign w:val="center"/>
                </w:tcPr>
                <w:p>
                  <w:pPr>
                    <w:spacing w:line="240" w:lineRule="atLeast"/>
                    <w:jc w:val="center"/>
                    <w:rPr>
                      <w:spacing w:val="-10"/>
                      <w:szCs w:val="21"/>
                    </w:rPr>
                  </w:pPr>
                  <w:r>
                    <w:rPr>
                      <w:spacing w:val="-10"/>
                      <w:szCs w:val="21"/>
                    </w:rPr>
                    <w:t>危险物质名称</w:t>
                  </w:r>
                </w:p>
              </w:tc>
              <w:tc>
                <w:tcPr>
                  <w:tcW w:w="2256" w:type="dxa"/>
                  <w:vAlign w:val="center"/>
                </w:tcPr>
                <w:p>
                  <w:pPr>
                    <w:spacing w:line="240" w:lineRule="atLeast"/>
                    <w:jc w:val="center"/>
                    <w:rPr>
                      <w:spacing w:val="-10"/>
                      <w:szCs w:val="21"/>
                    </w:rPr>
                  </w:pPr>
                  <w:r>
                    <w:rPr>
                      <w:rFonts w:hint="eastAsia" w:hAnsi="宋体"/>
                      <w:spacing w:val="-10"/>
                      <w:szCs w:val="21"/>
                    </w:rPr>
                    <w:t>分布的生产单元</w:t>
                  </w:r>
                </w:p>
              </w:tc>
              <w:tc>
                <w:tcPr>
                  <w:tcW w:w="1571" w:type="dxa"/>
                  <w:vAlign w:val="center"/>
                </w:tcPr>
                <w:p>
                  <w:pPr>
                    <w:spacing w:line="240" w:lineRule="atLeast"/>
                    <w:jc w:val="center"/>
                    <w:rPr>
                      <w:spacing w:val="-10"/>
                      <w:szCs w:val="21"/>
                    </w:rPr>
                  </w:pPr>
                  <w:r>
                    <w:rPr>
                      <w:rFonts w:hint="eastAsia" w:hAnsi="宋体"/>
                      <w:spacing w:val="-10"/>
                      <w:szCs w:val="21"/>
                    </w:rPr>
                    <w:t>最大储存量(t)</w:t>
                  </w:r>
                </w:p>
              </w:tc>
              <w:tc>
                <w:tcPr>
                  <w:tcW w:w="2375" w:type="dxa"/>
                  <w:vAlign w:val="center"/>
                </w:tcPr>
                <w:p>
                  <w:pPr>
                    <w:spacing w:line="240" w:lineRule="atLeast"/>
                    <w:jc w:val="center"/>
                    <w:rPr>
                      <w:spacing w:val="-10"/>
                      <w:szCs w:val="21"/>
                    </w:rPr>
                  </w:pPr>
                  <w:r>
                    <w:rPr>
                      <w:rFonts w:hint="eastAsia" w:hAnsi="宋体"/>
                      <w:spacing w:val="-10"/>
                      <w:szCs w:val="21"/>
                    </w:rPr>
                    <w:t>生产工艺特点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rFonts w:hint="eastAsia"/>
                      <w:spacing w:val="-10"/>
                      <w:szCs w:val="21"/>
                    </w:rPr>
                    <w:t>1</w:t>
                  </w:r>
                </w:p>
              </w:tc>
              <w:tc>
                <w:tcPr>
                  <w:tcW w:w="1276" w:type="dxa"/>
                  <w:vAlign w:val="center"/>
                </w:tcPr>
                <w:p>
                  <w:pPr>
                    <w:spacing w:line="240" w:lineRule="atLeast"/>
                    <w:jc w:val="center"/>
                    <w:rPr>
                      <w:spacing w:val="-10"/>
                      <w:szCs w:val="21"/>
                    </w:rPr>
                  </w:pPr>
                  <w:r>
                    <w:rPr>
                      <w:rFonts w:hint="eastAsia"/>
                      <w:spacing w:val="-10"/>
                      <w:szCs w:val="21"/>
                    </w:rPr>
                    <w:t>润滑油</w:t>
                  </w:r>
                </w:p>
              </w:tc>
              <w:tc>
                <w:tcPr>
                  <w:tcW w:w="2256" w:type="dxa"/>
                  <w:vAlign w:val="center"/>
                </w:tcPr>
                <w:p>
                  <w:pPr>
                    <w:spacing w:line="240" w:lineRule="atLeast"/>
                    <w:jc w:val="center"/>
                    <w:rPr>
                      <w:rFonts w:hAnsi="宋体"/>
                      <w:spacing w:val="-10"/>
                      <w:szCs w:val="21"/>
                    </w:rPr>
                  </w:pPr>
                  <w:r>
                    <w:rPr>
                      <w:rFonts w:hint="eastAsia" w:hAnsi="宋体"/>
                      <w:spacing w:val="-10"/>
                      <w:szCs w:val="21"/>
                    </w:rPr>
                    <w:t>润滑油储存区</w:t>
                  </w:r>
                </w:p>
              </w:tc>
              <w:tc>
                <w:tcPr>
                  <w:tcW w:w="1571" w:type="dxa"/>
                  <w:vAlign w:val="center"/>
                </w:tcPr>
                <w:p>
                  <w:pPr>
                    <w:spacing w:line="240" w:lineRule="atLeast"/>
                    <w:jc w:val="center"/>
                    <w:rPr>
                      <w:rFonts w:hAnsi="宋体"/>
                      <w:spacing w:val="-10"/>
                      <w:szCs w:val="21"/>
                    </w:rPr>
                  </w:pPr>
                  <w:r>
                    <w:rPr>
                      <w:rFonts w:hint="eastAsia" w:hAnsi="宋体"/>
                      <w:spacing w:val="-10"/>
                      <w:szCs w:val="21"/>
                    </w:rPr>
                    <w:t>0.3</w:t>
                  </w:r>
                </w:p>
              </w:tc>
              <w:tc>
                <w:tcPr>
                  <w:tcW w:w="2375" w:type="dxa"/>
                  <w:vAlign w:val="center"/>
                </w:tcPr>
                <w:p>
                  <w:pPr>
                    <w:spacing w:line="240" w:lineRule="atLeast"/>
                    <w:jc w:val="center"/>
                    <w:rPr>
                      <w:spacing w:val="-10"/>
                      <w:szCs w:val="21"/>
                    </w:rPr>
                  </w:pPr>
                  <w:r>
                    <w:rPr>
                      <w:rFonts w:hint="eastAsia"/>
                      <w:spacing w:val="-10"/>
                      <w:szCs w:val="21"/>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rFonts w:hint="eastAsia"/>
                      <w:spacing w:val="-10"/>
                      <w:szCs w:val="21"/>
                    </w:rPr>
                    <w:t>2</w:t>
                  </w:r>
                </w:p>
              </w:tc>
              <w:tc>
                <w:tcPr>
                  <w:tcW w:w="1276" w:type="dxa"/>
                  <w:vAlign w:val="center"/>
                </w:tcPr>
                <w:p>
                  <w:pPr>
                    <w:spacing w:line="240" w:lineRule="atLeast"/>
                    <w:jc w:val="center"/>
                    <w:rPr>
                      <w:spacing w:val="-10"/>
                      <w:szCs w:val="21"/>
                    </w:rPr>
                  </w:pPr>
                  <w:r>
                    <w:rPr>
                      <w:rFonts w:hint="eastAsia"/>
                      <w:spacing w:val="-10"/>
                      <w:szCs w:val="21"/>
                    </w:rPr>
                    <w:t>废润滑油</w:t>
                  </w:r>
                </w:p>
              </w:tc>
              <w:tc>
                <w:tcPr>
                  <w:tcW w:w="2256" w:type="dxa"/>
                  <w:vMerge w:val="restart"/>
                  <w:vAlign w:val="center"/>
                </w:tcPr>
                <w:p>
                  <w:pPr>
                    <w:spacing w:line="240" w:lineRule="atLeast"/>
                    <w:jc w:val="center"/>
                    <w:rPr>
                      <w:rFonts w:hAnsi="宋体"/>
                      <w:spacing w:val="-10"/>
                      <w:szCs w:val="21"/>
                    </w:rPr>
                  </w:pPr>
                  <w:r>
                    <w:rPr>
                      <w:rFonts w:hint="eastAsia" w:hAnsi="宋体"/>
                      <w:spacing w:val="-10"/>
                      <w:szCs w:val="21"/>
                    </w:rPr>
                    <w:t>危险废物暂存间</w:t>
                  </w:r>
                </w:p>
              </w:tc>
              <w:tc>
                <w:tcPr>
                  <w:tcW w:w="1571" w:type="dxa"/>
                  <w:vAlign w:val="center"/>
                </w:tcPr>
                <w:p>
                  <w:pPr>
                    <w:spacing w:line="240" w:lineRule="atLeast"/>
                    <w:jc w:val="center"/>
                    <w:rPr>
                      <w:rFonts w:hint="eastAsia" w:hAnsi="宋体" w:eastAsia="宋体"/>
                      <w:spacing w:val="-10"/>
                      <w:szCs w:val="21"/>
                      <w:lang w:val="en-US" w:eastAsia="zh-CN"/>
                    </w:rPr>
                  </w:pPr>
                  <w:r>
                    <w:rPr>
                      <w:rFonts w:hint="eastAsia" w:hAnsi="宋体"/>
                      <w:spacing w:val="-10"/>
                      <w:szCs w:val="21"/>
                    </w:rPr>
                    <w:t>0.1</w:t>
                  </w:r>
                  <w:r>
                    <w:rPr>
                      <w:rFonts w:hint="eastAsia" w:hAnsi="宋体"/>
                      <w:spacing w:val="-10"/>
                      <w:szCs w:val="21"/>
                      <w:lang w:val="en-US" w:eastAsia="zh-CN"/>
                    </w:rPr>
                    <w:t>5</w:t>
                  </w:r>
                </w:p>
              </w:tc>
              <w:tc>
                <w:tcPr>
                  <w:tcW w:w="2375" w:type="dxa"/>
                  <w:vAlign w:val="center"/>
                </w:tcPr>
                <w:p>
                  <w:pPr>
                    <w:spacing w:line="240" w:lineRule="atLeast"/>
                    <w:jc w:val="center"/>
                    <w:rPr>
                      <w:rFonts w:hAnsi="宋体"/>
                      <w:spacing w:val="-10"/>
                      <w:szCs w:val="21"/>
                    </w:rPr>
                  </w:pPr>
                  <w:r>
                    <w:rPr>
                      <w:rFonts w:hint="eastAsia"/>
                      <w:spacing w:val="-10"/>
                      <w:szCs w:val="21"/>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rFonts w:hint="eastAsia"/>
                      <w:spacing w:val="-10"/>
                      <w:szCs w:val="21"/>
                    </w:rPr>
                    <w:t>3</w:t>
                  </w:r>
                </w:p>
              </w:tc>
              <w:tc>
                <w:tcPr>
                  <w:tcW w:w="1276" w:type="dxa"/>
                  <w:vAlign w:val="center"/>
                </w:tcPr>
                <w:p>
                  <w:pPr>
                    <w:spacing w:line="240" w:lineRule="atLeast"/>
                    <w:jc w:val="center"/>
                    <w:rPr>
                      <w:spacing w:val="-10"/>
                      <w:szCs w:val="21"/>
                    </w:rPr>
                  </w:pPr>
                  <w:r>
                    <w:rPr>
                      <w:rFonts w:hint="eastAsia"/>
                      <w:spacing w:val="-10"/>
                      <w:szCs w:val="21"/>
                    </w:rPr>
                    <w:t>废油桶</w:t>
                  </w:r>
                </w:p>
              </w:tc>
              <w:tc>
                <w:tcPr>
                  <w:tcW w:w="2256" w:type="dxa"/>
                  <w:vMerge w:val="continue"/>
                  <w:vAlign w:val="center"/>
                </w:tcPr>
                <w:p>
                  <w:pPr>
                    <w:spacing w:line="240" w:lineRule="atLeast"/>
                    <w:jc w:val="center"/>
                    <w:rPr>
                      <w:rFonts w:hAnsi="宋体"/>
                      <w:spacing w:val="-10"/>
                      <w:szCs w:val="21"/>
                    </w:rPr>
                  </w:pPr>
                </w:p>
              </w:tc>
              <w:tc>
                <w:tcPr>
                  <w:tcW w:w="1571" w:type="dxa"/>
                  <w:vAlign w:val="center"/>
                </w:tcPr>
                <w:p>
                  <w:pPr>
                    <w:spacing w:line="240" w:lineRule="atLeast"/>
                    <w:jc w:val="center"/>
                    <w:rPr>
                      <w:rFonts w:hint="eastAsia" w:hAnsi="宋体" w:eastAsia="宋体"/>
                      <w:spacing w:val="-10"/>
                      <w:szCs w:val="21"/>
                      <w:lang w:eastAsia="zh-CN"/>
                    </w:rPr>
                  </w:pPr>
                  <w:r>
                    <w:rPr>
                      <w:rFonts w:hint="eastAsia" w:hAnsi="宋体"/>
                      <w:spacing w:val="-10"/>
                      <w:szCs w:val="21"/>
                    </w:rPr>
                    <w:t>0.0</w:t>
                  </w:r>
                  <w:r>
                    <w:rPr>
                      <w:rFonts w:hint="eastAsia" w:hAnsi="宋体"/>
                      <w:spacing w:val="-10"/>
                      <w:szCs w:val="21"/>
                      <w:lang w:val="en-US" w:eastAsia="zh-CN"/>
                    </w:rPr>
                    <w:t>7</w:t>
                  </w:r>
                </w:p>
              </w:tc>
              <w:tc>
                <w:tcPr>
                  <w:tcW w:w="2375" w:type="dxa"/>
                  <w:vAlign w:val="center"/>
                </w:tcPr>
                <w:p>
                  <w:pPr>
                    <w:spacing w:line="240" w:lineRule="atLeast"/>
                    <w:jc w:val="center"/>
                    <w:rPr>
                      <w:spacing w:val="-10"/>
                      <w:szCs w:val="21"/>
                    </w:rPr>
                  </w:pPr>
                  <w:r>
                    <w:rPr>
                      <w:rFonts w:hint="eastAsia"/>
                      <w:spacing w:val="-10"/>
                      <w:szCs w:val="21"/>
                    </w:rPr>
                    <w:t>涉及危险物质贮存</w:t>
                  </w:r>
                </w:p>
              </w:tc>
            </w:tr>
          </w:tbl>
          <w:p>
            <w:pPr>
              <w:spacing w:line="480" w:lineRule="exact"/>
              <w:ind w:firstLine="480" w:firstLineChars="200"/>
              <w:rPr>
                <w:sz w:val="24"/>
              </w:rPr>
            </w:pPr>
            <w:r>
              <w:rPr>
                <w:rFonts w:hint="eastAsia"/>
                <w:sz w:val="24"/>
              </w:rPr>
              <w:t>项目风险物质数量与临界量比值Q见下表。</w:t>
            </w:r>
          </w:p>
          <w:p>
            <w:pPr>
              <w:autoSpaceDE w:val="0"/>
              <w:autoSpaceDN w:val="0"/>
              <w:spacing w:line="480" w:lineRule="exact"/>
              <w:jc w:val="center"/>
              <w:rPr>
                <w:b/>
                <w:bCs/>
                <w:kern w:val="0"/>
                <w:sz w:val="24"/>
              </w:rPr>
            </w:pPr>
            <w:r>
              <w:rPr>
                <w:b/>
                <w:bCs/>
                <w:kern w:val="0"/>
                <w:sz w:val="24"/>
              </w:rPr>
              <w:t>表</w:t>
            </w:r>
            <w:r>
              <w:rPr>
                <w:rFonts w:hint="eastAsia"/>
                <w:b/>
                <w:bCs/>
                <w:kern w:val="0"/>
                <w:sz w:val="24"/>
              </w:rPr>
              <w:t>4</w:t>
            </w:r>
            <w:r>
              <w:rPr>
                <w:rFonts w:hint="eastAsia"/>
                <w:b/>
                <w:bCs/>
                <w:kern w:val="0"/>
                <w:sz w:val="24"/>
                <w:lang w:val="en-US" w:eastAsia="zh-CN"/>
              </w:rPr>
              <w:t>8</w:t>
            </w:r>
            <w:r>
              <w:rPr>
                <w:rFonts w:hint="eastAsia"/>
                <w:b/>
                <w:bCs/>
                <w:kern w:val="0"/>
                <w:sz w:val="24"/>
              </w:rPr>
              <w:t xml:space="preserve">   风险物质数量与临界量比值一览表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8"/>
              <w:gridCol w:w="1276"/>
              <w:gridCol w:w="1134"/>
              <w:gridCol w:w="1843"/>
              <w:gridCol w:w="1275"/>
              <w:gridCol w:w="1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spacing w:val="-10"/>
                      <w:szCs w:val="21"/>
                    </w:rPr>
                    <w:t>序号</w:t>
                  </w:r>
                </w:p>
              </w:tc>
              <w:tc>
                <w:tcPr>
                  <w:tcW w:w="1276" w:type="dxa"/>
                  <w:vAlign w:val="center"/>
                </w:tcPr>
                <w:p>
                  <w:pPr>
                    <w:spacing w:line="240" w:lineRule="atLeast"/>
                    <w:jc w:val="center"/>
                    <w:rPr>
                      <w:spacing w:val="-10"/>
                      <w:szCs w:val="21"/>
                    </w:rPr>
                  </w:pPr>
                  <w:r>
                    <w:rPr>
                      <w:spacing w:val="-10"/>
                      <w:szCs w:val="21"/>
                    </w:rPr>
                    <w:t>危险物质名称</w:t>
                  </w:r>
                </w:p>
              </w:tc>
              <w:tc>
                <w:tcPr>
                  <w:tcW w:w="1134" w:type="dxa"/>
                  <w:vAlign w:val="center"/>
                </w:tcPr>
                <w:p>
                  <w:pPr>
                    <w:spacing w:line="240" w:lineRule="atLeast"/>
                    <w:jc w:val="center"/>
                    <w:rPr>
                      <w:spacing w:val="-10"/>
                      <w:szCs w:val="21"/>
                    </w:rPr>
                  </w:pPr>
                  <w:r>
                    <w:rPr>
                      <w:rFonts w:hint="eastAsia" w:hAnsi="宋体"/>
                      <w:spacing w:val="-10"/>
                      <w:szCs w:val="21"/>
                      <w:shd w:val="clear" w:color="auto" w:fill="FFFFFF"/>
                    </w:rPr>
                    <w:t>CAS号</w:t>
                  </w:r>
                </w:p>
              </w:tc>
              <w:tc>
                <w:tcPr>
                  <w:tcW w:w="1843" w:type="dxa"/>
                  <w:vAlign w:val="center"/>
                </w:tcPr>
                <w:p>
                  <w:pPr>
                    <w:spacing w:line="240" w:lineRule="atLeast"/>
                    <w:jc w:val="center"/>
                    <w:rPr>
                      <w:spacing w:val="-10"/>
                      <w:szCs w:val="21"/>
                    </w:rPr>
                  </w:pPr>
                  <w:r>
                    <w:rPr>
                      <w:rFonts w:hint="eastAsia" w:hAnsi="宋体"/>
                      <w:spacing w:val="-10"/>
                      <w:szCs w:val="21"/>
                      <w:shd w:val="clear" w:color="auto" w:fill="FFFFFF"/>
                    </w:rPr>
                    <w:t>最大存在总量q</w:t>
                  </w:r>
                  <w:r>
                    <w:rPr>
                      <w:rFonts w:hint="eastAsia" w:hAnsi="宋体"/>
                      <w:spacing w:val="-10"/>
                      <w:szCs w:val="21"/>
                      <w:shd w:val="clear" w:color="auto" w:fill="FFFFFF"/>
                      <w:vertAlign w:val="subscript"/>
                    </w:rPr>
                    <w:t>n</w:t>
                  </w:r>
                  <w:r>
                    <w:rPr>
                      <w:rFonts w:hint="eastAsia" w:hAnsi="宋体"/>
                      <w:spacing w:val="-10"/>
                      <w:szCs w:val="21"/>
                      <w:shd w:val="clear" w:color="auto" w:fill="FFFFFF"/>
                    </w:rPr>
                    <w:t>(t)</w:t>
                  </w:r>
                </w:p>
              </w:tc>
              <w:tc>
                <w:tcPr>
                  <w:tcW w:w="1275" w:type="dxa"/>
                  <w:vAlign w:val="center"/>
                </w:tcPr>
                <w:p>
                  <w:pPr>
                    <w:spacing w:line="240" w:lineRule="atLeast"/>
                    <w:jc w:val="center"/>
                    <w:rPr>
                      <w:spacing w:val="-10"/>
                      <w:szCs w:val="21"/>
                    </w:rPr>
                  </w:pPr>
                  <w:r>
                    <w:rPr>
                      <w:rFonts w:hint="eastAsia" w:hAnsi="宋体"/>
                      <w:spacing w:val="-10"/>
                      <w:szCs w:val="21"/>
                      <w:shd w:val="clear" w:color="auto" w:fill="FFFFFF"/>
                    </w:rPr>
                    <w:t>临界量Q</w:t>
                  </w:r>
                  <w:r>
                    <w:rPr>
                      <w:rFonts w:hint="eastAsia" w:hAnsi="宋体"/>
                      <w:spacing w:val="-10"/>
                      <w:szCs w:val="21"/>
                      <w:shd w:val="clear" w:color="auto" w:fill="FFFFFF"/>
                      <w:vertAlign w:val="subscript"/>
                    </w:rPr>
                    <w:t>n</w:t>
                  </w:r>
                  <w:r>
                    <w:rPr>
                      <w:rFonts w:hint="eastAsia" w:hAnsi="宋体"/>
                      <w:spacing w:val="-10"/>
                      <w:szCs w:val="21"/>
                      <w:shd w:val="clear" w:color="auto" w:fill="FFFFFF"/>
                    </w:rPr>
                    <w:t>(t)</w:t>
                  </w:r>
                </w:p>
              </w:tc>
              <w:tc>
                <w:tcPr>
                  <w:tcW w:w="1950" w:type="dxa"/>
                  <w:vAlign w:val="center"/>
                </w:tcPr>
                <w:p>
                  <w:pPr>
                    <w:spacing w:line="240" w:lineRule="atLeast"/>
                    <w:jc w:val="center"/>
                    <w:rPr>
                      <w:spacing w:val="-10"/>
                      <w:szCs w:val="21"/>
                    </w:rPr>
                  </w:pPr>
                  <w:r>
                    <w:rPr>
                      <w:rFonts w:hint="eastAsia" w:hAnsi="宋体"/>
                      <w:spacing w:val="-10"/>
                      <w:szCs w:val="21"/>
                      <w:shd w:val="clear" w:color="auto" w:fill="FFFFFF"/>
                    </w:rPr>
                    <w:t>该种危险物质Q值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rFonts w:hint="eastAsia"/>
                      <w:spacing w:val="-10"/>
                      <w:szCs w:val="21"/>
                    </w:rPr>
                    <w:t>1</w:t>
                  </w:r>
                </w:p>
              </w:tc>
              <w:tc>
                <w:tcPr>
                  <w:tcW w:w="1276" w:type="dxa"/>
                  <w:vAlign w:val="center"/>
                </w:tcPr>
                <w:p>
                  <w:pPr>
                    <w:spacing w:line="240" w:lineRule="atLeast"/>
                    <w:jc w:val="center"/>
                    <w:rPr>
                      <w:spacing w:val="-10"/>
                      <w:szCs w:val="21"/>
                    </w:rPr>
                  </w:pPr>
                  <w:r>
                    <w:rPr>
                      <w:rFonts w:hint="eastAsia"/>
                      <w:spacing w:val="-10"/>
                      <w:szCs w:val="21"/>
                    </w:rPr>
                    <w:t>润滑油</w:t>
                  </w:r>
                </w:p>
              </w:tc>
              <w:tc>
                <w:tcPr>
                  <w:tcW w:w="1134" w:type="dxa"/>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w:t>
                  </w:r>
                </w:p>
              </w:tc>
              <w:tc>
                <w:tcPr>
                  <w:tcW w:w="1843" w:type="dxa"/>
                  <w:vAlign w:val="center"/>
                </w:tcPr>
                <w:p>
                  <w:pPr>
                    <w:spacing w:line="240" w:lineRule="atLeast"/>
                    <w:jc w:val="center"/>
                    <w:rPr>
                      <w:rFonts w:hAnsi="宋体"/>
                      <w:spacing w:val="-10"/>
                      <w:szCs w:val="21"/>
                    </w:rPr>
                  </w:pPr>
                  <w:r>
                    <w:rPr>
                      <w:rFonts w:hint="eastAsia" w:hAnsi="宋体"/>
                      <w:spacing w:val="-10"/>
                      <w:szCs w:val="21"/>
                    </w:rPr>
                    <w:t>0.3</w:t>
                  </w:r>
                </w:p>
              </w:tc>
              <w:tc>
                <w:tcPr>
                  <w:tcW w:w="1275" w:type="dxa"/>
                  <w:vAlign w:val="center"/>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100</w:t>
                  </w:r>
                </w:p>
              </w:tc>
              <w:tc>
                <w:tcPr>
                  <w:tcW w:w="1950" w:type="dxa"/>
                  <w:vAlign w:val="center"/>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rFonts w:hint="eastAsia"/>
                      <w:spacing w:val="-10"/>
                      <w:szCs w:val="21"/>
                    </w:rPr>
                    <w:t>2</w:t>
                  </w:r>
                </w:p>
              </w:tc>
              <w:tc>
                <w:tcPr>
                  <w:tcW w:w="1276" w:type="dxa"/>
                  <w:vAlign w:val="center"/>
                </w:tcPr>
                <w:p>
                  <w:pPr>
                    <w:spacing w:line="240" w:lineRule="atLeast"/>
                    <w:jc w:val="center"/>
                    <w:rPr>
                      <w:spacing w:val="-10"/>
                      <w:szCs w:val="21"/>
                    </w:rPr>
                  </w:pPr>
                  <w:r>
                    <w:rPr>
                      <w:rFonts w:hint="eastAsia"/>
                      <w:spacing w:val="-10"/>
                      <w:szCs w:val="21"/>
                    </w:rPr>
                    <w:t>废润滑油</w:t>
                  </w:r>
                </w:p>
              </w:tc>
              <w:tc>
                <w:tcPr>
                  <w:tcW w:w="1134" w:type="dxa"/>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w:t>
                  </w:r>
                </w:p>
              </w:tc>
              <w:tc>
                <w:tcPr>
                  <w:tcW w:w="1843" w:type="dxa"/>
                  <w:vAlign w:val="center"/>
                </w:tcPr>
                <w:p>
                  <w:pPr>
                    <w:spacing w:line="240" w:lineRule="atLeast"/>
                    <w:jc w:val="center"/>
                    <w:rPr>
                      <w:rFonts w:hint="eastAsia" w:hAnsi="宋体" w:eastAsia="宋体"/>
                      <w:spacing w:val="-10"/>
                      <w:szCs w:val="21"/>
                      <w:lang w:val="en-US" w:eastAsia="zh-CN"/>
                    </w:rPr>
                  </w:pPr>
                  <w:r>
                    <w:rPr>
                      <w:rFonts w:hint="eastAsia" w:hAnsi="宋体"/>
                      <w:spacing w:val="-10"/>
                      <w:szCs w:val="21"/>
                    </w:rPr>
                    <w:t>0.1</w:t>
                  </w:r>
                  <w:r>
                    <w:rPr>
                      <w:rFonts w:hint="eastAsia" w:hAnsi="宋体"/>
                      <w:spacing w:val="-10"/>
                      <w:szCs w:val="21"/>
                      <w:lang w:val="en-US" w:eastAsia="zh-CN"/>
                    </w:rPr>
                    <w:t>5</w:t>
                  </w:r>
                </w:p>
              </w:tc>
              <w:tc>
                <w:tcPr>
                  <w:tcW w:w="1275" w:type="dxa"/>
                  <w:vAlign w:val="center"/>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2500</w:t>
                  </w:r>
                </w:p>
              </w:tc>
              <w:tc>
                <w:tcPr>
                  <w:tcW w:w="1950" w:type="dxa"/>
                  <w:vAlign w:val="center"/>
                </w:tcPr>
                <w:p>
                  <w:pPr>
                    <w:spacing w:line="240" w:lineRule="atLeast"/>
                    <w:jc w:val="center"/>
                    <w:rPr>
                      <w:rFonts w:hint="eastAsia" w:hAnsi="宋体" w:eastAsia="宋体"/>
                      <w:spacing w:val="-10"/>
                      <w:szCs w:val="21"/>
                      <w:shd w:val="clear" w:color="auto" w:fill="FFFFFF"/>
                      <w:lang w:val="en-US" w:eastAsia="zh-CN"/>
                    </w:rPr>
                  </w:pPr>
                  <w:r>
                    <w:rPr>
                      <w:rFonts w:hint="eastAsia" w:hAnsi="宋体"/>
                      <w:spacing w:val="-10"/>
                      <w:szCs w:val="21"/>
                      <w:shd w:val="clear" w:color="auto" w:fill="FFFFFF"/>
                    </w:rPr>
                    <w:t>0.0000</w:t>
                  </w:r>
                  <w:r>
                    <w:rPr>
                      <w:rFonts w:hint="eastAsia" w:hAnsi="宋体"/>
                      <w:spacing w:val="-10"/>
                      <w:szCs w:val="21"/>
                      <w:shd w:val="clear" w:color="auto" w:fill="FFFFFF"/>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spacing w:val="-10"/>
                      <w:szCs w:val="21"/>
                    </w:rPr>
                  </w:pPr>
                  <w:r>
                    <w:rPr>
                      <w:rFonts w:hint="eastAsia"/>
                      <w:spacing w:val="-10"/>
                      <w:szCs w:val="21"/>
                    </w:rPr>
                    <w:t>3</w:t>
                  </w:r>
                </w:p>
              </w:tc>
              <w:tc>
                <w:tcPr>
                  <w:tcW w:w="1276" w:type="dxa"/>
                  <w:vAlign w:val="center"/>
                </w:tcPr>
                <w:p>
                  <w:pPr>
                    <w:spacing w:line="240" w:lineRule="atLeast"/>
                    <w:jc w:val="center"/>
                    <w:rPr>
                      <w:spacing w:val="-10"/>
                      <w:szCs w:val="21"/>
                    </w:rPr>
                  </w:pPr>
                  <w:r>
                    <w:rPr>
                      <w:rFonts w:hint="eastAsia"/>
                      <w:spacing w:val="-10"/>
                      <w:szCs w:val="21"/>
                    </w:rPr>
                    <w:t>废油桶</w:t>
                  </w:r>
                </w:p>
              </w:tc>
              <w:tc>
                <w:tcPr>
                  <w:tcW w:w="1134" w:type="dxa"/>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w:t>
                  </w:r>
                </w:p>
              </w:tc>
              <w:tc>
                <w:tcPr>
                  <w:tcW w:w="1843" w:type="dxa"/>
                  <w:vAlign w:val="center"/>
                </w:tcPr>
                <w:p>
                  <w:pPr>
                    <w:spacing w:line="240" w:lineRule="atLeast"/>
                    <w:jc w:val="center"/>
                    <w:rPr>
                      <w:rFonts w:hint="eastAsia" w:hAnsi="宋体" w:eastAsia="宋体"/>
                      <w:spacing w:val="-10"/>
                      <w:szCs w:val="21"/>
                      <w:lang w:eastAsia="zh-CN"/>
                    </w:rPr>
                  </w:pPr>
                  <w:r>
                    <w:rPr>
                      <w:rFonts w:hint="eastAsia" w:hAnsi="宋体"/>
                      <w:spacing w:val="-10"/>
                      <w:szCs w:val="21"/>
                      <w:lang w:eastAsia="zh-CN"/>
                    </w:rPr>
                    <w:t>0.07</w:t>
                  </w:r>
                </w:p>
              </w:tc>
              <w:tc>
                <w:tcPr>
                  <w:tcW w:w="1275" w:type="dxa"/>
                  <w:vAlign w:val="center"/>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2500</w:t>
                  </w:r>
                </w:p>
              </w:tc>
              <w:tc>
                <w:tcPr>
                  <w:tcW w:w="1950" w:type="dxa"/>
                  <w:vAlign w:val="center"/>
                </w:tcPr>
                <w:p>
                  <w:pPr>
                    <w:spacing w:line="240" w:lineRule="atLeast"/>
                    <w:jc w:val="center"/>
                    <w:rPr>
                      <w:rFonts w:hint="eastAsia" w:hAnsi="宋体" w:eastAsia="宋体"/>
                      <w:spacing w:val="-10"/>
                      <w:szCs w:val="21"/>
                      <w:shd w:val="clear" w:color="auto" w:fill="FFFFFF"/>
                      <w:lang w:val="en-US" w:eastAsia="zh-CN"/>
                    </w:rPr>
                  </w:pPr>
                  <w:r>
                    <w:rPr>
                      <w:rFonts w:hint="eastAsia" w:hAnsi="宋体"/>
                      <w:spacing w:val="-10"/>
                      <w:szCs w:val="21"/>
                      <w:shd w:val="clear" w:color="auto" w:fill="FFFFFF"/>
                    </w:rPr>
                    <w:t>0.00002</w:t>
                  </w:r>
                  <w:r>
                    <w:rPr>
                      <w:rFonts w:hint="eastAsia" w:hAnsi="宋体"/>
                      <w:spacing w:val="-10"/>
                      <w:szCs w:val="21"/>
                      <w:shd w:val="clear" w:color="auto" w:fill="FFFFFF"/>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76" w:type="dxa"/>
                  <w:gridSpan w:val="5"/>
                  <w:vAlign w:val="center"/>
                </w:tcPr>
                <w:p>
                  <w:pPr>
                    <w:spacing w:line="240" w:lineRule="atLeast"/>
                    <w:jc w:val="center"/>
                    <w:rPr>
                      <w:rFonts w:hAnsi="宋体"/>
                      <w:spacing w:val="-10"/>
                      <w:szCs w:val="21"/>
                      <w:shd w:val="clear" w:color="auto" w:fill="FFFFFF"/>
                    </w:rPr>
                  </w:pPr>
                  <w:r>
                    <w:rPr>
                      <w:rFonts w:hint="eastAsia" w:hAnsi="宋体"/>
                      <w:spacing w:val="-10"/>
                      <w:szCs w:val="21"/>
                      <w:shd w:val="clear" w:color="auto" w:fill="FFFFFF"/>
                    </w:rPr>
                    <w:t>项目Q值∑</w:t>
                  </w:r>
                </w:p>
              </w:tc>
              <w:tc>
                <w:tcPr>
                  <w:tcW w:w="1950" w:type="dxa"/>
                  <w:vAlign w:val="center"/>
                </w:tcPr>
                <w:p>
                  <w:pPr>
                    <w:spacing w:line="240" w:lineRule="atLeast"/>
                    <w:jc w:val="center"/>
                    <w:rPr>
                      <w:rFonts w:hint="eastAsia" w:hAnsi="宋体" w:eastAsia="宋体"/>
                      <w:spacing w:val="-10"/>
                      <w:szCs w:val="21"/>
                      <w:shd w:val="clear" w:color="auto" w:fill="FFFFFF"/>
                      <w:lang w:eastAsia="zh-CN"/>
                    </w:rPr>
                  </w:pPr>
                  <w:r>
                    <w:rPr>
                      <w:rFonts w:hint="eastAsia" w:hAnsi="宋体"/>
                      <w:spacing w:val="-10"/>
                      <w:szCs w:val="21"/>
                      <w:shd w:val="clear" w:color="auto" w:fill="FFFFFF"/>
                      <w:lang w:eastAsia="zh-CN"/>
                    </w:rPr>
                    <w:t>0.003088</w:t>
                  </w:r>
                </w:p>
              </w:tc>
            </w:tr>
          </w:tbl>
          <w:p>
            <w:pPr>
              <w:spacing w:line="480" w:lineRule="exact"/>
              <w:ind w:firstLine="480" w:firstLineChars="200"/>
              <w:textAlignment w:val="baseline"/>
              <w:rPr>
                <w:sz w:val="24"/>
                <w:szCs w:val="20"/>
              </w:rPr>
            </w:pPr>
            <w:r>
              <w:rPr>
                <w:rFonts w:hint="eastAsia"/>
                <w:sz w:val="24"/>
                <w:szCs w:val="20"/>
              </w:rPr>
              <w:t>经计算，项目Q值为</w:t>
            </w:r>
            <w:r>
              <w:rPr>
                <w:rFonts w:hint="eastAsia"/>
                <w:sz w:val="24"/>
                <w:szCs w:val="20"/>
                <w:lang w:eastAsia="zh-CN"/>
              </w:rPr>
              <w:t>0.003088</w:t>
            </w:r>
            <w:r>
              <w:rPr>
                <w:rFonts w:hint="eastAsia"/>
                <w:sz w:val="24"/>
                <w:szCs w:val="20"/>
              </w:rPr>
              <w:t>，故项目风险物质数量与临界量比值＜1，根据《</w:t>
            </w:r>
            <w:r>
              <w:rPr>
                <w:rFonts w:ascii="宋体" w:hAnsi="宋体" w:cs="宋体"/>
                <w:sz w:val="24"/>
              </w:rPr>
              <w:t>建设项目环境影响报告表编制技术指南（污染影响类）（试行）</w:t>
            </w:r>
            <w:r>
              <w:rPr>
                <w:rFonts w:hint="eastAsia"/>
                <w:sz w:val="24"/>
                <w:szCs w:val="20"/>
              </w:rPr>
              <w:t>》中专项评价设置原则表，项目无需开展环境风险专项评价。</w:t>
            </w:r>
          </w:p>
          <w:p>
            <w:pPr>
              <w:spacing w:line="480" w:lineRule="exact"/>
              <w:ind w:firstLine="480" w:firstLineChars="200"/>
              <w:textAlignment w:val="baseline"/>
              <w:rPr>
                <w:sz w:val="24"/>
                <w:szCs w:val="20"/>
              </w:rPr>
            </w:pPr>
            <w:r>
              <w:rPr>
                <w:rFonts w:hint="eastAsia"/>
                <w:sz w:val="24"/>
                <w:szCs w:val="20"/>
              </w:rPr>
              <w:t>（2）建设项目风险及影响环境的途径识别</w:t>
            </w:r>
          </w:p>
          <w:p>
            <w:pPr>
              <w:spacing w:line="480" w:lineRule="exact"/>
              <w:ind w:firstLine="480" w:firstLineChars="200"/>
              <w:rPr>
                <w:sz w:val="24"/>
              </w:rPr>
            </w:pPr>
            <w:r>
              <w:rPr>
                <w:sz w:val="24"/>
              </w:rPr>
              <w:t>风险识别内容包括物质危险性识别、生产系统危险性识别及危险物质向环境转移的途径识别。</w:t>
            </w:r>
          </w:p>
          <w:p>
            <w:pPr>
              <w:spacing w:line="480" w:lineRule="exact"/>
              <w:ind w:firstLine="480" w:firstLineChars="200"/>
              <w:rPr>
                <w:sz w:val="24"/>
              </w:rPr>
            </w:pPr>
            <w:r>
              <w:rPr>
                <w:rFonts w:hint="eastAsia" w:ascii="宋体" w:hAnsi="宋体" w:cs="宋体"/>
                <w:sz w:val="24"/>
              </w:rPr>
              <w:t>①</w:t>
            </w:r>
            <w:r>
              <w:rPr>
                <w:sz w:val="24"/>
              </w:rPr>
              <w:t>物质危险性识别</w:t>
            </w:r>
          </w:p>
          <w:p>
            <w:pPr>
              <w:spacing w:line="480" w:lineRule="exact"/>
              <w:ind w:firstLine="510"/>
              <w:rPr>
                <w:rFonts w:eastAsia="黑体"/>
                <w:b/>
                <w:bCs/>
                <w:kern w:val="0"/>
                <w:szCs w:val="28"/>
              </w:rPr>
            </w:pPr>
            <w:r>
              <w:rPr>
                <w:sz w:val="24"/>
              </w:rPr>
              <w:t>本项目涉及的危险物质主要</w:t>
            </w:r>
            <w:r>
              <w:rPr>
                <w:rFonts w:hint="eastAsia"/>
                <w:sz w:val="24"/>
              </w:rPr>
              <w:t>为</w:t>
            </w:r>
            <w:r>
              <w:rPr>
                <w:sz w:val="24"/>
              </w:rPr>
              <w:t>油类物质等，其危险特性、分布情况见</w:t>
            </w:r>
            <w:r>
              <w:rPr>
                <w:rFonts w:hint="eastAsia"/>
                <w:sz w:val="24"/>
              </w:rPr>
              <w:t>下</w:t>
            </w:r>
            <w:r>
              <w:rPr>
                <w:sz w:val="24"/>
              </w:rPr>
              <w:t>表。</w:t>
            </w:r>
          </w:p>
          <w:p>
            <w:pPr>
              <w:autoSpaceDE w:val="0"/>
              <w:autoSpaceDN w:val="0"/>
              <w:spacing w:line="480" w:lineRule="exact"/>
              <w:jc w:val="center"/>
              <w:rPr>
                <w:b/>
                <w:bCs/>
                <w:kern w:val="0"/>
                <w:sz w:val="24"/>
              </w:rPr>
            </w:pPr>
            <w:r>
              <w:rPr>
                <w:b/>
                <w:bCs/>
                <w:kern w:val="0"/>
                <w:sz w:val="24"/>
              </w:rPr>
              <w:t>表</w:t>
            </w:r>
            <w:r>
              <w:rPr>
                <w:rFonts w:hint="eastAsia"/>
                <w:b/>
                <w:bCs/>
                <w:kern w:val="0"/>
                <w:sz w:val="24"/>
              </w:rPr>
              <w:t>4</w:t>
            </w:r>
            <w:r>
              <w:rPr>
                <w:rFonts w:hint="eastAsia"/>
                <w:b/>
                <w:bCs/>
                <w:kern w:val="0"/>
                <w:sz w:val="24"/>
                <w:lang w:val="en-US" w:eastAsia="zh-CN"/>
              </w:rPr>
              <w:t>9</w:t>
            </w:r>
            <w:r>
              <w:rPr>
                <w:rFonts w:hint="eastAsia"/>
                <w:b/>
                <w:bCs/>
                <w:kern w:val="0"/>
                <w:sz w:val="24"/>
              </w:rPr>
              <w:t xml:space="preserve">   </w:t>
            </w:r>
            <w:r>
              <w:rPr>
                <w:b/>
                <w:bCs/>
                <w:kern w:val="0"/>
                <w:sz w:val="24"/>
              </w:rPr>
              <w:t>物质危险性识别结果一览表</w:t>
            </w:r>
          </w:p>
          <w:tbl>
            <w:tblPr>
              <w:tblStyle w:val="32"/>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6"/>
              <w:gridCol w:w="1523"/>
              <w:gridCol w:w="2208"/>
              <w:gridCol w:w="1371"/>
              <w:gridCol w:w="2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Align w:val="center"/>
                </w:tcPr>
                <w:p>
                  <w:pPr>
                    <w:spacing w:line="240" w:lineRule="atLeast"/>
                    <w:jc w:val="center"/>
                    <w:rPr>
                      <w:spacing w:val="-10"/>
                      <w:szCs w:val="21"/>
                    </w:rPr>
                  </w:pPr>
                  <w:r>
                    <w:rPr>
                      <w:spacing w:val="-10"/>
                      <w:szCs w:val="21"/>
                    </w:rPr>
                    <w:t>序号</w:t>
                  </w:r>
                </w:p>
              </w:tc>
              <w:tc>
                <w:tcPr>
                  <w:tcW w:w="1523" w:type="dxa"/>
                  <w:vAlign w:val="center"/>
                </w:tcPr>
                <w:p>
                  <w:pPr>
                    <w:spacing w:line="240" w:lineRule="atLeast"/>
                    <w:jc w:val="center"/>
                    <w:rPr>
                      <w:spacing w:val="-10"/>
                      <w:szCs w:val="21"/>
                    </w:rPr>
                  </w:pPr>
                  <w:r>
                    <w:rPr>
                      <w:spacing w:val="-10"/>
                      <w:szCs w:val="21"/>
                    </w:rPr>
                    <w:t>危险物质名称</w:t>
                  </w:r>
                </w:p>
              </w:tc>
              <w:tc>
                <w:tcPr>
                  <w:tcW w:w="2208" w:type="dxa"/>
                  <w:vAlign w:val="center"/>
                </w:tcPr>
                <w:p>
                  <w:pPr>
                    <w:spacing w:line="240" w:lineRule="atLeast"/>
                    <w:jc w:val="center"/>
                    <w:rPr>
                      <w:spacing w:val="-10"/>
                      <w:szCs w:val="21"/>
                    </w:rPr>
                  </w:pPr>
                  <w:r>
                    <w:rPr>
                      <w:spacing w:val="-10"/>
                      <w:szCs w:val="21"/>
                    </w:rPr>
                    <w:t>易燃易爆性</w:t>
                  </w:r>
                </w:p>
              </w:tc>
              <w:tc>
                <w:tcPr>
                  <w:tcW w:w="1371" w:type="dxa"/>
                  <w:vAlign w:val="center"/>
                </w:tcPr>
                <w:p>
                  <w:pPr>
                    <w:spacing w:line="240" w:lineRule="atLeast"/>
                    <w:jc w:val="center"/>
                    <w:rPr>
                      <w:spacing w:val="-10"/>
                      <w:szCs w:val="21"/>
                    </w:rPr>
                  </w:pPr>
                  <w:r>
                    <w:rPr>
                      <w:spacing w:val="-10"/>
                      <w:szCs w:val="21"/>
                    </w:rPr>
                    <w:t>有毒有害性</w:t>
                  </w:r>
                </w:p>
              </w:tc>
              <w:tc>
                <w:tcPr>
                  <w:tcW w:w="2298" w:type="dxa"/>
                  <w:vAlign w:val="center"/>
                </w:tcPr>
                <w:p>
                  <w:pPr>
                    <w:spacing w:line="240" w:lineRule="atLeast"/>
                    <w:jc w:val="center"/>
                    <w:rPr>
                      <w:spacing w:val="-10"/>
                      <w:szCs w:val="21"/>
                    </w:rPr>
                  </w:pPr>
                  <w:r>
                    <w:rPr>
                      <w:spacing w:val="-10"/>
                      <w:szCs w:val="21"/>
                    </w:rPr>
                    <w:t>分布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Align w:val="center"/>
                </w:tcPr>
                <w:p>
                  <w:pPr>
                    <w:spacing w:line="240" w:lineRule="atLeast"/>
                    <w:jc w:val="center"/>
                    <w:rPr>
                      <w:spacing w:val="-10"/>
                      <w:szCs w:val="21"/>
                    </w:rPr>
                  </w:pPr>
                  <w:r>
                    <w:rPr>
                      <w:spacing w:val="-10"/>
                      <w:szCs w:val="21"/>
                    </w:rPr>
                    <w:t>1</w:t>
                  </w:r>
                </w:p>
              </w:tc>
              <w:tc>
                <w:tcPr>
                  <w:tcW w:w="1523" w:type="dxa"/>
                  <w:vAlign w:val="center"/>
                </w:tcPr>
                <w:p>
                  <w:pPr>
                    <w:spacing w:line="240" w:lineRule="atLeast"/>
                    <w:jc w:val="center"/>
                    <w:rPr>
                      <w:spacing w:val="-10"/>
                      <w:szCs w:val="21"/>
                    </w:rPr>
                  </w:pPr>
                  <w:r>
                    <w:rPr>
                      <w:spacing w:val="-10"/>
                      <w:szCs w:val="21"/>
                    </w:rPr>
                    <w:t>油类物质</w:t>
                  </w:r>
                </w:p>
              </w:tc>
              <w:tc>
                <w:tcPr>
                  <w:tcW w:w="2208" w:type="dxa"/>
                  <w:vAlign w:val="center"/>
                </w:tcPr>
                <w:p>
                  <w:pPr>
                    <w:spacing w:line="240" w:lineRule="atLeast"/>
                    <w:jc w:val="center"/>
                    <w:rPr>
                      <w:spacing w:val="-10"/>
                      <w:szCs w:val="21"/>
                    </w:rPr>
                  </w:pPr>
                  <w:r>
                    <w:rPr>
                      <w:spacing w:val="-10"/>
                      <w:kern w:val="0"/>
                      <w:szCs w:val="21"/>
                    </w:rPr>
                    <w:t>发生热裂解反应，生成易挥发及较低闪点的低聚物</w:t>
                  </w:r>
                </w:p>
              </w:tc>
              <w:tc>
                <w:tcPr>
                  <w:tcW w:w="1371" w:type="dxa"/>
                  <w:vAlign w:val="center"/>
                </w:tcPr>
                <w:p>
                  <w:pPr>
                    <w:spacing w:line="240" w:lineRule="atLeast"/>
                    <w:jc w:val="center"/>
                    <w:rPr>
                      <w:spacing w:val="-10"/>
                      <w:szCs w:val="21"/>
                    </w:rPr>
                  </w:pPr>
                  <w:r>
                    <w:rPr>
                      <w:spacing w:val="-10"/>
                      <w:szCs w:val="21"/>
                    </w:rPr>
                    <w:t>--</w:t>
                  </w:r>
                </w:p>
              </w:tc>
              <w:tc>
                <w:tcPr>
                  <w:tcW w:w="2298" w:type="dxa"/>
                  <w:vAlign w:val="center"/>
                </w:tcPr>
                <w:p>
                  <w:pPr>
                    <w:spacing w:line="240" w:lineRule="atLeast"/>
                    <w:jc w:val="center"/>
                    <w:rPr>
                      <w:spacing w:val="-10"/>
                      <w:szCs w:val="21"/>
                    </w:rPr>
                  </w:pPr>
                  <w:r>
                    <w:rPr>
                      <w:rFonts w:hint="eastAsia"/>
                      <w:spacing w:val="-10"/>
                      <w:szCs w:val="21"/>
                    </w:rPr>
                    <w:t>生产车间润滑油储存区、</w:t>
                  </w:r>
                  <w:r>
                    <w:rPr>
                      <w:spacing w:val="-10"/>
                      <w:szCs w:val="21"/>
                    </w:rPr>
                    <w:t>危废间</w:t>
                  </w:r>
                </w:p>
              </w:tc>
            </w:tr>
          </w:tbl>
          <w:p>
            <w:pPr>
              <w:spacing w:line="480" w:lineRule="exact"/>
              <w:ind w:firstLine="480" w:firstLineChars="200"/>
              <w:rPr>
                <w:sz w:val="24"/>
              </w:rPr>
            </w:pPr>
            <w:r>
              <w:rPr>
                <w:rFonts w:hint="eastAsia" w:ascii="宋体" w:hAnsi="宋体" w:cs="宋体"/>
                <w:sz w:val="24"/>
              </w:rPr>
              <w:t>②</w:t>
            </w:r>
            <w:r>
              <w:rPr>
                <w:sz w:val="24"/>
              </w:rPr>
              <w:t>生产系统危险性识别</w:t>
            </w:r>
          </w:p>
          <w:p>
            <w:pPr>
              <w:spacing w:line="480" w:lineRule="exact"/>
              <w:ind w:firstLine="480" w:firstLineChars="200"/>
              <w:rPr>
                <w:sz w:val="24"/>
              </w:rPr>
            </w:pPr>
            <w:r>
              <w:rPr>
                <w:sz w:val="24"/>
              </w:rPr>
              <w:t>根据本项目工艺流程及平面布置功能分区，并结合物质危险性识别，确定危险单元包括</w:t>
            </w:r>
            <w:r>
              <w:rPr>
                <w:rFonts w:hint="eastAsia"/>
                <w:sz w:val="24"/>
              </w:rPr>
              <w:t>生产车间内润滑油储存区、危险废物暂存间</w:t>
            </w:r>
            <w:r>
              <w:rPr>
                <w:sz w:val="24"/>
              </w:rPr>
              <w:t>。</w:t>
            </w:r>
          </w:p>
          <w:p>
            <w:pPr>
              <w:spacing w:line="480" w:lineRule="exact"/>
              <w:ind w:firstLine="480" w:firstLineChars="200"/>
              <w:rPr>
                <w:sz w:val="24"/>
              </w:rPr>
            </w:pPr>
            <w:r>
              <w:rPr>
                <w:rFonts w:hint="eastAsia" w:ascii="宋体" w:hAnsi="宋体" w:cs="宋体"/>
                <w:sz w:val="24"/>
              </w:rPr>
              <w:t>③</w:t>
            </w:r>
            <w:r>
              <w:rPr>
                <w:bCs/>
                <w:sz w:val="24"/>
              </w:rPr>
              <w:t>危险物质向环境转移的途径识别</w:t>
            </w:r>
          </w:p>
          <w:p>
            <w:pPr>
              <w:spacing w:line="480" w:lineRule="exact"/>
              <w:ind w:firstLine="480" w:firstLineChars="200"/>
              <w:rPr>
                <w:sz w:val="24"/>
              </w:rPr>
            </w:pPr>
            <w:r>
              <w:rPr>
                <w:sz w:val="24"/>
              </w:rPr>
              <w:t>根据本项目危险物质及生产系统危险性识别结果，项目涉及的环境风险类型涉及危险物质泄漏以及火灾爆炸引发的次生污染物排放。危险物质向环境转移的可能途径及影响方式主要有以下几个方面：</w:t>
            </w:r>
          </w:p>
          <w:p>
            <w:pPr>
              <w:spacing w:line="480" w:lineRule="exact"/>
              <w:ind w:firstLine="480" w:firstLineChars="200"/>
              <w:rPr>
                <w:sz w:val="24"/>
              </w:rPr>
            </w:pPr>
            <w:r>
              <w:rPr>
                <w:sz w:val="24"/>
              </w:rPr>
              <w:t>大气扩散：</w:t>
            </w:r>
            <w:r>
              <w:rPr>
                <w:rFonts w:hint="eastAsia"/>
                <w:sz w:val="24"/>
              </w:rPr>
              <w:t>油类物质</w:t>
            </w:r>
            <w:r>
              <w:rPr>
                <w:sz w:val="24"/>
              </w:rPr>
              <w:t>发生火灾或爆炸后产生的</w:t>
            </w:r>
            <w:r>
              <w:rPr>
                <w:rFonts w:hint="eastAsia"/>
                <w:sz w:val="24"/>
              </w:rPr>
              <w:t>次</w:t>
            </w:r>
            <w:r>
              <w:rPr>
                <w:sz w:val="24"/>
              </w:rPr>
              <w:t>生污染物进入大气环境，通过大气扩散对周围环境造成影响。</w:t>
            </w:r>
          </w:p>
          <w:p>
            <w:pPr>
              <w:spacing w:line="480" w:lineRule="exact"/>
              <w:ind w:firstLine="480" w:firstLineChars="200"/>
              <w:rPr>
                <w:sz w:val="24"/>
              </w:rPr>
            </w:pPr>
            <w:r>
              <w:rPr>
                <w:sz w:val="24"/>
              </w:rPr>
              <w:t>水环境扩散：项目泄漏物料和泄漏物料发生火灾事故时产生的消防废水以及初期雨水未得到有效收集而进入外环境，对周围水环境造成影响。</w:t>
            </w:r>
          </w:p>
          <w:p>
            <w:pPr>
              <w:spacing w:line="480" w:lineRule="exact"/>
              <w:ind w:firstLine="480" w:firstLineChars="200"/>
              <w:rPr>
                <w:sz w:val="24"/>
              </w:rPr>
            </w:pPr>
            <w:r>
              <w:rPr>
                <w:sz w:val="24"/>
              </w:rPr>
              <w:t>土壤扩散：项目</w:t>
            </w:r>
            <w:r>
              <w:rPr>
                <w:rFonts w:hint="eastAsia"/>
                <w:sz w:val="24"/>
              </w:rPr>
              <w:t>油类</w:t>
            </w:r>
            <w:r>
              <w:rPr>
                <w:sz w:val="24"/>
              </w:rPr>
              <w:t>物质泄漏后聚积地面，在防渗层失效情况下，通过地表渗透进入土壤或地下水，对土壤、地下水环境造成影响。</w:t>
            </w:r>
          </w:p>
          <w:p>
            <w:pPr>
              <w:spacing w:line="480" w:lineRule="exact"/>
              <w:ind w:firstLine="480" w:firstLineChars="200"/>
              <w:rPr>
                <w:sz w:val="24"/>
              </w:rPr>
            </w:pPr>
            <w:r>
              <w:rPr>
                <w:rFonts w:hint="eastAsia" w:ascii="宋体" w:hAnsi="宋体" w:cs="宋体"/>
                <w:sz w:val="24"/>
              </w:rPr>
              <w:t>④</w:t>
            </w:r>
            <w:r>
              <w:rPr>
                <w:sz w:val="24"/>
              </w:rPr>
              <w:t>风险识别结果</w:t>
            </w:r>
          </w:p>
          <w:p>
            <w:pPr>
              <w:spacing w:line="480" w:lineRule="exact"/>
              <w:ind w:firstLine="480" w:firstLineChars="200"/>
              <w:rPr>
                <w:sz w:val="24"/>
              </w:rPr>
            </w:pPr>
            <w:r>
              <w:rPr>
                <w:sz w:val="24"/>
              </w:rPr>
              <w:t>本项目物质及生产系统危险性识别结果见</w:t>
            </w:r>
            <w:r>
              <w:rPr>
                <w:rFonts w:hint="eastAsia"/>
                <w:sz w:val="24"/>
              </w:rPr>
              <w:t>下</w:t>
            </w:r>
            <w:r>
              <w:rPr>
                <w:sz w:val="24"/>
              </w:rPr>
              <w:t>表。</w:t>
            </w:r>
          </w:p>
          <w:p>
            <w:pPr>
              <w:autoSpaceDE w:val="0"/>
              <w:autoSpaceDN w:val="0"/>
              <w:spacing w:line="480" w:lineRule="exact"/>
              <w:jc w:val="center"/>
              <w:rPr>
                <w:b/>
                <w:bCs/>
                <w:kern w:val="0"/>
                <w:sz w:val="24"/>
              </w:rPr>
            </w:pPr>
            <w:r>
              <w:rPr>
                <w:b/>
                <w:bCs/>
                <w:kern w:val="0"/>
                <w:sz w:val="24"/>
              </w:rPr>
              <w:t>表</w:t>
            </w:r>
            <w:r>
              <w:rPr>
                <w:rFonts w:hint="eastAsia"/>
                <w:b/>
                <w:bCs/>
                <w:kern w:val="0"/>
                <w:sz w:val="24"/>
                <w:lang w:val="en-US" w:eastAsia="zh-CN"/>
              </w:rPr>
              <w:t>50</w:t>
            </w:r>
            <w:r>
              <w:rPr>
                <w:rFonts w:hint="eastAsia"/>
                <w:b/>
                <w:bCs/>
                <w:kern w:val="0"/>
                <w:sz w:val="24"/>
              </w:rPr>
              <w:t xml:space="preserve">   </w:t>
            </w:r>
            <w:r>
              <w:rPr>
                <w:b/>
                <w:bCs/>
                <w:kern w:val="0"/>
                <w:sz w:val="24"/>
              </w:rPr>
              <w:t>本项目环境风险识别表</w:t>
            </w:r>
          </w:p>
          <w:tbl>
            <w:tblPr>
              <w:tblStyle w:val="32"/>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3"/>
              <w:gridCol w:w="1198"/>
              <w:gridCol w:w="1361"/>
              <w:gridCol w:w="942"/>
              <w:gridCol w:w="1211"/>
              <w:gridCol w:w="1243"/>
              <w:gridCol w:w="15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spacing w:val="-10"/>
                      <w:szCs w:val="21"/>
                    </w:rPr>
                  </w:pPr>
                  <w:r>
                    <w:rPr>
                      <w:spacing w:val="-10"/>
                      <w:szCs w:val="21"/>
                    </w:rPr>
                    <w:t>序号</w:t>
                  </w:r>
                </w:p>
              </w:tc>
              <w:tc>
                <w:tcPr>
                  <w:tcW w:w="1198" w:type="dxa"/>
                  <w:vAlign w:val="center"/>
                </w:tcPr>
                <w:p>
                  <w:pPr>
                    <w:spacing w:line="240" w:lineRule="atLeast"/>
                    <w:jc w:val="center"/>
                    <w:rPr>
                      <w:spacing w:val="-10"/>
                      <w:szCs w:val="21"/>
                    </w:rPr>
                  </w:pPr>
                  <w:r>
                    <w:rPr>
                      <w:spacing w:val="-10"/>
                      <w:szCs w:val="21"/>
                    </w:rPr>
                    <w:t>危险单元</w:t>
                  </w:r>
                </w:p>
              </w:tc>
              <w:tc>
                <w:tcPr>
                  <w:tcW w:w="1361" w:type="dxa"/>
                  <w:vAlign w:val="center"/>
                </w:tcPr>
                <w:p>
                  <w:pPr>
                    <w:spacing w:line="240" w:lineRule="atLeast"/>
                    <w:jc w:val="center"/>
                    <w:rPr>
                      <w:spacing w:val="-10"/>
                      <w:szCs w:val="21"/>
                    </w:rPr>
                  </w:pPr>
                  <w:r>
                    <w:rPr>
                      <w:spacing w:val="-10"/>
                      <w:szCs w:val="21"/>
                    </w:rPr>
                    <w:t>风险源</w:t>
                  </w:r>
                </w:p>
              </w:tc>
              <w:tc>
                <w:tcPr>
                  <w:tcW w:w="942" w:type="dxa"/>
                  <w:vAlign w:val="center"/>
                </w:tcPr>
                <w:p>
                  <w:pPr>
                    <w:spacing w:line="240" w:lineRule="atLeast"/>
                    <w:jc w:val="center"/>
                    <w:rPr>
                      <w:spacing w:val="-10"/>
                      <w:szCs w:val="21"/>
                    </w:rPr>
                  </w:pPr>
                  <w:r>
                    <w:rPr>
                      <w:spacing w:val="-10"/>
                      <w:szCs w:val="21"/>
                    </w:rPr>
                    <w:t>主要危险物质</w:t>
                  </w:r>
                </w:p>
              </w:tc>
              <w:tc>
                <w:tcPr>
                  <w:tcW w:w="1211" w:type="dxa"/>
                  <w:vAlign w:val="center"/>
                </w:tcPr>
                <w:p>
                  <w:pPr>
                    <w:spacing w:line="240" w:lineRule="atLeast"/>
                    <w:jc w:val="center"/>
                    <w:rPr>
                      <w:spacing w:val="-10"/>
                      <w:szCs w:val="21"/>
                    </w:rPr>
                  </w:pPr>
                  <w:r>
                    <w:rPr>
                      <w:spacing w:val="-10"/>
                      <w:szCs w:val="21"/>
                    </w:rPr>
                    <w:t>环境风险类型</w:t>
                  </w:r>
                </w:p>
              </w:tc>
              <w:tc>
                <w:tcPr>
                  <w:tcW w:w="1243" w:type="dxa"/>
                  <w:vAlign w:val="center"/>
                </w:tcPr>
                <w:p>
                  <w:pPr>
                    <w:spacing w:line="240" w:lineRule="atLeast"/>
                    <w:jc w:val="center"/>
                    <w:rPr>
                      <w:spacing w:val="-10"/>
                      <w:szCs w:val="21"/>
                    </w:rPr>
                  </w:pPr>
                  <w:r>
                    <w:rPr>
                      <w:spacing w:val="-10"/>
                      <w:szCs w:val="21"/>
                    </w:rPr>
                    <w:t>环境影响途径</w:t>
                  </w:r>
                </w:p>
              </w:tc>
              <w:tc>
                <w:tcPr>
                  <w:tcW w:w="1548" w:type="dxa"/>
                  <w:vAlign w:val="center"/>
                </w:tcPr>
                <w:p>
                  <w:pPr>
                    <w:spacing w:line="240" w:lineRule="atLeast"/>
                    <w:jc w:val="center"/>
                    <w:rPr>
                      <w:spacing w:val="-10"/>
                      <w:szCs w:val="21"/>
                    </w:rPr>
                  </w:pPr>
                  <w:r>
                    <w:rPr>
                      <w:spacing w:val="-10"/>
                      <w:szCs w:val="21"/>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spacing w:val="-10"/>
                      <w:szCs w:val="21"/>
                    </w:rPr>
                  </w:pPr>
                  <w:r>
                    <w:rPr>
                      <w:rFonts w:hint="eastAsia"/>
                      <w:spacing w:val="-10"/>
                      <w:szCs w:val="21"/>
                    </w:rPr>
                    <w:t>1</w:t>
                  </w:r>
                </w:p>
              </w:tc>
              <w:tc>
                <w:tcPr>
                  <w:tcW w:w="1198" w:type="dxa"/>
                  <w:vAlign w:val="center"/>
                </w:tcPr>
                <w:p>
                  <w:pPr>
                    <w:widowControl/>
                    <w:jc w:val="center"/>
                    <w:rPr>
                      <w:spacing w:val="-10"/>
                      <w:szCs w:val="21"/>
                    </w:rPr>
                  </w:pPr>
                  <w:r>
                    <w:rPr>
                      <w:rFonts w:hint="eastAsia"/>
                      <w:spacing w:val="-10"/>
                      <w:szCs w:val="21"/>
                    </w:rPr>
                    <w:t>生产车间润滑油储存区</w:t>
                  </w:r>
                </w:p>
              </w:tc>
              <w:tc>
                <w:tcPr>
                  <w:tcW w:w="1361" w:type="dxa"/>
                  <w:vAlign w:val="center"/>
                </w:tcPr>
                <w:p>
                  <w:pPr>
                    <w:spacing w:line="240" w:lineRule="atLeast"/>
                    <w:jc w:val="center"/>
                    <w:rPr>
                      <w:spacing w:val="-10"/>
                      <w:szCs w:val="21"/>
                    </w:rPr>
                  </w:pPr>
                  <w:r>
                    <w:rPr>
                      <w:rFonts w:hint="eastAsia"/>
                      <w:spacing w:val="-10"/>
                      <w:szCs w:val="21"/>
                    </w:rPr>
                    <w:t>润滑油</w:t>
                  </w:r>
                </w:p>
              </w:tc>
              <w:tc>
                <w:tcPr>
                  <w:tcW w:w="942" w:type="dxa"/>
                  <w:vAlign w:val="center"/>
                </w:tcPr>
                <w:p>
                  <w:pPr>
                    <w:spacing w:line="240" w:lineRule="atLeast"/>
                    <w:jc w:val="center"/>
                    <w:rPr>
                      <w:spacing w:val="-10"/>
                      <w:szCs w:val="21"/>
                    </w:rPr>
                  </w:pPr>
                  <w:r>
                    <w:rPr>
                      <w:spacing w:val="-10"/>
                      <w:szCs w:val="21"/>
                    </w:rPr>
                    <w:t>油类物质</w:t>
                  </w:r>
                </w:p>
              </w:tc>
              <w:tc>
                <w:tcPr>
                  <w:tcW w:w="1211" w:type="dxa"/>
                  <w:vAlign w:val="center"/>
                </w:tcPr>
                <w:p>
                  <w:pPr>
                    <w:spacing w:line="240" w:lineRule="atLeast"/>
                    <w:jc w:val="center"/>
                    <w:rPr>
                      <w:spacing w:val="-10"/>
                      <w:szCs w:val="21"/>
                    </w:rPr>
                  </w:pPr>
                  <w:r>
                    <w:rPr>
                      <w:spacing w:val="-10"/>
                      <w:szCs w:val="21"/>
                    </w:rPr>
                    <w:t>泄漏、火灾</w:t>
                  </w:r>
                </w:p>
              </w:tc>
              <w:tc>
                <w:tcPr>
                  <w:tcW w:w="1243" w:type="dxa"/>
                  <w:vAlign w:val="center"/>
                </w:tcPr>
                <w:p>
                  <w:pPr>
                    <w:spacing w:line="240" w:lineRule="atLeast"/>
                    <w:jc w:val="center"/>
                    <w:rPr>
                      <w:spacing w:val="-10"/>
                      <w:szCs w:val="21"/>
                    </w:rPr>
                  </w:pPr>
                  <w:r>
                    <w:rPr>
                      <w:rFonts w:hint="eastAsia"/>
                      <w:spacing w:val="-10"/>
                      <w:szCs w:val="21"/>
                    </w:rPr>
                    <w:t>大气、</w:t>
                  </w:r>
                  <w:r>
                    <w:rPr>
                      <w:spacing w:val="-10"/>
                      <w:szCs w:val="21"/>
                    </w:rPr>
                    <w:t>地表水、地下水</w:t>
                  </w:r>
                </w:p>
              </w:tc>
              <w:tc>
                <w:tcPr>
                  <w:tcW w:w="1548" w:type="dxa"/>
                  <w:vAlign w:val="center"/>
                </w:tcPr>
                <w:p>
                  <w:pPr>
                    <w:spacing w:line="240" w:lineRule="atLeast"/>
                    <w:jc w:val="center"/>
                    <w:rPr>
                      <w:spacing w:val="-10"/>
                      <w:szCs w:val="21"/>
                    </w:rPr>
                  </w:pPr>
                  <w:r>
                    <w:rPr>
                      <w:spacing w:val="-10"/>
                      <w:szCs w:val="21"/>
                    </w:rPr>
                    <w:t>居民区、地表水、地下水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spacing w:val="-10"/>
                      <w:szCs w:val="21"/>
                    </w:rPr>
                  </w:pPr>
                  <w:r>
                    <w:rPr>
                      <w:rFonts w:hint="eastAsia"/>
                      <w:spacing w:val="-10"/>
                      <w:szCs w:val="21"/>
                    </w:rPr>
                    <w:t>2</w:t>
                  </w:r>
                </w:p>
              </w:tc>
              <w:tc>
                <w:tcPr>
                  <w:tcW w:w="1198" w:type="dxa"/>
                  <w:vAlign w:val="center"/>
                </w:tcPr>
                <w:p>
                  <w:pPr>
                    <w:widowControl/>
                    <w:jc w:val="center"/>
                    <w:rPr>
                      <w:spacing w:val="-10"/>
                      <w:szCs w:val="21"/>
                    </w:rPr>
                  </w:pPr>
                  <w:r>
                    <w:rPr>
                      <w:rFonts w:hint="eastAsia"/>
                      <w:spacing w:val="-10"/>
                      <w:szCs w:val="21"/>
                    </w:rPr>
                    <w:t>危险废物暂存间</w:t>
                  </w:r>
                </w:p>
              </w:tc>
              <w:tc>
                <w:tcPr>
                  <w:tcW w:w="1361" w:type="dxa"/>
                  <w:vAlign w:val="center"/>
                </w:tcPr>
                <w:p>
                  <w:pPr>
                    <w:spacing w:line="240" w:lineRule="atLeast"/>
                    <w:jc w:val="center"/>
                    <w:rPr>
                      <w:spacing w:val="-10"/>
                      <w:szCs w:val="21"/>
                    </w:rPr>
                  </w:pPr>
                  <w:r>
                    <w:rPr>
                      <w:rFonts w:hint="eastAsia"/>
                      <w:spacing w:val="-10"/>
                      <w:szCs w:val="21"/>
                    </w:rPr>
                    <w:t>废润滑油、废油桶</w:t>
                  </w:r>
                </w:p>
              </w:tc>
              <w:tc>
                <w:tcPr>
                  <w:tcW w:w="942" w:type="dxa"/>
                  <w:vAlign w:val="center"/>
                </w:tcPr>
                <w:p>
                  <w:pPr>
                    <w:spacing w:line="240" w:lineRule="atLeast"/>
                    <w:jc w:val="center"/>
                    <w:rPr>
                      <w:spacing w:val="-10"/>
                      <w:szCs w:val="21"/>
                    </w:rPr>
                  </w:pPr>
                  <w:r>
                    <w:rPr>
                      <w:spacing w:val="-10"/>
                      <w:szCs w:val="21"/>
                    </w:rPr>
                    <w:t>油类物质</w:t>
                  </w:r>
                </w:p>
              </w:tc>
              <w:tc>
                <w:tcPr>
                  <w:tcW w:w="1211" w:type="dxa"/>
                  <w:vAlign w:val="center"/>
                </w:tcPr>
                <w:p>
                  <w:pPr>
                    <w:spacing w:line="240" w:lineRule="atLeast"/>
                    <w:jc w:val="center"/>
                    <w:rPr>
                      <w:spacing w:val="-10"/>
                      <w:szCs w:val="21"/>
                    </w:rPr>
                  </w:pPr>
                  <w:r>
                    <w:rPr>
                      <w:spacing w:val="-10"/>
                      <w:szCs w:val="21"/>
                    </w:rPr>
                    <w:t>泄漏、火灾</w:t>
                  </w:r>
                </w:p>
              </w:tc>
              <w:tc>
                <w:tcPr>
                  <w:tcW w:w="1243" w:type="dxa"/>
                  <w:vAlign w:val="center"/>
                </w:tcPr>
                <w:p>
                  <w:pPr>
                    <w:spacing w:line="240" w:lineRule="atLeast"/>
                    <w:jc w:val="center"/>
                    <w:rPr>
                      <w:spacing w:val="-10"/>
                      <w:szCs w:val="21"/>
                    </w:rPr>
                  </w:pPr>
                  <w:r>
                    <w:rPr>
                      <w:rFonts w:hint="eastAsia"/>
                      <w:spacing w:val="-10"/>
                      <w:szCs w:val="21"/>
                    </w:rPr>
                    <w:t>大气、</w:t>
                  </w:r>
                  <w:r>
                    <w:rPr>
                      <w:spacing w:val="-10"/>
                      <w:szCs w:val="21"/>
                    </w:rPr>
                    <w:t>地表水、地下水</w:t>
                  </w:r>
                </w:p>
              </w:tc>
              <w:tc>
                <w:tcPr>
                  <w:tcW w:w="1548" w:type="dxa"/>
                  <w:vAlign w:val="center"/>
                </w:tcPr>
                <w:p>
                  <w:pPr>
                    <w:spacing w:line="240" w:lineRule="atLeast"/>
                    <w:jc w:val="center"/>
                    <w:rPr>
                      <w:spacing w:val="-10"/>
                      <w:szCs w:val="21"/>
                    </w:rPr>
                  </w:pPr>
                  <w:r>
                    <w:rPr>
                      <w:spacing w:val="-10"/>
                      <w:szCs w:val="21"/>
                    </w:rPr>
                    <w:t>居民区、地表水、地下水</w:t>
                  </w:r>
                </w:p>
              </w:tc>
            </w:tr>
          </w:tbl>
          <w:p>
            <w:pPr>
              <w:spacing w:line="480" w:lineRule="exact"/>
              <w:ind w:firstLine="480" w:firstLineChars="200"/>
              <w:textAlignment w:val="baseline"/>
              <w:rPr>
                <w:sz w:val="24"/>
                <w:szCs w:val="20"/>
              </w:rPr>
            </w:pPr>
            <w:r>
              <w:rPr>
                <w:rFonts w:hint="eastAsia"/>
                <w:sz w:val="24"/>
                <w:szCs w:val="20"/>
              </w:rPr>
              <w:t>（3）环境风险影响分析</w:t>
            </w:r>
          </w:p>
          <w:p>
            <w:pPr>
              <w:spacing w:line="480" w:lineRule="exact"/>
              <w:ind w:firstLine="480" w:firstLineChars="200"/>
              <w:rPr>
                <w:sz w:val="24"/>
              </w:rPr>
            </w:pPr>
            <w:r>
              <w:rPr>
                <w:rFonts w:hint="eastAsia"/>
                <w:sz w:val="24"/>
              </w:rPr>
              <w:t>油类物质储存设施可能发生泄漏事故，排放的油类物质下渗进入地下水环境或土壤，引起地下水和土壤污染，油类物质泄漏排放遇到明火发生火灾，可能会对周边大气环境产生影响，</w:t>
            </w:r>
            <w:r>
              <w:rPr>
                <w:sz w:val="24"/>
              </w:rPr>
              <w:t>但本项目</w:t>
            </w:r>
            <w:r>
              <w:rPr>
                <w:rFonts w:hint="eastAsia"/>
                <w:sz w:val="24"/>
              </w:rPr>
              <w:t>生产车间内润滑油储存区及</w:t>
            </w:r>
            <w:r>
              <w:rPr>
                <w:sz w:val="24"/>
              </w:rPr>
              <w:t>危险废物暂存间</w:t>
            </w:r>
            <w:r>
              <w:rPr>
                <w:rFonts w:hint="eastAsia"/>
                <w:sz w:val="24"/>
              </w:rPr>
              <w:t>均采取</w:t>
            </w:r>
            <w:r>
              <w:rPr>
                <w:sz w:val="24"/>
              </w:rPr>
              <w:t>严格的防渗措施，并设置堵截泄漏的裙脚，油类物质无入渗地下水的通道；油类物质泄漏排放遇到明火发生火灾，但油类物质着火点相对较高，且</w:t>
            </w:r>
            <w:r>
              <w:rPr>
                <w:rFonts w:hint="eastAsia"/>
                <w:sz w:val="24"/>
              </w:rPr>
              <w:t>生产车间内润滑油储存区及</w:t>
            </w:r>
            <w:r>
              <w:rPr>
                <w:sz w:val="24"/>
              </w:rPr>
              <w:t>危险废物暂存间内无明火产生，因此油类物质泄漏发生次生危害的概率极小</w:t>
            </w:r>
            <w:r>
              <w:rPr>
                <w:rFonts w:hint="eastAsia"/>
                <w:sz w:val="24"/>
              </w:rPr>
              <w:t>。</w:t>
            </w:r>
          </w:p>
          <w:p>
            <w:pPr>
              <w:spacing w:line="480" w:lineRule="exact"/>
              <w:ind w:firstLine="480" w:firstLineChars="200"/>
              <w:rPr>
                <w:sz w:val="24"/>
              </w:rPr>
            </w:pPr>
            <w:r>
              <w:rPr>
                <w:rFonts w:hint="eastAsia"/>
                <w:sz w:val="24"/>
              </w:rPr>
              <w:t>（4）</w:t>
            </w:r>
            <w:r>
              <w:rPr>
                <w:sz w:val="24"/>
              </w:rPr>
              <w:t>环境风险管理</w:t>
            </w:r>
          </w:p>
          <w:p>
            <w:pPr>
              <w:spacing w:line="480" w:lineRule="exact"/>
              <w:ind w:firstLine="480" w:firstLineChars="200"/>
              <w:rPr>
                <w:sz w:val="24"/>
              </w:rPr>
            </w:pPr>
            <w:r>
              <w:rPr>
                <w:sz w:val="24"/>
              </w:rPr>
              <w:t>风险管理目标是采用最低合理可行原则管控环境风险。采取的环境风险防范措施应与社会经济技术发展水平相适应，运用科学的技术手段和管理方法对环境风险进行有效地预防、监控、响应。</w:t>
            </w:r>
          </w:p>
          <w:p>
            <w:pPr>
              <w:spacing w:line="480" w:lineRule="exact"/>
              <w:ind w:firstLine="480" w:firstLineChars="200"/>
              <w:rPr>
                <w:sz w:val="24"/>
              </w:rPr>
            </w:pPr>
            <w:r>
              <w:rPr>
                <w:sz w:val="24"/>
              </w:rPr>
              <w:t>①大气环境风险防范措施</w:t>
            </w:r>
          </w:p>
          <w:p>
            <w:pPr>
              <w:spacing w:line="480" w:lineRule="exact"/>
              <w:ind w:firstLine="480" w:firstLineChars="200"/>
              <w:rPr>
                <w:sz w:val="24"/>
              </w:rPr>
            </w:pPr>
            <w:r>
              <w:rPr>
                <w:sz w:val="24"/>
              </w:rPr>
              <w:t>项目油类物质泄漏排放遇到明火发生火灾，可能会对周边大气环境产生影响，但油类物质着火点相对较高，且</w:t>
            </w:r>
            <w:r>
              <w:rPr>
                <w:rFonts w:hint="eastAsia"/>
                <w:sz w:val="24"/>
              </w:rPr>
              <w:t>生产车间内润滑油储存区及</w:t>
            </w:r>
            <w:r>
              <w:rPr>
                <w:sz w:val="24"/>
              </w:rPr>
              <w:t>危险废物暂存间由专人进行看管并配备了灭火器、消防沙等灭火设备，若发生泄漏或火灾，可在第一时间发现并进行处理，因此油类物质泄漏发生次生危害的概率极小，不会对大气环境产生明显影响。</w:t>
            </w:r>
          </w:p>
          <w:p>
            <w:pPr>
              <w:spacing w:line="480" w:lineRule="exact"/>
              <w:ind w:firstLine="480" w:firstLineChars="200"/>
              <w:rPr>
                <w:sz w:val="24"/>
              </w:rPr>
            </w:pPr>
            <w:r>
              <w:rPr>
                <w:sz w:val="24"/>
              </w:rPr>
              <w:t>②地表水环境风险防范措施</w:t>
            </w:r>
          </w:p>
          <w:p>
            <w:pPr>
              <w:spacing w:line="480" w:lineRule="exact"/>
              <w:ind w:firstLine="480" w:firstLineChars="200"/>
              <w:rPr>
                <w:sz w:val="24"/>
              </w:rPr>
            </w:pPr>
            <w:r>
              <w:rPr>
                <w:rFonts w:hint="eastAsia"/>
                <w:sz w:val="24"/>
              </w:rPr>
              <w:t>生产车间内润滑油储存区及</w:t>
            </w:r>
            <w:r>
              <w:rPr>
                <w:sz w:val="24"/>
              </w:rPr>
              <w:t>危险废物暂存间</w:t>
            </w:r>
            <w:r>
              <w:rPr>
                <w:rFonts w:hint="eastAsia"/>
                <w:sz w:val="24"/>
              </w:rPr>
              <w:t>均</w:t>
            </w:r>
            <w:r>
              <w:rPr>
                <w:rFonts w:hint="eastAsia" w:ascii="宋体" w:hAnsi="宋体" w:cs="宋体"/>
                <w:sz w:val="24"/>
              </w:rPr>
              <w:t>采取有效防腐防渗措施，危险废物暂存间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sz w:val="24"/>
              </w:rPr>
              <w:t>。</w:t>
            </w:r>
          </w:p>
          <w:p>
            <w:pPr>
              <w:spacing w:line="480" w:lineRule="exact"/>
              <w:ind w:firstLine="480" w:firstLineChars="200"/>
              <w:rPr>
                <w:sz w:val="24"/>
              </w:rPr>
            </w:pPr>
            <w:r>
              <w:rPr>
                <w:sz w:val="24"/>
              </w:rPr>
              <w:t>③地下水环境风险防范措施</w:t>
            </w:r>
          </w:p>
          <w:p>
            <w:pPr>
              <w:spacing w:line="480" w:lineRule="exact"/>
              <w:ind w:firstLine="480" w:firstLineChars="200"/>
              <w:rPr>
                <w:sz w:val="24"/>
              </w:rPr>
            </w:pPr>
            <w:r>
              <w:rPr>
                <w:sz w:val="24"/>
              </w:rPr>
              <w:t>a.源头控制措施</w:t>
            </w:r>
          </w:p>
          <w:p>
            <w:pPr>
              <w:spacing w:line="480" w:lineRule="exact"/>
              <w:ind w:firstLine="480" w:firstLineChars="200"/>
              <w:rPr>
                <w:sz w:val="24"/>
              </w:rPr>
            </w:pPr>
            <w:r>
              <w:rPr>
                <w:sz w:val="24"/>
              </w:rPr>
              <w:t>本项目对</w:t>
            </w:r>
            <w:r>
              <w:rPr>
                <w:rFonts w:hint="eastAsia"/>
                <w:sz w:val="24"/>
              </w:rPr>
              <w:t>风险区域进行</w:t>
            </w:r>
            <w:r>
              <w:rPr>
                <w:sz w:val="24"/>
              </w:rPr>
              <w:t>严格</w:t>
            </w:r>
            <w:r>
              <w:rPr>
                <w:rFonts w:hint="eastAsia"/>
                <w:sz w:val="24"/>
              </w:rPr>
              <w:t>排查</w:t>
            </w:r>
            <w:r>
              <w:rPr>
                <w:sz w:val="24"/>
              </w:rPr>
              <w:t>，有质量问题的及时更换，</w:t>
            </w:r>
            <w:r>
              <w:rPr>
                <w:rFonts w:hint="eastAsia"/>
                <w:sz w:val="24"/>
              </w:rPr>
              <w:t>盛装容器</w:t>
            </w:r>
            <w:r>
              <w:rPr>
                <w:sz w:val="24"/>
              </w:rPr>
              <w:t>采用优质耐腐蚀材料制成的产品。对项目</w:t>
            </w:r>
            <w:r>
              <w:rPr>
                <w:rFonts w:hint="eastAsia"/>
                <w:sz w:val="24"/>
              </w:rPr>
              <w:t>生产车间内润滑油储存区及</w:t>
            </w:r>
            <w:r>
              <w:rPr>
                <w:sz w:val="24"/>
              </w:rPr>
              <w:t>危险废物暂存间等采取相应的物料控制措施，便于发现污染物的跑、冒、滴、漏，将污染物泄漏的环境风险事故降至最低限度。</w:t>
            </w:r>
          </w:p>
          <w:p>
            <w:pPr>
              <w:spacing w:line="480" w:lineRule="exact"/>
              <w:ind w:firstLine="480" w:firstLineChars="200"/>
              <w:rPr>
                <w:sz w:val="24"/>
              </w:rPr>
            </w:pPr>
            <w:r>
              <w:rPr>
                <w:sz w:val="24"/>
              </w:rPr>
              <w:t>b.分区防控措施</w:t>
            </w:r>
          </w:p>
          <w:p>
            <w:pPr>
              <w:spacing w:line="480" w:lineRule="exact"/>
              <w:ind w:firstLine="480" w:firstLineChars="200"/>
              <w:rPr>
                <w:bCs/>
                <w:sz w:val="24"/>
              </w:rPr>
            </w:pPr>
            <w:r>
              <w:rPr>
                <w:sz w:val="24"/>
              </w:rPr>
              <w:t>为避免</w:t>
            </w:r>
            <w:r>
              <w:rPr>
                <w:rFonts w:hint="eastAsia"/>
                <w:sz w:val="24"/>
              </w:rPr>
              <w:t>油类物质</w:t>
            </w:r>
            <w:r>
              <w:rPr>
                <w:sz w:val="24"/>
              </w:rPr>
              <w:t>对地下水造成污染影响，采取了分区防渗措施</w:t>
            </w:r>
            <w:r>
              <w:rPr>
                <w:bCs/>
                <w:sz w:val="24"/>
              </w:rPr>
              <w:t>如下：</w:t>
            </w:r>
          </w:p>
          <w:p>
            <w:pPr>
              <w:spacing w:line="480" w:lineRule="exact"/>
              <w:ind w:firstLine="480" w:firstLineChars="200"/>
              <w:rPr>
                <w:sz w:val="24"/>
              </w:rPr>
            </w:pPr>
            <w:r>
              <w:rPr>
                <w:rFonts w:hint="eastAsia"/>
                <w:sz w:val="24"/>
              </w:rPr>
              <w:t>厂区内防渗情况应该分为重点防治区、一般防治区和简单防渗区。</w:t>
            </w:r>
          </w:p>
          <w:p>
            <w:pPr>
              <w:spacing w:line="480" w:lineRule="exact"/>
              <w:ind w:firstLine="480" w:firstLineChars="200"/>
              <w:rPr>
                <w:sz w:val="24"/>
              </w:rPr>
            </w:pPr>
            <w:r>
              <w:rPr>
                <w:rFonts w:hint="eastAsia"/>
                <w:sz w:val="24"/>
              </w:rPr>
              <w:t>重点防渗区（生产车间内润滑油储存区及</w:t>
            </w:r>
            <w:r>
              <w:rPr>
                <w:sz w:val="24"/>
              </w:rPr>
              <w:t>危险废物暂存间</w:t>
            </w:r>
            <w:r>
              <w:rPr>
                <w:rFonts w:hint="eastAsia"/>
                <w:sz w:val="24"/>
              </w:rPr>
              <w:t>）防渗技术要求：等效黏土防渗层Mb≥6.0m；K≤1×10</w:t>
            </w:r>
            <w:r>
              <w:rPr>
                <w:rFonts w:hint="eastAsia"/>
                <w:sz w:val="24"/>
                <w:vertAlign w:val="superscript"/>
              </w:rPr>
              <w:t>-10</w:t>
            </w:r>
            <w:r>
              <w:rPr>
                <w:rFonts w:hint="eastAsia"/>
                <w:sz w:val="24"/>
              </w:rPr>
              <w:t>cm/s。</w:t>
            </w:r>
          </w:p>
          <w:p>
            <w:pPr>
              <w:spacing w:line="480" w:lineRule="exact"/>
              <w:ind w:firstLine="480" w:firstLineChars="200"/>
              <w:rPr>
                <w:sz w:val="24"/>
              </w:rPr>
            </w:pPr>
            <w:r>
              <w:rPr>
                <w:rFonts w:hint="eastAsia"/>
                <w:sz w:val="24"/>
              </w:rPr>
              <w:t>一般防渗区（生产车间）防渗技术要求：等效黏土防渗层Mb≥1.5m；K≤1×10</w:t>
            </w:r>
            <w:r>
              <w:rPr>
                <w:rFonts w:hint="eastAsia"/>
                <w:sz w:val="24"/>
                <w:vertAlign w:val="superscript"/>
              </w:rPr>
              <w:t>-7</w:t>
            </w:r>
            <w:r>
              <w:rPr>
                <w:rFonts w:hint="eastAsia"/>
                <w:sz w:val="24"/>
              </w:rPr>
              <w:t>cm/s，</w:t>
            </w:r>
          </w:p>
          <w:p>
            <w:pPr>
              <w:spacing w:line="480" w:lineRule="exact"/>
              <w:ind w:firstLine="480" w:firstLineChars="200"/>
              <w:rPr>
                <w:sz w:val="24"/>
              </w:rPr>
            </w:pPr>
            <w:r>
              <w:rPr>
                <w:rFonts w:hint="eastAsia"/>
                <w:sz w:val="24"/>
              </w:rPr>
              <w:t>简单防渗区：其它区域均为简单防渗区，一般地面硬化即可。</w:t>
            </w:r>
          </w:p>
          <w:p>
            <w:pPr>
              <w:spacing w:line="480" w:lineRule="exact"/>
              <w:ind w:firstLine="480" w:firstLineChars="200"/>
              <w:rPr>
                <w:sz w:val="24"/>
              </w:rPr>
            </w:pPr>
            <w:r>
              <w:rPr>
                <w:sz w:val="24"/>
              </w:rPr>
              <w:t>④人员疏散通道及安置厂址</w:t>
            </w:r>
          </w:p>
          <w:p>
            <w:pPr>
              <w:spacing w:line="480" w:lineRule="exact"/>
              <w:ind w:firstLine="480" w:firstLineChars="200"/>
              <w:rPr>
                <w:sz w:val="24"/>
              </w:rPr>
            </w:pPr>
            <w:r>
              <w:rPr>
                <w:sz w:val="24"/>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spacing w:line="480" w:lineRule="exact"/>
              <w:ind w:firstLine="480" w:firstLineChars="200"/>
              <w:rPr>
                <w:sz w:val="24"/>
              </w:rPr>
            </w:pPr>
            <w:r>
              <w:rPr>
                <w:sz w:val="24"/>
              </w:rPr>
              <w:t>⑤环境风险应急预案</w:t>
            </w:r>
          </w:p>
          <w:p>
            <w:pPr>
              <w:spacing w:line="480" w:lineRule="exact"/>
              <w:ind w:firstLine="480" w:firstLineChars="200"/>
              <w:rPr>
                <w:sz w:val="24"/>
              </w:rPr>
            </w:pPr>
            <w:r>
              <w:rPr>
                <w:sz w:val="24"/>
              </w:rPr>
              <w:t>本评价建议结合本项目所涉及到的风险源，编制突发环境事件应急预案。</w:t>
            </w:r>
          </w:p>
          <w:p>
            <w:pPr>
              <w:spacing w:line="480" w:lineRule="exact"/>
              <w:ind w:firstLine="480" w:firstLineChars="200"/>
              <w:rPr>
                <w:sz w:val="24"/>
              </w:rPr>
            </w:pPr>
            <w:r>
              <w:rPr>
                <w:rFonts w:hint="eastAsia"/>
                <w:sz w:val="24"/>
              </w:rPr>
              <w:t>（5）</w:t>
            </w:r>
            <w:r>
              <w:rPr>
                <w:sz w:val="24"/>
              </w:rPr>
              <w:t>评价结论及建议</w:t>
            </w:r>
          </w:p>
          <w:p>
            <w:pPr>
              <w:spacing w:line="480" w:lineRule="exact"/>
              <w:ind w:firstLine="480" w:firstLineChars="200"/>
              <w:rPr>
                <w:sz w:val="24"/>
              </w:rPr>
            </w:pPr>
            <w:r>
              <w:rPr>
                <w:rFonts w:hint="eastAsia" w:ascii="宋体" w:hAnsi="宋体" w:cs="宋体"/>
                <w:sz w:val="24"/>
              </w:rPr>
              <w:t>①</w:t>
            </w:r>
            <w:r>
              <w:rPr>
                <w:sz w:val="24"/>
              </w:rPr>
              <w:t>项目危险因素</w:t>
            </w:r>
          </w:p>
          <w:p>
            <w:pPr>
              <w:spacing w:line="480" w:lineRule="exact"/>
              <w:ind w:firstLine="480" w:firstLineChars="200"/>
              <w:rPr>
                <w:sz w:val="24"/>
              </w:rPr>
            </w:pPr>
            <w:r>
              <w:rPr>
                <w:sz w:val="24"/>
              </w:rPr>
              <w:t>本项目主要风险物质</w:t>
            </w:r>
            <w:r>
              <w:rPr>
                <w:rFonts w:hint="eastAsia"/>
                <w:sz w:val="24"/>
              </w:rPr>
              <w:t>为油类物质</w:t>
            </w:r>
            <w:r>
              <w:rPr>
                <w:sz w:val="24"/>
              </w:rPr>
              <w:t>，风险物质主要分布在</w:t>
            </w:r>
            <w:r>
              <w:rPr>
                <w:rFonts w:hint="eastAsia"/>
                <w:sz w:val="24"/>
              </w:rPr>
              <w:t>生产车间内润滑油储存区及</w:t>
            </w:r>
            <w:r>
              <w:rPr>
                <w:sz w:val="24"/>
              </w:rPr>
              <w:t>危险废物暂存间。针对本项目危险因素，建设单位按照《建筑设计防火规范》(GB50016-2006)和其它安全卫生规范的要求，</w:t>
            </w:r>
            <w:r>
              <w:rPr>
                <w:rFonts w:hint="eastAsia"/>
                <w:sz w:val="24"/>
              </w:rPr>
              <w:t>进行</w:t>
            </w:r>
            <w:r>
              <w:rPr>
                <w:sz w:val="24"/>
              </w:rPr>
              <w:t>了平面布局，实现事故状态下危险单元能够与其他危险单元的分割，降低环境风险。</w:t>
            </w:r>
          </w:p>
          <w:p>
            <w:pPr>
              <w:spacing w:line="480" w:lineRule="exact"/>
              <w:ind w:firstLine="480" w:firstLineChars="200"/>
              <w:rPr>
                <w:sz w:val="24"/>
              </w:rPr>
            </w:pPr>
            <w:r>
              <w:rPr>
                <w:rFonts w:hint="eastAsia" w:ascii="宋体" w:hAnsi="宋体" w:cs="宋体"/>
                <w:sz w:val="24"/>
              </w:rPr>
              <w:t>②</w:t>
            </w:r>
            <w:r>
              <w:rPr>
                <w:sz w:val="24"/>
              </w:rPr>
              <w:t>环境敏感性与事故环境影响</w:t>
            </w:r>
          </w:p>
          <w:p>
            <w:pPr>
              <w:spacing w:line="480" w:lineRule="exact"/>
              <w:ind w:firstLine="480" w:firstLineChars="200"/>
              <w:rPr>
                <w:sz w:val="24"/>
              </w:rPr>
            </w:pPr>
            <w:r>
              <w:rPr>
                <w:sz w:val="24"/>
              </w:rPr>
              <w:t>根据风险分析内容，分别提出了大气环境、地表水环境、地下水环境风险保护措施及要求。</w:t>
            </w:r>
          </w:p>
          <w:p>
            <w:pPr>
              <w:spacing w:line="480" w:lineRule="exact"/>
              <w:ind w:firstLine="480" w:firstLineChars="200"/>
              <w:rPr>
                <w:sz w:val="24"/>
              </w:rPr>
            </w:pPr>
            <w:r>
              <w:rPr>
                <w:rFonts w:hint="eastAsia" w:ascii="宋体" w:hAnsi="宋体" w:cs="宋体"/>
                <w:sz w:val="24"/>
              </w:rPr>
              <w:t>③</w:t>
            </w:r>
            <w:r>
              <w:rPr>
                <w:sz w:val="24"/>
              </w:rPr>
              <w:t>环境风险防范措施和应急预案</w:t>
            </w:r>
          </w:p>
          <w:p>
            <w:pPr>
              <w:spacing w:line="480" w:lineRule="exact"/>
              <w:ind w:firstLine="480" w:firstLineChars="200"/>
              <w:rPr>
                <w:sz w:val="24"/>
              </w:rPr>
            </w:pPr>
            <w:r>
              <w:rPr>
                <w:sz w:val="24"/>
              </w:rPr>
              <w:t>针对本项目可能存在</w:t>
            </w:r>
            <w:r>
              <w:rPr>
                <w:sz w:val="24"/>
                <w:lang w:val="zh-CN"/>
              </w:rPr>
              <w:t>环境</w:t>
            </w:r>
            <w:r>
              <w:rPr>
                <w:sz w:val="24"/>
              </w:rPr>
              <w:t>风险事故情形，分别采取了大气、地表水和地下水环境风险防范措施，提出了突发环境事件应急预案编制要求。</w:t>
            </w:r>
          </w:p>
          <w:p>
            <w:pPr>
              <w:spacing w:line="480" w:lineRule="exact"/>
              <w:ind w:firstLine="480" w:firstLineChars="200"/>
              <w:rPr>
                <w:sz w:val="24"/>
              </w:rPr>
            </w:pPr>
            <w:r>
              <w:rPr>
                <w:rFonts w:hint="eastAsia" w:ascii="宋体" w:hAnsi="宋体" w:cs="宋体"/>
                <w:sz w:val="24"/>
              </w:rPr>
              <w:t>④</w:t>
            </w:r>
            <w:r>
              <w:rPr>
                <w:sz w:val="24"/>
              </w:rPr>
              <w:t>环境风险评价结论与建议</w:t>
            </w:r>
          </w:p>
          <w:p>
            <w:pPr>
              <w:widowControl/>
              <w:snapToGrid w:val="0"/>
              <w:spacing w:line="500" w:lineRule="exact"/>
              <w:ind w:firstLine="480" w:firstLineChars="200"/>
              <w:rPr>
                <w:sz w:val="24"/>
              </w:rPr>
            </w:pPr>
            <w:r>
              <w:rPr>
                <w:sz w:val="24"/>
              </w:rPr>
              <w:t>综合环境风险评价工作过程，本项目环境风险可防控，建设单位应针对环境风险事故采取多种防范措施。建议企业强化管理意识，通过加强事故应急演练增强风险防范能力</w:t>
            </w:r>
            <w:r>
              <w:rPr>
                <w:rFonts w:hint="eastAsia"/>
                <w:sz w:val="24"/>
              </w:rPr>
              <w:t>。</w:t>
            </w:r>
          </w:p>
          <w:p>
            <w:pPr>
              <w:spacing w:line="500" w:lineRule="exact"/>
              <w:ind w:firstLine="480" w:firstLineChars="200"/>
              <w:rPr>
                <w:sz w:val="24"/>
              </w:rPr>
            </w:pPr>
          </w:p>
          <w:p>
            <w:pPr>
              <w:spacing w:line="500" w:lineRule="exact"/>
              <w:ind w:firstLine="480" w:firstLineChars="200"/>
              <w:rPr>
                <w:sz w:val="24"/>
              </w:rPr>
            </w:pPr>
          </w:p>
          <w:p>
            <w:pPr>
              <w:widowControl/>
              <w:snapToGrid w:val="0"/>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widowControl/>
              <w:snapToGrid w:val="0"/>
              <w:spacing w:line="500" w:lineRule="exact"/>
              <w:ind w:firstLine="480" w:firstLineChars="200"/>
              <w:rPr>
                <w:sz w:val="24"/>
              </w:rPr>
            </w:pPr>
          </w:p>
          <w:p>
            <w:pPr>
              <w:spacing w:line="500" w:lineRule="exact"/>
              <w:ind w:firstLine="480" w:firstLineChars="200"/>
              <w:rPr>
                <w:sz w:val="24"/>
              </w:rPr>
            </w:pPr>
          </w:p>
          <w:p>
            <w:pPr>
              <w:widowControl/>
              <w:snapToGrid w:val="0"/>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widowControl/>
              <w:snapToGrid w:val="0"/>
              <w:spacing w:line="500" w:lineRule="exact"/>
              <w:ind w:firstLine="480" w:firstLineChars="200"/>
              <w:rPr>
                <w:sz w:val="24"/>
              </w:rPr>
            </w:pPr>
          </w:p>
          <w:p>
            <w:pPr>
              <w:spacing w:line="500" w:lineRule="exact"/>
              <w:ind w:firstLine="480" w:firstLineChars="200"/>
              <w:rPr>
                <w:sz w:val="24"/>
              </w:rPr>
            </w:pPr>
          </w:p>
          <w:p>
            <w:pPr>
              <w:widowControl/>
              <w:snapToGrid w:val="0"/>
              <w:spacing w:line="500" w:lineRule="exact"/>
              <w:ind w:firstLine="480" w:firstLineChars="200"/>
              <w:rPr>
                <w:sz w:val="24"/>
              </w:rPr>
            </w:pPr>
          </w:p>
          <w:p>
            <w:pPr>
              <w:widowControl/>
              <w:snapToGrid w:val="0"/>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spacing w:line="500" w:lineRule="exact"/>
              <w:ind w:firstLine="480" w:firstLineChars="200"/>
              <w:rPr>
                <w:sz w:val="24"/>
              </w:rPr>
            </w:pPr>
          </w:p>
          <w:p>
            <w:pPr>
              <w:widowControl/>
              <w:snapToGrid w:val="0"/>
              <w:spacing w:line="500" w:lineRule="exact"/>
              <w:ind w:firstLine="480" w:firstLineChars="200"/>
              <w:rPr>
                <w:sz w:val="24"/>
              </w:rPr>
            </w:pPr>
          </w:p>
          <w:p>
            <w:pPr>
              <w:spacing w:line="500" w:lineRule="exact"/>
              <w:ind w:firstLine="480" w:firstLineChars="200"/>
              <w:rPr>
                <w:sz w:val="24"/>
              </w:rPr>
            </w:pPr>
          </w:p>
          <w:p>
            <w:pPr>
              <w:widowControl/>
              <w:spacing w:line="500" w:lineRule="exact"/>
              <w:rPr>
                <w:rFonts w:eastAsia="黑体"/>
                <w:snapToGrid w:val="0"/>
                <w:sz w:val="30"/>
                <w:szCs w:val="30"/>
              </w:rPr>
            </w:pPr>
          </w:p>
        </w:tc>
      </w:tr>
    </w:tbl>
    <w:p>
      <w:pPr>
        <w:pStyle w:val="28"/>
        <w:jc w:val="center"/>
        <w:outlineLvl w:val="0"/>
        <w:rPr>
          <w:rFonts w:ascii="Times New Roman" w:hAnsi="Times New Roman" w:eastAsia="黑体"/>
          <w:snapToGrid w:val="0"/>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8"/>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23" w:name="_Hlk54167917"/>
      <w:r>
        <w:rPr>
          <w:rFonts w:ascii="Times New Roman" w:hAnsi="Times New Roman" w:eastAsia="黑体"/>
          <w:snapToGrid w:val="0"/>
          <w:sz w:val="30"/>
          <w:szCs w:val="30"/>
        </w:rPr>
        <w:t>环境保护措施监督检查清单</w:t>
      </w:r>
      <w:bookmarkEnd w:id="19"/>
      <w:bookmarkEnd w:id="20"/>
      <w:bookmarkEnd w:id="23"/>
    </w:p>
    <w:tbl>
      <w:tblPr>
        <w:tblStyle w:val="32"/>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816"/>
        <w:gridCol w:w="3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sz w:val="24"/>
              </w:rPr>
            </w:pPr>
            <w:r>
              <w:rPr>
                <w:sz w:val="24"/>
              </w:rPr>
              <w:t>内容</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sz w:val="24"/>
              </w:rPr>
            </w:pPr>
            <w:r>
              <w:rPr>
                <w:sz w:val="24"/>
              </w:rPr>
              <w:t>要素</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排放口(编号、名称)/污染源</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污染物项目</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环境保护措施</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大气环境</w:t>
            </w:r>
          </w:p>
        </w:tc>
        <w:tc>
          <w:tcPr>
            <w:tcW w:w="2432" w:type="dxa"/>
            <w:vAlign w:val="center"/>
          </w:tcPr>
          <w:p>
            <w:pPr>
              <w:topLinePunct/>
              <w:spacing w:line="240" w:lineRule="atLeast"/>
              <w:jc w:val="center"/>
              <w:rPr>
                <w:rFonts w:ascii="Times New Roman" w:hAnsi="Times New Roman" w:eastAsia="宋体" w:cs="Times New Roman"/>
                <w:spacing w:val="-10"/>
                <w:kern w:val="2"/>
                <w:sz w:val="21"/>
                <w:szCs w:val="21"/>
                <w:lang w:val="en-US" w:eastAsia="zh-CN" w:bidi="ar-SA"/>
              </w:rPr>
            </w:pPr>
            <w:r>
              <w:rPr>
                <w:rFonts w:hint="eastAsia"/>
                <w:spacing w:val="-10"/>
                <w:szCs w:val="21"/>
              </w:rPr>
              <w:t>熔炼废气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szCs w:val="24"/>
              </w:rPr>
            </w:pPr>
            <w:r>
              <w:rPr>
                <w:rFonts w:hint="default" w:ascii="Times New Roman" w:hAnsi="Times New Roman" w:cs="Times New Roman"/>
                <w:color w:val="FF0000"/>
                <w:kern w:val="2"/>
                <w:sz w:val="24"/>
                <w:szCs w:val="24"/>
                <w:highlight w:val="none"/>
                <w:lang w:val="en-US" w:eastAsia="zh-CN" w:bidi="ar-SA"/>
              </w:rPr>
              <w:t>上方设置集气罩</w:t>
            </w:r>
            <w:r>
              <w:rPr>
                <w:rFonts w:hint="default" w:ascii="Times New Roman" w:hAnsi="Times New Roman" w:cs="Times New Roman"/>
                <w:color w:val="FF0000"/>
                <w:kern w:val="24"/>
                <w:sz w:val="24"/>
                <w:szCs w:val="24"/>
                <w:highlight w:val="none"/>
                <w:lang w:val="en-US" w:eastAsia="zh-CN"/>
              </w:rPr>
              <w:t>（</w:t>
            </w:r>
            <w:r>
              <w:rPr>
                <w:rFonts w:hint="eastAsia" w:ascii="Times New Roman" w:hAnsi="Times New Roman" w:cs="Times New Roman"/>
                <w:color w:val="FF0000"/>
                <w:kern w:val="24"/>
                <w:sz w:val="24"/>
                <w:szCs w:val="24"/>
                <w:highlight w:val="none"/>
                <w:lang w:val="en-US" w:eastAsia="zh-CN"/>
              </w:rPr>
              <w:t>2.2</w:t>
            </w:r>
            <w:r>
              <w:rPr>
                <w:rFonts w:hint="default" w:ascii="Times New Roman" w:hAnsi="Times New Roman" w:cs="Times New Roman"/>
                <w:color w:val="FF0000"/>
                <w:kern w:val="24"/>
                <w:sz w:val="24"/>
                <w:szCs w:val="24"/>
                <w:highlight w:val="none"/>
                <w:lang w:val="en-US" w:eastAsia="zh-CN"/>
              </w:rPr>
              <w:t>m×</w:t>
            </w:r>
            <w:r>
              <w:rPr>
                <w:rFonts w:hint="eastAsia" w:ascii="Times New Roman" w:hAnsi="Times New Roman" w:cs="Times New Roman"/>
                <w:color w:val="FF0000"/>
                <w:kern w:val="24"/>
                <w:sz w:val="24"/>
                <w:szCs w:val="24"/>
                <w:highlight w:val="none"/>
                <w:lang w:val="en-US" w:eastAsia="zh-CN"/>
              </w:rPr>
              <w:t>0.8</w:t>
            </w:r>
            <w:r>
              <w:rPr>
                <w:rFonts w:hint="default" w:ascii="Times New Roman" w:hAnsi="Times New Roman" w:cs="Times New Roman"/>
                <w:color w:val="FF0000"/>
                <w:kern w:val="24"/>
                <w:sz w:val="24"/>
                <w:szCs w:val="24"/>
                <w:highlight w:val="none"/>
                <w:lang w:val="en-US" w:eastAsia="zh-CN"/>
              </w:rPr>
              <w:t>m）</w:t>
            </w:r>
            <w:r>
              <w:rPr>
                <w:rFonts w:hint="eastAsia" w:ascii="Times New Roman" w:hAnsi="Times New Roman" w:cs="Times New Roman"/>
                <w:color w:val="FF0000"/>
                <w:kern w:val="24"/>
                <w:sz w:val="24"/>
                <w:szCs w:val="24"/>
                <w:highlight w:val="none"/>
                <w:lang w:val="en-US" w:eastAsia="zh-CN"/>
              </w:rPr>
              <w:t>收集熔炼过程废气，废气引至</w:t>
            </w:r>
            <w:r>
              <w:rPr>
                <w:color w:val="FF0000"/>
                <w:spacing w:val="-10"/>
                <w:sz w:val="24"/>
                <w:szCs w:val="24"/>
              </w:rPr>
              <w:t>脉冲袋式除尘器</w:t>
            </w:r>
            <w:r>
              <w:rPr>
                <w:rFonts w:hint="eastAsia"/>
                <w:color w:val="FF0000"/>
                <w:spacing w:val="-10"/>
                <w:sz w:val="24"/>
                <w:szCs w:val="24"/>
                <w:lang w:eastAsia="zh-CN"/>
              </w:rPr>
              <w:t>（</w:t>
            </w:r>
            <w:r>
              <w:rPr>
                <w:rFonts w:hint="eastAsia"/>
                <w:color w:val="FF0000"/>
                <w:spacing w:val="-10"/>
                <w:sz w:val="24"/>
                <w:szCs w:val="24"/>
                <w:lang w:val="en-US" w:eastAsia="zh-CN"/>
              </w:rPr>
              <w:t>6500m</w:t>
            </w:r>
            <w:r>
              <w:rPr>
                <w:rFonts w:hint="eastAsia"/>
                <w:color w:val="FF0000"/>
                <w:spacing w:val="-10"/>
                <w:sz w:val="24"/>
                <w:szCs w:val="24"/>
                <w:vertAlign w:val="superscript"/>
                <w:lang w:val="en-US" w:eastAsia="zh-CN"/>
              </w:rPr>
              <w:t>3</w:t>
            </w:r>
            <w:r>
              <w:rPr>
                <w:rFonts w:hint="eastAsia"/>
                <w:color w:val="FF0000"/>
                <w:spacing w:val="-10"/>
                <w:sz w:val="24"/>
                <w:szCs w:val="24"/>
                <w:lang w:val="en-US" w:eastAsia="zh-CN"/>
              </w:rPr>
              <w:t>/h</w:t>
            </w:r>
            <w:r>
              <w:rPr>
                <w:rFonts w:hint="eastAsia"/>
                <w:color w:val="FF0000"/>
                <w:spacing w:val="-10"/>
                <w:sz w:val="24"/>
                <w:szCs w:val="24"/>
                <w:lang w:eastAsia="zh-CN"/>
              </w:rPr>
              <w:t>）</w:t>
            </w:r>
            <w:r>
              <w:rPr>
                <w:rFonts w:hint="default" w:ascii="Times New Roman" w:hAnsi="Times New Roman" w:cs="Times New Roman"/>
                <w:color w:val="FF0000"/>
                <w:kern w:val="24"/>
                <w:sz w:val="24"/>
                <w:szCs w:val="24"/>
                <w:highlight w:val="none"/>
                <w:lang w:val="en-US" w:eastAsia="zh-CN"/>
              </w:rPr>
              <w:t>处理后</w:t>
            </w:r>
            <w:r>
              <w:rPr>
                <w:rFonts w:hint="eastAsia" w:ascii="Times New Roman" w:hAnsi="Times New Roman" w:cs="Times New Roman"/>
                <w:color w:val="FF0000"/>
                <w:kern w:val="24"/>
                <w:sz w:val="24"/>
                <w:szCs w:val="24"/>
                <w:highlight w:val="none"/>
                <w:lang w:val="en-US" w:eastAsia="zh-CN"/>
              </w:rPr>
              <w:t>经15m高排气筒排放（DA001）</w:t>
            </w:r>
          </w:p>
        </w:tc>
        <w:tc>
          <w:tcPr>
            <w:tcW w:w="379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rFonts w:hint="eastAsia"/>
                <w:sz w:val="24"/>
              </w:rPr>
              <w:t>《铸造工业大气污染物排放标准》（GB39726-2020）以及《唐山市铸造行业烟气达标治理工作方案》颗粒物排放浓度不高于10mg/m</w:t>
            </w:r>
            <w:r>
              <w:rPr>
                <w:rFonts w:hint="eastAsia"/>
                <w:sz w:val="24"/>
                <w:vertAlign w:val="superscript"/>
              </w:rPr>
              <w:t>3</w:t>
            </w:r>
            <w:r>
              <w:rPr>
                <w:rFonts w:hint="eastAsia"/>
                <w:sz w:val="24"/>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c>
          <w:tcPr>
            <w:tcW w:w="2432" w:type="dxa"/>
            <w:vAlign w:val="center"/>
          </w:tcPr>
          <w:p>
            <w:pPr>
              <w:topLinePunct/>
              <w:spacing w:line="240" w:lineRule="atLeast"/>
              <w:jc w:val="center"/>
              <w:rPr>
                <w:rFonts w:hint="eastAsia" w:ascii="Times New Roman" w:hAnsi="Times New Roman" w:eastAsia="宋体" w:cs="Times New Roman"/>
                <w:color w:val="auto"/>
                <w:spacing w:val="-10"/>
                <w:kern w:val="2"/>
                <w:sz w:val="21"/>
                <w:szCs w:val="21"/>
                <w:lang w:val="en-US" w:eastAsia="zh-CN" w:bidi="ar-SA"/>
              </w:rPr>
            </w:pPr>
            <w:r>
              <w:rPr>
                <w:rFonts w:hint="eastAsia"/>
                <w:color w:val="auto"/>
                <w:spacing w:val="-10"/>
                <w:szCs w:val="21"/>
              </w:rPr>
              <w:t>浇注、打磨、</w:t>
            </w:r>
            <w:r>
              <w:rPr>
                <w:rFonts w:hint="eastAsia"/>
                <w:color w:val="auto"/>
                <w:spacing w:val="-10"/>
                <w:szCs w:val="21"/>
                <w:lang w:val="en-US" w:eastAsia="zh-CN"/>
              </w:rPr>
              <w:t>车间环境废气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4"/>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FF0000"/>
                <w:kern w:val="2"/>
                <w:sz w:val="24"/>
                <w:szCs w:val="24"/>
                <w:highlight w:val="none"/>
                <w:lang w:val="en-US" w:eastAsia="zh-CN" w:bidi="ar-SA"/>
              </w:rPr>
              <w:t>上方设置集气罩</w:t>
            </w:r>
            <w:r>
              <w:rPr>
                <w:rFonts w:hint="default" w:ascii="Times New Roman" w:hAnsi="Times New Roman" w:cs="Times New Roman"/>
                <w:color w:val="FF0000"/>
                <w:kern w:val="24"/>
                <w:sz w:val="24"/>
                <w:szCs w:val="24"/>
                <w:highlight w:val="none"/>
                <w:lang w:val="en-US" w:eastAsia="zh-CN"/>
              </w:rPr>
              <w:t>（</w:t>
            </w:r>
            <w:r>
              <w:rPr>
                <w:rFonts w:hint="eastAsia" w:ascii="Times New Roman" w:hAnsi="Times New Roman" w:cs="Times New Roman"/>
                <w:color w:val="FF0000"/>
                <w:kern w:val="24"/>
                <w:sz w:val="24"/>
                <w:szCs w:val="24"/>
                <w:highlight w:val="none"/>
                <w:lang w:val="en-US" w:eastAsia="zh-CN"/>
              </w:rPr>
              <w:t>5</w:t>
            </w:r>
            <w:r>
              <w:rPr>
                <w:rFonts w:hint="default" w:ascii="Times New Roman" w:hAnsi="Times New Roman" w:cs="Times New Roman"/>
                <w:color w:val="FF0000"/>
                <w:kern w:val="24"/>
                <w:sz w:val="24"/>
                <w:szCs w:val="24"/>
                <w:highlight w:val="none"/>
                <w:lang w:val="en-US" w:eastAsia="zh-CN"/>
              </w:rPr>
              <w:t>m×</w:t>
            </w:r>
            <w:r>
              <w:rPr>
                <w:rFonts w:hint="eastAsia" w:ascii="Times New Roman" w:hAnsi="Times New Roman" w:cs="Times New Roman"/>
                <w:color w:val="FF0000"/>
                <w:kern w:val="24"/>
                <w:sz w:val="24"/>
                <w:szCs w:val="24"/>
                <w:highlight w:val="none"/>
                <w:lang w:val="en-US" w:eastAsia="zh-CN"/>
              </w:rPr>
              <w:t>0.6</w:t>
            </w:r>
            <w:r>
              <w:rPr>
                <w:rFonts w:hint="default" w:ascii="Times New Roman" w:hAnsi="Times New Roman" w:cs="Times New Roman"/>
                <w:color w:val="FF0000"/>
                <w:kern w:val="24"/>
                <w:sz w:val="24"/>
                <w:szCs w:val="24"/>
                <w:highlight w:val="none"/>
                <w:lang w:val="en-US" w:eastAsia="zh-CN"/>
              </w:rPr>
              <w:t>m）收集</w:t>
            </w:r>
            <w:r>
              <w:rPr>
                <w:rFonts w:hint="eastAsia" w:ascii="Times New Roman" w:hAnsi="Times New Roman" w:cs="Times New Roman"/>
                <w:color w:val="FF0000"/>
                <w:kern w:val="24"/>
                <w:sz w:val="24"/>
                <w:szCs w:val="24"/>
                <w:highlight w:val="none"/>
                <w:lang w:val="en-US" w:eastAsia="zh-CN"/>
              </w:rPr>
              <w:t>浇铸、打磨过程</w:t>
            </w:r>
            <w:r>
              <w:rPr>
                <w:rFonts w:hint="default" w:ascii="Times New Roman" w:hAnsi="Times New Roman" w:cs="Times New Roman"/>
                <w:color w:val="FF0000"/>
                <w:kern w:val="24"/>
                <w:sz w:val="24"/>
                <w:szCs w:val="24"/>
                <w:highlight w:val="none"/>
                <w:lang w:val="en-US" w:eastAsia="zh-CN"/>
              </w:rPr>
              <w:t>产生的废气，</w:t>
            </w:r>
            <w:r>
              <w:rPr>
                <w:rFonts w:hint="eastAsia" w:ascii="Times New Roman" w:hAnsi="Times New Roman" w:cs="Times New Roman"/>
                <w:color w:val="FF0000"/>
                <w:kern w:val="24"/>
                <w:sz w:val="24"/>
                <w:szCs w:val="24"/>
                <w:highlight w:val="none"/>
                <w:lang w:val="en-US" w:eastAsia="zh-CN"/>
              </w:rPr>
              <w:t>车间设置顶吸收集车间环境废气，废气</w:t>
            </w:r>
            <w:r>
              <w:rPr>
                <w:rFonts w:hint="default" w:ascii="Times New Roman" w:hAnsi="Times New Roman" w:cs="Times New Roman"/>
                <w:color w:val="FF0000"/>
                <w:kern w:val="24"/>
                <w:sz w:val="24"/>
                <w:szCs w:val="24"/>
                <w:highlight w:val="none"/>
                <w:lang w:val="en-US" w:eastAsia="zh-CN"/>
              </w:rPr>
              <w:t>引入脉冲布袋除尘器</w:t>
            </w:r>
            <w:r>
              <w:rPr>
                <w:rFonts w:hint="eastAsia"/>
                <w:color w:val="FF0000"/>
                <w:spacing w:val="-10"/>
                <w:sz w:val="24"/>
                <w:szCs w:val="24"/>
                <w:lang w:eastAsia="zh-CN"/>
              </w:rPr>
              <w:t>（</w:t>
            </w:r>
            <w:r>
              <w:rPr>
                <w:rFonts w:hint="eastAsia"/>
                <w:color w:val="FF0000"/>
                <w:spacing w:val="-10"/>
                <w:sz w:val="24"/>
                <w:szCs w:val="24"/>
                <w:lang w:val="en-US" w:eastAsia="zh-CN"/>
              </w:rPr>
              <w:t>35000m</w:t>
            </w:r>
            <w:r>
              <w:rPr>
                <w:rFonts w:hint="eastAsia"/>
                <w:color w:val="FF0000"/>
                <w:spacing w:val="-10"/>
                <w:sz w:val="24"/>
                <w:szCs w:val="24"/>
                <w:vertAlign w:val="superscript"/>
                <w:lang w:val="en-US" w:eastAsia="zh-CN"/>
              </w:rPr>
              <w:t>3</w:t>
            </w:r>
            <w:r>
              <w:rPr>
                <w:rFonts w:hint="eastAsia"/>
                <w:color w:val="FF0000"/>
                <w:spacing w:val="-10"/>
                <w:sz w:val="24"/>
                <w:szCs w:val="24"/>
                <w:lang w:val="en-US" w:eastAsia="zh-CN"/>
              </w:rPr>
              <w:t>/h</w:t>
            </w:r>
            <w:r>
              <w:rPr>
                <w:rFonts w:hint="eastAsia"/>
                <w:color w:val="FF0000"/>
                <w:spacing w:val="-10"/>
                <w:sz w:val="24"/>
                <w:szCs w:val="24"/>
                <w:lang w:eastAsia="zh-CN"/>
              </w:rPr>
              <w:t>）</w:t>
            </w:r>
            <w:r>
              <w:rPr>
                <w:rFonts w:hint="default" w:ascii="Times New Roman" w:hAnsi="Times New Roman" w:cs="Times New Roman"/>
                <w:color w:val="FF0000"/>
                <w:kern w:val="24"/>
                <w:sz w:val="24"/>
                <w:szCs w:val="24"/>
                <w:highlight w:val="none"/>
                <w:lang w:val="en-US" w:eastAsia="zh-CN"/>
              </w:rPr>
              <w:t>处理后</w:t>
            </w:r>
            <w:r>
              <w:rPr>
                <w:rFonts w:hint="eastAsia" w:ascii="Times New Roman" w:hAnsi="Times New Roman" w:cs="Times New Roman"/>
                <w:color w:val="FF0000"/>
                <w:kern w:val="24"/>
                <w:sz w:val="24"/>
                <w:szCs w:val="24"/>
                <w:highlight w:val="none"/>
                <w:lang w:val="en-US" w:eastAsia="zh-CN"/>
              </w:rPr>
              <w:t>经15m高排气筒排放（DA002）</w:t>
            </w:r>
          </w:p>
        </w:tc>
        <w:tc>
          <w:tcPr>
            <w:tcW w:w="379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c>
          <w:tcPr>
            <w:tcW w:w="2432" w:type="dxa"/>
            <w:vAlign w:val="center"/>
          </w:tcPr>
          <w:p>
            <w:pPr>
              <w:topLinePunct/>
              <w:spacing w:line="240" w:lineRule="atLeast"/>
              <w:jc w:val="center"/>
              <w:rPr>
                <w:rFonts w:hint="eastAsia" w:ascii="Times New Roman" w:hAnsi="Times New Roman" w:eastAsia="宋体" w:cs="Times New Roman"/>
                <w:color w:val="auto"/>
                <w:spacing w:val="-10"/>
                <w:kern w:val="2"/>
                <w:sz w:val="21"/>
                <w:szCs w:val="21"/>
                <w:lang w:val="en-US" w:eastAsia="zh-CN" w:bidi="ar-SA"/>
              </w:rPr>
            </w:pPr>
            <w:r>
              <w:rPr>
                <w:rFonts w:hint="eastAsia"/>
                <w:color w:val="auto"/>
                <w:spacing w:val="-10"/>
                <w:szCs w:val="21"/>
              </w:rPr>
              <w:t>砂处理、混砂</w:t>
            </w:r>
            <w:r>
              <w:rPr>
                <w:color w:val="auto"/>
                <w:spacing w:val="-10"/>
                <w:szCs w:val="21"/>
              </w:rPr>
              <w:t>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szCs w:val="24"/>
              </w:rPr>
            </w:pPr>
            <w:r>
              <w:rPr>
                <w:rFonts w:hint="default" w:ascii="Times New Roman" w:hAnsi="Times New Roman" w:cs="Times New Roman"/>
                <w:b w:val="0"/>
                <w:bCs w:val="0"/>
                <w:color w:val="FF0000"/>
                <w:kern w:val="24"/>
                <w:sz w:val="24"/>
                <w:szCs w:val="24"/>
                <w:highlight w:val="none"/>
                <w:lang w:val="en-US" w:eastAsia="zh-CN"/>
              </w:rPr>
              <w:t>落砂区上设集气罩（2m×</w:t>
            </w:r>
            <w:r>
              <w:rPr>
                <w:rFonts w:hint="eastAsia" w:ascii="Times New Roman" w:hAnsi="Times New Roman" w:cs="Times New Roman"/>
                <w:b w:val="0"/>
                <w:bCs w:val="0"/>
                <w:color w:val="FF0000"/>
                <w:kern w:val="24"/>
                <w:sz w:val="24"/>
                <w:szCs w:val="24"/>
                <w:highlight w:val="none"/>
                <w:lang w:val="en-US" w:eastAsia="zh-CN"/>
              </w:rPr>
              <w:t>2</w:t>
            </w:r>
            <w:r>
              <w:rPr>
                <w:rFonts w:hint="default" w:ascii="Times New Roman" w:hAnsi="Times New Roman" w:cs="Times New Roman"/>
                <w:b w:val="0"/>
                <w:bCs w:val="0"/>
                <w:color w:val="FF0000"/>
                <w:kern w:val="24"/>
                <w:sz w:val="24"/>
                <w:szCs w:val="24"/>
                <w:highlight w:val="none"/>
                <w:lang w:val="en-US" w:eastAsia="zh-CN"/>
              </w:rPr>
              <w:t>m）收集落砂过程产生的颗粒物，</w:t>
            </w:r>
            <w:r>
              <w:rPr>
                <w:rFonts w:hint="eastAsia" w:ascii="Times New Roman" w:hAnsi="Times New Roman" w:cs="Times New Roman"/>
                <w:b w:val="0"/>
                <w:bCs w:val="0"/>
                <w:color w:val="FF0000"/>
                <w:kern w:val="24"/>
                <w:sz w:val="24"/>
                <w:szCs w:val="24"/>
                <w:highlight w:val="none"/>
                <w:lang w:val="en-US" w:eastAsia="zh-CN"/>
              </w:rPr>
              <w:t>砂冷却系统、</w:t>
            </w:r>
            <w:r>
              <w:rPr>
                <w:rFonts w:hint="default" w:ascii="Times New Roman" w:hAnsi="Times New Roman" w:cs="Times New Roman"/>
                <w:b w:val="0"/>
                <w:bCs w:val="0"/>
                <w:color w:val="FF0000"/>
                <w:kern w:val="24"/>
                <w:sz w:val="24"/>
                <w:szCs w:val="24"/>
                <w:highlight w:val="none"/>
                <w:lang w:val="en-US" w:eastAsia="zh-CN"/>
              </w:rPr>
              <w:t>筛砂机、提升机、混砂机、砂仓</w:t>
            </w:r>
            <w:r>
              <w:rPr>
                <w:rFonts w:hint="eastAsia" w:ascii="Times New Roman" w:hAnsi="Times New Roman" w:cs="Times New Roman"/>
                <w:b w:val="0"/>
                <w:bCs w:val="0"/>
                <w:color w:val="FF0000"/>
                <w:kern w:val="24"/>
                <w:sz w:val="24"/>
                <w:szCs w:val="24"/>
                <w:highlight w:val="none"/>
                <w:lang w:val="en-US" w:eastAsia="zh-CN"/>
              </w:rPr>
              <w:t>、铸件清理区域</w:t>
            </w:r>
            <w:r>
              <w:rPr>
                <w:rFonts w:hint="default" w:ascii="Times New Roman" w:hAnsi="Times New Roman" w:cs="Times New Roman"/>
                <w:b w:val="0"/>
                <w:bCs w:val="0"/>
                <w:color w:val="FF0000"/>
                <w:kern w:val="24"/>
                <w:sz w:val="24"/>
                <w:szCs w:val="24"/>
                <w:highlight w:val="none"/>
                <w:lang w:val="en-US" w:eastAsia="zh-CN"/>
              </w:rPr>
              <w:t>密闭设引风管，产生的废气经引风管引至脉冲布袋除尘器</w:t>
            </w:r>
            <w:r>
              <w:rPr>
                <w:rFonts w:hint="eastAsia"/>
                <w:color w:val="FF0000"/>
                <w:spacing w:val="-10"/>
                <w:sz w:val="24"/>
                <w:szCs w:val="24"/>
                <w:lang w:eastAsia="zh-CN"/>
              </w:rPr>
              <w:t>（</w:t>
            </w:r>
            <w:r>
              <w:rPr>
                <w:rFonts w:hint="eastAsia"/>
                <w:color w:val="FF0000"/>
                <w:spacing w:val="-10"/>
                <w:sz w:val="24"/>
                <w:szCs w:val="24"/>
                <w:lang w:val="en-US" w:eastAsia="zh-CN"/>
              </w:rPr>
              <w:t>23000m</w:t>
            </w:r>
            <w:r>
              <w:rPr>
                <w:rFonts w:hint="eastAsia"/>
                <w:color w:val="FF0000"/>
                <w:spacing w:val="-10"/>
                <w:sz w:val="24"/>
                <w:szCs w:val="24"/>
                <w:vertAlign w:val="superscript"/>
                <w:lang w:val="en-US" w:eastAsia="zh-CN"/>
              </w:rPr>
              <w:t>3</w:t>
            </w:r>
            <w:r>
              <w:rPr>
                <w:rFonts w:hint="eastAsia"/>
                <w:color w:val="FF0000"/>
                <w:spacing w:val="-10"/>
                <w:sz w:val="24"/>
                <w:szCs w:val="24"/>
                <w:lang w:val="en-US" w:eastAsia="zh-CN"/>
              </w:rPr>
              <w:t>/h</w:t>
            </w:r>
            <w:r>
              <w:rPr>
                <w:rFonts w:hint="eastAsia"/>
                <w:color w:val="FF0000"/>
                <w:spacing w:val="-10"/>
                <w:sz w:val="24"/>
                <w:szCs w:val="24"/>
                <w:lang w:eastAsia="zh-CN"/>
              </w:rPr>
              <w:t>）</w:t>
            </w:r>
            <w:r>
              <w:rPr>
                <w:rFonts w:hint="default" w:ascii="Times New Roman" w:hAnsi="Times New Roman" w:cs="Times New Roman"/>
                <w:b w:val="0"/>
                <w:bCs w:val="0"/>
                <w:color w:val="FF0000"/>
                <w:kern w:val="24"/>
                <w:sz w:val="24"/>
                <w:szCs w:val="24"/>
                <w:highlight w:val="none"/>
                <w:lang w:val="en-US" w:eastAsia="zh-CN"/>
              </w:rPr>
              <w:t>处理，处理后经</w:t>
            </w:r>
            <w:r>
              <w:rPr>
                <w:rFonts w:hint="default" w:ascii="Times New Roman" w:hAnsi="Times New Roman" w:cs="Times New Roman"/>
                <w:color w:val="FF0000"/>
                <w:kern w:val="24"/>
                <w:sz w:val="24"/>
                <w:szCs w:val="24"/>
                <w:highlight w:val="none"/>
                <w:lang w:val="en-US" w:eastAsia="zh-CN"/>
              </w:rPr>
              <w:t>15米高排气筒（DA00</w:t>
            </w:r>
            <w:r>
              <w:rPr>
                <w:rFonts w:hint="eastAsia" w:ascii="Times New Roman" w:hAnsi="Times New Roman" w:cs="Times New Roman"/>
                <w:color w:val="FF0000"/>
                <w:kern w:val="24"/>
                <w:sz w:val="24"/>
                <w:szCs w:val="24"/>
                <w:highlight w:val="none"/>
                <w:lang w:val="en-US" w:eastAsia="zh-CN"/>
              </w:rPr>
              <w:t>3</w:t>
            </w:r>
            <w:r>
              <w:rPr>
                <w:rFonts w:hint="default" w:ascii="Times New Roman" w:hAnsi="Times New Roman" w:cs="Times New Roman"/>
                <w:color w:val="FF0000"/>
                <w:kern w:val="24"/>
                <w:sz w:val="24"/>
                <w:szCs w:val="24"/>
                <w:highlight w:val="none"/>
                <w:lang w:val="en-US" w:eastAsia="zh-CN"/>
              </w:rPr>
              <w:t>）排放</w:t>
            </w:r>
          </w:p>
        </w:tc>
        <w:tc>
          <w:tcPr>
            <w:tcW w:w="379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厂界无组织废气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颗粒物≤0.5</w:t>
            </w:r>
          </w:p>
        </w:tc>
        <w:tc>
          <w:tcPr>
            <w:tcW w:w="4816" w:type="dxa"/>
            <w:vMerge w:val="restart"/>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default" w:eastAsia="宋体"/>
                <w:bCs/>
                <w:snapToGrid w:val="0"/>
                <w:color w:val="auto"/>
                <w:kern w:val="0"/>
                <w:sz w:val="24"/>
                <w:lang w:val="en-US" w:eastAsia="zh-CN"/>
              </w:rPr>
            </w:pPr>
            <w:r>
              <w:rPr>
                <w:rFonts w:hint="eastAsia"/>
                <w:color w:val="auto"/>
                <w:sz w:val="24"/>
              </w:rPr>
              <w:t>综合生产车间全封闭，生产时车间出入口处于关闭状态，加强废气收集效率，车间设二次除尘装置</w:t>
            </w:r>
            <w:r>
              <w:rPr>
                <w:rFonts w:hint="eastAsia"/>
                <w:color w:val="FF0000"/>
                <w:sz w:val="24"/>
              </w:rPr>
              <w:t>；厂区道路硬化，并采取清扫、洒水等措施，保持清洁</w:t>
            </w:r>
            <w:r>
              <w:rPr>
                <w:rFonts w:hint="eastAsia"/>
                <w:color w:val="auto"/>
                <w:sz w:val="24"/>
              </w:rPr>
              <w:t>；生产车间主要出入口等易产生PM排放环节，项目建设完成后安装高清视频监控设施。视频监控数据保存六个月以上主要生产设施与污染防治设施分表计电</w:t>
            </w:r>
            <w:r>
              <w:rPr>
                <w:rFonts w:hint="eastAsia"/>
                <w:color w:val="auto"/>
                <w:sz w:val="24"/>
                <w:lang w:eastAsia="zh-CN"/>
              </w:rPr>
              <w:t>；</w:t>
            </w:r>
            <w:r>
              <w:rPr>
                <w:rFonts w:hint="eastAsia"/>
                <w:color w:val="auto"/>
                <w:sz w:val="24"/>
              </w:rPr>
              <w:t>厂区出入口设置洗车平台</w:t>
            </w:r>
          </w:p>
        </w:tc>
        <w:tc>
          <w:tcPr>
            <w:tcW w:w="3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《唐山市铸造行业烟气达标治理工作方案》烃限值要求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车间无组织废气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颗粒物≤1</w:t>
            </w:r>
          </w:p>
        </w:tc>
        <w:tc>
          <w:tcPr>
            <w:tcW w:w="4816" w:type="dxa"/>
            <w:vMerge w:val="continue"/>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bCs/>
                <w:snapToGrid w:val="0"/>
                <w:color w:val="auto"/>
                <w:kern w:val="0"/>
                <w:sz w:val="24"/>
              </w:rPr>
            </w:pPr>
          </w:p>
        </w:tc>
        <w:tc>
          <w:tcPr>
            <w:tcW w:w="3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《唐山市铸造行业烟气达标治理工作方案》 熔炼车间边界外1m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地表水环境</w:t>
            </w: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循环冷却水</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sz w:val="24"/>
              </w:rPr>
              <w:t>SS</w:t>
            </w:r>
          </w:p>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sz w:val="24"/>
              </w:rPr>
              <w:t>COD</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rPr>
            </w:pPr>
            <w:r>
              <w:rPr>
                <w:rFonts w:hint="eastAsia"/>
                <w:color w:val="auto"/>
                <w:sz w:val="24"/>
              </w:rPr>
              <w:t>循环利用，不外排</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sz w:val="24"/>
              </w:rPr>
              <w:t>生活污水</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sz w:val="24"/>
              </w:rPr>
              <w:t>SS</w:t>
            </w:r>
          </w:p>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sz w:val="24"/>
              </w:rPr>
              <w:t>COD</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sz w:val="24"/>
              </w:rPr>
            </w:pPr>
            <w:r>
              <w:rPr>
                <w:rFonts w:hint="eastAsia"/>
                <w:sz w:val="24"/>
              </w:rPr>
              <w:t>泼洒抑尘不外排</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声环境</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cs="宋体"/>
                <w:sz w:val="24"/>
              </w:rPr>
            </w:pPr>
            <w:r>
              <w:rPr>
                <w:rFonts w:hint="eastAsia" w:cs="宋体"/>
                <w:sz w:val="24"/>
              </w:rPr>
              <w:t>电炉、退火炉、砂处理设备、震动脱模、震击式造型机、滚砂机、混砂机、天车、角磨机、风机、空压机等</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cs="宋体"/>
                <w:sz w:val="24"/>
              </w:rPr>
            </w:pPr>
            <w:r>
              <w:rPr>
                <w:rFonts w:hint="eastAsia" w:cs="宋体"/>
                <w:sz w:val="24"/>
              </w:rPr>
              <w:t>连续等效A声级</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rFonts w:hint="eastAsia"/>
                <w:sz w:val="24"/>
              </w:rPr>
              <w:t>设备置于单</w:t>
            </w:r>
            <w:r>
              <w:rPr>
                <w:sz w:val="24"/>
              </w:rPr>
              <w:t>层彩钢板结构的封闭</w:t>
            </w:r>
            <w:r>
              <w:rPr>
                <w:rFonts w:hint="eastAsia"/>
                <w:sz w:val="24"/>
              </w:rPr>
              <w:t>库房</w:t>
            </w:r>
            <w:r>
              <w:rPr>
                <w:sz w:val="24"/>
              </w:rPr>
              <w:t>内</w:t>
            </w:r>
            <w:r>
              <w:rPr>
                <w:rFonts w:hint="eastAsia"/>
                <w:sz w:val="24"/>
              </w:rPr>
              <w:t>，设备均加装减振基础，</w:t>
            </w:r>
            <w:r>
              <w:rPr>
                <w:snapToGrid w:val="0"/>
                <w:kern w:val="0"/>
                <w:sz w:val="24"/>
              </w:rPr>
              <w:t>可综合降噪</w:t>
            </w:r>
            <w:r>
              <w:rPr>
                <w:rFonts w:hint="eastAsia"/>
                <w:snapToGrid w:val="0"/>
                <w:kern w:val="0"/>
                <w:sz w:val="24"/>
              </w:rPr>
              <w:t>15</w:t>
            </w:r>
            <w:r>
              <w:rPr>
                <w:snapToGrid w:val="0"/>
                <w:kern w:val="0"/>
                <w:sz w:val="24"/>
              </w:rPr>
              <w:t>dB（A）</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厂界噪声</w:t>
            </w:r>
            <w:r>
              <w:rPr>
                <w:rFonts w:hint="eastAsia"/>
                <w:sz w:val="24"/>
              </w:rPr>
              <w:t>贡献值均</w:t>
            </w:r>
            <w:r>
              <w:rPr>
                <w:sz w:val="24"/>
              </w:rPr>
              <w:t>满足《工业企业厂界环境噪声排放标准》（GB12348-2008）</w:t>
            </w:r>
            <w:r>
              <w:rPr>
                <w:rFonts w:hint="eastAsia"/>
                <w:sz w:val="24"/>
              </w:rPr>
              <w:t>2</w:t>
            </w:r>
            <w:r>
              <w:rPr>
                <w:sz w:val="24"/>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电磁辐射</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rPr>
            </w:pPr>
            <w:r>
              <w:rPr>
                <w:rFonts w:hint="eastAsia"/>
                <w:color w:val="auto"/>
                <w:sz w:val="24"/>
              </w:rPr>
              <w:t>-</w:t>
            </w:r>
          </w:p>
        </w:tc>
      </w:tr>
    </w:tbl>
    <w:p>
      <w:pPr>
        <w:pStyle w:val="28"/>
        <w:spacing w:before="0" w:beforeAutospacing="0" w:after="0" w:afterAutospacing="0" w:line="480" w:lineRule="exact"/>
        <w:jc w:val="both"/>
        <w:rPr>
          <w:rFonts w:ascii="Times New Roman" w:hAnsi="Times New Roman"/>
          <w:snapToGrid w:val="0"/>
          <w:szCs w:val="24"/>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r>
              <w:rPr>
                <w:sz w:val="24"/>
              </w:rPr>
              <w:t>固体废物</w:t>
            </w:r>
          </w:p>
        </w:tc>
        <w:tc>
          <w:tcPr>
            <w:tcW w:w="779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snapToGrid w:val="0"/>
                <w:color w:val="auto"/>
                <w:kern w:val="0"/>
                <w:sz w:val="24"/>
                <w:szCs w:val="24"/>
                <w:lang w:val="en-US" w:eastAsia="zh-CN" w:bidi="ar-SA"/>
              </w:rPr>
            </w:pPr>
            <w:r>
              <w:rPr>
                <w:rFonts w:hint="eastAsia"/>
                <w:color w:val="auto"/>
                <w:sz w:val="24"/>
              </w:rPr>
              <w:t>除尘灰集中收集至吨包袋后外售综合利用、熔炼渣集中收集后外售综合利用，</w:t>
            </w:r>
            <w:r>
              <w:rPr>
                <w:rFonts w:hint="eastAsia"/>
                <w:color w:val="auto"/>
                <w:sz w:val="24"/>
                <w:lang w:val="en-US" w:eastAsia="zh-CN"/>
              </w:rPr>
              <w:t>打磨、</w:t>
            </w:r>
            <w:r>
              <w:rPr>
                <w:rFonts w:hint="eastAsia"/>
                <w:color w:val="auto"/>
                <w:sz w:val="24"/>
              </w:rPr>
              <w:t>切冒口</w:t>
            </w:r>
            <w:r>
              <w:rPr>
                <w:rFonts w:hint="eastAsia"/>
                <w:color w:val="auto"/>
                <w:sz w:val="24"/>
                <w:lang w:val="en-US" w:eastAsia="zh-CN"/>
              </w:rPr>
              <w:t>产生的</w:t>
            </w:r>
            <w:r>
              <w:rPr>
                <w:rFonts w:hint="eastAsia"/>
                <w:color w:val="auto"/>
                <w:sz w:val="24"/>
              </w:rPr>
              <w:t>废铁回用于生产，砂处理产生的废砂吨包袋包装后定期作为原料外售于处理厂家，废布袋定期由厂家回收</w:t>
            </w:r>
            <w:r>
              <w:rPr>
                <w:bCs/>
                <w:snapToGrid w:val="0"/>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z w:val="24"/>
              </w:rPr>
            </w:pPr>
          </w:p>
        </w:tc>
        <w:tc>
          <w:tcPr>
            <w:tcW w:w="779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kern w:val="2"/>
                <w:sz w:val="24"/>
                <w:szCs w:val="24"/>
                <w:lang w:val="en-US" w:eastAsia="zh-CN" w:bidi="ar-SA"/>
              </w:rPr>
            </w:pPr>
            <w:r>
              <w:rPr>
                <w:rFonts w:hint="eastAsia"/>
                <w:sz w:val="24"/>
              </w:rPr>
              <w:t>废</w:t>
            </w:r>
            <w:r>
              <w:rPr>
                <w:sz w:val="24"/>
              </w:rPr>
              <w:t>矿物油</w:t>
            </w:r>
            <w:r>
              <w:rPr>
                <w:rFonts w:hint="eastAsia"/>
                <w:sz w:val="24"/>
              </w:rPr>
              <w:t>、废油桶暂存于危废间，委托有资质单位处置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imes New Roman" w:hAnsi="Times New Roman" w:eastAsia="宋体" w:cs="Times New Roman"/>
                <w:kern w:val="2"/>
                <w:sz w:val="24"/>
                <w:szCs w:val="24"/>
                <w:lang w:val="en-US" w:eastAsia="zh-CN" w:bidi="ar-SA"/>
              </w:rPr>
            </w:pPr>
            <w:r>
              <w:rPr>
                <w:sz w:val="24"/>
              </w:rPr>
              <w:t>土壤及地下水污染防治措施</w:t>
            </w:r>
          </w:p>
        </w:tc>
        <w:tc>
          <w:tcPr>
            <w:tcW w:w="7798" w:type="dxa"/>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sz w:val="24"/>
              </w:rPr>
            </w:pPr>
            <w:r>
              <w:rPr>
                <w:sz w:val="24"/>
              </w:rPr>
              <w:t>根据</w:t>
            </w:r>
            <w:r>
              <w:rPr>
                <w:rFonts w:hint="eastAsia"/>
                <w:sz w:val="24"/>
              </w:rPr>
              <w:t>导则</w:t>
            </w:r>
            <w:r>
              <w:rPr>
                <w:sz w:val="24"/>
              </w:rPr>
              <w:t>要求，</w:t>
            </w:r>
            <w:r>
              <w:rPr>
                <w:rFonts w:hint="eastAsia"/>
                <w:sz w:val="24"/>
              </w:rPr>
              <w:t>地下水、土壤</w:t>
            </w:r>
            <w:r>
              <w:rPr>
                <w:bCs/>
                <w:sz w:val="24"/>
              </w:rPr>
              <w:t>防治措施按照</w:t>
            </w:r>
            <w:r>
              <w:rPr>
                <w:rFonts w:hint="eastAsia"/>
                <w:bCs/>
                <w:sz w:val="24"/>
              </w:rPr>
              <w:t>“</w:t>
            </w:r>
            <w:r>
              <w:rPr>
                <w:bCs/>
                <w:sz w:val="24"/>
              </w:rPr>
              <w:t>源头控制、分区防治、污染监控、应急响应</w:t>
            </w:r>
            <w:r>
              <w:rPr>
                <w:rFonts w:hint="eastAsia"/>
                <w:bCs/>
                <w:sz w:val="24"/>
              </w:rPr>
              <w:t>”</w:t>
            </w:r>
            <w:r>
              <w:rPr>
                <w:bCs/>
                <w:sz w:val="24"/>
              </w:rPr>
              <w:t>相结合的原则，从污染物的产生、入渗、扩散、应急响应进行控制，尽可能从源头上减少污染物的产生，防止环境污染，严格按照国家相关规范要求，对工艺、管道、设备、污水储存及处理构</w:t>
            </w:r>
            <w:r>
              <w:rPr>
                <w:rFonts w:hint="eastAsia"/>
                <w:bCs/>
                <w:sz w:val="24"/>
              </w:rPr>
              <w:t>建筑</w:t>
            </w:r>
            <w:r>
              <w:rPr>
                <w:bCs/>
                <w:sz w:val="24"/>
              </w:rPr>
              <w:t>物采取相应措施，避免由于泄漏造成物料下渗污染</w:t>
            </w:r>
            <w:r>
              <w:rPr>
                <w:rFonts w:hint="eastAsia"/>
                <w:sz w:val="24"/>
              </w:rPr>
              <w:t>地下水、土壤</w:t>
            </w:r>
            <w:r>
              <w:rPr>
                <w:bCs/>
                <w:sz w:val="24"/>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sz w:val="24"/>
              </w:rPr>
            </w:pPr>
            <w:r>
              <w:rPr>
                <w:bCs/>
                <w:sz w:val="24"/>
              </w:rPr>
              <w:t>为防止</w:t>
            </w:r>
            <w:r>
              <w:rPr>
                <w:rFonts w:hint="eastAsia"/>
                <w:bCs/>
                <w:sz w:val="24"/>
              </w:rPr>
              <w:t>有机物、油类物质</w:t>
            </w:r>
            <w:r>
              <w:rPr>
                <w:bCs/>
                <w:sz w:val="24"/>
              </w:rPr>
              <w:t>对区域</w:t>
            </w:r>
            <w:r>
              <w:rPr>
                <w:rFonts w:hint="eastAsia"/>
                <w:sz w:val="24"/>
              </w:rPr>
              <w:t>地下水、土壤</w:t>
            </w:r>
            <w:r>
              <w:rPr>
                <w:bCs/>
                <w:sz w:val="24"/>
              </w:rPr>
              <w:t>产生污染影响，</w:t>
            </w:r>
            <w:r>
              <w:rPr>
                <w:rFonts w:hint="eastAsia"/>
                <w:bCs/>
                <w:sz w:val="24"/>
              </w:rPr>
              <w:t>本项目提出地下水防护措施如下：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sz w:val="24"/>
              </w:rPr>
            </w:pPr>
            <w:r>
              <w:rPr>
                <w:rFonts w:hint="eastAsia"/>
                <w:bCs/>
                <w:sz w:val="24"/>
              </w:rPr>
              <w:t>①</w:t>
            </w:r>
            <w:r>
              <w:rPr>
                <w:bCs/>
                <w:sz w:val="24"/>
              </w:rPr>
              <w:t>加强设施的维护和管理，防止污染物的跑、冒、滴、漏和非正常排放。</w:t>
            </w:r>
          </w:p>
          <w:p>
            <w:pPr>
              <w:keepNext w:val="0"/>
              <w:keepLines w:val="0"/>
              <w:pageBreakBefore w:val="0"/>
              <w:widowControl w:val="0"/>
              <w:kinsoku/>
              <w:wordWrap/>
              <w:overflowPunct/>
              <w:topLinePunct w:val="0"/>
              <w:autoSpaceDE/>
              <w:autoSpaceDN/>
              <w:bidi w:val="0"/>
              <w:snapToGrid w:val="0"/>
              <w:spacing w:line="460" w:lineRule="exact"/>
              <w:ind w:firstLine="480" w:firstLineChars="200"/>
              <w:jc w:val="left"/>
              <w:textAlignment w:val="auto"/>
              <w:rPr>
                <w:sz w:val="24"/>
              </w:rPr>
            </w:pPr>
            <w:r>
              <w:rPr>
                <w:rFonts w:hint="eastAsia"/>
                <w:bCs/>
                <w:sz w:val="24"/>
              </w:rPr>
              <w:t>②</w:t>
            </w:r>
            <w:r>
              <w:rPr>
                <w:rFonts w:hint="eastAsia"/>
                <w:sz w:val="24"/>
              </w:rPr>
              <w:t>建设单位全厂分区防渗管控，具体分区防渗管控情况如下：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厂区内防渗情况应该分为重点防治区、一般防治区和简单防渗区。</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重点防渗区（生产车间内润滑油储存区及</w:t>
            </w:r>
            <w:r>
              <w:rPr>
                <w:sz w:val="24"/>
              </w:rPr>
              <w:t>危险废物暂存间</w:t>
            </w:r>
            <w:r>
              <w:rPr>
                <w:rFonts w:hint="eastAsia"/>
                <w:sz w:val="24"/>
              </w:rPr>
              <w:t>）防渗技术要求：等效黏土防渗层Mb≥6.0m；K≤1×10</w:t>
            </w:r>
            <w:r>
              <w:rPr>
                <w:rFonts w:hint="eastAsia"/>
                <w:sz w:val="24"/>
                <w:vertAlign w:val="superscript"/>
              </w:rPr>
              <w:t>-10</w:t>
            </w:r>
            <w:r>
              <w:rPr>
                <w:rFonts w:hint="eastAsia"/>
                <w:sz w:val="24"/>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一般防渗区：生产车间防渗技术要求：等效黏土防渗层Mb≥1.5m；K≤1×10</w:t>
            </w:r>
            <w:r>
              <w:rPr>
                <w:rFonts w:hint="eastAsia"/>
                <w:sz w:val="24"/>
                <w:vertAlign w:val="superscript"/>
              </w:rPr>
              <w:t>-7</w:t>
            </w:r>
            <w:r>
              <w:rPr>
                <w:rFonts w:hint="eastAsia"/>
                <w:sz w:val="24"/>
              </w:rPr>
              <w:t>cm/s，</w:t>
            </w:r>
          </w:p>
          <w:p>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ascii="Times New Roman" w:hAnsi="Times New Roman" w:eastAsia="宋体" w:cs="Times New Roman"/>
                <w:kern w:val="2"/>
                <w:sz w:val="24"/>
                <w:szCs w:val="24"/>
                <w:lang w:val="en-US" w:eastAsia="zh-CN" w:bidi="ar-SA"/>
              </w:rPr>
            </w:pPr>
            <w:r>
              <w:rPr>
                <w:rFonts w:hint="eastAsia"/>
                <w:sz w:val="24"/>
              </w:rPr>
              <w:t>简单防渗区：其它区域均为简单防渗区，一般地面硬化即可</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imes New Roman" w:hAnsi="Times New Roman" w:eastAsia="宋体" w:cs="Times New Roman"/>
                <w:kern w:val="2"/>
                <w:sz w:val="24"/>
                <w:szCs w:val="24"/>
                <w:lang w:val="en-US" w:eastAsia="zh-CN" w:bidi="ar-SA"/>
              </w:rPr>
            </w:pPr>
            <w:r>
              <w:rPr>
                <w:sz w:val="24"/>
              </w:rPr>
              <w:t>生态保护措施</w:t>
            </w:r>
          </w:p>
        </w:tc>
        <w:tc>
          <w:tcPr>
            <w:tcW w:w="7798"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Times New Roman" w:hAnsi="Times New Roman" w:eastAsia="宋体" w:cs="Times New Roman"/>
                <w:kern w:val="2"/>
                <w:sz w:val="24"/>
                <w:szCs w:val="24"/>
                <w:lang w:val="en-US" w:eastAsia="zh-CN" w:bidi="ar-SA"/>
              </w:rPr>
            </w:pP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spacing w:val="-8"/>
                <w:sz w:val="24"/>
              </w:rPr>
            </w:pPr>
            <w:r>
              <w:rPr>
                <w:spacing w:val="-8"/>
                <w:sz w:val="24"/>
              </w:rPr>
              <w:t>环境风险</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imes New Roman" w:hAnsi="Times New Roman" w:eastAsia="宋体" w:cs="Times New Roman"/>
                <w:kern w:val="2"/>
                <w:sz w:val="24"/>
                <w:szCs w:val="24"/>
                <w:lang w:val="en-US" w:eastAsia="zh-CN" w:bidi="ar-SA"/>
              </w:rPr>
            </w:pPr>
            <w:r>
              <w:rPr>
                <w:spacing w:val="-8"/>
                <w:sz w:val="24"/>
              </w:rPr>
              <w:t>防范措施</w:t>
            </w:r>
          </w:p>
        </w:tc>
        <w:tc>
          <w:tcPr>
            <w:tcW w:w="7798" w:type="dxa"/>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风险管理目标是采用最低合理可行原则管控环境风险。采取的环境风险防范措施应与社会经济技术发展水平相适应，运用科学的技术手段和管理方法对环境风险进行有效地预防、监控、响应。</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①大气环境风险防范措施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项目油类物质泄漏排放遇到明火发生火灾，可能会对周边大气环境产生影响，但油类物质着火点相对较高，且</w:t>
            </w:r>
            <w:r>
              <w:rPr>
                <w:rFonts w:hint="eastAsia"/>
                <w:sz w:val="24"/>
              </w:rPr>
              <w:t>生产车间内润滑油储存区及</w:t>
            </w:r>
            <w:r>
              <w:rPr>
                <w:sz w:val="24"/>
              </w:rPr>
              <w:t>危险废物暂存间由专人进行看管并配备了灭火器、消防沙等灭火设备，若发生泄漏或火灾，可在第一时间发现并进行处理，因此油类物质泄漏发生次生危害的概率极小，不会对大气环境产生明显影响。</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②地表水环境风险防范措施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生产车间内润滑油储存区及</w:t>
            </w:r>
            <w:r>
              <w:rPr>
                <w:sz w:val="24"/>
              </w:rPr>
              <w:t>危险废物暂存间</w:t>
            </w:r>
            <w:r>
              <w:rPr>
                <w:rFonts w:hint="eastAsia"/>
                <w:sz w:val="24"/>
              </w:rPr>
              <w:t>均</w:t>
            </w:r>
            <w:r>
              <w:rPr>
                <w:rFonts w:hint="eastAsia" w:ascii="宋体" w:hAnsi="宋体" w:cs="宋体"/>
                <w:sz w:val="24"/>
              </w:rPr>
              <w:t>采取有效防腐防渗措施，危险废物暂存间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sz w:val="24"/>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③地下水环境风险防范措施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a.源头控制措施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本项目对</w:t>
            </w:r>
            <w:r>
              <w:rPr>
                <w:rFonts w:hint="eastAsia"/>
                <w:sz w:val="24"/>
              </w:rPr>
              <w:t>风险区域进行</w:t>
            </w:r>
            <w:r>
              <w:rPr>
                <w:sz w:val="24"/>
              </w:rPr>
              <w:t>严格</w:t>
            </w:r>
            <w:r>
              <w:rPr>
                <w:rFonts w:hint="eastAsia"/>
                <w:sz w:val="24"/>
              </w:rPr>
              <w:t>排查</w:t>
            </w:r>
            <w:r>
              <w:rPr>
                <w:sz w:val="24"/>
              </w:rPr>
              <w:t>，有质量问题的及时更换，</w:t>
            </w:r>
            <w:r>
              <w:rPr>
                <w:rFonts w:hint="eastAsia"/>
                <w:sz w:val="24"/>
              </w:rPr>
              <w:t>盛装容器</w:t>
            </w:r>
            <w:r>
              <w:rPr>
                <w:sz w:val="24"/>
              </w:rPr>
              <w:t>采用优质耐腐蚀材料制成的产品。对项目</w:t>
            </w:r>
            <w:r>
              <w:rPr>
                <w:rFonts w:hint="eastAsia"/>
                <w:sz w:val="24"/>
              </w:rPr>
              <w:t>生产车间内润滑油储存区及</w:t>
            </w:r>
            <w:r>
              <w:rPr>
                <w:sz w:val="24"/>
              </w:rPr>
              <w:t>危险废物暂存间等采取相应的物料控制措施，便于发现污染物的跑、冒、滴、漏，将污染物泄漏的环境风险事故降至最低限度。</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b.分区防控措施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sz w:val="24"/>
              </w:rPr>
            </w:pPr>
            <w:r>
              <w:rPr>
                <w:sz w:val="24"/>
              </w:rPr>
              <w:t>为避免</w:t>
            </w:r>
            <w:r>
              <w:rPr>
                <w:rFonts w:hint="eastAsia"/>
                <w:sz w:val="24"/>
              </w:rPr>
              <w:t>油类物质</w:t>
            </w:r>
            <w:r>
              <w:rPr>
                <w:sz w:val="24"/>
              </w:rPr>
              <w:t>对地下水造成污染影响，采取了分区防渗措施</w:t>
            </w:r>
            <w:r>
              <w:rPr>
                <w:bCs/>
                <w:sz w:val="24"/>
              </w:rPr>
              <w:t>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厂区内防渗情况应该分为重点防治区、一般防治区和简单防渗区。</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重点防渗区（生产车间内润滑油储存区及</w:t>
            </w:r>
            <w:r>
              <w:rPr>
                <w:sz w:val="24"/>
              </w:rPr>
              <w:t>危险废物暂存间</w:t>
            </w:r>
            <w:r>
              <w:rPr>
                <w:rFonts w:hint="eastAsia"/>
                <w:sz w:val="24"/>
              </w:rPr>
              <w:t>）防渗技术要求：等效黏土防渗层Mb≥6.0m；K≤1×10</w:t>
            </w:r>
            <w:r>
              <w:rPr>
                <w:rFonts w:hint="eastAsia"/>
                <w:sz w:val="24"/>
                <w:vertAlign w:val="superscript"/>
              </w:rPr>
              <w:t>-10</w:t>
            </w:r>
            <w:r>
              <w:rPr>
                <w:rFonts w:hint="eastAsia"/>
                <w:sz w:val="24"/>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一般防渗区（生产车间）防渗技术要求：等效黏土防渗层Mb≥1.5m；K≤1×10</w:t>
            </w:r>
            <w:r>
              <w:rPr>
                <w:rFonts w:hint="eastAsia"/>
                <w:sz w:val="24"/>
                <w:vertAlign w:val="superscript"/>
              </w:rPr>
              <w:t>-7</w:t>
            </w:r>
            <w:r>
              <w:rPr>
                <w:rFonts w:hint="eastAsia"/>
                <w:sz w:val="24"/>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rFonts w:hint="eastAsia"/>
                <w:sz w:val="24"/>
              </w:rPr>
              <w:t>简单防渗区：其它区域均为简单防渗区，一般地面硬化即可。</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④人员疏散通道及安置厂址</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sz w:val="24"/>
              </w:rPr>
            </w:pPr>
            <w:r>
              <w:rPr>
                <w:sz w:val="24"/>
              </w:rPr>
              <w:t>⑤环境风险应急预案</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Times New Roman" w:hAnsi="Times New Roman" w:eastAsia="宋体" w:cs="Times New Roman"/>
                <w:kern w:val="2"/>
                <w:sz w:val="24"/>
                <w:szCs w:val="24"/>
                <w:lang w:val="en-US" w:eastAsia="zh-CN" w:bidi="ar-SA"/>
              </w:rPr>
            </w:pPr>
            <w:r>
              <w:rPr>
                <w:sz w:val="24"/>
              </w:rPr>
              <w:t>本评价建议结合本项目所涉及到的风险源，编制突发环境事件应急预案</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adjustRightInd w:val="0"/>
              <w:snapToGrid w:val="0"/>
              <w:spacing w:line="480" w:lineRule="exact"/>
              <w:jc w:val="center"/>
              <w:rPr>
                <w:sz w:val="24"/>
              </w:rPr>
            </w:pPr>
            <w:r>
              <w:rPr>
                <w:sz w:val="24"/>
              </w:rPr>
              <w:t>其</w:t>
            </w:r>
          </w:p>
          <w:p>
            <w:pPr>
              <w:adjustRightInd w:val="0"/>
              <w:snapToGrid w:val="0"/>
              <w:spacing w:line="480" w:lineRule="exact"/>
              <w:jc w:val="center"/>
              <w:rPr>
                <w:sz w:val="24"/>
              </w:rPr>
            </w:pPr>
            <w:r>
              <w:rPr>
                <w:sz w:val="24"/>
              </w:rPr>
              <w:t>他</w:t>
            </w:r>
          </w:p>
          <w:p>
            <w:pPr>
              <w:adjustRightInd w:val="0"/>
              <w:snapToGrid w:val="0"/>
              <w:spacing w:line="480" w:lineRule="exact"/>
              <w:jc w:val="center"/>
              <w:rPr>
                <w:sz w:val="24"/>
              </w:rPr>
            </w:pPr>
            <w:r>
              <w:rPr>
                <w:sz w:val="24"/>
              </w:rPr>
              <w:t>环</w:t>
            </w:r>
          </w:p>
          <w:p>
            <w:pPr>
              <w:adjustRightInd w:val="0"/>
              <w:snapToGrid w:val="0"/>
              <w:spacing w:line="480" w:lineRule="exact"/>
              <w:jc w:val="center"/>
              <w:rPr>
                <w:sz w:val="24"/>
              </w:rPr>
            </w:pPr>
            <w:r>
              <w:rPr>
                <w:sz w:val="24"/>
              </w:rPr>
              <w:t>境</w:t>
            </w:r>
          </w:p>
          <w:p>
            <w:pPr>
              <w:adjustRightInd w:val="0"/>
              <w:snapToGrid w:val="0"/>
              <w:spacing w:line="480" w:lineRule="exact"/>
              <w:jc w:val="center"/>
              <w:rPr>
                <w:sz w:val="24"/>
              </w:rPr>
            </w:pPr>
            <w:r>
              <w:rPr>
                <w:sz w:val="24"/>
              </w:rPr>
              <w:t>管</w:t>
            </w:r>
          </w:p>
          <w:p>
            <w:pPr>
              <w:adjustRightInd w:val="0"/>
              <w:snapToGrid w:val="0"/>
              <w:spacing w:line="480" w:lineRule="exact"/>
              <w:jc w:val="center"/>
              <w:rPr>
                <w:sz w:val="24"/>
              </w:rPr>
            </w:pPr>
            <w:r>
              <w:rPr>
                <w:sz w:val="24"/>
              </w:rPr>
              <w:t>理</w:t>
            </w:r>
          </w:p>
          <w:p>
            <w:pPr>
              <w:adjustRightInd w:val="0"/>
              <w:snapToGrid w:val="0"/>
              <w:spacing w:line="480" w:lineRule="exact"/>
              <w:jc w:val="center"/>
              <w:rPr>
                <w:sz w:val="24"/>
              </w:rPr>
            </w:pPr>
            <w:r>
              <w:rPr>
                <w:sz w:val="24"/>
              </w:rPr>
              <w:t>要</w:t>
            </w:r>
          </w:p>
          <w:p>
            <w:pPr>
              <w:adjustRightInd w:val="0"/>
              <w:snapToGrid w:val="0"/>
              <w:spacing w:line="480" w:lineRule="exact"/>
              <w:jc w:val="center"/>
              <w:rPr>
                <w:snapToGrid w:val="0"/>
                <w:sz w:val="24"/>
              </w:rPr>
            </w:pPr>
            <w:r>
              <w:rPr>
                <w:sz w:val="24"/>
              </w:rPr>
              <w:t>求</w:t>
            </w:r>
          </w:p>
        </w:tc>
        <w:tc>
          <w:tcPr>
            <w:tcW w:w="7798" w:type="dxa"/>
          </w:tcPr>
          <w:p>
            <w:pPr>
              <w:spacing w:line="480" w:lineRule="exact"/>
              <w:ind w:firstLine="480" w:firstLineChars="200"/>
              <w:rPr>
                <w:sz w:val="24"/>
              </w:rPr>
            </w:pPr>
            <w:r>
              <w:rPr>
                <w:rFonts w:hint="eastAsia"/>
                <w:sz w:val="24"/>
              </w:rPr>
              <w:t>1、企业环境信息公开</w:t>
            </w:r>
          </w:p>
          <w:p>
            <w:pPr>
              <w:spacing w:line="480" w:lineRule="exact"/>
              <w:ind w:firstLine="480" w:firstLineChars="200"/>
              <w:rPr>
                <w:sz w:val="24"/>
              </w:rPr>
            </w:pPr>
            <w:r>
              <w:rPr>
                <w:sz w:val="24"/>
              </w:rPr>
              <w:t>企业事业单位应当建立健全本单位环境信息公开制度，指定机构负责本单位环境信息公开日常工作。</w:t>
            </w:r>
            <w:r>
              <w:rPr>
                <w:rFonts w:hint="eastAsia"/>
                <w:sz w:val="24"/>
              </w:rPr>
              <w:t>根据企业特点，应在本单位的资料索取点、信息公开栏、信息亭、电子屏幕或其他便于公众及时、准确获得信息的场所和方式公开基础信息以及排污信息。</w:t>
            </w:r>
          </w:p>
          <w:p>
            <w:pPr>
              <w:spacing w:line="480" w:lineRule="exact"/>
              <w:ind w:firstLine="480" w:firstLineChars="200"/>
              <w:rPr>
                <w:sz w:val="24"/>
              </w:rPr>
            </w:pPr>
            <w:r>
              <w:rPr>
                <w:rFonts w:hint="eastAsia"/>
                <w:sz w:val="24"/>
              </w:rPr>
              <w:t>如若公司的环境信息发生变更或有新生成时，应在环境信息生成或者变更之日起三十日内予以公开。环境保护主管部门应当宣传和引导公众监督企业事业单位环境信息公开工作。</w:t>
            </w:r>
          </w:p>
          <w:p>
            <w:pPr>
              <w:spacing w:line="480" w:lineRule="exact"/>
              <w:ind w:firstLine="480" w:firstLineChars="200"/>
              <w:rPr>
                <w:sz w:val="24"/>
              </w:rPr>
            </w:pPr>
            <w:r>
              <w:rPr>
                <w:rFonts w:hint="eastAsia"/>
                <w:sz w:val="24"/>
              </w:rPr>
              <w:t>2、</w:t>
            </w:r>
            <w:r>
              <w:rPr>
                <w:sz w:val="24"/>
              </w:rPr>
              <w:t>排污口规范化</w:t>
            </w:r>
          </w:p>
          <w:p>
            <w:pPr>
              <w:spacing w:line="480" w:lineRule="exact"/>
              <w:ind w:firstLine="480" w:firstLineChars="200"/>
              <w:rPr>
                <w:sz w:val="24"/>
              </w:rPr>
            </w:pPr>
            <w:r>
              <w:rPr>
                <w:sz w:val="24"/>
              </w:rPr>
              <w:t>按照</w:t>
            </w:r>
            <w:r>
              <w:rPr>
                <w:rFonts w:hint="eastAsia"/>
                <w:sz w:val="24"/>
              </w:rPr>
              <w:t>《排污口规范化整治技术要求（试行）》（环监[1996]470号）要求</w:t>
            </w:r>
            <w:r>
              <w:rPr>
                <w:sz w:val="24"/>
              </w:rPr>
              <w:t>，并参考其它相关规定，提出以下废气排放口规范化建设要求：</w:t>
            </w:r>
          </w:p>
          <w:p>
            <w:pPr>
              <w:spacing w:line="480" w:lineRule="exact"/>
              <w:ind w:firstLine="480" w:firstLineChars="200"/>
              <w:rPr>
                <w:sz w:val="24"/>
              </w:rPr>
            </w:pPr>
            <w:r>
              <w:rPr>
                <w:rFonts w:hint="eastAsia"/>
                <w:sz w:val="24"/>
              </w:rPr>
              <w:t>（1）</w:t>
            </w:r>
            <w:r>
              <w:rPr>
                <w:sz w:val="24"/>
              </w:rPr>
              <w:t xml:space="preserve">排气筒应设置便于采样、监测的采样口和采样监测平台。当采样平台设置在离地面高度≥5m的位置时，应有通往平台的Z字梯/旋梯/升降梯。 </w:t>
            </w:r>
          </w:p>
          <w:p>
            <w:pPr>
              <w:spacing w:line="480" w:lineRule="exact"/>
              <w:ind w:firstLine="480" w:firstLineChars="200"/>
              <w:rPr>
                <w:sz w:val="24"/>
              </w:rPr>
            </w:pPr>
            <w:r>
              <w:rPr>
                <w:rFonts w:hint="eastAsia"/>
                <w:sz w:val="24"/>
              </w:rPr>
              <w:t>（2）</w:t>
            </w:r>
            <w:r>
              <w:rPr>
                <w:sz w:val="24"/>
              </w:rPr>
              <w:t>采样孔、点数目和位置应按《固定污染源排气中颗粒物测定与气态污染物采样方法》（GB/T16157-1996）的规定设置。</w:t>
            </w:r>
          </w:p>
          <w:p>
            <w:pPr>
              <w:spacing w:line="480" w:lineRule="exact"/>
              <w:ind w:firstLine="480" w:firstLineChars="200"/>
              <w:rPr>
                <w:sz w:val="24"/>
              </w:rPr>
            </w:pPr>
            <w:r>
              <w:rPr>
                <w:rFonts w:hint="eastAsia"/>
                <w:sz w:val="24"/>
              </w:rPr>
              <w:t>（3）</w:t>
            </w:r>
            <w:r>
              <w:rPr>
                <w:sz w:val="24"/>
              </w:rPr>
              <w:t>废气排放口的环境保护图形标志牌应设在排气筒附近地面醒目处。</w:t>
            </w:r>
          </w:p>
          <w:p>
            <w:pPr>
              <w:spacing w:line="480" w:lineRule="exact"/>
              <w:ind w:firstLine="480" w:firstLineChars="200"/>
              <w:rPr>
                <w:sz w:val="24"/>
              </w:rPr>
            </w:pPr>
            <w:r>
              <w:rPr>
                <w:sz w:val="24"/>
              </w:rPr>
              <w:t>（4）拟建项目生产过程中排放的污染物为废气、噪声、固废。</w:t>
            </w:r>
          </w:p>
          <w:p>
            <w:pPr>
              <w:spacing w:line="480" w:lineRule="exact"/>
              <w:ind w:firstLine="480" w:firstLineChars="200"/>
              <w:rPr>
                <w:sz w:val="24"/>
              </w:rPr>
            </w:pPr>
            <w:r>
              <w:rPr>
                <w:sz w:val="24"/>
              </w:rPr>
              <w:t>废气：保证排气筒高度达到标准要求，并在环保技术人员指导下设定废气的监测口位置，按标准设置采样口及采样平台，并在排气筒上设环境保护图形牌。</w:t>
            </w:r>
          </w:p>
          <w:p>
            <w:pPr>
              <w:spacing w:line="480" w:lineRule="exact"/>
              <w:ind w:firstLine="480" w:firstLineChars="200"/>
              <w:rPr>
                <w:sz w:val="24"/>
              </w:rPr>
            </w:pPr>
            <w:r>
              <w:rPr>
                <w:sz w:val="24"/>
              </w:rPr>
              <w:t>固废：固废及危险废物贮存场所分别设置并按照相关要求采取防晒、防淋、防渗等措施，按环保管理要求设立标志牌等。</w:t>
            </w:r>
          </w:p>
          <w:p>
            <w:pPr>
              <w:spacing w:line="480" w:lineRule="exact"/>
              <w:ind w:firstLine="480" w:firstLineChars="200"/>
              <w:rPr>
                <w:sz w:val="24"/>
              </w:rPr>
            </w:pPr>
            <w:r>
              <w:rPr>
                <w:sz w:val="24"/>
              </w:rPr>
              <w:t>排污口监测孔设置要求：监测孔位置应便于开展监测工作，在规则的圆形或矩形烟道垂直管段上，距弯头、阀门、变径管下游方向不小于6倍当量直径和距上述部件上游方向不小于3倍当量直径处。</w:t>
            </w:r>
          </w:p>
          <w:p>
            <w:pPr>
              <w:spacing w:line="480" w:lineRule="exact"/>
              <w:ind w:firstLine="480" w:firstLineChars="200"/>
              <w:rPr>
                <w:sz w:val="24"/>
              </w:rPr>
            </w:pPr>
            <w:r>
              <w:rPr>
                <w:sz w:val="24"/>
              </w:rPr>
              <w:t>监测平台设置要求：监测平台设置在监测孔的正下方1.2m~1.3m处，可操作面积不小于2m</w:t>
            </w:r>
            <w:r>
              <w:rPr>
                <w:sz w:val="24"/>
                <w:vertAlign w:val="superscript"/>
              </w:rPr>
              <w:t>2</w:t>
            </w:r>
            <w:r>
              <w:rPr>
                <w:sz w:val="24"/>
              </w:rPr>
              <w:t>，平台长度和宽度不小于1.2m，永久、安全、便于采样及测试。</w:t>
            </w:r>
          </w:p>
          <w:p>
            <w:pPr>
              <w:spacing w:line="480" w:lineRule="exact"/>
              <w:ind w:firstLine="480" w:firstLineChars="200"/>
              <w:rPr>
                <w:sz w:val="24"/>
              </w:rPr>
            </w:pPr>
            <w:r>
              <w:rPr>
                <w:sz w:val="24"/>
              </w:rPr>
              <w:t>各排放口设置标志牌如表</w:t>
            </w:r>
            <w:r>
              <w:rPr>
                <w:rFonts w:hint="eastAsia"/>
                <w:sz w:val="24"/>
                <w:lang w:val="en-US" w:eastAsia="zh-CN"/>
              </w:rPr>
              <w:t>51</w:t>
            </w:r>
            <w:r>
              <w:rPr>
                <w:sz w:val="24"/>
              </w:rPr>
              <w:t>：</w:t>
            </w:r>
          </w:p>
          <w:p>
            <w:pPr>
              <w:spacing w:line="480" w:lineRule="exact"/>
              <w:ind w:firstLine="482" w:firstLineChars="200"/>
              <w:jc w:val="center"/>
              <w:rPr>
                <w:b/>
                <w:bCs/>
                <w:sz w:val="24"/>
              </w:rPr>
            </w:pPr>
            <w:r>
              <w:rPr>
                <w:b/>
                <w:bCs/>
                <w:sz w:val="24"/>
              </w:rPr>
              <w:t>表</w:t>
            </w:r>
            <w:r>
              <w:rPr>
                <w:rFonts w:hint="eastAsia"/>
                <w:b/>
                <w:bCs/>
                <w:sz w:val="24"/>
                <w:lang w:val="en-US" w:eastAsia="zh-CN"/>
              </w:rPr>
              <w:t>51</w:t>
            </w:r>
            <w:r>
              <w:rPr>
                <w:b/>
                <w:bCs/>
                <w:sz w:val="24"/>
              </w:rPr>
              <w:t xml:space="preserve">  排放口标志牌示例</w:t>
            </w:r>
          </w:p>
          <w:tbl>
            <w:tblPr>
              <w:tblStyle w:val="32"/>
              <w:tblW w:w="74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687"/>
              <w:gridCol w:w="2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b/>
                      <w:snapToGrid w:val="0"/>
                      <w:szCs w:val="21"/>
                    </w:rPr>
                  </w:pPr>
                  <w:r>
                    <w:rPr>
                      <w:b/>
                      <w:snapToGrid w:val="0"/>
                      <w:szCs w:val="21"/>
                    </w:rPr>
                    <w:t>排放口名称</w:t>
                  </w:r>
                </w:p>
              </w:tc>
              <w:tc>
                <w:tcPr>
                  <w:tcW w:w="3687" w:type="dxa"/>
                  <w:tcBorders>
                    <w:tl2br w:val="nil"/>
                    <w:tr2bl w:val="nil"/>
                  </w:tcBorders>
                  <w:vAlign w:val="center"/>
                </w:tcPr>
                <w:p>
                  <w:pPr>
                    <w:adjustRightInd w:val="0"/>
                    <w:snapToGrid w:val="0"/>
                    <w:jc w:val="center"/>
                    <w:rPr>
                      <w:b/>
                      <w:snapToGrid w:val="0"/>
                      <w:szCs w:val="21"/>
                    </w:rPr>
                  </w:pPr>
                  <w:r>
                    <w:rPr>
                      <w:b/>
                      <w:snapToGrid w:val="0"/>
                      <w:szCs w:val="21"/>
                    </w:rPr>
                    <w:t>图形标志</w:t>
                  </w:r>
                </w:p>
              </w:tc>
              <w:tc>
                <w:tcPr>
                  <w:tcW w:w="2262" w:type="dxa"/>
                  <w:tcBorders>
                    <w:tl2br w:val="nil"/>
                    <w:tr2bl w:val="nil"/>
                  </w:tcBorders>
                  <w:vAlign w:val="center"/>
                </w:tcPr>
                <w:p>
                  <w:pPr>
                    <w:adjustRightInd w:val="0"/>
                    <w:snapToGrid w:val="0"/>
                    <w:jc w:val="center"/>
                    <w:rPr>
                      <w:b/>
                      <w:snapToGrid w:val="0"/>
                      <w:szCs w:val="21"/>
                    </w:rPr>
                  </w:pPr>
                  <w:r>
                    <w:rPr>
                      <w:b/>
                      <w:snapToGrid w:val="0"/>
                      <w:szCs w:val="21"/>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szCs w:val="21"/>
                    </w:rPr>
                  </w:pPr>
                  <w:r>
                    <w:rPr>
                      <w:snapToGrid w:val="0"/>
                      <w:szCs w:val="21"/>
                    </w:rPr>
                    <w:t>排气筒</w:t>
                  </w:r>
                </w:p>
              </w:tc>
              <w:tc>
                <w:tcPr>
                  <w:tcW w:w="3687" w:type="dxa"/>
                  <w:tcBorders>
                    <w:tl2br w:val="nil"/>
                    <w:tr2bl w:val="nil"/>
                  </w:tcBorders>
                  <w:vAlign w:val="center"/>
                </w:tcPr>
                <w:p>
                  <w:pPr>
                    <w:adjustRightInd w:val="0"/>
                    <w:snapToGrid w:val="0"/>
                    <w:ind w:firstLine="86"/>
                    <w:jc w:val="center"/>
                    <w:rPr>
                      <w:snapToGrid w:val="0"/>
                      <w:szCs w:val="21"/>
                    </w:rPr>
                  </w:pPr>
                  <w:r>
                    <w:rPr>
                      <w:szCs w:val="21"/>
                    </w:rPr>
                    <w:drawing>
                      <wp:inline distT="0" distB="0" distL="114300" distR="114300">
                        <wp:extent cx="1332865" cy="1332865"/>
                        <wp:effectExtent l="0" t="0" r="635" b="635"/>
                        <wp:docPr id="24" name="图片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5"/>
                                <a:stretch>
                                  <a:fillRect/>
                                </a:stretch>
                              </pic:blipFill>
                              <pic:spPr>
                                <a:xfrm>
                                  <a:off x="0" y="0"/>
                                  <a:ext cx="1332865" cy="1332865"/>
                                </a:xfrm>
                                <a:prstGeom prst="rect">
                                  <a:avLst/>
                                </a:prstGeom>
                                <a:noFill/>
                                <a:ln>
                                  <a:noFill/>
                                </a:ln>
                              </pic:spPr>
                            </pic:pic>
                          </a:graphicData>
                        </a:graphic>
                      </wp:inline>
                    </w:drawing>
                  </w:r>
                </w:p>
              </w:tc>
              <w:tc>
                <w:tcPr>
                  <w:tcW w:w="2262" w:type="dxa"/>
                  <w:vMerge w:val="restart"/>
                  <w:tcBorders>
                    <w:tl2br w:val="nil"/>
                    <w:tr2bl w:val="nil"/>
                  </w:tcBorders>
                  <w:vAlign w:val="center"/>
                </w:tcPr>
                <w:p>
                  <w:pPr>
                    <w:adjustRightInd w:val="0"/>
                    <w:snapToGrid w:val="0"/>
                    <w:rPr>
                      <w:szCs w:val="21"/>
                    </w:rPr>
                  </w:pPr>
                  <w:r>
                    <w:rPr>
                      <w:b/>
                      <w:szCs w:val="21"/>
                    </w:rPr>
                    <w:t>辅助标志内容</w:t>
                  </w:r>
                  <w:r>
                    <w:rPr>
                      <w:szCs w:val="21"/>
                    </w:rPr>
                    <w:t>（1）排放口标志名称；（2）单位名称；（3）编号；（4）污染物种类</w:t>
                  </w:r>
                  <w:r>
                    <w:rPr>
                      <w:rFonts w:hint="eastAsia"/>
                      <w:szCs w:val="21"/>
                    </w:rPr>
                    <w:t>；</w:t>
                  </w:r>
                </w:p>
                <w:p>
                  <w:pPr>
                    <w:adjustRightInd w:val="0"/>
                    <w:snapToGrid w:val="0"/>
                    <w:rPr>
                      <w:szCs w:val="21"/>
                    </w:rPr>
                  </w:pPr>
                  <w:r>
                    <w:rPr>
                      <w:b/>
                      <w:szCs w:val="21"/>
                    </w:rPr>
                    <w:t>辅助标志字型</w:t>
                  </w:r>
                  <w:r>
                    <w:rPr>
                      <w:szCs w:val="21"/>
                    </w:rPr>
                    <w:t>：黑体字</w:t>
                  </w:r>
                  <w:r>
                    <w:rPr>
                      <w:rFonts w:hint="eastAsia"/>
                      <w:szCs w:val="21"/>
                    </w:rPr>
                    <w:t>；</w:t>
                  </w:r>
                </w:p>
                <w:p>
                  <w:pPr>
                    <w:adjustRightInd w:val="0"/>
                    <w:snapToGrid w:val="0"/>
                    <w:rPr>
                      <w:szCs w:val="21"/>
                    </w:rPr>
                  </w:pPr>
                  <w:r>
                    <w:rPr>
                      <w:b/>
                      <w:szCs w:val="21"/>
                    </w:rPr>
                    <w:t>标志牌尺寸：</w:t>
                  </w:r>
                  <w:r>
                    <w:rPr>
                      <w:szCs w:val="21"/>
                    </w:rPr>
                    <w:t>（1）提示标志：480×300mm；（2）警告标志：边长420mm</w:t>
                  </w:r>
                  <w:r>
                    <w:rPr>
                      <w:rFonts w:hint="eastAsia"/>
                      <w:szCs w:val="21"/>
                    </w:rPr>
                    <w:t>；</w:t>
                  </w:r>
                </w:p>
                <w:p>
                  <w:pPr>
                    <w:adjustRightInd w:val="0"/>
                    <w:snapToGrid w:val="0"/>
                    <w:rPr>
                      <w:szCs w:val="21"/>
                    </w:rPr>
                  </w:pPr>
                  <w:r>
                    <w:rPr>
                      <w:b/>
                      <w:szCs w:val="21"/>
                    </w:rPr>
                    <w:t>标志牌材料：</w:t>
                  </w:r>
                  <w:r>
                    <w:rPr>
                      <w:szCs w:val="21"/>
                    </w:rPr>
                    <w:t>1.5~2mm冷轧钢板，表面采用搪瓷或反光贴膜</w:t>
                  </w:r>
                  <w:r>
                    <w:rPr>
                      <w:rFonts w:hint="eastAsia"/>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szCs w:val="21"/>
                    </w:rPr>
                  </w:pPr>
                  <w:r>
                    <w:rPr>
                      <w:snapToGrid w:val="0"/>
                      <w:szCs w:val="21"/>
                    </w:rPr>
                    <w:t>噪声源</w:t>
                  </w:r>
                </w:p>
              </w:tc>
              <w:tc>
                <w:tcPr>
                  <w:tcW w:w="3687" w:type="dxa"/>
                  <w:tcBorders>
                    <w:tl2br w:val="nil"/>
                    <w:tr2bl w:val="nil"/>
                  </w:tcBorders>
                  <w:vAlign w:val="center"/>
                </w:tcPr>
                <w:p>
                  <w:pPr>
                    <w:adjustRightInd w:val="0"/>
                    <w:snapToGrid w:val="0"/>
                    <w:ind w:firstLine="86"/>
                    <w:jc w:val="center"/>
                    <w:rPr>
                      <w:snapToGrid w:val="0"/>
                      <w:szCs w:val="21"/>
                    </w:rPr>
                  </w:pPr>
                  <w:r>
                    <w:rPr>
                      <w:szCs w:val="21"/>
                    </w:rPr>
                    <w:drawing>
                      <wp:inline distT="0" distB="0" distL="114300" distR="114300">
                        <wp:extent cx="1292860" cy="1292860"/>
                        <wp:effectExtent l="0" t="0" r="2540" b="2540"/>
                        <wp:docPr id="25" name="图片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7"/>
                                <a:stretch>
                                  <a:fillRect/>
                                </a:stretch>
                              </pic:blipFill>
                              <pic:spPr>
                                <a:xfrm>
                                  <a:off x="0" y="0"/>
                                  <a:ext cx="1292860" cy="1292860"/>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86"/>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szCs w:val="21"/>
                    </w:rPr>
                  </w:pPr>
                  <w:r>
                    <w:rPr>
                      <w:snapToGrid w:val="0"/>
                      <w:szCs w:val="21"/>
                    </w:rPr>
                    <w:t>固废堆放场所</w:t>
                  </w:r>
                </w:p>
              </w:tc>
              <w:tc>
                <w:tcPr>
                  <w:tcW w:w="3687" w:type="dxa"/>
                  <w:tcBorders>
                    <w:tl2br w:val="nil"/>
                    <w:tr2bl w:val="nil"/>
                  </w:tcBorders>
                  <w:vAlign w:val="center"/>
                </w:tcPr>
                <w:p>
                  <w:pPr>
                    <w:adjustRightInd w:val="0"/>
                    <w:snapToGrid w:val="0"/>
                    <w:ind w:firstLine="102"/>
                    <w:jc w:val="center"/>
                    <w:rPr>
                      <w:snapToGrid w:val="0"/>
                      <w:szCs w:val="21"/>
                    </w:rPr>
                  </w:pPr>
                  <w:r>
                    <w:rPr>
                      <w:szCs w:val="21"/>
                    </w:rPr>
                    <w:drawing>
                      <wp:inline distT="0" distB="0" distL="114300" distR="114300">
                        <wp:extent cx="1309370" cy="1290955"/>
                        <wp:effectExtent l="0" t="0" r="5080" b="4445"/>
                        <wp:docPr id="26" name="图片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9"/>
                                <a:stretch>
                                  <a:fillRect/>
                                </a:stretch>
                              </pic:blipFill>
                              <pic:spPr>
                                <a:xfrm>
                                  <a:off x="0" y="0"/>
                                  <a:ext cx="1309370" cy="1290955"/>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102"/>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szCs w:val="21"/>
                    </w:rPr>
                  </w:pPr>
                  <w:r>
                    <w:rPr>
                      <w:rFonts w:hint="eastAsia"/>
                      <w:snapToGrid w:val="0"/>
                      <w:szCs w:val="21"/>
                    </w:rPr>
                    <w:t>危险废物堆放场所</w:t>
                  </w:r>
                </w:p>
              </w:tc>
              <w:tc>
                <w:tcPr>
                  <w:tcW w:w="3687" w:type="dxa"/>
                  <w:tcBorders>
                    <w:tl2br w:val="nil"/>
                    <w:tr2bl w:val="nil"/>
                  </w:tcBorders>
                  <w:vAlign w:val="center"/>
                </w:tcPr>
                <w:p>
                  <w:pPr>
                    <w:adjustRightInd w:val="0"/>
                    <w:snapToGrid w:val="0"/>
                    <w:ind w:firstLine="102"/>
                    <w:jc w:val="center"/>
                    <w:rPr>
                      <w:szCs w:val="21"/>
                    </w:rPr>
                  </w:pPr>
                  <w:r>
                    <w:drawing>
                      <wp:inline distT="0" distB="0" distL="114300" distR="114300">
                        <wp:extent cx="2052955" cy="1295400"/>
                        <wp:effectExtent l="0" t="0" r="4445" b="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3"/>
                                <a:stretch>
                                  <a:fillRect/>
                                </a:stretch>
                              </pic:blipFill>
                              <pic:spPr>
                                <a:xfrm>
                                  <a:off x="0" y="0"/>
                                  <a:ext cx="2052955" cy="1295400"/>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102"/>
                    <w:jc w:val="center"/>
                    <w:rPr>
                      <w:szCs w:val="21"/>
                    </w:rPr>
                  </w:pPr>
                </w:p>
              </w:tc>
            </w:tr>
          </w:tbl>
          <w:p>
            <w:pPr>
              <w:spacing w:line="480" w:lineRule="exact"/>
              <w:ind w:firstLine="480" w:firstLineChars="200"/>
              <w:rPr>
                <w:sz w:val="24"/>
              </w:rPr>
            </w:pPr>
            <w:r>
              <w:rPr>
                <w:rFonts w:hint="eastAsia"/>
                <w:sz w:val="24"/>
              </w:rPr>
              <w:t>3、无组织排放管控</w:t>
            </w:r>
          </w:p>
          <w:p>
            <w:pPr>
              <w:pStyle w:val="31"/>
              <w:spacing w:after="0" w:line="480" w:lineRule="exact"/>
              <w:ind w:left="0" w:leftChars="0" w:firstLine="480"/>
              <w:rPr>
                <w:sz w:val="24"/>
                <w:szCs w:val="24"/>
              </w:rPr>
            </w:pPr>
            <w:r>
              <w:rPr>
                <w:sz w:val="24"/>
                <w:szCs w:val="24"/>
              </w:rPr>
              <w:t>生产车间设有顶吸二次除尘装置，车间内部无组织废气经顶吸二次除尘处理后通过相应排气筒外排。本次评价针对无组织排放提出管控要求：</w:t>
            </w:r>
          </w:p>
          <w:p>
            <w:pPr>
              <w:pStyle w:val="31"/>
              <w:spacing w:after="0" w:line="480" w:lineRule="exact"/>
              <w:ind w:left="0" w:leftChars="0" w:firstLine="480"/>
              <w:rPr>
                <w:sz w:val="24"/>
                <w:szCs w:val="24"/>
              </w:rPr>
            </w:pPr>
            <w:r>
              <w:rPr>
                <w:rFonts w:hint="eastAsia"/>
                <w:sz w:val="24"/>
                <w:szCs w:val="24"/>
              </w:rPr>
              <w:t>由于本项目生产车间即为厂区，故项目于厂区边界主导上、下风向各安装1套 TSP、PM</w:t>
            </w:r>
            <w:r>
              <w:rPr>
                <w:rFonts w:hint="eastAsia"/>
                <w:sz w:val="24"/>
                <w:szCs w:val="24"/>
                <w:vertAlign w:val="subscript"/>
              </w:rPr>
              <w:t>10</w:t>
            </w:r>
            <w:r>
              <w:rPr>
                <w:rFonts w:hint="eastAsia"/>
                <w:sz w:val="24"/>
                <w:szCs w:val="24"/>
              </w:rPr>
              <w:t>、PM</w:t>
            </w:r>
            <w:r>
              <w:rPr>
                <w:rFonts w:hint="eastAsia"/>
                <w:sz w:val="24"/>
                <w:szCs w:val="24"/>
                <w:vertAlign w:val="subscript"/>
              </w:rPr>
              <w:t>2.5</w:t>
            </w:r>
            <w:r>
              <w:rPr>
                <w:rFonts w:hint="eastAsia"/>
                <w:sz w:val="24"/>
                <w:szCs w:val="24"/>
              </w:rPr>
              <w:t>在线监测设备，配备1台联网的计算机，安装无组织排放监测系统软件（在线设施须有环境保护产品认证证书），与市、县环保指挥中心联网。厂区边界颗粒物浓度不高于0.5mg/Nm</w:t>
            </w:r>
            <w:r>
              <w:rPr>
                <w:rFonts w:hint="eastAsia"/>
                <w:sz w:val="24"/>
                <w:szCs w:val="24"/>
                <w:vertAlign w:val="superscript"/>
              </w:rPr>
              <w:t>3</w:t>
            </w:r>
            <w:r>
              <w:rPr>
                <w:sz w:val="24"/>
                <w:szCs w:val="24"/>
              </w:rPr>
              <w:t>。</w:t>
            </w:r>
          </w:p>
          <w:p>
            <w:pPr>
              <w:pStyle w:val="31"/>
              <w:spacing w:after="0" w:line="480" w:lineRule="exact"/>
              <w:ind w:left="0" w:leftChars="0" w:firstLine="480"/>
              <w:rPr>
                <w:sz w:val="24"/>
                <w:szCs w:val="24"/>
              </w:rPr>
            </w:pPr>
            <w:r>
              <w:rPr>
                <w:sz w:val="24"/>
                <w:szCs w:val="24"/>
              </w:rPr>
              <w:t>厂房四面封闭，通道口安装卷帘门、推拉门等封闭性良好且便于开关的硬质门，在无车辆出入时将门关闭，保证空气合理流动不产生湍流。</w:t>
            </w:r>
          </w:p>
          <w:p>
            <w:pPr>
              <w:pStyle w:val="31"/>
              <w:spacing w:after="0" w:line="480" w:lineRule="exact"/>
              <w:ind w:left="0" w:leftChars="0" w:firstLine="480"/>
              <w:rPr>
                <w:sz w:val="24"/>
                <w:szCs w:val="24"/>
              </w:rPr>
            </w:pPr>
            <w:r>
              <w:rPr>
                <w:rFonts w:hint="eastAsia" w:ascii="宋体" w:hAnsi="宋体" w:cs="宋体"/>
                <w:sz w:val="24"/>
                <w:szCs w:val="24"/>
              </w:rPr>
              <w:t>除尘器卸灰不直</w:t>
            </w:r>
            <w:r>
              <w:rPr>
                <w:sz w:val="24"/>
                <w:szCs w:val="24"/>
              </w:rPr>
              <w:t>接卸落到地面，卸灰区封闭，除尘灰采用吨包、气力输送、罐车等密闭方式运输。</w:t>
            </w:r>
          </w:p>
          <w:p>
            <w:pPr>
              <w:pStyle w:val="31"/>
              <w:spacing w:after="0" w:line="480" w:lineRule="exact"/>
              <w:ind w:left="0" w:leftChars="0" w:firstLine="480"/>
              <w:rPr>
                <w:sz w:val="24"/>
                <w:szCs w:val="24"/>
              </w:rPr>
            </w:pPr>
            <w:r>
              <w:rPr>
                <w:sz w:val="24"/>
                <w:szCs w:val="24"/>
              </w:rPr>
              <w:t>厂区出入口，安装运输车辆侧向全覆盖式强制喷淋清洗设施，清洗设施应保证车辆冲洗效果，长度不少于6米、高度不低于2.5米，地面至少设置一排花式喷射喷头。</w:t>
            </w:r>
          </w:p>
          <w:p>
            <w:pPr>
              <w:pStyle w:val="31"/>
              <w:spacing w:after="0" w:line="480" w:lineRule="exact"/>
              <w:ind w:left="0" w:leftChars="0" w:firstLine="480"/>
              <w:rPr>
                <w:sz w:val="24"/>
                <w:szCs w:val="24"/>
              </w:rPr>
            </w:pPr>
            <w:r>
              <w:rPr>
                <w:sz w:val="24"/>
                <w:szCs w:val="24"/>
              </w:rPr>
              <w:t>厂区地面非绿即硬，企业厂区门口至主要交通干道之间车辆行驶路面要全部高标准硬化，并做好湿扫保洁。</w:t>
            </w:r>
          </w:p>
          <w:p>
            <w:pPr>
              <w:pStyle w:val="31"/>
              <w:spacing w:after="0" w:line="480" w:lineRule="exact"/>
              <w:ind w:left="0" w:leftChars="0" w:firstLine="480"/>
              <w:rPr>
                <w:rFonts w:ascii="宋体" w:hAnsi="宋体" w:cs="宋体"/>
                <w:sz w:val="24"/>
                <w:szCs w:val="24"/>
              </w:rPr>
            </w:pPr>
            <w:r>
              <w:rPr>
                <w:sz w:val="24"/>
                <w:szCs w:val="24"/>
              </w:rPr>
              <w:t>在厂区门口或明显位置设置电子</w:t>
            </w:r>
            <w:r>
              <w:rPr>
                <w:rFonts w:hint="eastAsia" w:ascii="宋体" w:hAnsi="宋体" w:cs="宋体"/>
                <w:sz w:val="24"/>
                <w:szCs w:val="24"/>
              </w:rPr>
              <w:t>显示屏，实时发布主要污染物排放信息。</w:t>
            </w:r>
          </w:p>
          <w:p>
            <w:pPr>
              <w:pStyle w:val="31"/>
              <w:spacing w:after="0" w:line="480" w:lineRule="exact"/>
              <w:ind w:left="0" w:leftChars="0" w:firstLine="480"/>
              <w:rPr>
                <w:rFonts w:ascii="宋体" w:hAnsi="宋体" w:cs="宋体"/>
                <w:sz w:val="24"/>
                <w:szCs w:val="24"/>
              </w:rPr>
            </w:pPr>
            <w:r>
              <w:rPr>
                <w:rFonts w:hint="eastAsia" w:ascii="宋体" w:hAnsi="宋体" w:cs="宋体"/>
                <w:sz w:val="24"/>
                <w:szCs w:val="24"/>
              </w:rPr>
              <w:t>其他管控要求严格按照《唐山市铸造行业整治提升工作方案》的相关要求落实。</w:t>
            </w:r>
          </w:p>
          <w:p>
            <w:pPr>
              <w:spacing w:line="480" w:lineRule="exact"/>
              <w:ind w:firstLine="480" w:firstLineChars="200"/>
              <w:rPr>
                <w:sz w:val="24"/>
              </w:rPr>
            </w:pPr>
            <w:r>
              <w:rPr>
                <w:rFonts w:hint="eastAsia"/>
                <w:sz w:val="24"/>
              </w:rPr>
              <w:t>4、</w:t>
            </w:r>
            <w:r>
              <w:rPr>
                <w:sz w:val="24"/>
              </w:rPr>
              <w:t>与排污许可衔接</w:t>
            </w:r>
          </w:p>
          <w:p>
            <w:pPr>
              <w:spacing w:line="480" w:lineRule="exact"/>
              <w:ind w:firstLine="480" w:firstLineChars="200"/>
              <w:outlineLvl w:val="1"/>
              <w:rPr>
                <w:sz w:val="24"/>
                <w:lang w:bidi="ar"/>
              </w:rPr>
            </w:pPr>
            <w:r>
              <w:rPr>
                <w:sz w:val="24"/>
              </w:rPr>
              <w:t>建设项目发生实际排污行为之前，应当按照国家环境保护相关法律法规以及排污许可证申请与核发技术规范要求</w:t>
            </w:r>
            <w:r>
              <w:rPr>
                <w:rFonts w:hint="eastAsia"/>
                <w:sz w:val="24"/>
              </w:rPr>
              <w:t>申领</w:t>
            </w:r>
            <w:r>
              <w:rPr>
                <w:sz w:val="24"/>
              </w:rPr>
              <w:t>排污许可证，不得无证排污或不按证排污</w:t>
            </w:r>
            <w:r>
              <w:rPr>
                <w:rFonts w:hint="eastAsia"/>
                <w:sz w:val="24"/>
                <w:lang w:bidi="ar"/>
              </w:rPr>
              <w:t>。</w:t>
            </w:r>
          </w:p>
          <w:p>
            <w:pPr>
              <w:spacing w:line="480" w:lineRule="exact"/>
              <w:ind w:firstLine="480" w:firstLineChars="200"/>
              <w:outlineLvl w:val="1"/>
              <w:rPr>
                <w:sz w:val="24"/>
                <w:lang w:bidi="ar"/>
              </w:rPr>
            </w:pPr>
          </w:p>
          <w:p>
            <w:pPr>
              <w:spacing w:line="480" w:lineRule="exact"/>
              <w:ind w:firstLine="480" w:firstLineChars="200"/>
              <w:outlineLvl w:val="1"/>
              <w:rPr>
                <w:sz w:val="24"/>
                <w:lang w:bidi="ar"/>
              </w:rPr>
            </w:pPr>
          </w:p>
          <w:p>
            <w:pPr>
              <w:spacing w:line="480" w:lineRule="exact"/>
              <w:ind w:firstLine="480" w:firstLineChars="200"/>
              <w:outlineLvl w:val="1"/>
              <w:rPr>
                <w:sz w:val="24"/>
                <w:lang w:bidi="ar"/>
              </w:rPr>
            </w:pPr>
          </w:p>
          <w:p>
            <w:pPr>
              <w:spacing w:line="480" w:lineRule="exact"/>
              <w:ind w:firstLine="480" w:firstLineChars="200"/>
              <w:outlineLvl w:val="1"/>
              <w:rPr>
                <w:sz w:val="24"/>
                <w:lang w:bidi="ar"/>
              </w:rPr>
            </w:pPr>
          </w:p>
          <w:p>
            <w:pPr>
              <w:spacing w:line="480" w:lineRule="exact"/>
              <w:ind w:firstLine="480" w:firstLineChars="200"/>
              <w:outlineLvl w:val="1"/>
              <w:rPr>
                <w:sz w:val="24"/>
                <w:lang w:bidi="ar"/>
              </w:rPr>
            </w:pPr>
          </w:p>
          <w:p>
            <w:pPr>
              <w:spacing w:line="500" w:lineRule="exact"/>
              <w:outlineLvl w:val="1"/>
              <w:rPr>
                <w:snapToGrid w:val="0"/>
                <w:sz w:val="24"/>
              </w:rPr>
            </w:pPr>
          </w:p>
        </w:tc>
      </w:tr>
    </w:tbl>
    <w:p>
      <w:pPr>
        <w:pStyle w:val="28"/>
        <w:jc w:val="both"/>
        <w:rPr>
          <w:rFonts w:ascii="Times New Roman" w:hAnsi="Times New Roman"/>
          <w:snapToGrid w:val="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8"/>
        <w:jc w:val="center"/>
        <w:outlineLvl w:val="0"/>
        <w:rPr>
          <w:rFonts w:ascii="Times New Roman" w:hAnsi="Times New Roman" w:eastAsia="黑体"/>
          <w:snapToGrid w:val="0"/>
          <w:sz w:val="30"/>
          <w:szCs w:val="30"/>
        </w:rPr>
      </w:pPr>
      <w:bookmarkStart w:id="24" w:name="_Toc26089"/>
      <w:bookmarkStart w:id="25" w:name="_Toc3506"/>
      <w:r>
        <w:rPr>
          <w:rFonts w:ascii="Times New Roman" w:hAnsi="Times New Roman" w:eastAsia="黑体"/>
          <w:snapToGrid w:val="0"/>
          <w:sz w:val="30"/>
          <w:szCs w:val="30"/>
        </w:rPr>
        <w:t>六、结论</w:t>
      </w:r>
      <w:bookmarkEnd w:id="24"/>
      <w:bookmarkEnd w:id="25"/>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00" w:lineRule="exact"/>
              <w:ind w:firstLine="480" w:firstLineChars="200"/>
              <w:rPr>
                <w:sz w:val="24"/>
              </w:rPr>
            </w:pPr>
            <w:r>
              <w:rPr>
                <w:rFonts w:hint="eastAsia" w:ascii="宋体" w:cs="宋体"/>
                <w:sz w:val="24"/>
              </w:rPr>
              <w:t>综合以上分析，</w:t>
            </w:r>
            <w:r>
              <w:rPr>
                <w:rFonts w:hint="eastAsia"/>
                <w:sz w:val="24"/>
                <w:lang w:eastAsia="zh-CN"/>
              </w:rPr>
              <w:t>遵化垣发机械制造有限公司年产高端数控机床配件7000吨项目</w:t>
            </w:r>
            <w:r>
              <w:rPr>
                <w:rFonts w:hint="eastAsia" w:ascii="宋体" w:cs="宋体"/>
                <w:sz w:val="24"/>
              </w:rPr>
              <w:t>符合国家和地方相关产业政策要求；选址可行；采取了完善的环保治理措施，可确保各类污染源的稳定达标排放，项目实施后不会对周围环境产生明显影响。因此，本评价从环保角度分析认为项目的建设是可行的</w:t>
            </w:r>
            <w:r>
              <w:rPr>
                <w:rFonts w:hint="eastAsia"/>
                <w:sz w:val="24"/>
              </w:rPr>
              <w:t>。</w:t>
            </w:r>
          </w:p>
          <w:p>
            <w:pPr>
              <w:spacing w:line="360" w:lineRule="auto"/>
              <w:rPr>
                <w:szCs w:val="21"/>
              </w:rPr>
            </w:pPr>
          </w:p>
        </w:tc>
      </w:tr>
    </w:tbl>
    <w:p>
      <w:p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8"/>
        <w:adjustRightInd w:val="0"/>
        <w:snapToGrid w:val="0"/>
        <w:spacing w:before="0" w:beforeAutospacing="0" w:after="0" w:afterAutospacing="0"/>
        <w:outlineLvl w:val="0"/>
        <w:rPr>
          <w:rFonts w:ascii="Times New Roman" w:hAnsi="Times New Roman" w:eastAsia="黑体"/>
          <w:snapToGrid w:val="0"/>
          <w:sz w:val="32"/>
          <w:szCs w:val="32"/>
        </w:rPr>
      </w:pPr>
      <w:bookmarkStart w:id="26" w:name="_Toc14760"/>
      <w:bookmarkStart w:id="27" w:name="_Toc16775"/>
      <w:r>
        <w:rPr>
          <w:rFonts w:ascii="Times New Roman" w:hAnsi="Times New Roman" w:eastAsia="黑体"/>
          <w:snapToGrid w:val="0"/>
          <w:sz w:val="32"/>
          <w:szCs w:val="32"/>
        </w:rPr>
        <w:t>附表</w:t>
      </w:r>
      <w:bookmarkEnd w:id="26"/>
      <w:bookmarkEnd w:id="27"/>
    </w:p>
    <w:p>
      <w:pPr>
        <w:pStyle w:val="28"/>
        <w:adjustRightInd w:val="0"/>
        <w:snapToGrid w:val="0"/>
        <w:spacing w:before="0" w:beforeAutospacing="0" w:after="0" w:afterAutospacing="0"/>
        <w:jc w:val="center"/>
        <w:outlineLvl w:val="0"/>
        <w:rPr>
          <w:rFonts w:ascii="Times New Roman" w:hAnsi="Times New Roman" w:eastAsia="黑体"/>
          <w:b/>
          <w:bCs/>
          <w:snapToGrid w:val="0"/>
          <w:sz w:val="38"/>
          <w:szCs w:val="38"/>
        </w:rPr>
      </w:pPr>
      <w:bookmarkStart w:id="28" w:name="_Toc20906"/>
      <w:bookmarkStart w:id="29" w:name="_Toc20054"/>
      <w:r>
        <w:rPr>
          <w:rFonts w:ascii="Times New Roman" w:hAnsi="Times New Roman"/>
          <w:b/>
          <w:bCs/>
          <w:snapToGrid w:val="0"/>
          <w:sz w:val="38"/>
          <w:szCs w:val="38"/>
        </w:rPr>
        <w:t>建设项目污染物排放量汇总表</w:t>
      </w:r>
      <w:bookmarkEnd w:id="28"/>
      <w:bookmarkEnd w:id="29"/>
    </w:p>
    <w:tbl>
      <w:tblPr>
        <w:tblStyle w:val="32"/>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hint="eastAsia" w:ascii="Times New Roman" w:hAnsi="Times New Roman"/>
                <w:snapToGrid w:val="0"/>
                <w:spacing w:val="-6"/>
                <w:kern w:val="21"/>
                <w:sz w:val="24"/>
                <w:szCs w:val="24"/>
              </w:rPr>
              <w:t xml:space="preserve">   </w:t>
            </w:r>
            <w:r>
              <w:rPr>
                <w:rFonts w:ascii="Times New Roman" w:hAnsi="Times New Roman"/>
                <w:snapToGrid w:val="0"/>
                <w:spacing w:val="-6"/>
                <w:kern w:val="21"/>
                <w:sz w:val="24"/>
                <w:szCs w:val="24"/>
              </w:rPr>
              <w:t>项目</w:t>
            </w:r>
          </w:p>
          <w:p>
            <w:pPr>
              <w:pStyle w:val="59"/>
              <w:keepNext w:val="0"/>
              <w:keepLines w:val="0"/>
              <w:pageBreakBefore w:val="0"/>
              <w:kinsoku/>
              <w:wordWrap/>
              <w:overflowPunct/>
              <w:autoSpaceDE/>
              <w:autoSpaceDN/>
              <w:bidi w:val="0"/>
              <w:spacing w:beforeLines="0" w:afterLines="0" w:line="320" w:lineRule="exact"/>
              <w:ind w:firstLine="0"/>
              <w:jc w:val="left"/>
              <w:rPr>
                <w:rFonts w:ascii="Times New Roman" w:hAnsi="Times New Roman"/>
                <w:snapToGrid w:val="0"/>
                <w:spacing w:val="-6"/>
                <w:kern w:val="21"/>
                <w:sz w:val="24"/>
                <w:szCs w:val="24"/>
              </w:rPr>
            </w:pPr>
            <w:r>
              <w:rPr>
                <w:rFonts w:ascii="Times New Roman" w:hAnsi="Times New Roman"/>
                <w:snapToGrid w:val="0"/>
                <w:spacing w:val="-6"/>
                <w:kern w:val="21"/>
                <w:sz w:val="24"/>
                <w:szCs w:val="24"/>
              </w:rPr>
              <w:t>分类</w:t>
            </w:r>
          </w:p>
        </w:tc>
        <w:tc>
          <w:tcPr>
            <w:tcW w:w="2175"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污染物名称</w:t>
            </w:r>
          </w:p>
        </w:tc>
        <w:tc>
          <w:tcPr>
            <w:tcW w:w="1575"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现有工程</w:t>
            </w:r>
          </w:p>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排放量（固体废物产生量）</w:t>
            </w:r>
            <w:r>
              <w:rPr>
                <w:rFonts w:ascii="Times New Roman" w:hAnsi="Times New Roman"/>
                <w:snapToGrid w:val="0"/>
                <w:spacing w:val="-6"/>
                <w:kern w:val="21"/>
                <w:sz w:val="24"/>
                <w:szCs w:val="24"/>
              </w:rPr>
              <w:fldChar w:fldCharType="begin"/>
            </w:r>
            <w:r>
              <w:rPr>
                <w:rFonts w:ascii="Times New Roman" w:hAnsi="Times New Roman"/>
                <w:snapToGrid w:val="0"/>
                <w:spacing w:val="-6"/>
                <w:kern w:val="21"/>
                <w:sz w:val="24"/>
                <w:szCs w:val="24"/>
              </w:rPr>
              <w:instrText xml:space="preserve"> = 1 \* GB3 \* MERGEFORMAT </w:instrText>
            </w:r>
            <w:r>
              <w:rPr>
                <w:rFonts w:ascii="Times New Roman" w:hAnsi="Times New Roman"/>
                <w:snapToGrid w:val="0"/>
                <w:spacing w:val="-6"/>
                <w:kern w:val="21"/>
                <w:sz w:val="24"/>
                <w:szCs w:val="24"/>
              </w:rPr>
              <w:fldChar w:fldCharType="separate"/>
            </w:r>
            <w:r>
              <w:rPr>
                <w:rFonts w:ascii="Times New Roman" w:hAnsi="Times New Roman"/>
                <w:kern w:val="2"/>
                <w:sz w:val="24"/>
                <w:szCs w:val="24"/>
              </w:rPr>
              <w:t>①</w:t>
            </w:r>
            <w:r>
              <w:rPr>
                <w:rFonts w:ascii="Times New Roman" w:hAnsi="Times New Roman"/>
                <w:snapToGrid w:val="0"/>
                <w:spacing w:val="-6"/>
                <w:kern w:val="21"/>
                <w:sz w:val="24"/>
                <w:szCs w:val="24"/>
              </w:rPr>
              <w:fldChar w:fldCharType="end"/>
            </w:r>
          </w:p>
        </w:tc>
        <w:tc>
          <w:tcPr>
            <w:tcW w:w="1135"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现有工程</w:t>
            </w:r>
          </w:p>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许可排放量</w:t>
            </w:r>
            <w:r>
              <w:rPr>
                <w:rFonts w:ascii="Times New Roman" w:hAnsi="Times New Roman"/>
                <w:snapToGrid w:val="0"/>
                <w:spacing w:val="-6"/>
                <w:kern w:val="21"/>
                <w:sz w:val="24"/>
                <w:szCs w:val="24"/>
              </w:rPr>
              <w:fldChar w:fldCharType="begin"/>
            </w:r>
            <w:r>
              <w:rPr>
                <w:rFonts w:ascii="Times New Roman" w:hAnsi="Times New Roman"/>
                <w:snapToGrid w:val="0"/>
                <w:spacing w:val="-6"/>
                <w:kern w:val="21"/>
                <w:sz w:val="24"/>
                <w:szCs w:val="24"/>
              </w:rPr>
              <w:instrText xml:space="preserve"> = 2 \* GB3 \* MERGEFORMAT </w:instrText>
            </w:r>
            <w:r>
              <w:rPr>
                <w:rFonts w:ascii="Times New Roman" w:hAnsi="Times New Roman"/>
                <w:snapToGrid w:val="0"/>
                <w:spacing w:val="-6"/>
                <w:kern w:val="21"/>
                <w:sz w:val="24"/>
                <w:szCs w:val="24"/>
              </w:rPr>
              <w:fldChar w:fldCharType="separate"/>
            </w:r>
            <w:r>
              <w:rPr>
                <w:rFonts w:ascii="Times New Roman" w:hAnsi="Times New Roman"/>
                <w:snapToGrid w:val="0"/>
                <w:spacing w:val="-6"/>
                <w:kern w:val="21"/>
                <w:sz w:val="24"/>
                <w:szCs w:val="24"/>
              </w:rPr>
              <w:t>②</w:t>
            </w:r>
            <w:r>
              <w:rPr>
                <w:rFonts w:ascii="Times New Roman" w:hAnsi="Times New Roman"/>
                <w:snapToGrid w:val="0"/>
                <w:spacing w:val="-6"/>
                <w:kern w:val="21"/>
                <w:sz w:val="24"/>
                <w:szCs w:val="24"/>
              </w:rPr>
              <w:fldChar w:fldCharType="end"/>
            </w:r>
          </w:p>
        </w:tc>
        <w:tc>
          <w:tcPr>
            <w:tcW w:w="1563"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在建工程排放量（固体废物产生量）</w:t>
            </w:r>
            <w:r>
              <w:rPr>
                <w:rFonts w:ascii="Times New Roman" w:hAnsi="Times New Roman"/>
                <w:snapToGrid w:val="0"/>
                <w:spacing w:val="-6"/>
                <w:kern w:val="21"/>
                <w:sz w:val="24"/>
                <w:szCs w:val="24"/>
              </w:rPr>
              <w:fldChar w:fldCharType="begin"/>
            </w:r>
            <w:r>
              <w:rPr>
                <w:rFonts w:ascii="Times New Roman" w:hAnsi="Times New Roman"/>
                <w:snapToGrid w:val="0"/>
                <w:spacing w:val="-6"/>
                <w:kern w:val="21"/>
                <w:sz w:val="24"/>
                <w:szCs w:val="24"/>
              </w:rPr>
              <w:instrText xml:space="preserve"> = 3 \* GB3 \* MERGEFORMAT </w:instrText>
            </w:r>
            <w:r>
              <w:rPr>
                <w:rFonts w:ascii="Times New Roman" w:hAnsi="Times New Roman"/>
                <w:snapToGrid w:val="0"/>
                <w:spacing w:val="-6"/>
                <w:kern w:val="21"/>
                <w:sz w:val="24"/>
                <w:szCs w:val="24"/>
              </w:rPr>
              <w:fldChar w:fldCharType="separate"/>
            </w:r>
            <w:r>
              <w:rPr>
                <w:rFonts w:ascii="Times New Roman" w:hAnsi="Times New Roman"/>
                <w:kern w:val="2"/>
                <w:sz w:val="24"/>
                <w:szCs w:val="24"/>
              </w:rPr>
              <w:t>③</w:t>
            </w:r>
            <w:r>
              <w:rPr>
                <w:rFonts w:ascii="Times New Roman" w:hAnsi="Times New Roman"/>
                <w:snapToGrid w:val="0"/>
                <w:spacing w:val="-6"/>
                <w:kern w:val="21"/>
                <w:sz w:val="24"/>
                <w:szCs w:val="24"/>
              </w:rPr>
              <w:fldChar w:fldCharType="end"/>
            </w:r>
          </w:p>
        </w:tc>
        <w:tc>
          <w:tcPr>
            <w:tcW w:w="1621"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本项目排放量（固体废物产生量）</w:t>
            </w:r>
            <w:r>
              <w:rPr>
                <w:rFonts w:ascii="Times New Roman" w:hAnsi="Times New Roman"/>
                <w:snapToGrid w:val="0"/>
                <w:spacing w:val="-6"/>
                <w:kern w:val="21"/>
                <w:sz w:val="24"/>
                <w:szCs w:val="24"/>
              </w:rPr>
              <w:fldChar w:fldCharType="begin"/>
            </w:r>
            <w:r>
              <w:rPr>
                <w:rFonts w:ascii="Times New Roman" w:hAnsi="Times New Roman"/>
                <w:snapToGrid w:val="0"/>
                <w:spacing w:val="-6"/>
                <w:kern w:val="21"/>
                <w:sz w:val="24"/>
                <w:szCs w:val="24"/>
              </w:rPr>
              <w:instrText xml:space="preserve"> = 4 \* GB3 \* MERGEFORMAT </w:instrText>
            </w:r>
            <w:r>
              <w:rPr>
                <w:rFonts w:ascii="Times New Roman" w:hAnsi="Times New Roman"/>
                <w:snapToGrid w:val="0"/>
                <w:spacing w:val="-6"/>
                <w:kern w:val="21"/>
                <w:sz w:val="24"/>
                <w:szCs w:val="24"/>
              </w:rPr>
              <w:fldChar w:fldCharType="separate"/>
            </w:r>
            <w:r>
              <w:rPr>
                <w:rFonts w:ascii="Times New Roman" w:hAnsi="Times New Roman"/>
                <w:kern w:val="2"/>
                <w:sz w:val="24"/>
                <w:szCs w:val="24"/>
              </w:rPr>
              <w:t>④</w:t>
            </w:r>
            <w:r>
              <w:rPr>
                <w:rFonts w:ascii="Times New Roman" w:hAnsi="Times New Roman"/>
                <w:snapToGrid w:val="0"/>
                <w:spacing w:val="-6"/>
                <w:kern w:val="21"/>
                <w:sz w:val="24"/>
                <w:szCs w:val="24"/>
              </w:rPr>
              <w:fldChar w:fldCharType="end"/>
            </w:r>
          </w:p>
        </w:tc>
        <w:tc>
          <w:tcPr>
            <w:tcW w:w="1514"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16"/>
                <w:kern w:val="21"/>
                <w:sz w:val="24"/>
                <w:szCs w:val="24"/>
              </w:rPr>
            </w:pPr>
            <w:r>
              <w:rPr>
                <w:rFonts w:ascii="Times New Roman" w:hAnsi="Times New Roman"/>
                <w:snapToGrid w:val="0"/>
                <w:spacing w:val="-16"/>
                <w:kern w:val="21"/>
                <w:sz w:val="24"/>
                <w:szCs w:val="24"/>
              </w:rPr>
              <w:t>以新带老削减量（新建项目不填）</w:t>
            </w:r>
            <w:r>
              <w:rPr>
                <w:rFonts w:ascii="Times New Roman" w:hAnsi="Times New Roman"/>
                <w:snapToGrid w:val="0"/>
                <w:spacing w:val="-16"/>
                <w:kern w:val="21"/>
                <w:sz w:val="24"/>
                <w:szCs w:val="24"/>
              </w:rPr>
              <w:fldChar w:fldCharType="begin"/>
            </w:r>
            <w:r>
              <w:rPr>
                <w:rFonts w:ascii="Times New Roman" w:hAnsi="Times New Roman"/>
                <w:snapToGrid w:val="0"/>
                <w:spacing w:val="-16"/>
                <w:kern w:val="21"/>
                <w:sz w:val="24"/>
                <w:szCs w:val="24"/>
              </w:rPr>
              <w:instrText xml:space="preserve"> = 5 \* GB3 \* MERGEFORMAT </w:instrText>
            </w:r>
            <w:r>
              <w:rPr>
                <w:rFonts w:ascii="Times New Roman" w:hAnsi="Times New Roman"/>
                <w:snapToGrid w:val="0"/>
                <w:spacing w:val="-16"/>
                <w:kern w:val="21"/>
                <w:sz w:val="24"/>
                <w:szCs w:val="24"/>
              </w:rPr>
              <w:fldChar w:fldCharType="separate"/>
            </w:r>
            <w:r>
              <w:rPr>
                <w:rFonts w:ascii="Times New Roman" w:hAnsi="Times New Roman"/>
                <w:kern w:val="2"/>
                <w:sz w:val="24"/>
                <w:szCs w:val="24"/>
              </w:rPr>
              <w:t>⑤</w:t>
            </w:r>
            <w:r>
              <w:rPr>
                <w:rFonts w:ascii="Times New Roman" w:hAnsi="Times New Roman"/>
                <w:snapToGrid w:val="0"/>
                <w:spacing w:val="-16"/>
                <w:kern w:val="21"/>
                <w:sz w:val="24"/>
                <w:szCs w:val="24"/>
              </w:rPr>
              <w:fldChar w:fldCharType="end"/>
            </w:r>
          </w:p>
        </w:tc>
        <w:tc>
          <w:tcPr>
            <w:tcW w:w="1602"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16"/>
                <w:kern w:val="21"/>
                <w:sz w:val="24"/>
                <w:szCs w:val="24"/>
              </w:rPr>
            </w:pPr>
            <w:r>
              <w:rPr>
                <w:rFonts w:ascii="Times New Roman" w:hAnsi="Times New Roman"/>
                <w:snapToGrid w:val="0"/>
                <w:spacing w:val="-16"/>
                <w:kern w:val="21"/>
                <w:sz w:val="24"/>
                <w:szCs w:val="24"/>
              </w:rPr>
              <w:t>本项目建成后全厂排放量（固体废物产生量）</w:t>
            </w:r>
            <w:r>
              <w:rPr>
                <w:rFonts w:ascii="Times New Roman" w:hAnsi="Times New Roman"/>
                <w:snapToGrid w:val="0"/>
                <w:spacing w:val="-16"/>
                <w:kern w:val="21"/>
                <w:sz w:val="24"/>
                <w:szCs w:val="24"/>
              </w:rPr>
              <w:fldChar w:fldCharType="begin"/>
            </w:r>
            <w:r>
              <w:rPr>
                <w:rFonts w:ascii="Times New Roman" w:hAnsi="Times New Roman"/>
                <w:snapToGrid w:val="0"/>
                <w:spacing w:val="-16"/>
                <w:kern w:val="21"/>
                <w:sz w:val="24"/>
                <w:szCs w:val="24"/>
              </w:rPr>
              <w:instrText xml:space="preserve"> = 6 \* GB3 \* MERGEFORMAT </w:instrText>
            </w:r>
            <w:r>
              <w:rPr>
                <w:rFonts w:ascii="Times New Roman" w:hAnsi="Times New Roman"/>
                <w:snapToGrid w:val="0"/>
                <w:spacing w:val="-16"/>
                <w:kern w:val="21"/>
                <w:sz w:val="24"/>
                <w:szCs w:val="24"/>
              </w:rPr>
              <w:fldChar w:fldCharType="separate"/>
            </w:r>
            <w:r>
              <w:rPr>
                <w:rFonts w:ascii="Times New Roman" w:hAnsi="Times New Roman"/>
                <w:kern w:val="2"/>
                <w:sz w:val="24"/>
                <w:szCs w:val="24"/>
              </w:rPr>
              <w:t>⑥</w:t>
            </w:r>
            <w:r>
              <w:rPr>
                <w:rFonts w:ascii="Times New Roman" w:hAnsi="Times New Roman"/>
                <w:snapToGrid w:val="0"/>
                <w:spacing w:val="-16"/>
                <w:kern w:val="21"/>
                <w:sz w:val="24"/>
                <w:szCs w:val="24"/>
              </w:rPr>
              <w:fldChar w:fldCharType="end"/>
            </w:r>
          </w:p>
        </w:tc>
        <w:tc>
          <w:tcPr>
            <w:tcW w:w="1743"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t>变化量</w:t>
            </w:r>
          </w:p>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spacing w:val="-6"/>
                <w:kern w:val="21"/>
                <w:sz w:val="24"/>
                <w:szCs w:val="24"/>
              </w:rPr>
            </w:pPr>
            <w:r>
              <w:rPr>
                <w:rFonts w:ascii="Times New Roman" w:hAnsi="Times New Roman"/>
                <w:snapToGrid w:val="0"/>
                <w:spacing w:val="-6"/>
                <w:kern w:val="21"/>
                <w:sz w:val="24"/>
                <w:szCs w:val="24"/>
              </w:rPr>
              <w:fldChar w:fldCharType="begin"/>
            </w:r>
            <w:r>
              <w:rPr>
                <w:rFonts w:ascii="Times New Roman" w:hAnsi="Times New Roman"/>
                <w:snapToGrid w:val="0"/>
                <w:spacing w:val="-6"/>
                <w:kern w:val="21"/>
                <w:sz w:val="24"/>
                <w:szCs w:val="24"/>
              </w:rPr>
              <w:instrText xml:space="preserve"> = 7 \* GB3 \* MERGEFORMAT </w:instrText>
            </w:r>
            <w:r>
              <w:rPr>
                <w:rFonts w:ascii="Times New Roman" w:hAnsi="Times New Roman"/>
                <w:snapToGrid w:val="0"/>
                <w:spacing w:val="-6"/>
                <w:kern w:val="21"/>
                <w:sz w:val="24"/>
                <w:szCs w:val="24"/>
              </w:rPr>
              <w:fldChar w:fldCharType="separate"/>
            </w:r>
            <w:r>
              <w:rPr>
                <w:rFonts w:ascii="Times New Roman" w:hAnsi="Times New Roman"/>
                <w:kern w:val="2"/>
                <w:sz w:val="24"/>
                <w:szCs w:val="24"/>
              </w:rPr>
              <w:t>⑦</w:t>
            </w:r>
            <w:r>
              <w:rPr>
                <w:rFonts w:ascii="Times New Roman" w:hAnsi="Times New Roman"/>
                <w:snapToGrid w:val="0"/>
                <w:spacing w:val="-6"/>
                <w:kern w:val="21"/>
                <w:sz w:val="24"/>
                <w:szCs w:val="24"/>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ascii="Times New Roman" w:hAnsi="Times New Roman"/>
                <w:snapToGrid w:val="0"/>
                <w:kern w:val="21"/>
                <w:sz w:val="24"/>
                <w:szCs w:val="24"/>
              </w:rPr>
              <w:t>废气</w:t>
            </w:r>
          </w:p>
        </w:tc>
        <w:tc>
          <w:tcPr>
            <w:tcW w:w="2175" w:type="dxa"/>
            <w:vAlign w:val="center"/>
          </w:tcPr>
          <w:p>
            <w:pPr>
              <w:keepNext w:val="0"/>
              <w:keepLines w:val="0"/>
              <w:pageBreakBefore w:val="0"/>
              <w:kinsoku/>
              <w:wordWrap/>
              <w:overflowPunct/>
              <w:autoSpaceDE/>
              <w:autoSpaceDN/>
              <w:bidi w:val="0"/>
              <w:spacing w:line="320" w:lineRule="exact"/>
              <w:jc w:val="center"/>
              <w:rPr>
                <w:sz w:val="24"/>
              </w:rPr>
            </w:pPr>
            <w:r>
              <w:rPr>
                <w:sz w:val="24"/>
              </w:rPr>
              <w:t>颗粒物</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w:t>
            </w:r>
          </w:p>
        </w:tc>
        <w:tc>
          <w:tcPr>
            <w:tcW w:w="1563"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rFonts w:hint="eastAsia"/>
                <w:sz w:val="24"/>
                <w:lang w:val="en-US" w:eastAsia="zh-CN"/>
              </w:rPr>
            </w:pPr>
            <w:r>
              <w:rPr>
                <w:rFonts w:hint="eastAsia"/>
                <w:sz w:val="24"/>
                <w:lang w:val="en-US" w:eastAsia="zh-CN"/>
              </w:rPr>
              <w:t>有组织0.507t/a</w:t>
            </w:r>
          </w:p>
          <w:p>
            <w:pPr>
              <w:keepNext w:val="0"/>
              <w:keepLines w:val="0"/>
              <w:pageBreakBefore w:val="0"/>
              <w:kinsoku/>
              <w:wordWrap/>
              <w:overflowPunct/>
              <w:autoSpaceDE/>
              <w:autoSpaceDN/>
              <w:bidi w:val="0"/>
              <w:spacing w:line="320" w:lineRule="exact"/>
              <w:jc w:val="center"/>
              <w:rPr>
                <w:rFonts w:hint="default"/>
                <w:sz w:val="24"/>
                <w:lang w:val="en-US"/>
              </w:rPr>
            </w:pPr>
            <w:r>
              <w:rPr>
                <w:rFonts w:hint="eastAsia"/>
                <w:sz w:val="24"/>
                <w:lang w:val="en-US" w:eastAsia="zh-CN"/>
              </w:rPr>
              <w:t>无组织0.001t/a</w:t>
            </w:r>
          </w:p>
        </w:tc>
        <w:tc>
          <w:tcPr>
            <w:tcW w:w="1514" w:type="dxa"/>
            <w:vAlign w:val="center"/>
          </w:tcPr>
          <w:p>
            <w:pPr>
              <w:keepNext w:val="0"/>
              <w:keepLines w:val="0"/>
              <w:pageBreakBefore w:val="0"/>
              <w:kinsoku/>
              <w:wordWrap/>
              <w:overflowPunct/>
              <w:autoSpaceDE/>
              <w:autoSpaceDN/>
              <w:bidi w:val="0"/>
              <w:spacing w:line="320" w:lineRule="exact"/>
              <w:jc w:val="center"/>
              <w:rPr>
                <w:rFonts w:hint="eastAsia"/>
                <w:sz w:val="24"/>
              </w:rPr>
            </w:pPr>
            <w:r>
              <w:rPr>
                <w:rFonts w:hint="eastAsia"/>
                <w:sz w:val="24"/>
              </w:rPr>
              <w:t>0t/a</w:t>
            </w:r>
          </w:p>
        </w:tc>
        <w:tc>
          <w:tcPr>
            <w:tcW w:w="1602" w:type="dxa"/>
            <w:vAlign w:val="center"/>
          </w:tcPr>
          <w:p>
            <w:pPr>
              <w:keepNext w:val="0"/>
              <w:keepLines w:val="0"/>
              <w:pageBreakBefore w:val="0"/>
              <w:kinsoku/>
              <w:wordWrap/>
              <w:overflowPunct/>
              <w:autoSpaceDE/>
              <w:autoSpaceDN/>
              <w:bidi w:val="0"/>
              <w:spacing w:line="320" w:lineRule="exact"/>
              <w:jc w:val="center"/>
              <w:rPr>
                <w:rFonts w:hint="eastAsia"/>
                <w:sz w:val="24"/>
                <w:lang w:val="en-US" w:eastAsia="zh-CN"/>
              </w:rPr>
            </w:pPr>
            <w:r>
              <w:rPr>
                <w:rFonts w:hint="eastAsia"/>
                <w:sz w:val="24"/>
                <w:lang w:val="en-US" w:eastAsia="zh-CN"/>
              </w:rPr>
              <w:t>有组织0.507t/a</w:t>
            </w:r>
          </w:p>
          <w:p>
            <w:pPr>
              <w:keepNext w:val="0"/>
              <w:keepLines w:val="0"/>
              <w:pageBreakBefore w:val="0"/>
              <w:kinsoku/>
              <w:wordWrap/>
              <w:overflowPunct/>
              <w:autoSpaceDE/>
              <w:autoSpaceDN/>
              <w:bidi w:val="0"/>
              <w:spacing w:line="320" w:lineRule="exact"/>
              <w:jc w:val="center"/>
              <w:rPr>
                <w:snapToGrid w:val="0"/>
                <w:kern w:val="21"/>
                <w:sz w:val="24"/>
              </w:rPr>
            </w:pPr>
            <w:r>
              <w:rPr>
                <w:rFonts w:hint="eastAsia"/>
                <w:sz w:val="24"/>
                <w:lang w:val="en-US" w:eastAsia="zh-CN"/>
              </w:rPr>
              <w:t>无组织0.001t/a</w:t>
            </w:r>
          </w:p>
        </w:tc>
        <w:tc>
          <w:tcPr>
            <w:tcW w:w="1743" w:type="dxa"/>
            <w:vAlign w:val="center"/>
          </w:tcPr>
          <w:p>
            <w:pPr>
              <w:keepNext w:val="0"/>
              <w:keepLines w:val="0"/>
              <w:pageBreakBefore w:val="0"/>
              <w:kinsoku/>
              <w:wordWrap/>
              <w:overflowPunct/>
              <w:autoSpaceDE/>
              <w:autoSpaceDN/>
              <w:bidi w:val="0"/>
              <w:spacing w:line="320" w:lineRule="exact"/>
              <w:jc w:val="center"/>
              <w:rPr>
                <w:rFonts w:hint="eastAsia"/>
                <w:sz w:val="24"/>
                <w:lang w:val="en-US" w:eastAsia="zh-CN"/>
              </w:rPr>
            </w:pPr>
            <w:r>
              <w:rPr>
                <w:rFonts w:hint="eastAsia"/>
                <w:sz w:val="24"/>
                <w:lang w:val="en-US" w:eastAsia="zh-CN"/>
              </w:rPr>
              <w:t>有组织+0.507t/a</w:t>
            </w:r>
          </w:p>
          <w:p>
            <w:pPr>
              <w:keepNext w:val="0"/>
              <w:keepLines w:val="0"/>
              <w:pageBreakBefore w:val="0"/>
              <w:kinsoku/>
              <w:wordWrap/>
              <w:overflowPunct/>
              <w:autoSpaceDE/>
              <w:autoSpaceDN/>
              <w:bidi w:val="0"/>
              <w:spacing w:line="320" w:lineRule="exact"/>
              <w:jc w:val="center"/>
              <w:rPr>
                <w:snapToGrid w:val="0"/>
                <w:kern w:val="0"/>
                <w:sz w:val="24"/>
              </w:rPr>
            </w:pPr>
            <w:r>
              <w:rPr>
                <w:rFonts w:hint="eastAsia"/>
                <w:sz w:val="24"/>
                <w:lang w:val="en-US" w:eastAsia="zh-CN"/>
              </w:rPr>
              <w:t>无组织+0.001t/a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autoSpaceDE/>
              <w:autoSpaceDN/>
              <w:bidi w:val="0"/>
              <w:spacing w:line="320" w:lineRule="exact"/>
              <w:jc w:val="center"/>
              <w:rPr>
                <w:sz w:val="24"/>
              </w:rPr>
            </w:pPr>
            <w:r>
              <w:rPr>
                <w:sz w:val="24"/>
              </w:rPr>
              <w:t>SO</w:t>
            </w:r>
            <w:r>
              <w:rPr>
                <w:sz w:val="24"/>
                <w:vertAlign w:val="subscript"/>
              </w:rPr>
              <w:t>2</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563"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widowControl/>
              <w:kinsoku/>
              <w:wordWrap/>
              <w:overflowPunct/>
              <w:autoSpaceDE/>
              <w:autoSpaceDN/>
              <w:bidi w:val="0"/>
              <w:adjustRightInd w:val="0"/>
              <w:snapToGrid w:val="0"/>
              <w:spacing w:line="320" w:lineRule="exact"/>
              <w:jc w:val="center"/>
              <w:rPr>
                <w:snapToGrid w:val="0"/>
                <w:kern w:val="0"/>
                <w:sz w:val="24"/>
              </w:rPr>
            </w:pPr>
            <w:r>
              <w:rPr>
                <w:rFonts w:hint="eastAsia"/>
                <w:snapToGrid w:val="0"/>
                <w:kern w:val="21"/>
                <w:sz w:val="24"/>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02"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kern w:val="21"/>
                <w:sz w:val="24"/>
              </w:rPr>
            </w:pPr>
            <w:r>
              <w:rPr>
                <w:rFonts w:hint="eastAsia"/>
                <w:snapToGrid w:val="0"/>
                <w:kern w:val="21"/>
                <w:sz w:val="24"/>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kern w:val="0"/>
                <w:sz w:val="24"/>
              </w:rPr>
            </w:pPr>
            <w:r>
              <w:rPr>
                <w:rFonts w:hint="eastAsia"/>
                <w:snapToGrid w:val="0"/>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autoSpaceDE/>
              <w:autoSpaceDN/>
              <w:bidi w:val="0"/>
              <w:spacing w:line="320" w:lineRule="exact"/>
              <w:jc w:val="center"/>
              <w:rPr>
                <w:sz w:val="24"/>
              </w:rPr>
            </w:pPr>
            <w:r>
              <w:rPr>
                <w:sz w:val="24"/>
              </w:rPr>
              <w:t>NOx</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563"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widowControl/>
              <w:kinsoku/>
              <w:wordWrap/>
              <w:overflowPunct/>
              <w:autoSpaceDE/>
              <w:autoSpaceDN/>
              <w:bidi w:val="0"/>
              <w:adjustRightInd w:val="0"/>
              <w:snapToGrid w:val="0"/>
              <w:spacing w:line="320" w:lineRule="exact"/>
              <w:jc w:val="center"/>
              <w:rPr>
                <w:snapToGrid w:val="0"/>
                <w:kern w:val="0"/>
                <w:sz w:val="24"/>
              </w:rPr>
            </w:pPr>
            <w:r>
              <w:rPr>
                <w:rFonts w:hint="eastAsia"/>
                <w:snapToGrid w:val="0"/>
                <w:kern w:val="21"/>
                <w:sz w:val="24"/>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02"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kern w:val="21"/>
                <w:sz w:val="24"/>
              </w:rPr>
            </w:pPr>
            <w:r>
              <w:rPr>
                <w:rFonts w:hint="eastAsia"/>
                <w:snapToGrid w:val="0"/>
                <w:kern w:val="21"/>
                <w:sz w:val="24"/>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kern w:val="0"/>
                <w:sz w:val="24"/>
              </w:rPr>
            </w:pPr>
            <w:r>
              <w:rPr>
                <w:rFonts w:hint="eastAsia"/>
                <w:snapToGrid w:val="0"/>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ascii="Times New Roman" w:hAnsi="Times New Roman"/>
                <w:snapToGrid w:val="0"/>
                <w:kern w:val="21"/>
                <w:sz w:val="24"/>
                <w:szCs w:val="24"/>
              </w:rPr>
              <w:t>废水</w:t>
            </w:r>
          </w:p>
        </w:tc>
        <w:tc>
          <w:tcPr>
            <w:tcW w:w="217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COD</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w:t>
            </w:r>
          </w:p>
        </w:tc>
        <w:tc>
          <w:tcPr>
            <w:tcW w:w="1563"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02"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snapToGrid w:val="0"/>
                <w:kern w:val="21"/>
                <w:sz w:val="24"/>
                <w:szCs w:val="24"/>
              </w:rPr>
              <w:t>SS</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563"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514" w:type="dxa"/>
            <w:vAlign w:val="center"/>
          </w:tcPr>
          <w:p>
            <w:pPr>
              <w:keepNext w:val="0"/>
              <w:keepLines w:val="0"/>
              <w:pageBreakBefore w:val="0"/>
              <w:kinsoku/>
              <w:wordWrap/>
              <w:overflowPunct/>
              <w:autoSpaceDE/>
              <w:autoSpaceDN/>
              <w:bidi w:val="0"/>
              <w:spacing w:line="320" w:lineRule="exact"/>
              <w:jc w:val="center"/>
              <w:rPr>
                <w:sz w:val="24"/>
              </w:rPr>
            </w:pPr>
            <w:r>
              <w:rPr>
                <w:rFonts w:hint="eastAsia"/>
                <w:snapToGrid w:val="0"/>
                <w:kern w:val="21"/>
                <w:sz w:val="24"/>
              </w:rPr>
              <w:t>-</w:t>
            </w:r>
          </w:p>
        </w:tc>
        <w:tc>
          <w:tcPr>
            <w:tcW w:w="1602"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氨氮</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w:t>
            </w:r>
          </w:p>
        </w:tc>
        <w:tc>
          <w:tcPr>
            <w:tcW w:w="1563"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602"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snapToGrid w:val="0"/>
                <w:kern w:val="21"/>
                <w:sz w:val="24"/>
                <w:szCs w:val="24"/>
              </w:rPr>
              <w:t>固体</w:t>
            </w:r>
            <w:r>
              <w:rPr>
                <w:rFonts w:ascii="Times New Roman" w:hAnsi="Times New Roman"/>
                <w:snapToGrid w:val="0"/>
                <w:kern w:val="21"/>
                <w:sz w:val="24"/>
                <w:szCs w:val="24"/>
              </w:rPr>
              <w:t>废物</w:t>
            </w: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rPr>
            </w:pPr>
            <w:r>
              <w:rPr>
                <w:rFonts w:hint="eastAsia"/>
                <w:color w:val="auto"/>
                <w:kern w:val="0"/>
                <w:sz w:val="24"/>
              </w:rPr>
              <w:t>除尘灰</w:t>
            </w:r>
          </w:p>
        </w:tc>
        <w:tc>
          <w:tcPr>
            <w:tcW w:w="1575"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snapToGrid w:val="0"/>
                <w:color w:val="auto"/>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rPr>
            </w:pPr>
            <w:r>
              <w:rPr>
                <w:rFonts w:hint="eastAsia"/>
                <w:color w:val="auto"/>
                <w:sz w:val="24"/>
                <w:lang w:eastAsia="zh-CN"/>
              </w:rPr>
              <w:t>50.249</w:t>
            </w:r>
            <w:r>
              <w:rPr>
                <w:color w:val="auto"/>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color w:val="auto"/>
                <w:sz w:val="24"/>
                <w:lang w:eastAsia="zh-CN"/>
              </w:rPr>
              <w:t>50.249</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rPr>
            </w:pPr>
            <w:r>
              <w:rPr>
                <w:rFonts w:hint="eastAsia"/>
                <w:color w:val="auto"/>
                <w:sz w:val="24"/>
                <w:lang w:eastAsia="zh-CN"/>
              </w:rPr>
              <w:t>50.249</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snapToGrid w:val="0"/>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rPr>
            </w:pPr>
            <w:r>
              <w:rPr>
                <w:rFonts w:hint="eastAsia"/>
                <w:color w:val="auto"/>
                <w:kern w:val="0"/>
                <w:sz w:val="24"/>
              </w:rPr>
              <w:t>熔炼渣</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color w:val="auto"/>
                <w:sz w:val="24"/>
                <w:lang w:eastAsia="zh-CN"/>
              </w:rPr>
              <w:t>82.731</w:t>
            </w:r>
            <w:r>
              <w:rPr>
                <w:color w:val="auto"/>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color w:val="auto"/>
                <w:sz w:val="24"/>
                <w:lang w:eastAsia="zh-CN"/>
              </w:rPr>
              <w:t>82.731</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color w:val="auto"/>
                <w:sz w:val="24"/>
                <w:lang w:eastAsia="zh-CN"/>
              </w:rPr>
              <w:t>82.731</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rPr>
            </w:pPr>
            <w:r>
              <w:rPr>
                <w:rFonts w:hint="eastAsia"/>
                <w:color w:val="auto"/>
                <w:kern w:val="0"/>
                <w:sz w:val="24"/>
                <w:lang w:val="en-US" w:eastAsia="zh-CN"/>
              </w:rPr>
              <w:t>打磨、</w:t>
            </w:r>
            <w:r>
              <w:rPr>
                <w:rFonts w:hint="eastAsia"/>
                <w:color w:val="auto"/>
                <w:kern w:val="0"/>
                <w:sz w:val="24"/>
              </w:rPr>
              <w:t>切冒口</w:t>
            </w:r>
            <w:r>
              <w:rPr>
                <w:rFonts w:hint="eastAsia"/>
                <w:color w:val="auto"/>
                <w:kern w:val="0"/>
                <w:sz w:val="24"/>
                <w:lang w:val="en-US" w:eastAsia="zh-CN"/>
              </w:rPr>
              <w:t>产生的</w:t>
            </w:r>
            <w:r>
              <w:rPr>
                <w:rFonts w:hint="eastAsia"/>
                <w:color w:val="auto"/>
                <w:kern w:val="0"/>
                <w:sz w:val="24"/>
              </w:rPr>
              <w:t>废铁</w:t>
            </w:r>
          </w:p>
        </w:tc>
        <w:tc>
          <w:tcPr>
            <w:tcW w:w="1575"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snapToGrid w:val="0"/>
                <w:color w:val="auto"/>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rPr>
            </w:pPr>
            <w:r>
              <w:rPr>
                <w:rFonts w:hint="eastAsia"/>
                <w:color w:val="auto"/>
                <w:sz w:val="24"/>
                <w:lang w:eastAsia="zh-CN"/>
              </w:rPr>
              <w:t>51</w:t>
            </w:r>
            <w:r>
              <w:rPr>
                <w:color w:val="auto"/>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color w:val="auto"/>
                <w:sz w:val="24"/>
                <w:lang w:eastAsia="zh-CN"/>
              </w:rPr>
              <w:t>51</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rPr>
            </w:pPr>
            <w:r>
              <w:rPr>
                <w:rFonts w:hint="eastAsia"/>
                <w:color w:val="auto"/>
                <w:sz w:val="24"/>
                <w:lang w:eastAsia="zh-CN"/>
              </w:rPr>
              <w:t>51</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rPr>
            </w:pPr>
            <w:r>
              <w:rPr>
                <w:rFonts w:hint="eastAsia"/>
                <w:color w:val="auto"/>
                <w:kern w:val="0"/>
                <w:sz w:val="24"/>
              </w:rPr>
              <w:t>废砂</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rPr>
            </w:pPr>
            <w:r>
              <w:rPr>
                <w:rFonts w:hint="eastAsia"/>
                <w:snapToGrid w:val="0"/>
                <w:color w:val="auto"/>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rPr>
            </w:pPr>
            <w:r>
              <w:rPr>
                <w:rFonts w:hint="eastAsia" w:ascii="Times New Roman" w:hAnsi="Times New Roman"/>
                <w:snapToGrid w:val="0"/>
                <w:color w:val="auto"/>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snapToGrid w:val="0"/>
                <w:color w:val="auto"/>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color w:val="auto"/>
                <w:sz w:val="24"/>
                <w:lang w:eastAsia="zh-CN"/>
              </w:rPr>
              <w:t>238.2</w:t>
            </w:r>
            <w:r>
              <w:rPr>
                <w:color w:val="auto"/>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rPr>
            </w:pPr>
            <w:r>
              <w:rPr>
                <w:rFonts w:hint="eastAsia"/>
                <w:snapToGrid w:val="0"/>
                <w:color w:val="auto"/>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rPr>
            </w:pPr>
            <w:r>
              <w:rPr>
                <w:rFonts w:hint="eastAsia"/>
                <w:color w:val="auto"/>
                <w:sz w:val="24"/>
                <w:lang w:eastAsia="zh-CN"/>
              </w:rPr>
              <w:t>238.2</w:t>
            </w:r>
            <w:r>
              <w:rPr>
                <w:color w:val="auto"/>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rPr>
            </w:pPr>
            <w:r>
              <w:rPr>
                <w:rFonts w:hint="eastAsia"/>
                <w:color w:val="auto"/>
                <w:sz w:val="24"/>
                <w:lang w:eastAsia="zh-CN"/>
              </w:rPr>
              <w:t>238.2</w:t>
            </w:r>
            <w:r>
              <w:rPr>
                <w:color w:val="auto"/>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kern w:val="0"/>
                <w:sz w:val="24"/>
              </w:rPr>
            </w:pPr>
            <w:r>
              <w:rPr>
                <w:rFonts w:hint="eastAsia"/>
                <w:kern w:val="0"/>
                <w:sz w:val="24"/>
              </w:rPr>
              <w:t>废布袋</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rPr>
              <w:t>0.05</w:t>
            </w:r>
            <w:r>
              <w:rPr>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sz w:val="24"/>
              </w:rPr>
            </w:pPr>
            <w:r>
              <w:rPr>
                <w:rFonts w:hint="eastAsia"/>
                <w:snapToGrid w:val="0"/>
                <w:kern w:val="21"/>
                <w:sz w:val="24"/>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z w:val="24"/>
              </w:rPr>
            </w:pPr>
            <w:r>
              <w:rPr>
                <w:rFonts w:hint="eastAsia"/>
                <w:sz w:val="24"/>
              </w:rPr>
              <w:t>0.05</w:t>
            </w:r>
            <w:r>
              <w:rPr>
                <w:sz w:val="24"/>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z w:val="24"/>
              </w:rPr>
            </w:pPr>
            <w:r>
              <w:rPr>
                <w:rFonts w:hint="eastAsia"/>
                <w:sz w:val="24"/>
              </w:rPr>
              <w:t>0.05</w:t>
            </w:r>
            <w:r>
              <w:rPr>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kern w:val="0"/>
                <w:sz w:val="24"/>
              </w:rPr>
            </w:pPr>
            <w:r>
              <w:rPr>
                <w:rFonts w:hint="eastAsia"/>
                <w:kern w:val="0"/>
                <w:sz w:val="24"/>
              </w:rPr>
              <w:t>废矿物油</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kern w:val="21"/>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rPr>
              <w:t>0.1</w:t>
            </w:r>
            <w:r>
              <w:rPr>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sz w:val="24"/>
              </w:rPr>
            </w:pPr>
            <w:r>
              <w:rPr>
                <w:rFonts w:hint="eastAsia"/>
                <w:snapToGrid w:val="0"/>
                <w:kern w:val="21"/>
                <w:sz w:val="24"/>
              </w:rPr>
              <w:t>-</w:t>
            </w:r>
          </w:p>
        </w:tc>
        <w:tc>
          <w:tcPr>
            <w:tcW w:w="1602"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rPr>
              <w:t>0.1</w:t>
            </w:r>
            <w:r>
              <w:rPr>
                <w:sz w:val="24"/>
              </w:rPr>
              <w:t>t/a</w:t>
            </w:r>
          </w:p>
        </w:tc>
        <w:tc>
          <w:tcPr>
            <w:tcW w:w="1743"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rPr>
              <w:t>0.1</w:t>
            </w:r>
            <w:r>
              <w:rPr>
                <w:sz w:val="24"/>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kern w:val="0"/>
                <w:sz w:val="24"/>
              </w:rPr>
            </w:pPr>
            <w:r>
              <w:rPr>
                <w:rFonts w:hint="eastAsia"/>
                <w:kern w:val="0"/>
                <w:sz w:val="24"/>
              </w:rPr>
              <w:t>废油桶</w:t>
            </w:r>
          </w:p>
        </w:tc>
        <w:tc>
          <w:tcPr>
            <w:tcW w:w="1575" w:type="dxa"/>
            <w:vAlign w:val="center"/>
          </w:tcPr>
          <w:p>
            <w:pPr>
              <w:keepNext w:val="0"/>
              <w:keepLines w:val="0"/>
              <w:pageBreakBefore w:val="0"/>
              <w:kinsoku/>
              <w:wordWrap/>
              <w:overflowPunct/>
              <w:autoSpaceDE/>
              <w:autoSpaceDN/>
              <w:bidi w:val="0"/>
              <w:spacing w:line="320" w:lineRule="exact"/>
              <w:jc w:val="center"/>
              <w:rPr>
                <w:snapToGrid w:val="0"/>
                <w:kern w:val="21"/>
                <w:sz w:val="24"/>
              </w:rPr>
            </w:pPr>
            <w:r>
              <w:rPr>
                <w:rFonts w:hint="eastAsia"/>
                <w:snapToGrid w:val="0"/>
                <w:kern w:val="21"/>
                <w:sz w:val="24"/>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kern w:val="21"/>
                <w:sz w:val="24"/>
                <w:szCs w:val="24"/>
              </w:rPr>
            </w:pPr>
            <w:r>
              <w:rPr>
                <w:rFonts w:hint="eastAsia" w:ascii="Times New Roman" w:hAnsi="Times New Roman"/>
                <w:snapToGrid w:val="0"/>
                <w:kern w:val="21"/>
                <w:sz w:val="24"/>
                <w:szCs w:val="24"/>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kern w:val="0"/>
                <w:sz w:val="24"/>
              </w:rPr>
            </w:pPr>
            <w:r>
              <w:rPr>
                <w:rFonts w:hint="eastAsia"/>
                <w:snapToGrid w:val="0"/>
                <w:kern w:val="21"/>
                <w:sz w:val="24"/>
              </w:rPr>
              <w:t>-</w:t>
            </w:r>
          </w:p>
        </w:tc>
        <w:tc>
          <w:tcPr>
            <w:tcW w:w="1621"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lang w:eastAsia="zh-CN"/>
              </w:rPr>
              <w:t>0.07</w:t>
            </w:r>
            <w:r>
              <w:rPr>
                <w:sz w:val="24"/>
              </w:rPr>
              <w:t>t/a</w:t>
            </w:r>
          </w:p>
        </w:tc>
        <w:tc>
          <w:tcPr>
            <w:tcW w:w="1514" w:type="dxa"/>
            <w:vAlign w:val="center"/>
          </w:tcPr>
          <w:p>
            <w:pPr>
              <w:keepNext w:val="0"/>
              <w:keepLines w:val="0"/>
              <w:pageBreakBefore w:val="0"/>
              <w:kinsoku/>
              <w:wordWrap/>
              <w:overflowPunct/>
              <w:autoSpaceDE/>
              <w:autoSpaceDN/>
              <w:bidi w:val="0"/>
              <w:spacing w:line="320" w:lineRule="exact"/>
              <w:jc w:val="center"/>
              <w:rPr>
                <w:sz w:val="24"/>
              </w:rPr>
            </w:pPr>
            <w:r>
              <w:rPr>
                <w:rFonts w:hint="eastAsia"/>
                <w:snapToGrid w:val="0"/>
                <w:kern w:val="21"/>
                <w:sz w:val="24"/>
              </w:rPr>
              <w:t>-</w:t>
            </w:r>
          </w:p>
        </w:tc>
        <w:tc>
          <w:tcPr>
            <w:tcW w:w="1602"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lang w:eastAsia="zh-CN"/>
              </w:rPr>
              <w:t>0.07</w:t>
            </w:r>
            <w:r>
              <w:rPr>
                <w:sz w:val="24"/>
              </w:rPr>
              <w:t>t/a</w:t>
            </w:r>
          </w:p>
        </w:tc>
        <w:tc>
          <w:tcPr>
            <w:tcW w:w="1743" w:type="dxa"/>
            <w:vAlign w:val="center"/>
          </w:tcPr>
          <w:p>
            <w:pPr>
              <w:keepNext w:val="0"/>
              <w:keepLines w:val="0"/>
              <w:pageBreakBefore w:val="0"/>
              <w:kinsoku/>
              <w:wordWrap/>
              <w:overflowPunct/>
              <w:autoSpaceDE/>
              <w:autoSpaceDN/>
              <w:bidi w:val="0"/>
              <w:spacing w:line="320" w:lineRule="exact"/>
              <w:jc w:val="center"/>
              <w:rPr>
                <w:sz w:val="24"/>
              </w:rPr>
            </w:pPr>
            <w:r>
              <w:rPr>
                <w:rFonts w:hint="eastAsia"/>
                <w:sz w:val="24"/>
                <w:lang w:eastAsia="zh-CN"/>
              </w:rPr>
              <w:t>0.07</w:t>
            </w:r>
            <w:r>
              <w:rPr>
                <w:sz w:val="24"/>
              </w:rPr>
              <w:t>t/a</w:t>
            </w:r>
          </w:p>
        </w:tc>
      </w:tr>
    </w:tbl>
    <w:p>
      <w:pPr>
        <w:pStyle w:val="59"/>
        <w:spacing w:before="192" w:beforeLines="80" w:after="24"/>
        <w:jc w:val="left"/>
        <w:outlineLvl w:val="0"/>
        <w:rPr>
          <w:rFonts w:ascii="Times New Roman" w:hAnsi="Times New Roman"/>
        </w:rPr>
        <w:sectPr>
          <w:footerReference r:id="rId5"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bookmarkStart w:id="30" w:name="_Toc13077"/>
      <w:bookmarkStart w:id="31" w:name="_Toc18994"/>
      <w:r>
        <w:rPr>
          <w:rFonts w:ascii="Times New Roman" w:hAnsi="Times New Roman"/>
          <w:snapToGrid w:val="0"/>
          <w:kern w:val="21"/>
          <w:sz w:val="21"/>
          <w:szCs w:val="21"/>
        </w:rPr>
        <w:t>注：</w:t>
      </w:r>
      <w:r>
        <w:rPr>
          <w:rFonts w:ascii="Times New Roman" w:hAnsi="Times New Roman"/>
          <w:snapToGrid w:val="0"/>
          <w:spacing w:val="-16"/>
          <w:kern w:val="21"/>
          <w:sz w:val="21"/>
          <w:szCs w:val="21"/>
        </w:rPr>
        <w:fldChar w:fldCharType="begin"/>
      </w:r>
      <w:r>
        <w:rPr>
          <w:rFonts w:ascii="Times New Roman" w:hAnsi="Times New Roman"/>
          <w:snapToGrid w:val="0"/>
          <w:spacing w:val="-16"/>
          <w:kern w:val="21"/>
          <w:sz w:val="21"/>
          <w:szCs w:val="21"/>
        </w:rPr>
        <w:instrText xml:space="preserve"> = 6 \* GB3 \* MERGEFORMAT </w:instrText>
      </w:r>
      <w:r>
        <w:rPr>
          <w:rFonts w:ascii="Times New Roman" w:hAnsi="Times New Roman"/>
          <w:snapToGrid w:val="0"/>
          <w:spacing w:val="-16"/>
          <w:kern w:val="21"/>
          <w:sz w:val="21"/>
          <w:szCs w:val="21"/>
        </w:rPr>
        <w:fldChar w:fldCharType="separate"/>
      </w:r>
      <w:r>
        <w:rPr>
          <w:rFonts w:ascii="Times New Roman" w:hAnsi="Times New Roman"/>
          <w:sz w:val="21"/>
          <w:szCs w:val="21"/>
        </w:rPr>
        <w:t>⑥</w:t>
      </w:r>
      <w:r>
        <w:rPr>
          <w:rFonts w:ascii="Times New Roman" w:hAnsi="Times New Roman"/>
          <w:snapToGrid w:val="0"/>
          <w:spacing w:val="-16"/>
          <w:kern w:val="21"/>
          <w:sz w:val="21"/>
          <w:szCs w:val="21"/>
        </w:rPr>
        <w:fldChar w:fldCharType="end"/>
      </w:r>
      <w:r>
        <w:rPr>
          <w:rFonts w:ascii="Times New Roman" w:hAnsi="Times New Roman"/>
          <w:snapToGrid w:val="0"/>
          <w:spacing w:val="-16"/>
          <w:kern w:val="21"/>
          <w:sz w:val="21"/>
          <w:szCs w:val="21"/>
        </w:rPr>
        <w:t>=</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1 \* GB3 \* MERGEFORMAT </w:instrText>
      </w:r>
      <w:r>
        <w:rPr>
          <w:rFonts w:ascii="Times New Roman" w:hAnsi="Times New Roman"/>
          <w:snapToGrid w:val="0"/>
          <w:spacing w:val="-6"/>
          <w:kern w:val="21"/>
          <w:sz w:val="21"/>
          <w:szCs w:val="21"/>
        </w:rPr>
        <w:fldChar w:fldCharType="separate"/>
      </w:r>
      <w:r>
        <w:rPr>
          <w:rFonts w:ascii="Times New Roman" w:hAnsi="Times New Roman"/>
          <w:sz w:val="21"/>
          <w:szCs w:val="21"/>
        </w:rPr>
        <w:t>①</w:t>
      </w:r>
      <w:r>
        <w:rPr>
          <w:rFonts w:ascii="Times New Roman" w:hAnsi="Times New Roman"/>
          <w:snapToGrid w:val="0"/>
          <w:spacing w:val="-6"/>
          <w:kern w:val="21"/>
          <w:sz w:val="21"/>
          <w:szCs w:val="21"/>
        </w:rPr>
        <w:fldChar w:fldCharType="end"/>
      </w:r>
      <w:r>
        <w:rPr>
          <w:rFonts w:ascii="Times New Roman" w:hAnsi="Times New Roman"/>
          <w:snapToGrid w:val="0"/>
          <w:spacing w:val="-6"/>
          <w:kern w:val="21"/>
          <w:sz w:val="21"/>
          <w:szCs w:val="21"/>
        </w:rPr>
        <w:t>+</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3 \* GB3 \* MERGEFORMAT </w:instrText>
      </w:r>
      <w:r>
        <w:rPr>
          <w:rFonts w:ascii="Times New Roman" w:hAnsi="Times New Roman"/>
          <w:snapToGrid w:val="0"/>
          <w:spacing w:val="-6"/>
          <w:kern w:val="21"/>
          <w:sz w:val="21"/>
          <w:szCs w:val="21"/>
        </w:rPr>
        <w:fldChar w:fldCharType="separate"/>
      </w:r>
      <w:r>
        <w:rPr>
          <w:rFonts w:ascii="Times New Roman" w:hAnsi="Times New Roman"/>
          <w:sz w:val="21"/>
          <w:szCs w:val="21"/>
        </w:rPr>
        <w:t>③</w:t>
      </w:r>
      <w:r>
        <w:rPr>
          <w:rFonts w:ascii="Times New Roman" w:hAnsi="Times New Roman"/>
          <w:snapToGrid w:val="0"/>
          <w:spacing w:val="-6"/>
          <w:kern w:val="21"/>
          <w:sz w:val="21"/>
          <w:szCs w:val="21"/>
        </w:rPr>
        <w:fldChar w:fldCharType="end"/>
      </w:r>
      <w:r>
        <w:rPr>
          <w:rFonts w:ascii="Times New Roman" w:hAnsi="Times New Roman"/>
          <w:snapToGrid w:val="0"/>
          <w:spacing w:val="-6"/>
          <w:kern w:val="21"/>
          <w:sz w:val="21"/>
          <w:szCs w:val="21"/>
        </w:rPr>
        <w:t>+</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4 \* GB3 \* MERGEFORMAT </w:instrText>
      </w:r>
      <w:r>
        <w:rPr>
          <w:rFonts w:ascii="Times New Roman" w:hAnsi="Times New Roman"/>
          <w:snapToGrid w:val="0"/>
          <w:spacing w:val="-6"/>
          <w:kern w:val="21"/>
          <w:sz w:val="21"/>
          <w:szCs w:val="21"/>
        </w:rPr>
        <w:fldChar w:fldCharType="separate"/>
      </w:r>
      <w:r>
        <w:rPr>
          <w:rFonts w:ascii="Times New Roman" w:hAnsi="Times New Roman"/>
          <w:sz w:val="21"/>
          <w:szCs w:val="21"/>
        </w:rPr>
        <w:t>④</w:t>
      </w:r>
      <w:r>
        <w:rPr>
          <w:rFonts w:ascii="Times New Roman" w:hAnsi="Times New Roman"/>
          <w:snapToGrid w:val="0"/>
          <w:spacing w:val="-6"/>
          <w:kern w:val="21"/>
          <w:sz w:val="21"/>
          <w:szCs w:val="21"/>
        </w:rPr>
        <w:fldChar w:fldCharType="end"/>
      </w:r>
      <w:r>
        <w:rPr>
          <w:rFonts w:ascii="Times New Roman" w:hAnsi="Times New Roman"/>
          <w:snapToGrid w:val="0"/>
          <w:spacing w:val="-6"/>
          <w:kern w:val="21"/>
          <w:sz w:val="21"/>
          <w:szCs w:val="21"/>
        </w:rPr>
        <w:t>-</w:t>
      </w:r>
      <w:r>
        <w:rPr>
          <w:rFonts w:ascii="Times New Roman" w:hAnsi="Times New Roman"/>
          <w:snapToGrid w:val="0"/>
          <w:spacing w:val="-16"/>
          <w:kern w:val="21"/>
          <w:sz w:val="21"/>
          <w:szCs w:val="21"/>
        </w:rPr>
        <w:fldChar w:fldCharType="begin"/>
      </w:r>
      <w:r>
        <w:rPr>
          <w:rFonts w:ascii="Times New Roman" w:hAnsi="Times New Roman"/>
          <w:snapToGrid w:val="0"/>
          <w:spacing w:val="-16"/>
          <w:kern w:val="21"/>
          <w:sz w:val="21"/>
          <w:szCs w:val="21"/>
        </w:rPr>
        <w:instrText xml:space="preserve"> = 5 \* GB3 \* MERGEFORMAT </w:instrText>
      </w:r>
      <w:r>
        <w:rPr>
          <w:rFonts w:ascii="Times New Roman" w:hAnsi="Times New Roman"/>
          <w:snapToGrid w:val="0"/>
          <w:spacing w:val="-16"/>
          <w:kern w:val="21"/>
          <w:sz w:val="21"/>
          <w:szCs w:val="21"/>
        </w:rPr>
        <w:fldChar w:fldCharType="separate"/>
      </w:r>
      <w:r>
        <w:rPr>
          <w:rFonts w:ascii="Times New Roman" w:hAnsi="Times New Roman"/>
          <w:sz w:val="21"/>
          <w:szCs w:val="21"/>
        </w:rPr>
        <w:t>⑤</w:t>
      </w:r>
      <w:r>
        <w:rPr>
          <w:rFonts w:ascii="Times New Roman" w:hAnsi="Times New Roman"/>
          <w:snapToGrid w:val="0"/>
          <w:spacing w:val="-16"/>
          <w:kern w:val="21"/>
          <w:sz w:val="21"/>
          <w:szCs w:val="21"/>
        </w:rPr>
        <w:fldChar w:fldCharType="end"/>
      </w:r>
      <w:r>
        <w:rPr>
          <w:rFonts w:ascii="Times New Roman" w:hAnsi="Times New Roman"/>
          <w:snapToGrid w:val="0"/>
          <w:spacing w:val="-16"/>
          <w:kern w:val="21"/>
          <w:sz w:val="21"/>
          <w:szCs w:val="21"/>
        </w:rPr>
        <w:t>；</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7 \* GB3 \* MERGEFORMAT </w:instrText>
      </w:r>
      <w:r>
        <w:rPr>
          <w:rFonts w:ascii="Times New Roman" w:hAnsi="Times New Roman"/>
          <w:snapToGrid w:val="0"/>
          <w:spacing w:val="-6"/>
          <w:kern w:val="21"/>
          <w:sz w:val="21"/>
          <w:szCs w:val="21"/>
        </w:rPr>
        <w:fldChar w:fldCharType="separate"/>
      </w:r>
      <w:r>
        <w:rPr>
          <w:rFonts w:ascii="Times New Roman" w:hAnsi="Times New Roman"/>
          <w:sz w:val="21"/>
          <w:szCs w:val="21"/>
        </w:rPr>
        <w:t>⑦</w:t>
      </w:r>
      <w:r>
        <w:rPr>
          <w:rFonts w:ascii="Times New Roman" w:hAnsi="Times New Roman"/>
          <w:snapToGrid w:val="0"/>
          <w:spacing w:val="-6"/>
          <w:kern w:val="21"/>
          <w:sz w:val="21"/>
          <w:szCs w:val="21"/>
        </w:rPr>
        <w:fldChar w:fldCharType="end"/>
      </w:r>
      <w:r>
        <w:rPr>
          <w:rFonts w:ascii="Times New Roman" w:hAnsi="Times New Roman"/>
          <w:snapToGrid w:val="0"/>
          <w:spacing w:val="-6"/>
          <w:kern w:val="21"/>
          <w:sz w:val="21"/>
          <w:szCs w:val="21"/>
        </w:rPr>
        <w:t>=</w:t>
      </w:r>
      <w:r>
        <w:rPr>
          <w:rFonts w:ascii="Times New Roman" w:hAnsi="Times New Roman"/>
          <w:snapToGrid w:val="0"/>
          <w:spacing w:val="-16"/>
          <w:kern w:val="21"/>
          <w:sz w:val="21"/>
          <w:szCs w:val="21"/>
        </w:rPr>
        <w:fldChar w:fldCharType="begin"/>
      </w:r>
      <w:r>
        <w:rPr>
          <w:rFonts w:ascii="Times New Roman" w:hAnsi="Times New Roman"/>
          <w:snapToGrid w:val="0"/>
          <w:spacing w:val="-16"/>
          <w:kern w:val="21"/>
          <w:sz w:val="21"/>
          <w:szCs w:val="21"/>
        </w:rPr>
        <w:instrText xml:space="preserve"> = 6 \* GB3 \* MERGEFORMAT </w:instrText>
      </w:r>
      <w:r>
        <w:rPr>
          <w:rFonts w:ascii="Times New Roman" w:hAnsi="Times New Roman"/>
          <w:snapToGrid w:val="0"/>
          <w:spacing w:val="-16"/>
          <w:kern w:val="21"/>
          <w:sz w:val="21"/>
          <w:szCs w:val="21"/>
        </w:rPr>
        <w:fldChar w:fldCharType="separate"/>
      </w:r>
      <w:r>
        <w:rPr>
          <w:rFonts w:ascii="Times New Roman" w:hAnsi="Times New Roman"/>
          <w:sz w:val="21"/>
          <w:szCs w:val="21"/>
        </w:rPr>
        <w:t>⑥</w:t>
      </w:r>
      <w:r>
        <w:rPr>
          <w:rFonts w:ascii="Times New Roman" w:hAnsi="Times New Roman"/>
          <w:snapToGrid w:val="0"/>
          <w:spacing w:val="-16"/>
          <w:kern w:val="21"/>
          <w:sz w:val="21"/>
          <w:szCs w:val="21"/>
        </w:rPr>
        <w:fldChar w:fldCharType="end"/>
      </w:r>
      <w:r>
        <w:rPr>
          <w:rFonts w:ascii="Times New Roman" w:hAnsi="Times New Roman"/>
          <w:snapToGrid w:val="0"/>
          <w:spacing w:val="-16"/>
          <w:kern w:val="21"/>
          <w:sz w:val="21"/>
          <w:szCs w:val="21"/>
        </w:rPr>
        <w:t>-</w:t>
      </w:r>
      <w:r>
        <w:rPr>
          <w:rFonts w:ascii="Times New Roman" w:hAnsi="Times New Roman"/>
          <w:snapToGrid w:val="0"/>
          <w:spacing w:val="-6"/>
          <w:kern w:val="21"/>
          <w:sz w:val="21"/>
          <w:szCs w:val="21"/>
        </w:rPr>
        <w:fldChar w:fldCharType="begin"/>
      </w:r>
      <w:r>
        <w:rPr>
          <w:rFonts w:ascii="Times New Roman" w:hAnsi="Times New Roman"/>
          <w:snapToGrid w:val="0"/>
          <w:spacing w:val="-6"/>
          <w:kern w:val="21"/>
          <w:sz w:val="21"/>
          <w:szCs w:val="21"/>
        </w:rPr>
        <w:instrText xml:space="preserve"> = 1 \* GB3 \* MERGEFORMAT </w:instrText>
      </w:r>
      <w:r>
        <w:rPr>
          <w:rFonts w:ascii="Times New Roman" w:hAnsi="Times New Roman"/>
          <w:snapToGrid w:val="0"/>
          <w:spacing w:val="-6"/>
          <w:kern w:val="21"/>
          <w:sz w:val="21"/>
          <w:szCs w:val="21"/>
        </w:rPr>
        <w:fldChar w:fldCharType="separate"/>
      </w:r>
      <w:r>
        <w:rPr>
          <w:rFonts w:ascii="Times New Roman" w:hAnsi="Times New Roman"/>
          <w:sz w:val="21"/>
          <w:szCs w:val="21"/>
        </w:rPr>
        <w:t>①</w:t>
      </w:r>
      <w:r>
        <w:rPr>
          <w:rFonts w:ascii="Times New Roman" w:hAnsi="Times New Roman"/>
          <w:snapToGrid w:val="0"/>
          <w:spacing w:val="-6"/>
          <w:kern w:val="21"/>
          <w:sz w:val="21"/>
          <w:szCs w:val="21"/>
        </w:rPr>
        <w:fldChar w:fldCharType="end"/>
      </w:r>
      <w:bookmarkEnd w:id="30"/>
      <w:bookmarkEnd w:id="31"/>
    </w:p>
    <w:p>
      <w:pPr>
        <w:pStyle w:val="59"/>
        <w:spacing w:before="192" w:beforeLines="80" w:after="24"/>
        <w:jc w:val="left"/>
        <w:rPr>
          <w:rFonts w:ascii="Times New Roman" w:hAnsi="Times New Roman" w:eastAsia="黑体"/>
        </w:rPr>
      </w:pPr>
    </w:p>
    <w:sectPr>
      <w:footerReference r:id="rId6"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33</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pPr>
      <w:pStyle w:val="22"/>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52</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pPr>
      <w:pStyle w:val="2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B2BE"/>
    <w:multiLevelType w:val="singleLevel"/>
    <w:tmpl w:val="8CBBB2BE"/>
    <w:lvl w:ilvl="0" w:tentative="0">
      <w:start w:val="5"/>
      <w:numFmt w:val="decimal"/>
      <w:suff w:val="nothing"/>
      <w:lvlText w:val="%1、"/>
      <w:lvlJc w:val="left"/>
    </w:lvl>
  </w:abstractNum>
  <w:abstractNum w:abstractNumId="1">
    <w:nsid w:val="A145B3D5"/>
    <w:multiLevelType w:val="singleLevel"/>
    <w:tmpl w:val="A145B3D5"/>
    <w:lvl w:ilvl="0" w:tentative="0">
      <w:start w:val="2"/>
      <w:numFmt w:val="decimal"/>
      <w:suff w:val="nothing"/>
      <w:lvlText w:val="%1、"/>
      <w:lvlJc w:val="left"/>
    </w:lvl>
  </w:abstractNum>
  <w:abstractNum w:abstractNumId="2">
    <w:nsid w:val="AC14B8FA"/>
    <w:multiLevelType w:val="singleLevel"/>
    <w:tmpl w:val="AC14B8FA"/>
    <w:lvl w:ilvl="0" w:tentative="0">
      <w:start w:val="1"/>
      <w:numFmt w:val="decimal"/>
      <w:lvlText w:val="(%1)"/>
      <w:lvlJc w:val="left"/>
      <w:pPr>
        <w:tabs>
          <w:tab w:val="left" w:pos="312"/>
        </w:tabs>
      </w:pPr>
    </w:lvl>
  </w:abstractNum>
  <w:abstractNum w:abstractNumId="3">
    <w:nsid w:val="B1F3E89D"/>
    <w:multiLevelType w:val="singleLevel"/>
    <w:tmpl w:val="B1F3E89D"/>
    <w:lvl w:ilvl="0" w:tentative="0">
      <w:start w:val="2"/>
      <w:numFmt w:val="chineseCounting"/>
      <w:suff w:val="nothing"/>
      <w:lvlText w:val="%1、"/>
      <w:lvlJc w:val="left"/>
      <w:rPr>
        <w:rFonts w:hint="eastAsia"/>
      </w:rPr>
    </w:lvl>
  </w:abstractNum>
  <w:abstractNum w:abstractNumId="4">
    <w:nsid w:val="62F27C37"/>
    <w:multiLevelType w:val="singleLevel"/>
    <w:tmpl w:val="62F27C37"/>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hMmRhZjAyZjBkY2Q1MzI5NjViNTU3ZGNjM2MifQ=="/>
    <w:docVar w:name="KSO_WPS_MARK_KEY" w:val="2e117c6c-bf45-429c-986d-c85b8e869154"/>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4300"/>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40A0A"/>
    <w:rsid w:val="00856D74"/>
    <w:rsid w:val="0087135F"/>
    <w:rsid w:val="00872D94"/>
    <w:rsid w:val="0087777B"/>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E6BAA"/>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56058"/>
    <w:rsid w:val="01290F7E"/>
    <w:rsid w:val="013A4E99"/>
    <w:rsid w:val="015D1E09"/>
    <w:rsid w:val="017A5B95"/>
    <w:rsid w:val="0181020C"/>
    <w:rsid w:val="01CF0573"/>
    <w:rsid w:val="021B1886"/>
    <w:rsid w:val="022D29A3"/>
    <w:rsid w:val="02502671"/>
    <w:rsid w:val="02697903"/>
    <w:rsid w:val="029F3B20"/>
    <w:rsid w:val="02A64FC9"/>
    <w:rsid w:val="02B40E52"/>
    <w:rsid w:val="02C45A20"/>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B10489"/>
    <w:rsid w:val="0ADA648F"/>
    <w:rsid w:val="0B0F01F5"/>
    <w:rsid w:val="0B120D44"/>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902CC"/>
    <w:rsid w:val="0CAB2EAE"/>
    <w:rsid w:val="0CC325F6"/>
    <w:rsid w:val="0CD35B77"/>
    <w:rsid w:val="0CDD4940"/>
    <w:rsid w:val="0CF03EA5"/>
    <w:rsid w:val="0D0B15F5"/>
    <w:rsid w:val="0D165B1C"/>
    <w:rsid w:val="0D3273D3"/>
    <w:rsid w:val="0D621C7D"/>
    <w:rsid w:val="0D701E19"/>
    <w:rsid w:val="0D8131CF"/>
    <w:rsid w:val="0DE9054C"/>
    <w:rsid w:val="0E1E41C0"/>
    <w:rsid w:val="0E252DBE"/>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1045758D"/>
    <w:rsid w:val="106D2F64"/>
    <w:rsid w:val="107F453F"/>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CA7AF7"/>
    <w:rsid w:val="136B02B0"/>
    <w:rsid w:val="136D2600"/>
    <w:rsid w:val="13857B72"/>
    <w:rsid w:val="13951726"/>
    <w:rsid w:val="13FD745B"/>
    <w:rsid w:val="14172912"/>
    <w:rsid w:val="14396509"/>
    <w:rsid w:val="14B37DED"/>
    <w:rsid w:val="14DD2C3C"/>
    <w:rsid w:val="150A3C94"/>
    <w:rsid w:val="15143F58"/>
    <w:rsid w:val="1542379B"/>
    <w:rsid w:val="15730DF4"/>
    <w:rsid w:val="15B579D2"/>
    <w:rsid w:val="15BF5AF8"/>
    <w:rsid w:val="15DE6BDE"/>
    <w:rsid w:val="15F2734F"/>
    <w:rsid w:val="16087E1D"/>
    <w:rsid w:val="16177F3D"/>
    <w:rsid w:val="164C6BA7"/>
    <w:rsid w:val="16656570"/>
    <w:rsid w:val="167B24D5"/>
    <w:rsid w:val="173507D2"/>
    <w:rsid w:val="17371DE5"/>
    <w:rsid w:val="17701D14"/>
    <w:rsid w:val="17735226"/>
    <w:rsid w:val="178150EE"/>
    <w:rsid w:val="17B36136"/>
    <w:rsid w:val="17E128FF"/>
    <w:rsid w:val="181C6332"/>
    <w:rsid w:val="18590CEE"/>
    <w:rsid w:val="18722EE9"/>
    <w:rsid w:val="18802C7B"/>
    <w:rsid w:val="189F624C"/>
    <w:rsid w:val="193C7DFD"/>
    <w:rsid w:val="19523E86"/>
    <w:rsid w:val="195C5EBB"/>
    <w:rsid w:val="196E4003"/>
    <w:rsid w:val="198729C4"/>
    <w:rsid w:val="19BA011B"/>
    <w:rsid w:val="19CA3D90"/>
    <w:rsid w:val="19EC74A2"/>
    <w:rsid w:val="1A1C66C0"/>
    <w:rsid w:val="1A331F9B"/>
    <w:rsid w:val="1A42393B"/>
    <w:rsid w:val="1A9A6E9E"/>
    <w:rsid w:val="1AAD45DE"/>
    <w:rsid w:val="1B046F80"/>
    <w:rsid w:val="1B3267B5"/>
    <w:rsid w:val="1B333B1F"/>
    <w:rsid w:val="1B40161D"/>
    <w:rsid w:val="1B441859"/>
    <w:rsid w:val="1B4C4154"/>
    <w:rsid w:val="1B6606B1"/>
    <w:rsid w:val="1B6D24CA"/>
    <w:rsid w:val="1B8E6CC1"/>
    <w:rsid w:val="1B9A39A4"/>
    <w:rsid w:val="1BA14A1C"/>
    <w:rsid w:val="1BB07775"/>
    <w:rsid w:val="1BB357F7"/>
    <w:rsid w:val="1BE507BC"/>
    <w:rsid w:val="1BF3279E"/>
    <w:rsid w:val="1C1C0D7D"/>
    <w:rsid w:val="1C2277C9"/>
    <w:rsid w:val="1C5E7925"/>
    <w:rsid w:val="1C873CC6"/>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3E56E2C"/>
    <w:rsid w:val="240210CD"/>
    <w:rsid w:val="246F11B9"/>
    <w:rsid w:val="24852229"/>
    <w:rsid w:val="24990099"/>
    <w:rsid w:val="249E20BE"/>
    <w:rsid w:val="24BF09F7"/>
    <w:rsid w:val="24E76A0D"/>
    <w:rsid w:val="25113DC2"/>
    <w:rsid w:val="25230915"/>
    <w:rsid w:val="252D53FE"/>
    <w:rsid w:val="2538235C"/>
    <w:rsid w:val="253F7EE2"/>
    <w:rsid w:val="25A832E1"/>
    <w:rsid w:val="25BA7C7E"/>
    <w:rsid w:val="25DA70E9"/>
    <w:rsid w:val="25DB3B72"/>
    <w:rsid w:val="25EA315B"/>
    <w:rsid w:val="25EC2D81"/>
    <w:rsid w:val="25FA62CC"/>
    <w:rsid w:val="26413314"/>
    <w:rsid w:val="26520107"/>
    <w:rsid w:val="26775B6F"/>
    <w:rsid w:val="26B43D88"/>
    <w:rsid w:val="27022E90"/>
    <w:rsid w:val="274C3496"/>
    <w:rsid w:val="274C3DCB"/>
    <w:rsid w:val="274E7F95"/>
    <w:rsid w:val="277057A2"/>
    <w:rsid w:val="27893DAB"/>
    <w:rsid w:val="27966307"/>
    <w:rsid w:val="27AD3A37"/>
    <w:rsid w:val="27DB7391"/>
    <w:rsid w:val="280E2503"/>
    <w:rsid w:val="282B56F5"/>
    <w:rsid w:val="2866547F"/>
    <w:rsid w:val="286D547B"/>
    <w:rsid w:val="287B749D"/>
    <w:rsid w:val="28B37552"/>
    <w:rsid w:val="28BB52B5"/>
    <w:rsid w:val="28BE367B"/>
    <w:rsid w:val="28CF354E"/>
    <w:rsid w:val="28DE04B2"/>
    <w:rsid w:val="28F92EFB"/>
    <w:rsid w:val="291D25EC"/>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0303F1"/>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951BEF"/>
    <w:rsid w:val="2EB37968"/>
    <w:rsid w:val="2EB86BAF"/>
    <w:rsid w:val="2EC456C9"/>
    <w:rsid w:val="2ECD3F6D"/>
    <w:rsid w:val="2EF671D4"/>
    <w:rsid w:val="2EFF6701"/>
    <w:rsid w:val="2F2A7C22"/>
    <w:rsid w:val="2F3A451B"/>
    <w:rsid w:val="2F607BF8"/>
    <w:rsid w:val="2F834477"/>
    <w:rsid w:val="2FD065E6"/>
    <w:rsid w:val="2FD96870"/>
    <w:rsid w:val="30481184"/>
    <w:rsid w:val="30580BC9"/>
    <w:rsid w:val="305E63A5"/>
    <w:rsid w:val="30FA66A3"/>
    <w:rsid w:val="311C0AB9"/>
    <w:rsid w:val="311D279F"/>
    <w:rsid w:val="311E2ED7"/>
    <w:rsid w:val="31344EB6"/>
    <w:rsid w:val="315619EE"/>
    <w:rsid w:val="315C449C"/>
    <w:rsid w:val="318B4325"/>
    <w:rsid w:val="31941C18"/>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9FE3B01"/>
    <w:rsid w:val="3A607713"/>
    <w:rsid w:val="3A872856"/>
    <w:rsid w:val="3A9B39F7"/>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66E23"/>
    <w:rsid w:val="3E104A72"/>
    <w:rsid w:val="3E381E67"/>
    <w:rsid w:val="3EC64853"/>
    <w:rsid w:val="3ED656D0"/>
    <w:rsid w:val="3EDA0523"/>
    <w:rsid w:val="3EDB38F8"/>
    <w:rsid w:val="3F141F6D"/>
    <w:rsid w:val="3F1955BD"/>
    <w:rsid w:val="3F31789C"/>
    <w:rsid w:val="3F4C159B"/>
    <w:rsid w:val="3F4F25C6"/>
    <w:rsid w:val="3F995BB7"/>
    <w:rsid w:val="3FB0494E"/>
    <w:rsid w:val="3FB05F21"/>
    <w:rsid w:val="3FBB6674"/>
    <w:rsid w:val="3FDF03C4"/>
    <w:rsid w:val="3FEE6BFE"/>
    <w:rsid w:val="402A706D"/>
    <w:rsid w:val="403D6E40"/>
    <w:rsid w:val="407A6407"/>
    <w:rsid w:val="411054E7"/>
    <w:rsid w:val="412B738C"/>
    <w:rsid w:val="41652D3C"/>
    <w:rsid w:val="41D35EF7"/>
    <w:rsid w:val="41DD0B24"/>
    <w:rsid w:val="41F66D18"/>
    <w:rsid w:val="41F710D1"/>
    <w:rsid w:val="4200136B"/>
    <w:rsid w:val="4200449D"/>
    <w:rsid w:val="42075D8C"/>
    <w:rsid w:val="420B1699"/>
    <w:rsid w:val="423A3BCC"/>
    <w:rsid w:val="423F4D68"/>
    <w:rsid w:val="42495F45"/>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E4DCC"/>
    <w:rsid w:val="43AF64F0"/>
    <w:rsid w:val="43C4431A"/>
    <w:rsid w:val="43D109C0"/>
    <w:rsid w:val="43DB5B6F"/>
    <w:rsid w:val="43DC0C46"/>
    <w:rsid w:val="43E02B4D"/>
    <w:rsid w:val="440F27D5"/>
    <w:rsid w:val="4413082D"/>
    <w:rsid w:val="44213C99"/>
    <w:rsid w:val="444C3FF6"/>
    <w:rsid w:val="445512D8"/>
    <w:rsid w:val="44584AC0"/>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42295D"/>
    <w:rsid w:val="474415C9"/>
    <w:rsid w:val="47A07E0C"/>
    <w:rsid w:val="4821398F"/>
    <w:rsid w:val="484C3DBB"/>
    <w:rsid w:val="48545A7F"/>
    <w:rsid w:val="4870272E"/>
    <w:rsid w:val="48834CFC"/>
    <w:rsid w:val="48BC3047"/>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BB11C10"/>
    <w:rsid w:val="4C40563E"/>
    <w:rsid w:val="4C4A0649"/>
    <w:rsid w:val="4C6E05FF"/>
    <w:rsid w:val="4C7E397A"/>
    <w:rsid w:val="4C7E5ECA"/>
    <w:rsid w:val="4C876AA5"/>
    <w:rsid w:val="4C8E07F8"/>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EFC6732"/>
    <w:rsid w:val="4F025DD2"/>
    <w:rsid w:val="4F0E76A1"/>
    <w:rsid w:val="4F3D627E"/>
    <w:rsid w:val="4F4766B1"/>
    <w:rsid w:val="4F4C1097"/>
    <w:rsid w:val="4F50655E"/>
    <w:rsid w:val="4F8847C5"/>
    <w:rsid w:val="4F953069"/>
    <w:rsid w:val="4F9843DC"/>
    <w:rsid w:val="4FC62A8C"/>
    <w:rsid w:val="4FC97A5A"/>
    <w:rsid w:val="4FE20F0D"/>
    <w:rsid w:val="4FE45087"/>
    <w:rsid w:val="4FE51552"/>
    <w:rsid w:val="4FE927B5"/>
    <w:rsid w:val="500F2B6B"/>
    <w:rsid w:val="50504C4B"/>
    <w:rsid w:val="50540995"/>
    <w:rsid w:val="505536A3"/>
    <w:rsid w:val="50942735"/>
    <w:rsid w:val="509C6E7C"/>
    <w:rsid w:val="50AD2FD7"/>
    <w:rsid w:val="50B1465B"/>
    <w:rsid w:val="50E772C9"/>
    <w:rsid w:val="51071719"/>
    <w:rsid w:val="512C7E53"/>
    <w:rsid w:val="5162104E"/>
    <w:rsid w:val="51823496"/>
    <w:rsid w:val="51923C49"/>
    <w:rsid w:val="52004FB2"/>
    <w:rsid w:val="521F0CE5"/>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06D5A"/>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DF575A"/>
    <w:rsid w:val="59E263BB"/>
    <w:rsid w:val="59E44380"/>
    <w:rsid w:val="59FC284F"/>
    <w:rsid w:val="5A001706"/>
    <w:rsid w:val="5A4B786B"/>
    <w:rsid w:val="5A5C0273"/>
    <w:rsid w:val="5A8866C7"/>
    <w:rsid w:val="5AB7014D"/>
    <w:rsid w:val="5ABE2233"/>
    <w:rsid w:val="5AEF44DA"/>
    <w:rsid w:val="5B5301C6"/>
    <w:rsid w:val="5BAF393B"/>
    <w:rsid w:val="5BD91F04"/>
    <w:rsid w:val="5BDF5D95"/>
    <w:rsid w:val="5BFE7528"/>
    <w:rsid w:val="5C043425"/>
    <w:rsid w:val="5C2869BF"/>
    <w:rsid w:val="5CAA190C"/>
    <w:rsid w:val="5CDC733E"/>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647D69"/>
    <w:rsid w:val="607F4598"/>
    <w:rsid w:val="608C7032"/>
    <w:rsid w:val="60CC405A"/>
    <w:rsid w:val="60F1754A"/>
    <w:rsid w:val="61493688"/>
    <w:rsid w:val="61B310BB"/>
    <w:rsid w:val="61E215D8"/>
    <w:rsid w:val="61E84C4F"/>
    <w:rsid w:val="61F2362B"/>
    <w:rsid w:val="62011C0C"/>
    <w:rsid w:val="621B3775"/>
    <w:rsid w:val="62265778"/>
    <w:rsid w:val="62314332"/>
    <w:rsid w:val="62364782"/>
    <w:rsid w:val="624276F7"/>
    <w:rsid w:val="62636E14"/>
    <w:rsid w:val="626B0109"/>
    <w:rsid w:val="6299063F"/>
    <w:rsid w:val="62E321EF"/>
    <w:rsid w:val="63400123"/>
    <w:rsid w:val="63676B1D"/>
    <w:rsid w:val="6394356A"/>
    <w:rsid w:val="639F2247"/>
    <w:rsid w:val="63A333EE"/>
    <w:rsid w:val="63C61B2C"/>
    <w:rsid w:val="63D40BE9"/>
    <w:rsid w:val="63E516BC"/>
    <w:rsid w:val="64102431"/>
    <w:rsid w:val="642B09EE"/>
    <w:rsid w:val="644A36BE"/>
    <w:rsid w:val="644C637C"/>
    <w:rsid w:val="647B7D49"/>
    <w:rsid w:val="64834E9A"/>
    <w:rsid w:val="64A11290"/>
    <w:rsid w:val="64A37D6C"/>
    <w:rsid w:val="64A5243A"/>
    <w:rsid w:val="64AE1680"/>
    <w:rsid w:val="64B23636"/>
    <w:rsid w:val="64D53189"/>
    <w:rsid w:val="64D92F75"/>
    <w:rsid w:val="64F531DE"/>
    <w:rsid w:val="65373578"/>
    <w:rsid w:val="654202BE"/>
    <w:rsid w:val="656D2D98"/>
    <w:rsid w:val="65C877D0"/>
    <w:rsid w:val="65DE4CE7"/>
    <w:rsid w:val="65F07DFC"/>
    <w:rsid w:val="661C734D"/>
    <w:rsid w:val="662D557B"/>
    <w:rsid w:val="6655134F"/>
    <w:rsid w:val="666D606B"/>
    <w:rsid w:val="668B7B3C"/>
    <w:rsid w:val="66967BBD"/>
    <w:rsid w:val="66CB2B7A"/>
    <w:rsid w:val="66F84719"/>
    <w:rsid w:val="671F124A"/>
    <w:rsid w:val="67404CC6"/>
    <w:rsid w:val="677A33C6"/>
    <w:rsid w:val="67841204"/>
    <w:rsid w:val="679227C5"/>
    <w:rsid w:val="67DE4B1C"/>
    <w:rsid w:val="67F04070"/>
    <w:rsid w:val="680C6731"/>
    <w:rsid w:val="681F6961"/>
    <w:rsid w:val="682906A8"/>
    <w:rsid w:val="684D29FB"/>
    <w:rsid w:val="685703BD"/>
    <w:rsid w:val="68610A2F"/>
    <w:rsid w:val="68635B97"/>
    <w:rsid w:val="687544F2"/>
    <w:rsid w:val="687B0778"/>
    <w:rsid w:val="687C299A"/>
    <w:rsid w:val="68805514"/>
    <w:rsid w:val="68931AED"/>
    <w:rsid w:val="689A68CC"/>
    <w:rsid w:val="68B6701B"/>
    <w:rsid w:val="68C7460C"/>
    <w:rsid w:val="68D90323"/>
    <w:rsid w:val="68EC014E"/>
    <w:rsid w:val="69114EF8"/>
    <w:rsid w:val="69137507"/>
    <w:rsid w:val="69202632"/>
    <w:rsid w:val="69316E2F"/>
    <w:rsid w:val="694E2071"/>
    <w:rsid w:val="695A29E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94006A"/>
    <w:rsid w:val="6AC17DC9"/>
    <w:rsid w:val="6ADF20B9"/>
    <w:rsid w:val="6AF87E20"/>
    <w:rsid w:val="6B322639"/>
    <w:rsid w:val="6B427B62"/>
    <w:rsid w:val="6B673089"/>
    <w:rsid w:val="6B925E92"/>
    <w:rsid w:val="6BE40930"/>
    <w:rsid w:val="6C0A711F"/>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4C5752"/>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9446DD"/>
    <w:rsid w:val="71B44B4E"/>
    <w:rsid w:val="71D27F8A"/>
    <w:rsid w:val="71E74F23"/>
    <w:rsid w:val="720938E7"/>
    <w:rsid w:val="721327D4"/>
    <w:rsid w:val="7225396E"/>
    <w:rsid w:val="723A4EAD"/>
    <w:rsid w:val="72553024"/>
    <w:rsid w:val="72625F82"/>
    <w:rsid w:val="72D150F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915AA2"/>
    <w:rsid w:val="74A556FF"/>
    <w:rsid w:val="74AA223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02168"/>
    <w:rsid w:val="7A1E5EBA"/>
    <w:rsid w:val="7A364017"/>
    <w:rsid w:val="7A635F69"/>
    <w:rsid w:val="7A7A6852"/>
    <w:rsid w:val="7A810C91"/>
    <w:rsid w:val="7A8265E1"/>
    <w:rsid w:val="7A833760"/>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unhideWhenUsed/>
    <w:qFormat/>
    <w:locked/>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spacing w:before="260" w:after="260" w:line="415" w:lineRule="auto"/>
      <w:outlineLvl w:val="2"/>
    </w:pPr>
    <w:rPr>
      <w:b/>
      <w:bCs/>
      <w:sz w:val="32"/>
      <w:szCs w:val="32"/>
    </w:rPr>
  </w:style>
  <w:style w:type="paragraph" w:styleId="3">
    <w:name w:val="heading 4"/>
    <w:basedOn w:val="1"/>
    <w:next w:val="1"/>
    <w:qFormat/>
    <w:locked/>
    <w:uiPriority w:val="0"/>
    <w:pPr>
      <w:keepNext/>
      <w:keepLines/>
      <w:tabs>
        <w:tab w:val="left" w:pos="2880"/>
      </w:tabs>
      <w:spacing w:before="280" w:after="290" w:line="372" w:lineRule="auto"/>
      <w:ind w:left="2880" w:hanging="360"/>
      <w:outlineLvl w:val="3"/>
    </w:pPr>
    <w:rPr>
      <w:rFonts w:ascii="Arial" w:hAnsi="Arial" w:eastAsia="黑体" w:cs="宋体"/>
      <w:b/>
      <w:bCs/>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7">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8">
    <w:name w:val="annotation text"/>
    <w:basedOn w:val="1"/>
    <w:link w:val="49"/>
    <w:semiHidden/>
    <w:qFormat/>
    <w:uiPriority w:val="0"/>
    <w:pPr>
      <w:jc w:val="left"/>
    </w:pPr>
    <w:rPr>
      <w:kern w:val="0"/>
      <w:sz w:val="24"/>
      <w:szCs w:val="20"/>
    </w:rPr>
  </w:style>
  <w:style w:type="paragraph" w:styleId="9">
    <w:name w:val="Body Text"/>
    <w:basedOn w:val="1"/>
    <w:next w:val="1"/>
    <w:link w:val="50"/>
    <w:qFormat/>
    <w:uiPriority w:val="0"/>
    <w:pPr>
      <w:widowControl/>
      <w:snapToGrid w:val="0"/>
      <w:spacing w:before="60" w:after="160" w:line="259" w:lineRule="auto"/>
      <w:ind w:right="113"/>
    </w:pPr>
    <w:rPr>
      <w:kern w:val="0"/>
      <w:sz w:val="18"/>
      <w:szCs w:val="20"/>
    </w:rPr>
  </w:style>
  <w:style w:type="paragraph" w:styleId="10">
    <w:name w:val="Body Text Indent"/>
    <w:basedOn w:val="1"/>
    <w:next w:val="11"/>
    <w:link w:val="48"/>
    <w:qFormat/>
    <w:uiPriority w:val="0"/>
    <w:pPr>
      <w:spacing w:after="120"/>
      <w:ind w:left="420" w:leftChars="200"/>
    </w:pPr>
    <w:rPr>
      <w:kern w:val="0"/>
      <w:sz w:val="24"/>
      <w:szCs w:val="20"/>
    </w:rPr>
  </w:style>
  <w:style w:type="paragraph" w:styleId="11">
    <w:name w:val="header"/>
    <w:basedOn w:val="1"/>
    <w:next w:val="12"/>
    <w:link w:val="54"/>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2">
    <w:name w:val="样式5"/>
    <w:basedOn w:val="13"/>
    <w:next w:val="14"/>
    <w:qFormat/>
    <w:uiPriority w:val="0"/>
    <w:pPr>
      <w:adjustRightInd w:val="0"/>
      <w:snapToGrid w:val="0"/>
      <w:spacing w:line="460" w:lineRule="exact"/>
      <w:ind w:firstLine="200"/>
      <w:textAlignment w:val="baseline"/>
    </w:pPr>
    <w:rPr>
      <w:rFonts w:ascii="Arial" w:hAnsi="Arial"/>
    </w:rPr>
  </w:style>
  <w:style w:type="paragraph" w:customStyle="1" w:styleId="13">
    <w:name w:val="正文1"/>
    <w:basedOn w:val="1"/>
    <w:next w:val="1"/>
    <w:link w:val="55"/>
    <w:qFormat/>
    <w:uiPriority w:val="0"/>
    <w:pPr>
      <w:spacing w:line="360" w:lineRule="auto"/>
      <w:ind w:firstLine="480" w:firstLineChars="200"/>
    </w:pPr>
    <w:rPr>
      <w:snapToGrid w:val="0"/>
      <w:kern w:val="0"/>
      <w:sz w:val="24"/>
      <w:szCs w:val="20"/>
    </w:rPr>
  </w:style>
  <w:style w:type="paragraph" w:styleId="14">
    <w:name w:val="endnote text"/>
    <w:basedOn w:val="1"/>
    <w:unhideWhenUsed/>
    <w:qFormat/>
    <w:locked/>
    <w:uiPriority w:val="0"/>
    <w:pPr>
      <w:snapToGrid w:val="0"/>
      <w:jc w:val="left"/>
    </w:pPr>
    <w:rPr>
      <w:rFonts w:ascii="Calibri" w:hAnsi="Calibri"/>
      <w:sz w:val="24"/>
      <w:szCs w:val="22"/>
    </w:rPr>
  </w:style>
  <w:style w:type="paragraph" w:styleId="15">
    <w:name w:val="Block Text"/>
    <w:basedOn w:val="1"/>
    <w:next w:val="1"/>
    <w:qFormat/>
    <w:locked/>
    <w:uiPriority w:val="0"/>
    <w:pPr>
      <w:ind w:left="137" w:right="116" w:firstLine="317"/>
    </w:pPr>
    <w:rPr>
      <w:sz w:val="28"/>
    </w:rPr>
  </w:style>
  <w:style w:type="paragraph" w:styleId="16">
    <w:name w:val="Plain Text"/>
    <w:basedOn w:val="1"/>
    <w:next w:val="17"/>
    <w:unhideWhenUsed/>
    <w:qFormat/>
    <w:locked/>
    <w:uiPriority w:val="0"/>
    <w:rPr>
      <w:rFonts w:ascii="font404" w:hAnsi="font404" w:cs="宋体"/>
      <w:szCs w:val="21"/>
    </w:rPr>
  </w:style>
  <w:style w:type="paragraph" w:styleId="17">
    <w:name w:val="List Continue 5"/>
    <w:basedOn w:val="1"/>
    <w:unhideWhenUsed/>
    <w:qFormat/>
    <w:locked/>
    <w:uiPriority w:val="99"/>
    <w:pPr>
      <w:spacing w:after="120"/>
      <w:ind w:left="2100" w:leftChars="1000"/>
    </w:pPr>
  </w:style>
  <w:style w:type="paragraph" w:styleId="18">
    <w:name w:val="toc 8"/>
    <w:basedOn w:val="1"/>
    <w:next w:val="1"/>
    <w:qFormat/>
    <w:locked/>
    <w:uiPriority w:val="0"/>
    <w:pPr>
      <w:ind w:left="1470"/>
      <w:jc w:val="left"/>
    </w:pPr>
    <w:rPr>
      <w:sz w:val="18"/>
      <w:szCs w:val="18"/>
    </w:rPr>
  </w:style>
  <w:style w:type="paragraph" w:styleId="19">
    <w:name w:val="Date"/>
    <w:basedOn w:val="1"/>
    <w:next w:val="1"/>
    <w:link w:val="51"/>
    <w:qFormat/>
    <w:uiPriority w:val="0"/>
    <w:pPr>
      <w:ind w:left="100" w:leftChars="2500"/>
    </w:pPr>
    <w:rPr>
      <w:kern w:val="0"/>
      <w:sz w:val="24"/>
      <w:szCs w:val="20"/>
    </w:rPr>
  </w:style>
  <w:style w:type="paragraph" w:styleId="20">
    <w:name w:val="Body Text Indent 2"/>
    <w:basedOn w:val="1"/>
    <w:qFormat/>
    <w:locked/>
    <w:uiPriority w:val="0"/>
    <w:pPr>
      <w:spacing w:line="420" w:lineRule="exact"/>
      <w:ind w:right="-78" w:firstLine="450"/>
    </w:pPr>
    <w:rPr>
      <w:sz w:val="24"/>
    </w:rPr>
  </w:style>
  <w:style w:type="paragraph" w:styleId="21">
    <w:name w:val="Balloon Text"/>
    <w:basedOn w:val="1"/>
    <w:link w:val="52"/>
    <w:semiHidden/>
    <w:qFormat/>
    <w:uiPriority w:val="0"/>
    <w:rPr>
      <w:kern w:val="0"/>
      <w:sz w:val="18"/>
      <w:szCs w:val="20"/>
    </w:rPr>
  </w:style>
  <w:style w:type="paragraph" w:styleId="22">
    <w:name w:val="footer"/>
    <w:basedOn w:val="1"/>
    <w:next w:val="1"/>
    <w:link w:val="53"/>
    <w:qFormat/>
    <w:uiPriority w:val="99"/>
    <w:pPr>
      <w:tabs>
        <w:tab w:val="center" w:pos="4153"/>
        <w:tab w:val="right" w:pos="8306"/>
      </w:tabs>
      <w:snapToGrid w:val="0"/>
      <w:jc w:val="left"/>
    </w:pPr>
    <w:rPr>
      <w:kern w:val="0"/>
      <w:sz w:val="18"/>
      <w:szCs w:val="20"/>
    </w:rPr>
  </w:style>
  <w:style w:type="paragraph" w:styleId="23">
    <w:name w:val="toc 1"/>
    <w:basedOn w:val="1"/>
    <w:next w:val="1"/>
    <w:qFormat/>
    <w:locked/>
    <w:uiPriority w:val="0"/>
  </w:style>
  <w:style w:type="paragraph" w:styleId="24">
    <w:name w:val="Subtitle"/>
    <w:basedOn w:val="1"/>
    <w:next w:val="1"/>
    <w:qFormat/>
    <w:locked/>
    <w:uiPriority w:val="0"/>
    <w:pPr>
      <w:jc w:val="center"/>
    </w:pPr>
    <w:rPr>
      <w:bCs/>
      <w:color w:val="000000"/>
      <w:kern w:val="28"/>
      <w:szCs w:val="32"/>
    </w:rPr>
  </w:style>
  <w:style w:type="paragraph" w:styleId="25">
    <w:name w:val="Body Text Indent 3"/>
    <w:basedOn w:val="1"/>
    <w:qFormat/>
    <w:locked/>
    <w:uiPriority w:val="0"/>
    <w:pPr>
      <w:spacing w:after="120"/>
      <w:ind w:left="420"/>
    </w:pPr>
    <w:rPr>
      <w:sz w:val="16"/>
    </w:rPr>
  </w:style>
  <w:style w:type="paragraph" w:styleId="26">
    <w:name w:val="table of figures"/>
    <w:basedOn w:val="1"/>
    <w:next w:val="1"/>
    <w:unhideWhenUsed/>
    <w:qFormat/>
    <w:locked/>
    <w:uiPriority w:val="0"/>
    <w:pPr>
      <w:ind w:left="200" w:leftChars="200" w:hanging="200" w:hangingChars="200"/>
    </w:pPr>
    <w:rPr>
      <w:szCs w:val="21"/>
    </w:rPr>
  </w:style>
  <w:style w:type="paragraph" w:styleId="27">
    <w:name w:val="toc 2"/>
    <w:basedOn w:val="1"/>
    <w:next w:val="1"/>
    <w:qFormat/>
    <w:locked/>
    <w:uiPriority w:val="0"/>
    <w:pPr>
      <w:ind w:left="420" w:leftChars="200"/>
    </w:pPr>
  </w:style>
  <w:style w:type="paragraph" w:styleId="28">
    <w:name w:val="Normal (Web)"/>
    <w:basedOn w:val="1"/>
    <w:next w:val="18"/>
    <w:link w:val="56"/>
    <w:qFormat/>
    <w:uiPriority w:val="0"/>
    <w:pPr>
      <w:widowControl/>
      <w:spacing w:before="100" w:beforeAutospacing="1" w:after="100" w:afterAutospacing="1"/>
      <w:jc w:val="left"/>
    </w:pPr>
    <w:rPr>
      <w:rFonts w:ascii="宋体" w:hAnsi="宋体"/>
      <w:kern w:val="0"/>
      <w:sz w:val="24"/>
      <w:szCs w:val="20"/>
    </w:rPr>
  </w:style>
  <w:style w:type="paragraph" w:styleId="29">
    <w:name w:val="annotation subject"/>
    <w:basedOn w:val="8"/>
    <w:next w:val="8"/>
    <w:link w:val="57"/>
    <w:semiHidden/>
    <w:qFormat/>
    <w:uiPriority w:val="0"/>
    <w:rPr>
      <w:b/>
    </w:rPr>
  </w:style>
  <w:style w:type="paragraph" w:styleId="30">
    <w:name w:val="Body Text First Indent"/>
    <w:basedOn w:val="9"/>
    <w:next w:val="1"/>
    <w:qFormat/>
    <w:locked/>
    <w:uiPriority w:val="0"/>
    <w:pPr>
      <w:spacing w:after="120"/>
      <w:ind w:firstLine="420" w:firstLineChars="100"/>
    </w:pPr>
    <w:rPr>
      <w:sz w:val="21"/>
    </w:rPr>
  </w:style>
  <w:style w:type="paragraph" w:styleId="31">
    <w:name w:val="Body Text First Indent 2"/>
    <w:basedOn w:val="10"/>
    <w:next w:val="1"/>
    <w:qFormat/>
    <w:locked/>
    <w:uiPriority w:val="0"/>
    <w:pPr>
      <w:ind w:firstLine="420" w:firstLineChars="200"/>
    </w:pPr>
    <w:rPr>
      <w:kern w:val="2"/>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locked/>
    <w:uiPriority w:val="0"/>
    <w:rPr>
      <w:b/>
    </w:rPr>
  </w:style>
  <w:style w:type="character" w:styleId="36">
    <w:name w:val="page number"/>
    <w:qFormat/>
    <w:locked/>
    <w:uiPriority w:val="0"/>
  </w:style>
  <w:style w:type="character" w:styleId="37">
    <w:name w:val="Hyperlink"/>
    <w:basedOn w:val="34"/>
    <w:qFormat/>
    <w:locked/>
    <w:uiPriority w:val="0"/>
    <w:rPr>
      <w:color w:val="0000FF"/>
      <w:u w:val="single"/>
    </w:rPr>
  </w:style>
  <w:style w:type="character" w:styleId="38">
    <w:name w:val="annotation reference"/>
    <w:semiHidden/>
    <w:qFormat/>
    <w:uiPriority w:val="0"/>
    <w:rPr>
      <w:sz w:val="21"/>
    </w:rPr>
  </w:style>
  <w:style w:type="paragraph" w:customStyle="1" w:styleId="39">
    <w:name w:val="标 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40">
    <w:name w:val="默认段落"/>
    <w:basedOn w:val="1"/>
    <w:qFormat/>
    <w:uiPriority w:val="0"/>
  </w:style>
  <w:style w:type="paragraph" w:customStyle="1" w:styleId="41">
    <w:name w:val="报告正文"/>
    <w:basedOn w:val="1"/>
    <w:qFormat/>
    <w:uiPriority w:val="0"/>
    <w:pPr>
      <w:spacing w:line="480" w:lineRule="exact"/>
      <w:ind w:firstLine="200" w:firstLineChars="200"/>
    </w:pPr>
    <w:rPr>
      <w:color w:val="000000"/>
      <w:sz w:val="24"/>
    </w:rPr>
  </w:style>
  <w:style w:type="paragraph" w:customStyle="1" w:styleId="42">
    <w:name w:val="Default"/>
    <w:basedOn w:val="43"/>
    <w:next w:val="1"/>
    <w:qFormat/>
    <w:uiPriority w:val="0"/>
    <w:rPr>
      <w:rFonts w:ascii="仿宋_GB2312" w:eastAsia="仿宋_GB2312" w:cs="仿宋_GB2312"/>
      <w:color w:val="000000"/>
      <w:sz w:val="24"/>
      <w:szCs w:val="24"/>
    </w:rPr>
  </w:style>
  <w:style w:type="paragraph" w:customStyle="1" w:styleId="43">
    <w:name w:val="纯文本1"/>
    <w:basedOn w:val="1"/>
    <w:qFormat/>
    <w:uiPriority w:val="99"/>
    <w:pPr>
      <w:autoSpaceDE w:val="0"/>
      <w:autoSpaceDN w:val="0"/>
      <w:adjustRightInd w:val="0"/>
      <w:textAlignment w:val="baseline"/>
    </w:pPr>
    <w:rPr>
      <w:rFonts w:ascii="宋体"/>
      <w:szCs w:val="20"/>
    </w:rPr>
  </w:style>
  <w:style w:type="paragraph" w:customStyle="1" w:styleId="4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样式 样式 样式 四号 左侧:  1.53 厘米 + 首行缩进:  2 字符 + 居中 左侧:  2 字符 首行缩进:  2..."/>
    <w:basedOn w:val="46"/>
    <w:qFormat/>
    <w:uiPriority w:val="0"/>
    <w:pPr>
      <w:spacing w:line="360" w:lineRule="auto"/>
      <w:jc w:val="center"/>
    </w:pPr>
  </w:style>
  <w:style w:type="paragraph" w:customStyle="1" w:styleId="46">
    <w:name w:val="样式 样式 四号 左侧:  1.53 厘米 + 首行缩进:  2 字符"/>
    <w:basedOn w:val="47"/>
    <w:qFormat/>
    <w:uiPriority w:val="99"/>
    <w:pPr>
      <w:ind w:left="200" w:leftChars="200"/>
    </w:pPr>
    <w:rPr>
      <w:szCs w:val="20"/>
    </w:rPr>
  </w:style>
  <w:style w:type="paragraph" w:customStyle="1" w:styleId="47">
    <w:name w:val="样式 四号 左侧:  1.53 厘米"/>
    <w:basedOn w:val="1"/>
    <w:qFormat/>
    <w:uiPriority w:val="99"/>
    <w:rPr>
      <w:w w:val="90"/>
      <w:sz w:val="28"/>
      <w:szCs w:val="28"/>
    </w:rPr>
  </w:style>
  <w:style w:type="character" w:customStyle="1" w:styleId="48">
    <w:name w:val="正文文本缩进 字符"/>
    <w:link w:val="10"/>
    <w:semiHidden/>
    <w:qFormat/>
    <w:locked/>
    <w:uiPriority w:val="0"/>
    <w:rPr>
      <w:rFonts w:ascii="Times New Roman" w:hAnsi="Times New Roman" w:eastAsia="宋体"/>
      <w:sz w:val="24"/>
    </w:rPr>
  </w:style>
  <w:style w:type="character" w:customStyle="1" w:styleId="49">
    <w:name w:val="批注文字 字符"/>
    <w:link w:val="8"/>
    <w:qFormat/>
    <w:locked/>
    <w:uiPriority w:val="0"/>
    <w:rPr>
      <w:rFonts w:ascii="Times New Roman" w:hAnsi="Times New Roman" w:eastAsia="宋体"/>
      <w:sz w:val="24"/>
    </w:rPr>
  </w:style>
  <w:style w:type="character" w:customStyle="1" w:styleId="50">
    <w:name w:val="正文文本 字符"/>
    <w:link w:val="9"/>
    <w:qFormat/>
    <w:locked/>
    <w:uiPriority w:val="0"/>
    <w:rPr>
      <w:sz w:val="18"/>
    </w:rPr>
  </w:style>
  <w:style w:type="character" w:customStyle="1" w:styleId="51">
    <w:name w:val="日期 字符1"/>
    <w:link w:val="19"/>
    <w:qFormat/>
    <w:locked/>
    <w:uiPriority w:val="0"/>
    <w:rPr>
      <w:rFonts w:ascii="Times New Roman" w:hAnsi="Times New Roman" w:eastAsia="宋体"/>
      <w:sz w:val="24"/>
    </w:rPr>
  </w:style>
  <w:style w:type="character" w:customStyle="1" w:styleId="52">
    <w:name w:val="批注框文本 字符"/>
    <w:link w:val="21"/>
    <w:semiHidden/>
    <w:qFormat/>
    <w:locked/>
    <w:uiPriority w:val="0"/>
    <w:rPr>
      <w:rFonts w:ascii="Times New Roman" w:hAnsi="Times New Roman" w:eastAsia="宋体"/>
      <w:sz w:val="18"/>
    </w:rPr>
  </w:style>
  <w:style w:type="character" w:customStyle="1" w:styleId="53">
    <w:name w:val="页脚 字符1"/>
    <w:link w:val="22"/>
    <w:qFormat/>
    <w:locked/>
    <w:uiPriority w:val="99"/>
    <w:rPr>
      <w:sz w:val="18"/>
    </w:rPr>
  </w:style>
  <w:style w:type="character" w:customStyle="1" w:styleId="54">
    <w:name w:val="页眉 字符"/>
    <w:link w:val="11"/>
    <w:qFormat/>
    <w:locked/>
    <w:uiPriority w:val="0"/>
    <w:rPr>
      <w:sz w:val="18"/>
    </w:rPr>
  </w:style>
  <w:style w:type="character" w:customStyle="1" w:styleId="55">
    <w:name w:val="正文1 Char"/>
    <w:link w:val="13"/>
    <w:qFormat/>
    <w:uiPriority w:val="0"/>
    <w:rPr>
      <w:snapToGrid/>
      <w:sz w:val="24"/>
    </w:rPr>
  </w:style>
  <w:style w:type="character" w:customStyle="1" w:styleId="56">
    <w:name w:val="普通(网站) 字符"/>
    <w:link w:val="28"/>
    <w:qFormat/>
    <w:locked/>
    <w:uiPriority w:val="0"/>
    <w:rPr>
      <w:rFonts w:ascii="宋体" w:hAnsi="宋体" w:eastAsia="宋体"/>
      <w:sz w:val="24"/>
    </w:rPr>
  </w:style>
  <w:style w:type="character" w:customStyle="1" w:styleId="57">
    <w:name w:val="批注主题 字符"/>
    <w:link w:val="29"/>
    <w:semiHidden/>
    <w:qFormat/>
    <w:locked/>
    <w:uiPriority w:val="0"/>
    <w:rPr>
      <w:rFonts w:ascii="Times New Roman" w:hAnsi="Times New Roman" w:eastAsia="宋体"/>
      <w:b/>
      <w:kern w:val="2"/>
      <w:sz w:val="24"/>
    </w:rPr>
  </w:style>
  <w:style w:type="character" w:customStyle="1" w:styleId="58">
    <w:name w:val="表格 Char"/>
    <w:link w:val="59"/>
    <w:qFormat/>
    <w:locked/>
    <w:uiPriority w:val="0"/>
    <w:rPr>
      <w:rFonts w:ascii="宋体"/>
      <w:sz w:val="21"/>
    </w:rPr>
  </w:style>
  <w:style w:type="paragraph" w:customStyle="1" w:styleId="59">
    <w:name w:val="表格"/>
    <w:basedOn w:val="2"/>
    <w:next w:val="1"/>
    <w:link w:val="58"/>
    <w:qFormat/>
    <w:uiPriority w:val="0"/>
    <w:pPr>
      <w:snapToGrid w:val="0"/>
      <w:spacing w:beforeLines="10" w:afterLines="10" w:line="259" w:lineRule="auto"/>
      <w:jc w:val="center"/>
    </w:pPr>
    <w:rPr>
      <w:rFonts w:ascii="宋体"/>
    </w:rPr>
  </w:style>
  <w:style w:type="paragraph" w:customStyle="1" w:styleId="60">
    <w:name w:val="表格文字"/>
    <w:basedOn w:val="9"/>
    <w:next w:val="9"/>
    <w:qFormat/>
    <w:uiPriority w:val="0"/>
    <w:pPr>
      <w:adjustRightInd w:val="0"/>
      <w:spacing w:line="400" w:lineRule="atLeast"/>
      <w:jc w:val="center"/>
    </w:pPr>
    <w:rPr>
      <w:kern w:val="24"/>
      <w:sz w:val="24"/>
    </w:rPr>
  </w:style>
  <w:style w:type="character" w:customStyle="1" w:styleId="61">
    <w:name w:val="正文文本 字符1"/>
    <w:semiHidden/>
    <w:qFormat/>
    <w:uiPriority w:val="0"/>
    <w:rPr>
      <w:rFonts w:ascii="Times New Roman" w:hAnsi="Times New Roman" w:eastAsia="宋体"/>
      <w:sz w:val="24"/>
    </w:rPr>
  </w:style>
  <w:style w:type="character" w:customStyle="1" w:styleId="62">
    <w:name w:val="font01"/>
    <w:qFormat/>
    <w:uiPriority w:val="0"/>
    <w:rPr>
      <w:rFonts w:ascii="Calibri" w:hAnsi="Calibri" w:cs="Calibri"/>
      <w:color w:val="000000"/>
      <w:sz w:val="22"/>
      <w:szCs w:val="22"/>
      <w:u w:val="none"/>
    </w:rPr>
  </w:style>
  <w:style w:type="character" w:customStyle="1" w:styleId="63">
    <w:name w:val="日期 字符"/>
    <w:semiHidden/>
    <w:qFormat/>
    <w:uiPriority w:val="0"/>
    <w:rPr>
      <w:rFonts w:ascii="Times New Roman" w:hAnsi="Times New Roman" w:eastAsia="宋体"/>
      <w:sz w:val="24"/>
    </w:rPr>
  </w:style>
  <w:style w:type="character" w:customStyle="1" w:styleId="64">
    <w:name w:val="font41"/>
    <w:qFormat/>
    <w:uiPriority w:val="0"/>
    <w:rPr>
      <w:rFonts w:hint="eastAsia" w:ascii="宋体" w:hAnsi="宋体" w:eastAsia="宋体" w:cs="宋体"/>
      <w:color w:val="000000"/>
      <w:sz w:val="22"/>
      <w:szCs w:val="22"/>
      <w:u w:val="none"/>
    </w:rPr>
  </w:style>
  <w:style w:type="character" w:customStyle="1" w:styleId="65">
    <w:name w:val="font11"/>
    <w:qFormat/>
    <w:uiPriority w:val="0"/>
    <w:rPr>
      <w:rFonts w:hint="eastAsia" w:ascii="宋体" w:hAnsi="宋体" w:eastAsia="宋体" w:cs="宋体"/>
      <w:color w:val="000000"/>
      <w:sz w:val="22"/>
      <w:szCs w:val="22"/>
      <w:u w:val="none"/>
    </w:rPr>
  </w:style>
  <w:style w:type="character" w:customStyle="1" w:styleId="66">
    <w:name w:val="批注文字 字符1"/>
    <w:semiHidden/>
    <w:qFormat/>
    <w:uiPriority w:val="0"/>
    <w:rPr>
      <w:rFonts w:ascii="Times New Roman" w:hAnsi="Times New Roman" w:eastAsia="宋体"/>
      <w:sz w:val="24"/>
    </w:rPr>
  </w:style>
  <w:style w:type="character" w:customStyle="1" w:styleId="67">
    <w:name w:val="页脚 字符"/>
    <w:qFormat/>
    <w:uiPriority w:val="99"/>
  </w:style>
  <w:style w:type="paragraph" w:customStyle="1" w:styleId="68">
    <w:name w:val="表头"/>
    <w:basedOn w:val="2"/>
    <w:next w:val="2"/>
    <w:qFormat/>
    <w:uiPriority w:val="0"/>
    <w:pPr>
      <w:spacing w:line="360" w:lineRule="auto"/>
      <w:ind w:firstLine="300" w:firstLineChars="300"/>
    </w:pPr>
    <w:rPr>
      <w:rFonts w:ascii="黑体" w:eastAsia="黑体"/>
      <w:sz w:val="24"/>
    </w:rPr>
  </w:style>
  <w:style w:type="paragraph" w:customStyle="1" w:styleId="69">
    <w:name w:val="正文缩进1"/>
    <w:basedOn w:val="1"/>
    <w:qFormat/>
    <w:uiPriority w:val="0"/>
    <w:pPr>
      <w:ind w:firstLine="480" w:firstLineChars="200"/>
    </w:pPr>
    <w:rPr>
      <w:rFonts w:ascii="Arial" w:hAnsi="Arial"/>
      <w:snapToGrid w:val="0"/>
      <w:sz w:val="24"/>
      <w:szCs w:val="20"/>
    </w:rPr>
  </w:style>
  <w:style w:type="paragraph" w:customStyle="1" w:styleId="70">
    <w:name w:val="Body text|1"/>
    <w:basedOn w:val="1"/>
    <w:qFormat/>
    <w:uiPriority w:val="0"/>
    <w:pPr>
      <w:spacing w:line="391" w:lineRule="auto"/>
      <w:ind w:firstLine="400"/>
    </w:pPr>
    <w:rPr>
      <w:rFonts w:ascii="宋体" w:hAnsi="宋体" w:cs="宋体"/>
      <w:sz w:val="30"/>
      <w:szCs w:val="30"/>
      <w:lang w:val="zh-TW" w:eastAsia="zh-TW" w:bidi="zh-TW"/>
    </w:rPr>
  </w:style>
  <w:style w:type="paragraph" w:customStyle="1" w:styleId="7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4">
    <w:name w:val="二级无标题条"/>
    <w:basedOn w:val="1"/>
    <w:qFormat/>
    <w:uiPriority w:val="0"/>
  </w:style>
  <w:style w:type="paragraph" w:styleId="75">
    <w:name w:val="List Paragraph"/>
    <w:basedOn w:val="1"/>
    <w:qFormat/>
    <w:uiPriority w:val="34"/>
    <w:pPr>
      <w:ind w:firstLine="420" w:firstLineChars="200"/>
    </w:pPr>
  </w:style>
  <w:style w:type="paragraph" w:customStyle="1" w:styleId="76">
    <w:name w:val="段落"/>
    <w:basedOn w:val="1"/>
    <w:qFormat/>
    <w:uiPriority w:val="0"/>
    <w:pPr>
      <w:ind w:firstLine="480" w:firstLineChars="200"/>
    </w:pPr>
    <w:rPr>
      <w:sz w:val="24"/>
    </w:rPr>
  </w:style>
  <w:style w:type="paragraph" w:customStyle="1" w:styleId="77">
    <w:name w:val="样式 小四 行距: 固定值 24 磅 首行缩进:  2 字符"/>
    <w:basedOn w:val="1"/>
    <w:qFormat/>
    <w:uiPriority w:val="0"/>
    <w:pPr>
      <w:spacing w:line="440" w:lineRule="exact"/>
      <w:ind w:firstLine="200"/>
    </w:pPr>
  </w:style>
  <w:style w:type="paragraph" w:customStyle="1" w:styleId="78">
    <w:name w:val="标题111"/>
    <w:basedOn w:val="1"/>
    <w:qFormat/>
    <w:uiPriority w:val="0"/>
    <w:pPr>
      <w:spacing w:line="480" w:lineRule="exact"/>
    </w:pPr>
    <w:rPr>
      <w:b/>
      <w:sz w:val="24"/>
    </w:rPr>
  </w:style>
  <w:style w:type="paragraph" w:customStyle="1" w:styleId="79">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80">
    <w:name w:val="p0"/>
    <w:basedOn w:val="1"/>
    <w:qFormat/>
    <w:uiPriority w:val="0"/>
    <w:pPr>
      <w:widowControl/>
    </w:pPr>
    <w:rPr>
      <w:kern w:val="0"/>
    </w:rPr>
  </w:style>
  <w:style w:type="paragraph" w:customStyle="1" w:styleId="81">
    <w:name w:val="Table Paragraph"/>
    <w:basedOn w:val="1"/>
    <w:qFormat/>
    <w:uiPriority w:val="0"/>
    <w:pPr>
      <w:jc w:val="center"/>
    </w:pPr>
    <w:rPr>
      <w:rFonts w:ascii="宋体" w:hAnsi="宋体" w:cs="宋体"/>
      <w:lang w:val="zh-CN" w:bidi="zh-CN"/>
    </w:rPr>
  </w:style>
  <w:style w:type="paragraph" w:customStyle="1" w:styleId="82">
    <w:name w:val="正文内容"/>
    <w:basedOn w:val="1"/>
    <w:qFormat/>
    <w:uiPriority w:val="0"/>
    <w:pPr>
      <w:spacing w:line="360" w:lineRule="auto"/>
      <w:ind w:firstLine="567"/>
    </w:pPr>
    <w:rPr>
      <w:rFonts w:ascii="宋体"/>
      <w:sz w:val="24"/>
    </w:rPr>
  </w:style>
  <w:style w:type="paragraph" w:customStyle="1" w:styleId="83">
    <w:name w:val="正文正"/>
    <w:basedOn w:val="1"/>
    <w:qFormat/>
    <w:uiPriority w:val="0"/>
    <w:pPr>
      <w:ind w:firstLine="560" w:firstLineChars="200"/>
    </w:pPr>
    <w:rPr>
      <w:sz w:val="28"/>
    </w:rPr>
  </w:style>
  <w:style w:type="paragraph" w:customStyle="1" w:styleId="84">
    <w:name w:val="Other|1"/>
    <w:basedOn w:val="1"/>
    <w:qFormat/>
    <w:uiPriority w:val="0"/>
    <w:pPr>
      <w:spacing w:line="427" w:lineRule="auto"/>
      <w:ind w:firstLine="400"/>
    </w:pPr>
    <w:rPr>
      <w:rFonts w:ascii="宋体" w:hAnsi="宋体" w:cs="宋体"/>
      <w:sz w:val="28"/>
      <w:szCs w:val="28"/>
      <w:lang w:val="zh-TW" w:eastAsia="zh-TW" w:bidi="zh-TW"/>
    </w:rPr>
  </w:style>
  <w:style w:type="paragraph" w:customStyle="1" w:styleId="85">
    <w:name w:val="表格内容"/>
    <w:basedOn w:val="1"/>
    <w:qFormat/>
    <w:uiPriority w:val="0"/>
    <w:pPr>
      <w:autoSpaceDE w:val="0"/>
      <w:autoSpaceDN w:val="0"/>
      <w:adjustRightInd w:val="0"/>
      <w:snapToGrid w:val="0"/>
      <w:spacing w:line="360" w:lineRule="exact"/>
      <w:jc w:val="center"/>
    </w:pPr>
    <w:rPr>
      <w:szCs w:val="21"/>
    </w:rPr>
  </w:style>
  <w:style w:type="paragraph" w:customStyle="1" w:styleId="86">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7">
    <w:name w:val="表"/>
    <w:basedOn w:val="1"/>
    <w:qFormat/>
    <w:uiPriority w:val="0"/>
    <w:pPr>
      <w:widowControl/>
      <w:jc w:val="center"/>
    </w:pPr>
    <w:rPr>
      <w:rFonts w:ascii="黑体" w:eastAsia="黑体"/>
      <w:kern w:val="0"/>
    </w:rPr>
  </w:style>
  <w:style w:type="paragraph" w:customStyle="1" w:styleId="88">
    <w:name w:val="样式1"/>
    <w:basedOn w:val="1"/>
    <w:qFormat/>
    <w:uiPriority w:val="0"/>
    <w:pPr>
      <w:tabs>
        <w:tab w:val="left" w:pos="1200"/>
      </w:tabs>
      <w:adjustRightInd w:val="0"/>
      <w:snapToGrid w:val="0"/>
      <w:spacing w:line="360" w:lineRule="auto"/>
    </w:pPr>
    <w:rPr>
      <w:sz w:val="28"/>
    </w:rPr>
  </w:style>
  <w:style w:type="paragraph" w:customStyle="1" w:styleId="89">
    <w:name w:val="三级标题"/>
    <w:basedOn w:val="1"/>
    <w:next w:val="31"/>
    <w:qFormat/>
    <w:uiPriority w:val="0"/>
    <w:pPr>
      <w:adjustRightInd w:val="0"/>
      <w:snapToGrid w:val="0"/>
      <w:spacing w:line="320" w:lineRule="exact"/>
      <w:jc w:val="center"/>
    </w:pPr>
    <w:rPr>
      <w:b/>
      <w:bCs/>
      <w:kern w:val="0"/>
      <w:szCs w:val="21"/>
    </w:rPr>
  </w:style>
  <w:style w:type="paragraph" w:customStyle="1" w:styleId="90">
    <w:name w:val="样式 四号 首行缩进:  2 字符"/>
    <w:basedOn w:val="1"/>
    <w:qFormat/>
    <w:uiPriority w:val="0"/>
    <w:pPr>
      <w:spacing w:line="480" w:lineRule="atLeast"/>
      <w:ind w:firstLine="200" w:firstLineChars="200"/>
    </w:pPr>
    <w:rPr>
      <w:sz w:val="24"/>
    </w:rPr>
  </w:style>
  <w:style w:type="paragraph" w:customStyle="1" w:styleId="91">
    <w:name w:val="正文缩进11"/>
    <w:basedOn w:val="1"/>
    <w:qFormat/>
    <w:uiPriority w:val="0"/>
    <w:pPr>
      <w:ind w:firstLine="420"/>
    </w:pPr>
    <w:rPr>
      <w:szCs w:val="20"/>
    </w:rPr>
  </w:style>
  <w:style w:type="paragraph" w:customStyle="1" w:styleId="92">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3">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94">
    <w:name w:val="Font Style98"/>
    <w:qFormat/>
    <w:uiPriority w:val="0"/>
    <w:rPr>
      <w:rFonts w:ascii="宋体" w:eastAsia="宋体" w:cs="宋体"/>
      <w:sz w:val="22"/>
      <w:szCs w:val="22"/>
    </w:rPr>
  </w:style>
  <w:style w:type="paragraph" w:customStyle="1" w:styleId="95">
    <w:name w:val="(.a表格内容"/>
    <w:basedOn w:val="96"/>
    <w:qFormat/>
    <w:uiPriority w:val="0"/>
    <w:pPr>
      <w:spacing w:line="0" w:lineRule="atLeast"/>
      <w:ind w:firstLine="0" w:firstLineChars="0"/>
      <w:jc w:val="center"/>
    </w:pPr>
    <w:rPr>
      <w:sz w:val="21"/>
    </w:rPr>
  </w:style>
  <w:style w:type="paragraph" w:customStyle="1" w:styleId="96">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正文文本 (15)"/>
    <w:basedOn w:val="1"/>
    <w:qFormat/>
    <w:uiPriority w:val="0"/>
    <w:pPr>
      <w:widowControl/>
      <w:shd w:val="clear" w:color="auto" w:fill="FFFFFF"/>
      <w:spacing w:line="0" w:lineRule="atLeast"/>
      <w:jc w:val="left"/>
    </w:pPr>
    <w:rPr>
      <w:rFonts w:ascii="MingLiU" w:hAnsi="MingLiU" w:eastAsia="MingLiU"/>
      <w:sz w:val="17"/>
      <w:szCs w:val="17"/>
    </w:rPr>
  </w:style>
  <w:style w:type="character" w:customStyle="1" w:styleId="99">
    <w:name w:val="font141"/>
    <w:qFormat/>
    <w:uiPriority w:val="0"/>
    <w:rPr>
      <w:rFonts w:hint="default" w:ascii="Times New Roman" w:hAnsi="Times New Roman" w:cs="Times New Roman"/>
      <w:color w:val="000000"/>
      <w:sz w:val="21"/>
      <w:szCs w:val="21"/>
      <w:u w:val="none"/>
    </w:rPr>
  </w:style>
  <w:style w:type="character" w:customStyle="1" w:styleId="100">
    <w:name w:val="font21"/>
    <w:basedOn w:val="34"/>
    <w:qFormat/>
    <w:uiPriority w:val="0"/>
    <w:rPr>
      <w:rFonts w:hint="eastAsia" w:ascii="宋体" w:hAnsi="宋体" w:eastAsia="宋体" w:cs="宋体"/>
      <w:color w:val="000000"/>
      <w:sz w:val="21"/>
      <w:szCs w:val="21"/>
      <w:u w:val="none"/>
    </w:rPr>
  </w:style>
  <w:style w:type="character" w:customStyle="1" w:styleId="101">
    <w:name w:val="正文文本 + Arial Unicode MS"/>
    <w:qFormat/>
    <w:uiPriority w:val="0"/>
    <w:rPr>
      <w:rFonts w:ascii="Arial Unicode MS" w:hAnsi="Arial Unicode MS" w:eastAsia="Arial Unicode MS" w:cs="Arial Unicode MS"/>
      <w:spacing w:val="0"/>
      <w:sz w:val="18"/>
      <w:szCs w:val="18"/>
    </w:rPr>
  </w:style>
  <w:style w:type="paragraph" w:customStyle="1" w:styleId="102">
    <w:name w:val="标题二"/>
    <w:basedOn w:val="1"/>
    <w:qFormat/>
    <w:uiPriority w:val="0"/>
    <w:rPr>
      <w:sz w:val="24"/>
      <w:szCs w:val="20"/>
    </w:rPr>
  </w:style>
  <w:style w:type="paragraph" w:customStyle="1" w:styleId="103">
    <w:name w:val="中文报告书样式"/>
    <w:basedOn w:val="1"/>
    <w:qFormat/>
    <w:uiPriority w:val="0"/>
    <w:pPr>
      <w:adjustRightInd w:val="0"/>
      <w:spacing w:line="480" w:lineRule="atLeast"/>
      <w:ind w:firstLine="482"/>
      <w:textAlignment w:val="baseline"/>
    </w:pPr>
    <w:rPr>
      <w:kern w:val="24"/>
      <w:sz w:val="24"/>
    </w:rPr>
  </w:style>
  <w:style w:type="character" w:customStyle="1" w:styleId="104">
    <w:name w:val="font31"/>
    <w:basedOn w:val="34"/>
    <w:qFormat/>
    <w:uiPriority w:val="0"/>
    <w:rPr>
      <w:rFonts w:hint="eastAsia" w:ascii="宋体" w:hAnsi="宋体" w:eastAsia="宋体" w:cs="宋体"/>
      <w:color w:val="333333"/>
      <w:sz w:val="36"/>
      <w:szCs w:val="36"/>
      <w:u w:val="none"/>
    </w:rPr>
  </w:style>
  <w:style w:type="paragraph" w:customStyle="1" w:styleId="105">
    <w:name w:val="正文2"/>
    <w:basedOn w:val="106"/>
    <w:qFormat/>
    <w:uiPriority w:val="0"/>
    <w:pPr>
      <w:suppressAutoHyphens/>
      <w:spacing w:line="520" w:lineRule="atLeast"/>
      <w:ind w:firstLine="680"/>
    </w:pPr>
    <w:rPr>
      <w:rFonts w:ascii="Calibri" w:hAnsi="Calibri" w:eastAsia="宋体"/>
      <w:spacing w:val="18"/>
      <w:sz w:val="32"/>
    </w:rPr>
  </w:style>
  <w:style w:type="paragraph" w:customStyle="1" w:styleId="106">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7">
    <w:name w:val="表头样式1"/>
    <w:basedOn w:val="1"/>
    <w:qFormat/>
    <w:uiPriority w:val="0"/>
    <w:pPr>
      <w:tabs>
        <w:tab w:val="center" w:pos="4505"/>
      </w:tabs>
      <w:jc w:val="center"/>
    </w:pPr>
    <w:rPr>
      <w:b/>
      <w:szCs w:val="22"/>
    </w:rPr>
  </w:style>
  <w:style w:type="paragraph" w:customStyle="1" w:styleId="108">
    <w:name w:val="我的表头"/>
    <w:basedOn w:val="109"/>
    <w:qFormat/>
    <w:uiPriority w:val="0"/>
    <w:pPr>
      <w:ind w:firstLine="0" w:firstLineChars="0"/>
      <w:jc w:val="center"/>
    </w:pPr>
    <w:rPr>
      <w:b/>
      <w:sz w:val="21"/>
      <w:szCs w:val="21"/>
    </w:rPr>
  </w:style>
  <w:style w:type="paragraph" w:customStyle="1" w:styleId="109">
    <w:name w:val="正常格式"/>
    <w:basedOn w:val="105"/>
    <w:qFormat/>
    <w:uiPriority w:val="0"/>
    <w:pPr>
      <w:spacing w:line="480" w:lineRule="exact"/>
      <w:ind w:firstLine="682" w:firstLineChars="200"/>
    </w:pPr>
    <w:rPr>
      <w:rFonts w:ascii="Times New Roman" w:hAnsi="Times New Roman"/>
      <w:szCs w:val="24"/>
    </w:rPr>
  </w:style>
  <w:style w:type="paragraph" w:customStyle="1" w:styleId="110">
    <w:name w:val="正文233"/>
    <w:basedOn w:val="111"/>
    <w:qFormat/>
    <w:uiPriority w:val="0"/>
  </w:style>
  <w:style w:type="paragraph" w:customStyle="1" w:styleId="111">
    <w:name w:val="样式 样式 正文 + 首行缩进:  2 字符 + 首行缩进:  2 字符"/>
    <w:basedOn w:val="112"/>
    <w:qFormat/>
    <w:uiPriority w:val="0"/>
  </w:style>
  <w:style w:type="paragraph" w:customStyle="1" w:styleId="112">
    <w:name w:val="样式 正文 + 首行缩进:  2 字符"/>
    <w:basedOn w:val="113"/>
    <w:qFormat/>
    <w:uiPriority w:val="0"/>
    <w:pPr>
      <w:spacing w:line="480" w:lineRule="exact"/>
      <w:jc w:val="both"/>
    </w:pPr>
    <w:rPr>
      <w:rFonts w:cs="宋体"/>
      <w:szCs w:val="20"/>
    </w:rPr>
  </w:style>
  <w:style w:type="paragraph" w:customStyle="1" w:styleId="113">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4">
    <w:name w:val="表标题"/>
    <w:basedOn w:val="1"/>
    <w:qFormat/>
    <w:uiPriority w:val="0"/>
    <w:pPr>
      <w:spacing w:line="500" w:lineRule="exact"/>
      <w:jc w:val="center"/>
    </w:pPr>
    <w:rPr>
      <w:b/>
      <w:sz w:val="24"/>
    </w:rPr>
  </w:style>
  <w:style w:type="paragraph" w:customStyle="1" w:styleId="115">
    <w:name w:val="标书正文"/>
    <w:basedOn w:val="1"/>
    <w:qFormat/>
    <w:uiPriority w:val="0"/>
    <w:pPr>
      <w:tabs>
        <w:tab w:val="left" w:pos="0"/>
        <w:tab w:val="left" w:pos="735"/>
      </w:tabs>
      <w:spacing w:line="360" w:lineRule="auto"/>
    </w:pPr>
  </w:style>
  <w:style w:type="paragraph" w:customStyle="1" w:styleId="116">
    <w:name w:val="图表"/>
    <w:basedOn w:val="1"/>
    <w:qFormat/>
    <w:uiPriority w:val="0"/>
    <w:pPr>
      <w:jc w:val="center"/>
    </w:pPr>
    <w:rPr>
      <w:rFonts w:eastAsia="黑体"/>
      <w:sz w:val="24"/>
    </w:rPr>
  </w:style>
  <w:style w:type="paragraph" w:customStyle="1" w:styleId="117">
    <w:name w:val="04 正文"/>
    <w:basedOn w:val="1"/>
    <w:qFormat/>
    <w:uiPriority w:val="0"/>
    <w:pPr>
      <w:spacing w:line="400" w:lineRule="exact"/>
      <w:ind w:firstLine="420" w:firstLineChars="200"/>
    </w:pPr>
    <w:rPr>
      <w:bCs/>
      <w:color w:val="000000"/>
      <w:sz w:val="24"/>
      <w:szCs w:val="21"/>
    </w:rPr>
  </w:style>
  <w:style w:type="paragraph" w:customStyle="1" w:styleId="118">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9">
    <w:name w:val="标题3"/>
    <w:basedOn w:val="6"/>
    <w:next w:val="1"/>
    <w:qFormat/>
    <w:uiPriority w:val="0"/>
    <w:pPr>
      <w:keepNext w:val="0"/>
      <w:keepLines w:val="0"/>
      <w:spacing w:before="0" w:after="0" w:line="500" w:lineRule="exact"/>
    </w:pPr>
    <w:rPr>
      <w:sz w:val="24"/>
    </w:rPr>
  </w:style>
  <w:style w:type="paragraph" w:customStyle="1" w:styleId="120">
    <w:name w:val="表格内文字格式"/>
    <w:basedOn w:val="1"/>
    <w:next w:val="1"/>
    <w:qFormat/>
    <w:uiPriority w:val="0"/>
    <w:pPr>
      <w:adjustRightInd w:val="0"/>
      <w:snapToGrid w:val="0"/>
      <w:jc w:val="left"/>
    </w:pPr>
    <w:rPr>
      <w:szCs w:val="21"/>
    </w:rPr>
  </w:style>
  <w:style w:type="paragraph" w:customStyle="1" w:styleId="121">
    <w:name w:val="图名表头"/>
    <w:basedOn w:val="1"/>
    <w:qFormat/>
    <w:uiPriority w:val="0"/>
    <w:pPr>
      <w:spacing w:line="360" w:lineRule="auto"/>
      <w:jc w:val="center"/>
    </w:pPr>
    <w:rPr>
      <w:rFonts w:ascii="宋体" w:hAnsi="宋体" w:cs="宋体"/>
      <w:sz w:val="24"/>
      <w:szCs w:val="21"/>
    </w:rPr>
  </w:style>
  <w:style w:type="paragraph" w:styleId="122">
    <w:name w:val="No Spacing"/>
    <w:qFormat/>
    <w:uiPriority w:val="1"/>
    <w:pPr>
      <w:widowControl w:val="0"/>
      <w:spacing w:line="440" w:lineRule="exact"/>
      <w:jc w:val="center"/>
    </w:pPr>
    <w:rPr>
      <w:rFonts w:ascii="Times New Roman" w:hAnsi="Times New Roman" w:eastAsia="宋体" w:cs="Times New Roman"/>
      <w:b/>
      <w:kern w:val="2"/>
      <w:sz w:val="24"/>
      <w:szCs w:val="22"/>
      <w:lang w:val="en-US" w:eastAsia="zh-CN" w:bidi="ar-SA"/>
    </w:rPr>
  </w:style>
  <w:style w:type="paragraph" w:customStyle="1" w:styleId="123">
    <w:name w:val="Table Text"/>
    <w:basedOn w:val="1"/>
    <w:semiHidden/>
    <w:qFormat/>
    <w:uiPriority w:val="0"/>
    <w:rPr>
      <w:rFonts w:ascii="宋体" w:hAnsi="宋体" w:eastAsia="宋体" w:cs="宋体"/>
      <w:sz w:val="28"/>
      <w:szCs w:val="28"/>
      <w:lang w:val="en-US" w:eastAsia="en-US" w:bidi="ar-SA"/>
    </w:rPr>
  </w:style>
  <w:style w:type="paragraph" w:customStyle="1" w:styleId="124">
    <w:name w:val="Normal Indent"/>
    <w:basedOn w:val="1"/>
    <w:qFormat/>
    <w:uiPriority w:val="0"/>
    <w:pPr>
      <w:ind w:firstLine="480" w:firstLineChars="200"/>
    </w:pPr>
    <w:rPr>
      <w:rFonts w:ascii="Arial" w:hAnsi="Arial" w:eastAsia="宋体" w:cs="Times New Roman"/>
      <w:snapToGrid w:val="0"/>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hyperlink" Target="http://www.biaozhi.net/eNews/news/200602/0030_0000002014.shtml" TargetMode="External"/><Relationship Id="rId17" Type="http://schemas.openxmlformats.org/officeDocument/2006/relationships/image" Target="media/image6.png"/><Relationship Id="rId16" Type="http://schemas.openxmlformats.org/officeDocument/2006/relationships/hyperlink" Target="http://www.biaozhi.net/eNews/news/200602/0029_0000000909.shtml" TargetMode="External"/><Relationship Id="rId15" Type="http://schemas.openxmlformats.org/officeDocument/2006/relationships/image" Target="media/image5.png"/><Relationship Id="rId14" Type="http://schemas.openxmlformats.org/officeDocument/2006/relationships/hyperlink" Target="http://www.biaozhi.net/eNews/news/200602/0029_0000000907.shtml" TargetMode="Externa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76</Pages>
  <Words>43987</Words>
  <Characters>49294</Characters>
  <Lines>343</Lines>
  <Paragraphs>96</Paragraphs>
  <TotalTime>4</TotalTime>
  <ScaleCrop>false</ScaleCrop>
  <LinksUpToDate>false</LinksUpToDate>
  <CharactersWithSpaces>49796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WPS_1680239372</cp:lastModifiedBy>
  <cp:lastPrinted>2022-09-13T09:49:00Z</cp:lastPrinted>
  <dcterms:modified xsi:type="dcterms:W3CDTF">2024-07-15T00:33:24Z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5B039DCBF89E46A3965A94F2B68CB628</vt:lpwstr>
  </property>
</Properties>
</file>