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预算部门整体绩效自评报告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（202</w:t>
      </w:r>
      <w:r>
        <w:rPr>
          <w:rFonts w:hint="eastAsia"/>
          <w:b/>
          <w:sz w:val="44"/>
          <w:szCs w:val="44"/>
          <w:lang w:val="en-US" w:eastAsia="zh-CN"/>
        </w:rPr>
        <w:t>1</w:t>
      </w:r>
      <w:r>
        <w:rPr>
          <w:rFonts w:hint="eastAsia"/>
          <w:b/>
          <w:sz w:val="44"/>
          <w:szCs w:val="44"/>
        </w:rPr>
        <w:t>年度）</w:t>
      </w:r>
    </w:p>
    <w:p>
      <w:pPr>
        <w:pStyle w:val="3"/>
        <w:spacing w:before="12"/>
        <w:rPr>
          <w:sz w:val="30"/>
          <w:szCs w:val="30"/>
        </w:rPr>
      </w:pPr>
    </w:p>
    <w:p>
      <w:pPr>
        <w:pStyle w:val="3"/>
        <w:spacing w:before="12"/>
        <w:rPr>
          <w:sz w:val="30"/>
          <w:szCs w:val="30"/>
        </w:rPr>
      </w:pPr>
    </w:p>
    <w:p>
      <w:pPr>
        <w:pStyle w:val="3"/>
        <w:spacing w:before="12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评价方式： </w:t>
      </w:r>
      <w:r>
        <w:rPr>
          <w:rFonts w:hint="eastAsia"/>
          <w:sz w:val="36"/>
          <w:szCs w:val="36"/>
        </w:rPr>
        <w:sym w:font="Wingdings" w:char="F0FE"/>
      </w:r>
      <w:r>
        <w:rPr>
          <w:rFonts w:hint="eastAsia"/>
          <w:sz w:val="30"/>
          <w:szCs w:val="30"/>
        </w:rPr>
        <w:t xml:space="preserve">直接组织评价          </w:t>
      </w:r>
      <w:r>
        <w:rPr>
          <w:rFonts w:hint="eastAsia"/>
          <w:sz w:val="36"/>
          <w:szCs w:val="36"/>
        </w:rPr>
        <w:t>□</w:t>
      </w:r>
      <w:r>
        <w:rPr>
          <w:rFonts w:hint="eastAsia"/>
          <w:sz w:val="30"/>
          <w:szCs w:val="30"/>
        </w:rPr>
        <w:t>委托评价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ind w:firstLine="750" w:firstLineChars="250"/>
        <w:rPr>
          <w:b/>
          <w:sz w:val="44"/>
          <w:szCs w:val="44"/>
        </w:rPr>
      </w:pPr>
      <w:r>
        <w:rPr>
          <w:rFonts w:hint="eastAsia"/>
          <w:sz w:val="30"/>
          <w:szCs w:val="30"/>
        </w:rPr>
        <w:t>部门名称：</w:t>
      </w:r>
      <w:r>
        <w:rPr>
          <w:rFonts w:hint="eastAsia"/>
          <w:sz w:val="30"/>
          <w:szCs w:val="30"/>
          <w:u w:val="single"/>
        </w:rPr>
        <w:t xml:space="preserve">    遵化市交通运输局       （加盖公章）                     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ind w:firstLine="8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0315-66807189                    </w:t>
      </w:r>
      <w:r>
        <w:rPr>
          <w:rFonts w:hint="eastAsia"/>
          <w:sz w:val="30"/>
          <w:szCs w:val="30"/>
          <w:u w:val="single"/>
        </w:rPr>
        <w:t xml:space="preserve">  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填报日期   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18</w:t>
      </w:r>
      <w:r>
        <w:rPr>
          <w:rFonts w:hint="eastAsia"/>
          <w:sz w:val="30"/>
          <w:szCs w:val="30"/>
        </w:rPr>
        <w:t>日</w:t>
      </w:r>
    </w:p>
    <w:p>
      <w:pPr>
        <w:pStyle w:val="3"/>
        <w:spacing w:before="12"/>
        <w:jc w:val="center"/>
        <w:rPr>
          <w:sz w:val="30"/>
          <w:szCs w:val="30"/>
        </w:rPr>
      </w:pPr>
    </w:p>
    <w:p>
      <w:pPr>
        <w:pStyle w:val="3"/>
        <w:spacing w:before="1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遵化市财政局编制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36"/>
          <w:szCs w:val="36"/>
        </w:rPr>
      </w:pPr>
    </w:p>
    <w:p>
      <w:pPr>
        <w:pStyle w:val="3"/>
        <w:spacing w:before="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遵化</w:t>
      </w:r>
      <w:r>
        <w:rPr>
          <w:b/>
          <w:sz w:val="36"/>
          <w:szCs w:val="36"/>
        </w:rPr>
        <w:t>市交通运输局</w:t>
      </w:r>
    </w:p>
    <w:p>
      <w:pPr>
        <w:pStyle w:val="3"/>
        <w:spacing w:before="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年度</w:t>
      </w:r>
      <w:r>
        <w:rPr>
          <w:b/>
          <w:sz w:val="36"/>
          <w:szCs w:val="36"/>
        </w:rPr>
        <w:t>部门整体绩效评价报告</w:t>
      </w:r>
    </w:p>
    <w:p>
      <w:pPr>
        <w:pStyle w:val="3"/>
        <w:spacing w:before="1" w:line="36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3"/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为了贯彻落实全面推进预算绩效管理要求，强化部门支出责任，规范资金管理、提高财政资金使用效率和效益，促进部门从整体上提升预算绩效管理水平，保障部门更好地履行职责，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遵化市交通运输局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（以下简称“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市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交通局”）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对局本级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20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1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年度部门整体支出进行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了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绩效评价。</w:t>
      </w:r>
    </w:p>
    <w:p>
      <w:pPr>
        <w:pStyle w:val="2"/>
        <w:numPr>
          <w:ilvl w:val="0"/>
          <w:numId w:val="1"/>
        </w:numPr>
        <w:spacing w:before="0" w:after="0" w:line="440" w:lineRule="exact"/>
        <w:rPr>
          <w:rFonts w:asciiTheme="minorEastAsia" w:hAnsiTheme="minorEastAsia" w:eastAsiaTheme="minorEastAsia"/>
          <w:sz w:val="30"/>
          <w:szCs w:val="30"/>
        </w:rPr>
      </w:pPr>
      <w:bookmarkStart w:id="0" w:name="_Toc47512426"/>
      <w:r>
        <w:rPr>
          <w:rFonts w:asciiTheme="minorEastAsia" w:hAnsiTheme="minorEastAsia" w:eastAsiaTheme="minorEastAsia"/>
          <w:sz w:val="30"/>
          <w:szCs w:val="30"/>
        </w:rPr>
        <w:t>部门</w:t>
      </w:r>
      <w:r>
        <w:rPr>
          <w:rFonts w:hint="eastAsia" w:asciiTheme="minorEastAsia" w:hAnsiTheme="minorEastAsia" w:eastAsiaTheme="minorEastAsia"/>
          <w:sz w:val="30"/>
          <w:szCs w:val="30"/>
        </w:rPr>
        <w:t>整体</w:t>
      </w:r>
      <w:r>
        <w:rPr>
          <w:rFonts w:asciiTheme="minorEastAsia" w:hAnsiTheme="minorEastAsia" w:eastAsiaTheme="minorEastAsia"/>
          <w:sz w:val="30"/>
          <w:szCs w:val="30"/>
        </w:rPr>
        <w:t>概况</w:t>
      </w:r>
      <w:bookmarkEnd w:id="0"/>
    </w:p>
    <w:p>
      <w:pPr>
        <w:spacing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本部门202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1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年度申请预算资金13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313.6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万元，实际支出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13313.6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万元，预算执行率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100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% 。其中：专项项目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5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个，金额合计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1332.9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 万元，实际支出 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1332.9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万元，执行率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100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%   。</w:t>
      </w:r>
    </w:p>
    <w:p>
      <w:pPr>
        <w:pStyle w:val="14"/>
        <w:numPr>
          <w:ilvl w:val="0"/>
          <w:numId w:val="1"/>
        </w:numPr>
        <w:ind w:firstLineChars="0"/>
        <w:rPr>
          <w:rFonts w:cs="仿宋" w:asciiTheme="minorEastAsia" w:hAnsiTheme="minorEastAsia" w:eastAsiaTheme="minorEastAsia"/>
          <w:b/>
          <w:bCs/>
          <w:kern w:val="44"/>
          <w:sz w:val="30"/>
          <w:szCs w:val="30"/>
          <w:lang w:val="zh-CN" w:bidi="zh-CN"/>
        </w:rPr>
      </w:pPr>
      <w:r>
        <w:rPr>
          <w:rFonts w:hint="eastAsia" w:cs="仿宋" w:asciiTheme="minorEastAsia" w:hAnsiTheme="minorEastAsia" w:eastAsiaTheme="minorEastAsia"/>
          <w:b/>
          <w:bCs/>
          <w:kern w:val="44"/>
          <w:sz w:val="30"/>
          <w:szCs w:val="30"/>
          <w:lang w:val="zh-CN" w:bidi="zh-CN"/>
        </w:rPr>
        <w:t>部门总体绩效目标和绩效指标设定情况</w:t>
      </w:r>
    </w:p>
    <w:p>
      <w:pPr>
        <w:spacing w:line="560" w:lineRule="atLeast"/>
        <w:ind w:left="708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本部门年初设定的部门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整体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绩效指标是：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一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加快推进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遵化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市交通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公路基础设施改造升级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，积极拓宽融资渠道，努力完成公路建设任务，实现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遵化市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市综合交通运输发展新跨越。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加大全市公路养护投入，全面提升管养水平，实现公路的安全畅通，为人民群众安全便捷出行提供交通运输保障。</w:t>
      </w:r>
    </w:p>
    <w:p>
      <w:pPr>
        <w:pStyle w:val="3"/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（三）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落实节能减排，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加快推进新能源汽车应用，依法整治域内交通环境。</w:t>
      </w:r>
    </w:p>
    <w:p>
      <w:pPr>
        <w:spacing w:line="500" w:lineRule="exact"/>
        <w:ind w:firstLine="60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（四）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提升客运服务品质。优化公交线路，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发展多样化公交服务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做好出租汽车市场运力调控和秩序整治。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落实国家成品油改革政策，对公交、出租车及时按政策发放补贴，促进公共交通健康发展。</w:t>
      </w:r>
    </w:p>
    <w:p>
      <w:pPr>
        <w:pStyle w:val="3"/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</w:p>
    <w:p>
      <w:pPr>
        <w:pStyle w:val="3"/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（五）深入推进平安交通建设。实施“平安交通”行动计划、危险化学品运输安全综合治理，建设公路安全防护设施建设，确保全行业不发生较大以上等级生产安全事故。</w:t>
      </w:r>
    </w:p>
    <w:p>
      <w:pPr>
        <w:spacing w:after="0"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（六）完成省道邦宽线收费工作，及时归还公路贷款本息</w:t>
      </w:r>
    </w:p>
    <w:p>
      <w:pPr>
        <w:spacing w:after="0"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（七）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全面做好疫情防控工作，切实做好新冠肺炎疫情防控工作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维护好广大人民群众的身体健康和生命安全。</w:t>
      </w:r>
    </w:p>
    <w:p>
      <w:pPr>
        <w:spacing w:after="0" w:line="500" w:lineRule="exact"/>
        <w:ind w:firstLine="420" w:firstLineChars="150"/>
        <w:rPr>
          <w:rFonts w:ascii="Times New Roman" w:hAnsi="方正仿宋_GBK" w:eastAsia="方正仿宋_GBK" w:cs="方正仿宋_GBK"/>
          <w:sz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（八）提高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通运输服务质量和管理水平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，加大治超力度和交通环境治理，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努力创建综合交通、平安交通、智慧交通、绿色交通。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，为建设环京津新型工业基地、旅游商贸名城、魅力中等城市、再创遵化发展新辉煌提供有力交通支撑和保障。</w:t>
      </w:r>
    </w:p>
    <w:p>
      <w:pPr>
        <w:spacing w:after="0" w:line="560" w:lineRule="atLeast"/>
        <w:ind w:firstLine="420" w:firstLineChars="15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（九）党建工作继续加强。加强党的政治建设，党的组织建设，党的思想建设，改进优化工作作风，进一步巩固脱贫攻坚成果，落实全面从严治党主体责任。</w:t>
      </w:r>
    </w:p>
    <w:p>
      <w:pPr>
        <w:pStyle w:val="14"/>
        <w:numPr>
          <w:ilvl w:val="0"/>
          <w:numId w:val="1"/>
        </w:numPr>
        <w:ind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绩效评价组织情况</w:t>
      </w:r>
    </w:p>
    <w:p>
      <w:pPr>
        <w:spacing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本次绩效评价项目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25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 个，占部门项目总数的 100  %，涉及金额 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13313.6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 万元。本着客观、公正、公开的原则开展自评工作，所有项目的绩效自评均设计了合理、明晰、可考核的、关键性产出和效果指标。自评结果真实可靠。</w:t>
      </w:r>
    </w:p>
    <w:p>
      <w:pPr>
        <w:pStyle w:val="14"/>
        <w:numPr>
          <w:ilvl w:val="0"/>
          <w:numId w:val="1"/>
        </w:numPr>
        <w:ind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绩效实现情况分析</w:t>
      </w:r>
    </w:p>
    <w:p>
      <w:pPr>
        <w:pStyle w:val="14"/>
        <w:numPr>
          <w:ilvl w:val="0"/>
          <w:numId w:val="2"/>
        </w:numPr>
        <w:ind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公路基础设施建设</w:t>
      </w:r>
    </w:p>
    <w:p>
      <w:pPr>
        <w:spacing w:after="0"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为完善交通网络建设，促进经济腾飞，加快进行长城旅游路建</w:t>
      </w:r>
    </w:p>
    <w:p>
      <w:pPr>
        <w:spacing w:after="0" w:line="460" w:lineRule="exact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设和改造。及时落实长城旅游路征地拆迁资金，完成征地拆迁工作，及时开工建设，已完成预定工程进度，已完成投资4000余万元。</w:t>
      </w:r>
    </w:p>
    <w:p>
      <w:pPr>
        <w:spacing w:after="0" w:line="460" w:lineRule="exact"/>
        <w:ind w:firstLine="560" w:firstLineChars="200"/>
        <w:rPr>
          <w:rFonts w:ascii="宋体" w:hAnsi="宋体" w:eastAsia="宋体" w:cs="宋体"/>
          <w:sz w:val="20"/>
          <w:szCs w:val="20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根据年初制定的预算方案和绩效目标，对全市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干线公路的大中修、桥涵维修加固工程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，精心组织施工和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交、竣工验收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工作。完成遵化市县道彭李线大修工程，遵化市乡道YGT1杨家峪-宫里公路改建工程，遵化市平安城-东旧寨线七户桥改建工，遵化市愚公桥改建工程省道邦宽线路面养护工程等重点工程项目。在改建扩建工程中，注重公路改造升级，完善安全、绿化设施，实现安全交通、绿色交通。完成</w:t>
      </w:r>
      <w:r>
        <w:rPr>
          <w:rFonts w:hint="eastAsia" w:ascii="宋体" w:hAnsi="宋体" w:eastAsia="宋体" w:cs="宋体"/>
          <w:sz w:val="20"/>
          <w:szCs w:val="20"/>
        </w:rPr>
        <w:t xml:space="preserve"> 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112线公路绿化工程  国道102线安保工程  普通干线公路排水整治工程，邦宽线安全设施整治工程等。</w:t>
      </w:r>
    </w:p>
    <w:p>
      <w:pPr>
        <w:spacing w:after="0"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利用好乡村振兴补助资金，完善村村通工程建设，对乡村公路进行改造完善，完成自然村公路罩面、加宽工程，202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1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年度基本完成村村通工程建设计划。</w:t>
      </w:r>
    </w:p>
    <w:p>
      <w:pPr>
        <w:pStyle w:val="7"/>
        <w:spacing w:line="460" w:lineRule="exact"/>
        <w:ind w:firstLine="482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（二）路域环境治理不断深化，公路安全畅通有保障。开展路域环境专项整治，严格办理涉路行政许可，查处违法案件，立案率和查处率100%，结案率98%以上，路损赔付率95%以上。</w:t>
      </w:r>
    </w:p>
    <w:p>
      <w:pPr>
        <w:adjustRightInd/>
        <w:snapToGrid/>
        <w:spacing w:after="0" w:line="460" w:lineRule="exact"/>
        <w:ind w:firstLine="482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治超治限力度不减，超限超载率明显下降。严格落实处罚机制，抓好源头治超和联网治超，保持治超治限高压态势。加强车辆检测，全市站点车辆超限超载率稳控在1%以下。</w:t>
      </w:r>
    </w:p>
    <w:p>
      <w:pPr>
        <w:spacing w:line="460" w:lineRule="exact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宋体"/>
          <w:color w:val="000000"/>
          <w:sz w:val="24"/>
          <w:szCs w:val="24"/>
        </w:rPr>
        <w:t xml:space="preserve">     （三）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提升客运服务品质，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促进公共交通健康发展。认真贯彻执行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城市公交车成品油价格补助政策，及时足额发放补贴资金，规范补贴范围和标准，严格监督专项资金使用。利用专项资金，实施了道路运输车辆安装使用智能视频监控报警装置安装工作，有效减少疲劳驾驶等安全隐患。</w:t>
      </w:r>
    </w:p>
    <w:p>
      <w:pPr>
        <w:spacing w:after="0"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（四）利用好节能减排专项资金，</w:t>
      </w:r>
    </w:p>
    <w:p>
      <w:pPr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进一步加快新能源汽车推广应用，促进公交行业节能减排，实现公交行业健康、稳定发展，建立鼓励新能源公交车应用、限制燃油公交车增长新机制，推动新能源公交车规范化推广应用，促进公交行业节能减排，涨价补助数额与新能源公交车推广数量挂钩，奖励新能源公交车推广应用，逐步形成新能源公交车的比较优势，新能源公交车推广应用成绩显著。 </w:t>
      </w:r>
    </w:p>
    <w:p>
      <w:pPr>
        <w:adjustRightInd/>
        <w:snapToGrid/>
        <w:spacing w:after="0"/>
        <w:ind w:firstLine="700" w:firstLineChars="25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（五）做好省道邦宽线收费工作，及时偿还邦宽线公路贷款本金及利息。</w:t>
      </w:r>
    </w:p>
    <w:p>
      <w:pPr>
        <w:pStyle w:val="7"/>
        <w:shd w:val="clear" w:color="auto" w:fill="FFFFFF"/>
        <w:spacing w:line="420" w:lineRule="exact"/>
        <w:ind w:firstLine="48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积极落实收费站经费补资金，专款专用，助圆满完成全年收取通行费工作目标。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认真履行性借款合同，及时偿还借款本息，本年偿还本金2600万元，逐步降低资金成本。</w:t>
      </w:r>
    </w:p>
    <w:p>
      <w:pPr>
        <w:spacing w:after="0" w:line="460" w:lineRule="exact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    （六）加大交通管理设施投入，实现交通公路智能化，现代化。</w:t>
      </w:r>
    </w:p>
    <w:p>
      <w:pPr>
        <w:spacing w:after="0"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投入资金100多万元，购置治超站检测设备，建设治超站卸载场地，规范治超执法。加强交通管理网络化建设，做到精准管理，提高工作效率。</w:t>
      </w:r>
    </w:p>
    <w:p>
      <w:pPr>
        <w:spacing w:after="0" w:line="460" w:lineRule="exact"/>
        <w:ind w:firstLine="420" w:firstLineChars="15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（七）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切实做好新冠肺炎疫情防控工作</w:t>
      </w:r>
    </w:p>
    <w:p>
      <w:pPr>
        <w:spacing w:after="0"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建立24小时防疫检查工作机制及疫情日报告制度，加大检疫巡查力度，落实督导和责任追究制度，确保各项防疫工作落实到位。强化防控举措，提升服务质效。开设检疫专用车道，引导人员、车辆有序受检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加强消杀措施，确保乘车安全。</w:t>
      </w:r>
    </w:p>
    <w:p>
      <w:pPr>
        <w:spacing w:after="0" w:line="460" w:lineRule="exact"/>
        <w:ind w:firstLine="420" w:firstLineChars="15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（八）全面抓好政治引领、思想宣传、全面</w:t>
      </w:r>
      <w:bookmarkStart w:id="1" w:name="_GoBack"/>
      <w:bookmarkEnd w:id="1"/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从严治党、精神文明、作风建设等方面行动，进一步推动机关党建向纵深发展，为促进我局工作提供坚强有力的保障服务。</w:t>
      </w:r>
    </w:p>
    <w:p>
      <w:pPr>
        <w:spacing w:line="57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五、存在的问题</w:t>
      </w:r>
    </w:p>
    <w:p>
      <w:pPr>
        <w:spacing w:line="57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今后我局将进一步完善部门整体绩效目标，项目绩效目标，严格预算管理、决算管理,严格执行年度预算,推进绩效预算管理，提高财政资金使用效益。</w:t>
      </w:r>
    </w:p>
    <w:p>
      <w:pPr>
        <w:pStyle w:val="14"/>
        <w:numPr>
          <w:ilvl w:val="0"/>
          <w:numId w:val="3"/>
        </w:numPr>
        <w:ind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相关建议</w:t>
      </w:r>
    </w:p>
    <w:p>
      <w:pPr>
        <w:ind w:left="708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无相关建议</w:t>
      </w:r>
    </w:p>
    <w:p>
      <w:pPr>
        <w:pStyle w:val="3"/>
        <w:spacing w:before="12"/>
        <w:jc w:val="center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</w:p>
    <w:p>
      <w:pPr>
        <w:pStyle w:val="3"/>
        <w:spacing w:before="12"/>
        <w:jc w:val="center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     </w:t>
      </w:r>
    </w:p>
    <w:p>
      <w:pPr>
        <w:pStyle w:val="3"/>
        <w:spacing w:before="12"/>
        <w:jc w:val="center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</w:p>
    <w:p>
      <w:pPr>
        <w:pStyle w:val="3"/>
        <w:spacing w:before="12"/>
        <w:jc w:val="center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</w:p>
    <w:p>
      <w:pPr>
        <w:pStyle w:val="3"/>
        <w:spacing w:before="12"/>
        <w:jc w:val="center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 xml:space="preserve">                    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 遵化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市交通运输局</w:t>
      </w:r>
    </w:p>
    <w:p>
      <w:pPr>
        <w:pStyle w:val="14"/>
        <w:ind w:left="1338" w:firstLine="0" w:firstLineChars="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                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 xml:space="preserve">           </w:t>
      </w:r>
    </w:p>
    <w:p>
      <w:pPr>
        <w:pStyle w:val="14"/>
        <w:ind w:left="1338" w:firstLine="3920" w:firstLineChars="14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  202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.5.1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8</w:t>
      </w:r>
    </w:p>
    <w:p>
      <w:pPr>
        <w:adjustRightInd/>
        <w:snapToGrid/>
        <w:spacing w:line="220" w:lineRule="atLeas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br w:type="page"/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765"/>
        <w:gridCol w:w="808"/>
        <w:gridCol w:w="808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附件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</w:tr>
    </w:tbl>
    <w:p>
      <w:pPr>
        <w:adjustRightInd/>
        <w:snapToGrid/>
        <w:spacing w:line="220" w:lineRule="atLeas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13"/>
        <w:gridCol w:w="3764"/>
        <w:gridCol w:w="808"/>
        <w:gridCol w:w="808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202</w:t>
            </w:r>
            <w:r>
              <w:rPr>
                <w:rFonts w:hint="eastAsia" w:ascii="宋体" w:hAnsi="宋体" w:eastAsia="宋体" w:cs="宋体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年绩效评价信息汇总表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注：含一般公共预算和政府性基金项目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单位名称</w:t>
            </w:r>
          </w:p>
        </w:tc>
        <w:tc>
          <w:tcPr>
            <w:tcW w:w="220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项目名称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预算数（含调整数）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自评决算数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自评结论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93" w:type="pct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合计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cs="Times New Roman" w:hAnsiTheme="minorEastAsia" w:eastAsiaTheme="minorEastAsia"/>
                <w:sz w:val="18"/>
                <w:szCs w:val="18"/>
              </w:rPr>
              <w:t>冀财建【2020】276号    提前下达2021年中央成品油税费改革转移支付预算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642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642</w:t>
            </w: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专款专用，资金使用效果良好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cs="Times New Roman" w:hAnsiTheme="minorEastAsia" w:eastAsiaTheme="minorEastAsia"/>
                <w:sz w:val="18"/>
                <w:szCs w:val="18"/>
              </w:rPr>
              <w:t>冀财建[2020]11号 2020年农村道路客运、水路客运、出租车油价补贴[2019年度]资金的通知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395.57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395.57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及时发放，减轻运营成本压力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cs="Times New Roman" w:hAnsiTheme="minorEastAsia" w:eastAsiaTheme="minorEastAsia"/>
                <w:sz w:val="18"/>
                <w:szCs w:val="18"/>
              </w:rPr>
              <w:t>冀财建[2020]258号 2020年道路场站建设及事业发展专项资金[汽车客运站防疫物资金补助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及时发放，</w:t>
            </w:r>
            <w:r>
              <w:rPr>
                <w:rFonts w:hint="eastAsia" w:ascii="Times New Roman" w:cs="Times New Roman" w:hAnsiTheme="minorEastAsia" w:eastAsiaTheme="minorEastAsia"/>
                <w:sz w:val="18"/>
                <w:szCs w:val="18"/>
                <w:lang w:eastAsia="zh-CN"/>
              </w:rPr>
              <w:t>防控疫情蔓延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冀财建[2020]97号 2020年城市公交车成品油价格补助预算的通知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23.33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23.33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及时发放，减轻运营成本压力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交通局国省干线养护经费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保障公路养护目标完成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干线公路路域环境整治资金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保障公路养护目标完成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冀财预【2021】17号 关于下达抗疫特别国债预留机动资金的通知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1512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1512</w:t>
            </w: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及时发放，</w:t>
            </w:r>
            <w:r>
              <w:rPr>
                <w:rFonts w:hint="eastAsia" w:ascii="Times New Roman" w:cs="Times New Roman" w:hAnsiTheme="minorEastAsia" w:eastAsiaTheme="minorEastAsia"/>
                <w:sz w:val="18"/>
                <w:szCs w:val="18"/>
                <w:lang w:eastAsia="zh-CN"/>
              </w:rPr>
              <w:t>防控疫情蔓延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冀财预[2020]40号遵化市长城旅游公路改造工程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375.39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375.39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圆满完成前期工作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邦宽线金卓道口至电厂路段路面维修工程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79.66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79.66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工程质量合格，资金使用合理。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10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购置洒水及清扫机械资金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398.5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398.5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节省了人力资源，提高了工作效率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收费站收费系统更新改造资金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81.832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81.832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保障了收费站工作正常开展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原运输公司伤残职工欠缴养老保险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53.26302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53.26302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专款专用，保障伤残工人养老待遇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长城旅游公路改建工程征地拆迁资金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259.6627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259.6627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完成前期工作，保障工程顺利开展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偿还邦宽线贷款本金及利息项目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5750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5750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履行合同情况良好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15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国防公路建设公益人员生活补贴项目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48.7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48.7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保障了国防建设人员待遇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16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交通道路编审费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66.76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66.76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规划合理，资金使用合规。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17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交通局伤残职工抚恤金及人员专项经费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13.27896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13.27896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伤残职工生活得到保障。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18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通行费安排收费站人员经费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744.999114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744.999114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按规定支付，保障收费站正常运营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19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省道帮宽线重点路段大修工程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</w:rPr>
              <w:t>543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</w:rPr>
              <w:t>371045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</w:rPr>
              <w:t>543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</w:rPr>
              <w:t>371045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工程质量合格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20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通行费邦宽线养护经费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413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413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保障公路养护目标完成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乡村振兴农村公路养护资金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</w:rPr>
              <w:t>623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</w:rPr>
              <w:t>63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</w:rPr>
              <w:t>623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</w:rPr>
              <w:t>63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保证乡村振兴战略实施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冀财建【2021】64号河北省财政厅下达2021年节能减排补助资金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262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262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专款专用，促进新能源发展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23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2020年度争取上级资金奖励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16.65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16.65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资金使用符合要求。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24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农村公路养护工程补助(基数)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405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405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保证乡村振兴战略实施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25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2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</w:rPr>
              <w:t>国省干线养护经费(基数)</w:t>
            </w:r>
          </w:p>
        </w:tc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443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443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保障公路养护目标完成</w:t>
            </w:r>
          </w:p>
        </w:tc>
      </w:tr>
    </w:tbl>
    <w:p>
      <w:pPr>
        <w:pStyle w:val="14"/>
        <w:ind w:left="1338" w:firstLine="0" w:firstLineChars="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sectPr>
      <w:pgSz w:w="11906" w:h="16838"/>
      <w:pgMar w:top="1440" w:right="1800" w:bottom="1440" w:left="180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62C50"/>
    <w:multiLevelType w:val="multilevel"/>
    <w:tmpl w:val="1E862C50"/>
    <w:lvl w:ilvl="0" w:tentative="0">
      <w:start w:val="6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455F0AC8"/>
    <w:multiLevelType w:val="multilevel"/>
    <w:tmpl w:val="455F0AC8"/>
    <w:lvl w:ilvl="0" w:tentative="0">
      <w:start w:val="1"/>
      <w:numFmt w:val="japaneseCounting"/>
      <w:lvlText w:val="%1、"/>
      <w:lvlJc w:val="left"/>
      <w:pPr>
        <w:ind w:left="1338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73CA68E5"/>
    <w:multiLevelType w:val="multilevel"/>
    <w:tmpl w:val="73CA68E5"/>
    <w:lvl w:ilvl="0" w:tentative="0">
      <w:start w:val="1"/>
      <w:numFmt w:val="japaneseCounting"/>
      <w:lvlText w:val="（%1）"/>
      <w:lvlJc w:val="left"/>
      <w:pPr>
        <w:ind w:left="156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WVlYjk2ZDAxODA1Y2U1OWI0YzU5OThlMDdjZGNmMDAifQ=="/>
  </w:docVars>
  <w:rsids>
    <w:rsidRoot w:val="00D31D50"/>
    <w:rsid w:val="000C109D"/>
    <w:rsid w:val="000D5F84"/>
    <w:rsid w:val="000D61DB"/>
    <w:rsid w:val="000F4133"/>
    <w:rsid w:val="00152761"/>
    <w:rsid w:val="0016195F"/>
    <w:rsid w:val="00167054"/>
    <w:rsid w:val="001A1E4C"/>
    <w:rsid w:val="001D0ED6"/>
    <w:rsid w:val="00220A3D"/>
    <w:rsid w:val="002A4289"/>
    <w:rsid w:val="002B220B"/>
    <w:rsid w:val="00323B43"/>
    <w:rsid w:val="00341A95"/>
    <w:rsid w:val="003477B6"/>
    <w:rsid w:val="003D37D8"/>
    <w:rsid w:val="003E14BA"/>
    <w:rsid w:val="00401F20"/>
    <w:rsid w:val="00426133"/>
    <w:rsid w:val="00434751"/>
    <w:rsid w:val="004358AB"/>
    <w:rsid w:val="004725D5"/>
    <w:rsid w:val="004832EA"/>
    <w:rsid w:val="004B6059"/>
    <w:rsid w:val="004D0E3E"/>
    <w:rsid w:val="004F0499"/>
    <w:rsid w:val="004F44FD"/>
    <w:rsid w:val="004F7D21"/>
    <w:rsid w:val="00515BB0"/>
    <w:rsid w:val="00536CE7"/>
    <w:rsid w:val="005561FA"/>
    <w:rsid w:val="005574E4"/>
    <w:rsid w:val="00591975"/>
    <w:rsid w:val="005B6DDB"/>
    <w:rsid w:val="0060643F"/>
    <w:rsid w:val="00614359"/>
    <w:rsid w:val="0062391D"/>
    <w:rsid w:val="006A0EAB"/>
    <w:rsid w:val="006D3582"/>
    <w:rsid w:val="007F0B52"/>
    <w:rsid w:val="008B7726"/>
    <w:rsid w:val="008C0BAE"/>
    <w:rsid w:val="008F7451"/>
    <w:rsid w:val="00901439"/>
    <w:rsid w:val="009501C9"/>
    <w:rsid w:val="009B75BA"/>
    <w:rsid w:val="009F5BA6"/>
    <w:rsid w:val="00A2662C"/>
    <w:rsid w:val="00A50B8D"/>
    <w:rsid w:val="00B90B4B"/>
    <w:rsid w:val="00B9460C"/>
    <w:rsid w:val="00BB4BE7"/>
    <w:rsid w:val="00BC63FA"/>
    <w:rsid w:val="00C33452"/>
    <w:rsid w:val="00CE00AD"/>
    <w:rsid w:val="00D100F4"/>
    <w:rsid w:val="00D162B2"/>
    <w:rsid w:val="00D31D50"/>
    <w:rsid w:val="00D3406C"/>
    <w:rsid w:val="00D65FFE"/>
    <w:rsid w:val="00D67B33"/>
    <w:rsid w:val="00D956E2"/>
    <w:rsid w:val="00DB02E7"/>
    <w:rsid w:val="00E543F0"/>
    <w:rsid w:val="00E73147"/>
    <w:rsid w:val="00E7793E"/>
    <w:rsid w:val="00E77E7C"/>
    <w:rsid w:val="00ED576C"/>
    <w:rsid w:val="00F24F13"/>
    <w:rsid w:val="00F65C40"/>
    <w:rsid w:val="00F77967"/>
    <w:rsid w:val="00FA54EE"/>
    <w:rsid w:val="00FD5F29"/>
    <w:rsid w:val="01061083"/>
    <w:rsid w:val="08EE2127"/>
    <w:rsid w:val="0B3867E6"/>
    <w:rsid w:val="0C097C5A"/>
    <w:rsid w:val="0FEA4334"/>
    <w:rsid w:val="11D5089E"/>
    <w:rsid w:val="122F4891"/>
    <w:rsid w:val="13BD43C9"/>
    <w:rsid w:val="14E029C6"/>
    <w:rsid w:val="15CB4B86"/>
    <w:rsid w:val="18A26578"/>
    <w:rsid w:val="1AE60E12"/>
    <w:rsid w:val="1B8471DA"/>
    <w:rsid w:val="1E1249B3"/>
    <w:rsid w:val="1E7144EB"/>
    <w:rsid w:val="2010318C"/>
    <w:rsid w:val="2741446A"/>
    <w:rsid w:val="2AB05551"/>
    <w:rsid w:val="2B514617"/>
    <w:rsid w:val="2B5B1676"/>
    <w:rsid w:val="2BE14F1A"/>
    <w:rsid w:val="2C4566F3"/>
    <w:rsid w:val="2D5D0815"/>
    <w:rsid w:val="2D852475"/>
    <w:rsid w:val="31386DD5"/>
    <w:rsid w:val="36197868"/>
    <w:rsid w:val="3A8237D2"/>
    <w:rsid w:val="3AB20BDC"/>
    <w:rsid w:val="3EAA709D"/>
    <w:rsid w:val="438251A0"/>
    <w:rsid w:val="447C4A1B"/>
    <w:rsid w:val="45C3188E"/>
    <w:rsid w:val="48FE1F90"/>
    <w:rsid w:val="4B9C60FC"/>
    <w:rsid w:val="4D261752"/>
    <w:rsid w:val="4DEF1226"/>
    <w:rsid w:val="4DF36D5B"/>
    <w:rsid w:val="4EC41375"/>
    <w:rsid w:val="536D1E9F"/>
    <w:rsid w:val="536D53FD"/>
    <w:rsid w:val="549B04F5"/>
    <w:rsid w:val="55B272EA"/>
    <w:rsid w:val="57453D81"/>
    <w:rsid w:val="57D03916"/>
    <w:rsid w:val="57E14B49"/>
    <w:rsid w:val="60575754"/>
    <w:rsid w:val="675F6886"/>
    <w:rsid w:val="67F317DE"/>
    <w:rsid w:val="68E66FD5"/>
    <w:rsid w:val="6A4713F8"/>
    <w:rsid w:val="6A9942BF"/>
    <w:rsid w:val="6E160A3C"/>
    <w:rsid w:val="6EFD2F68"/>
    <w:rsid w:val="6FD4593F"/>
    <w:rsid w:val="716C14B1"/>
    <w:rsid w:val="74537387"/>
    <w:rsid w:val="74B27A3B"/>
    <w:rsid w:val="765F72A3"/>
    <w:rsid w:val="77E705B3"/>
    <w:rsid w:val="79574910"/>
    <w:rsid w:val="79934F0D"/>
    <w:rsid w:val="7C4C4D71"/>
    <w:rsid w:val="7D6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 w:val="0"/>
      <w:autoSpaceDE w:val="0"/>
      <w:autoSpaceDN w:val="0"/>
      <w:adjustRightInd/>
      <w:snapToGrid/>
      <w:spacing w:before="340" w:after="330" w:line="578" w:lineRule="auto"/>
      <w:outlineLvl w:val="0"/>
    </w:pPr>
    <w:rPr>
      <w:rFonts w:ascii="仿宋" w:hAnsi="仿宋" w:eastAsia="仿宋" w:cs="仿宋"/>
      <w:b/>
      <w:bCs/>
      <w:kern w:val="44"/>
      <w:sz w:val="44"/>
      <w:szCs w:val="44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character" w:customStyle="1" w:styleId="10">
    <w:name w:val="页眉 Char"/>
    <w:basedOn w:val="9"/>
    <w:link w:val="6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仿宋" w:hAnsi="仿宋" w:eastAsia="仿宋" w:cs="仿宋"/>
      <w:b/>
      <w:bCs/>
      <w:kern w:val="44"/>
      <w:sz w:val="44"/>
      <w:szCs w:val="44"/>
      <w:lang w:val="zh-CN" w:bidi="zh-CN"/>
    </w:rPr>
  </w:style>
  <w:style w:type="character" w:customStyle="1" w:styleId="13">
    <w:name w:val="正文文本 Char"/>
    <w:basedOn w:val="9"/>
    <w:link w:val="3"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4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3350</Words>
  <Characters>3735</Characters>
  <Lines>31</Lines>
  <Paragraphs>8</Paragraphs>
  <TotalTime>16</TotalTime>
  <ScaleCrop>false</ScaleCrop>
  <LinksUpToDate>false</LinksUpToDate>
  <CharactersWithSpaces>3928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2024-07-17T03:45:57Z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16C80C8C027F476BB08C4A22B5F04B5D_12</vt:lpwstr>
  </property>
</Properties>
</file>