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3" w:type="even"/>
          <w:pgSz w:w="11906" w:h="16838"/>
          <w:pgMar w:top="0" w:right="0" w:bottom="0" w:left="0" w:header="851" w:footer="992" w:gutter="0"/>
          <w:cols w:space="425" w:num="1"/>
          <w:titlePg/>
          <w:docGrid w:type="lines" w:linePitch="312" w:charSpace="0"/>
        </w:sectPr>
      </w:pPr>
      <w:r>
        <mc:AlternateContent>
          <mc:Choice Requires="wpg">
            <w:drawing>
              <wp:anchor distT="0" distB="0" distL="114300" distR="114300" simplePos="0" relativeHeight="251659264" behindDoc="1" locked="0" layoutInCell="1" allowOverlap="1">
                <wp:simplePos x="0" y="0"/>
                <wp:positionH relativeFrom="column">
                  <wp:posOffset>-77470</wp:posOffset>
                </wp:positionH>
                <wp:positionV relativeFrom="paragraph">
                  <wp:posOffset>76200</wp:posOffset>
                </wp:positionV>
                <wp:extent cx="7623175" cy="3765550"/>
                <wp:effectExtent l="0" t="0" r="15875" b="6350"/>
                <wp:wrapNone/>
                <wp:docPr id="4" name="组合 16"/>
                <wp:cNvGraphicFramePr/>
                <a:graphic xmlns:a="http://schemas.openxmlformats.org/drawingml/2006/main">
                  <a:graphicData uri="http://schemas.microsoft.com/office/word/2010/wordprocessingGroup">
                    <wpg:wgp>
                      <wpg:cNvGrpSpPr/>
                      <wpg:grpSpPr>
                        <a:xfrm>
                          <a:off x="0" y="0"/>
                          <a:ext cx="7623175" cy="3765295"/>
                          <a:chOff x="13622" y="283"/>
                          <a:chExt cx="12005" cy="6191"/>
                        </a:xfrm>
                        <a:effectLst/>
                      </wpg:grpSpPr>
                      <wps:wsp>
                        <wps:cNvPr id="6" name="矩形 5"/>
                        <wps:cNvSpPr/>
                        <wps:spPr>
                          <a:xfrm>
                            <a:off x="13622" y="283"/>
                            <a:ext cx="12005" cy="6170"/>
                          </a:xfrm>
                          <a:prstGeom prst="rect">
                            <a:avLst/>
                          </a:prstGeom>
                          <a:solidFill>
                            <a:srgbClr val="FDBC11"/>
                          </a:solidFill>
                          <a:ln w="12700" cap="flat" cmpd="sng" algn="ctr">
                            <a:noFill/>
                            <a:prstDash val="solid"/>
                            <a:miter lim="800000"/>
                          </a:ln>
                          <a:effectLst/>
                        </wps:spPr>
                        <wps:bodyPr rtlCol="0" anchor="ctr"/>
                      </wps:wsp>
                      <wps:wsp>
                        <wps:cNvPr id="11" name="文本框 10"/>
                        <wps:cNvSpPr txBox="1"/>
                        <wps:spPr>
                          <a:xfrm>
                            <a:off x="17229" y="5021"/>
                            <a:ext cx="8083" cy="1453"/>
                          </a:xfrm>
                          <a:prstGeom prst="rect">
                            <a:avLst/>
                          </a:prstGeom>
                          <a:noFill/>
                          <a:ln>
                            <a:noFill/>
                          </a:ln>
                          <a:effectLst/>
                        </wps:spPr>
                        <wps:txbx>
                          <w:txbxContent>
                            <w:p>
                              <w:pPr>
                                <w:jc w:val="left"/>
                                <w:rPr>
                                  <w:rFonts w:hint="eastAsia" w:eastAsia="思源黑体 HW Bold"/>
                                  <w:color w:val="000000"/>
                                  <w:kern w:val="0"/>
                                  <w:sz w:val="92"/>
                                  <w:szCs w:val="92"/>
                                  <w:lang w:eastAsia="zh-CN"/>
                                </w:rPr>
                              </w:pPr>
                              <w:r>
                                <w:rPr>
                                  <w:rFonts w:hint="eastAsia" w:ascii="思源黑体 HW Bold" w:hAnsi="思源黑体 HW Bold" w:eastAsia="思源黑体 HW Bold"/>
                                  <w:color w:val="000000"/>
                                  <w:kern w:val="24"/>
                                  <w:sz w:val="92"/>
                                  <w:szCs w:val="92"/>
                                </w:rPr>
                                <w:t>部门决算公开</w:t>
                              </w:r>
                              <w:r>
                                <w:rPr>
                                  <w:rFonts w:hint="eastAsia" w:ascii="思源黑体 HW Bold" w:hAnsi="思源黑体 HW Bold" w:eastAsia="思源黑体 HW Bold"/>
                                  <w:color w:val="000000"/>
                                  <w:kern w:val="24"/>
                                  <w:sz w:val="92"/>
                                  <w:szCs w:val="92"/>
                                  <w:lang w:eastAsia="zh-CN"/>
                                </w:rPr>
                                <w:t>说明</w:t>
                              </w:r>
                            </w:p>
                          </w:txbxContent>
                        </wps:txbx>
                        <wps:bodyPr wrap="square" rtlCol="0">
                          <a:spAutoFit/>
                        </wps:bodyPr>
                      </wps:wsp>
                    </wpg:wgp>
                  </a:graphicData>
                </a:graphic>
              </wp:anchor>
            </w:drawing>
          </mc:Choice>
          <mc:Fallback>
            <w:pict>
              <v:group id="组合 16" o:spid="_x0000_s1026" o:spt="203" style="position:absolute;left:0pt;margin-left:-6.1pt;margin-top:6pt;height:296.5pt;width:600.25pt;z-index:-251657216;mso-width-relative:page;mso-height-relative:page;" coordorigin="13622,283" coordsize="12005,6191" o:gfxdata="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OtNyWPZAAAACwEAAA8AAAAAAAAAAQAgAAAAIgAAAGRycy9kb3ducmV2LnhtbFBLAQIUABQA&#10;AAAIAIdO4kA6CepB0wIAAMAGAAAOAAAAAAAAAAEAIAAAACgBAABkcnMvZTJvRG9jLnhtbFBLBQYA&#10;AAAABgAGAFkBAABtBgAAAAA=&#10;">
                <o:lock v:ext="edit" aspectratio="f"/>
                <v:rect id="矩形 5" o:spid="_x0000_s1026" o:spt="1" style="position:absolute;left:13622;top:283;height:6170;width:12005;v-text-anchor:middle;" fillcolor="#FDBC11" filled="t" stroked="f" coordsize="21600,21600" o:gfxdata="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f6Vq8AAAA&#10;2g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文本框 10" o:spid="_x0000_s1026" o:spt="202" type="#_x0000_t202" style="position:absolute;left:17229;top:5021;height:1453;width:8083;" filled="f" stroked="f" coordsize="21600,21600"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jc w:val="left"/>
                          <w:rPr>
                            <w:rFonts w:hint="eastAsia" w:eastAsia="思源黑体 HW Bold"/>
                            <w:color w:val="000000"/>
                            <w:kern w:val="0"/>
                            <w:sz w:val="92"/>
                            <w:szCs w:val="92"/>
                            <w:lang w:eastAsia="zh-CN"/>
                          </w:rPr>
                        </w:pPr>
                        <w:r>
                          <w:rPr>
                            <w:rFonts w:hint="eastAsia" w:ascii="思源黑体 HW Bold" w:hAnsi="思源黑体 HW Bold" w:eastAsia="思源黑体 HW Bold"/>
                            <w:color w:val="000000"/>
                            <w:kern w:val="24"/>
                            <w:sz w:val="92"/>
                            <w:szCs w:val="92"/>
                          </w:rPr>
                          <w:t>部门决算公开</w:t>
                        </w:r>
                        <w:r>
                          <w:rPr>
                            <w:rFonts w:hint="eastAsia" w:ascii="思源黑体 HW Bold" w:hAnsi="思源黑体 HW Bold" w:eastAsia="思源黑体 HW Bold"/>
                            <w:color w:val="000000"/>
                            <w:kern w:val="24"/>
                            <w:sz w:val="92"/>
                            <w:szCs w:val="92"/>
                            <w:lang w:eastAsia="zh-CN"/>
                          </w:rPr>
                          <w:t>说明</w:t>
                        </w:r>
                      </w:p>
                    </w:txbxContent>
                  </v:textbox>
                </v:shape>
              </v:group>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1349375</wp:posOffset>
                </wp:positionH>
                <wp:positionV relativeFrom="paragraph">
                  <wp:posOffset>8808085</wp:posOffset>
                </wp:positionV>
                <wp:extent cx="5132705" cy="1015365"/>
                <wp:effectExtent l="0" t="0" r="0" b="0"/>
                <wp:wrapNone/>
                <wp:docPr id="2" name="文本框 10"/>
                <wp:cNvGraphicFramePr/>
                <a:graphic xmlns:a="http://schemas.openxmlformats.org/drawingml/2006/main">
                  <a:graphicData uri="http://schemas.microsoft.com/office/word/2010/wordprocessingShape">
                    <wps:wsp>
                      <wps:cNvSpPr txBox="1"/>
                      <wps:spPr>
                        <a:xfrm>
                          <a:off x="0" y="0"/>
                          <a:ext cx="5132705" cy="1015365"/>
                        </a:xfrm>
                        <a:prstGeom prst="rect">
                          <a:avLst/>
                        </a:prstGeom>
                        <a:noFill/>
                        <a:ln>
                          <a:noFill/>
                        </a:ln>
                        <a:effectLst/>
                      </wps:spPr>
                      <wps:txbx>
                        <w:txbxContent>
                          <w:p>
                            <w:pPr>
                              <w:jc w:val="center"/>
                              <w:rPr>
                                <w:rFonts w:ascii="楷体_GB2312" w:hAnsi="楷体_GB2312" w:eastAsia="楷体_GB2312" w:cs="楷体_GB2312"/>
                                <w:color w:val="000000"/>
                                <w:kern w:val="0"/>
                                <w:sz w:val="44"/>
                                <w:szCs w:val="44"/>
                              </w:rPr>
                            </w:pPr>
                            <w:r>
                              <w:rPr>
                                <w:rFonts w:hint="eastAsia" w:ascii="楷体_GB2312" w:hAnsi="楷体_GB2312" w:eastAsia="楷体_GB2312" w:cs="楷体_GB2312"/>
                                <w:color w:val="000000"/>
                                <w:kern w:val="0"/>
                                <w:sz w:val="44"/>
                                <w:szCs w:val="44"/>
                              </w:rPr>
                              <w:t>二〇二〇年八月</w:t>
                            </w:r>
                          </w:p>
                        </w:txbxContent>
                      </wps:txbx>
                      <wps:bodyPr wrap="square" rtlCol="0">
                        <a:spAutoFit/>
                      </wps:bodyPr>
                    </wps:wsp>
                  </a:graphicData>
                </a:graphic>
              </wp:anchor>
            </w:drawing>
          </mc:Choice>
          <mc:Fallback>
            <w:pict>
              <v:shape id="文本框 10" o:spid="_x0000_s1026" o:spt="202" type="#_x0000_t202" style="position:absolute;left:0pt;margin-left:106.25pt;margin-top:693.55pt;height:79.95pt;width:404.15pt;z-index:251664384;mso-width-relative:page;mso-height-relative:page;" filled="f" stroked="f" coordsize="21600,21600" o:gfxdata="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vZZLNkAAAAOAQAADwAAAAAAAAABACAAAAAiAAAAZHJzL2Rv&#10;d25yZXYueG1sUEsBAhQAFAAAAAgAh07iQMgTBuLHAQAAhQMAAA4AAAAAAAAAAQAgAAAAKAEAAGRy&#10;cy9lMm9Eb2MueG1sUEsFBgAAAAAGAAYAWQEAAGEFAAAAAA==&#10;">
                <v:fill on="f" focussize="0,0"/>
                <v:stroke on="f"/>
                <v:imagedata o:title=""/>
                <o:lock v:ext="edit" aspectratio="f"/>
                <v:textbox style="mso-fit-shape-to-text:t;">
                  <w:txbxContent>
                    <w:p>
                      <w:pPr>
                        <w:jc w:val="center"/>
                        <w:rPr>
                          <w:rFonts w:ascii="楷体_GB2312" w:hAnsi="楷体_GB2312" w:eastAsia="楷体_GB2312" w:cs="楷体_GB2312"/>
                          <w:color w:val="000000"/>
                          <w:kern w:val="0"/>
                          <w:sz w:val="44"/>
                          <w:szCs w:val="44"/>
                        </w:rPr>
                      </w:pPr>
                      <w:r>
                        <w:rPr>
                          <w:rFonts w:hint="eastAsia" w:ascii="楷体_GB2312" w:hAnsi="楷体_GB2312" w:eastAsia="楷体_GB2312" w:cs="楷体_GB2312"/>
                          <w:color w:val="000000"/>
                          <w:kern w:val="0"/>
                          <w:sz w:val="44"/>
                          <w:szCs w:val="44"/>
                        </w:rPr>
                        <w:t>二〇二〇年八月</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679450</wp:posOffset>
                </wp:positionH>
                <wp:positionV relativeFrom="paragraph">
                  <wp:posOffset>2952115</wp:posOffset>
                </wp:positionV>
                <wp:extent cx="1548765" cy="1548765"/>
                <wp:effectExtent l="0" t="0" r="13335" b="13335"/>
                <wp:wrapNone/>
                <wp:docPr id="9" name="椭圆 8"/>
                <wp:cNvGraphicFramePr/>
                <a:graphic xmlns:a="http://schemas.openxmlformats.org/drawingml/2006/main">
                  <a:graphicData uri="http://schemas.microsoft.com/office/word/2010/wordprocessingShape">
                    <wps:wsp>
                      <wps:cNvSpPr/>
                      <wps:spPr>
                        <a:xfrm>
                          <a:off x="0" y="0"/>
                          <a:ext cx="1548721" cy="1548721"/>
                        </a:xfrm>
                        <a:prstGeom prst="ellipse">
                          <a:avLst/>
                        </a:prstGeom>
                        <a:solidFill>
                          <a:srgbClr val="FFFFFF"/>
                        </a:solidFill>
                        <a:ln w="12700" cap="flat" cmpd="sng" algn="ctr">
                          <a:noFill/>
                          <a:prstDash val="solid"/>
                          <a:miter lim="800000"/>
                        </a:ln>
                        <a:effectLst/>
                      </wps:spPr>
                      <wps:bodyPr rtlCol="0" anchor="ctr"/>
                    </wps:wsp>
                  </a:graphicData>
                </a:graphic>
              </wp:anchor>
            </w:drawing>
          </mc:Choice>
          <mc:Fallback>
            <w:pict>
              <v:shape id="椭圆 8" o:spid="_x0000_s1026" o:spt="3" type="#_x0000_t3" style="position:absolute;left:0pt;margin-left:53.5pt;margin-top:232.45pt;height:121.95pt;width:121.95pt;z-index:251661312;v-text-anchor:middle;mso-width-relative:page;mso-height-relative:page;" fillcolor="#FFFFFF" filled="t" stroked="f" coordsize="21600,21600" o:gfxdata="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GyXOe2QAAAAsBAAAPAAAAAAAAAAEAIAAAACIAAABkcnMvZG93bnJldi54bWxQSwECFAAU&#10;AAAACACHTuJAQmSWNvABAADYAwAADgAAAAAAAAABACAAAAAoAQAAZHJzL2Uyb0RvYy54bWxQSwUG&#10;AAAAAAYABgBZAQAAigUAAAAA&#1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426720</wp:posOffset>
                </wp:positionH>
                <wp:positionV relativeFrom="paragraph">
                  <wp:posOffset>3260725</wp:posOffset>
                </wp:positionV>
                <wp:extent cx="2040255" cy="883920"/>
                <wp:effectExtent l="0" t="0" r="0" b="0"/>
                <wp:wrapNone/>
                <wp:docPr id="15" name="矩形 14"/>
                <wp:cNvGraphicFramePr/>
                <a:graphic xmlns:a="http://schemas.openxmlformats.org/drawingml/2006/main">
                  <a:graphicData uri="http://schemas.microsoft.com/office/word/2010/wordprocessingShape">
                    <wps:wsp>
                      <wps:cNvSpPr/>
                      <wps:spPr>
                        <a:xfrm>
                          <a:off x="426720" y="3260725"/>
                          <a:ext cx="2040255" cy="883920"/>
                        </a:xfrm>
                        <a:prstGeom prst="rect">
                          <a:avLst/>
                        </a:prstGeom>
                        <a:noFill/>
                        <a:ln>
                          <a:noFill/>
                        </a:ln>
                        <a:effectLst/>
                      </wps:spPr>
                      <wps:txbx>
                        <w:txbxContent>
                          <w:p>
                            <w:pPr>
                              <w:spacing w:line="360" w:lineRule="auto"/>
                              <w:jc w:val="center"/>
                              <w:rPr>
                                <w:kern w:val="0"/>
                                <w:sz w:val="28"/>
                                <w:szCs w:val="28"/>
                              </w:rPr>
                            </w:pPr>
                            <w:r>
                              <w:rPr>
                                <w:rFonts w:ascii="Yu Gothic UI Semibold" w:hAnsi="Yu Gothic UI Semibold" w:eastAsia="宋体"/>
                                <w:color w:val="FFFFFF"/>
                                <w:kern w:val="24"/>
                                <w:sz w:val="72"/>
                                <w:szCs w:val="72"/>
                              </w:rPr>
                              <w:t>2019</w:t>
                            </w:r>
                          </w:p>
                        </w:txbxContent>
                      </wps:txbx>
                      <wps:bodyPr wrap="square">
                        <a:spAutoFit/>
                      </wps:bodyPr>
                    </wps:wsp>
                  </a:graphicData>
                </a:graphic>
              </wp:anchor>
            </w:drawing>
          </mc:Choice>
          <mc:Fallback>
            <w:pict>
              <v:rect id="矩形 14" o:spid="_x0000_s1026" o:spt="1" style="position:absolute;left:0pt;margin-left:33.6pt;margin-top:256.75pt;height:69.6pt;width:160.65pt;z-index:251666432;mso-width-relative:page;mso-height-relative:page;" filled="f" stroked="f" coordsize="21600,21600" o:gfxdata="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pVqbnZAAAACgEAAA8AAAAAAAAAAQAgAAAAIgAAAGRycy9kb3du&#10;cmV2LnhtbFBLAQIUABQAAAAIAIdO4kBOsRLzxQEAAHgDAAAOAAAAAAAAAAEAIAAAACgBAABkcnMv&#10;ZTJvRG9jLnhtbFBLBQYAAAAABgAGAFkBAABfBQAAAAA=&#10;">
                <v:fill on="f" focussize="0,0"/>
                <v:stroke on="f"/>
                <v:imagedata o:title=""/>
                <o:lock v:ext="edit" aspectratio="f"/>
                <v:textbox style="mso-fit-shape-to-text:t;">
                  <w:txbxContent>
                    <w:p>
                      <w:pPr>
                        <w:spacing w:line="360" w:lineRule="auto"/>
                        <w:jc w:val="center"/>
                        <w:rPr>
                          <w:kern w:val="0"/>
                          <w:sz w:val="28"/>
                          <w:szCs w:val="28"/>
                        </w:rPr>
                      </w:pPr>
                      <w:r>
                        <w:rPr>
                          <w:rFonts w:ascii="Yu Gothic UI Semibold" w:hAnsi="Yu Gothic UI Semibold" w:eastAsia="宋体"/>
                          <w:color w:val="FFFFFF"/>
                          <w:kern w:val="24"/>
                          <w:sz w:val="72"/>
                          <w:szCs w:val="72"/>
                        </w:rPr>
                        <w:t>2019</w:t>
                      </w:r>
                    </w:p>
                  </w:txbxContent>
                </v:textbox>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789940</wp:posOffset>
                </wp:positionH>
                <wp:positionV relativeFrom="paragraph">
                  <wp:posOffset>3082925</wp:posOffset>
                </wp:positionV>
                <wp:extent cx="1313815" cy="1313815"/>
                <wp:effectExtent l="0" t="0" r="635" b="635"/>
                <wp:wrapNone/>
                <wp:docPr id="10" name="椭圆 9"/>
                <wp:cNvGraphicFramePr/>
                <a:graphic xmlns:a="http://schemas.openxmlformats.org/drawingml/2006/main">
                  <a:graphicData uri="http://schemas.microsoft.com/office/word/2010/wordprocessingShape">
                    <wps:wsp>
                      <wps:cNvSpPr/>
                      <wps:spPr>
                        <a:xfrm>
                          <a:off x="789940" y="3082925"/>
                          <a:ext cx="1313815" cy="1313815"/>
                        </a:xfrm>
                        <a:prstGeom prst="ellipse">
                          <a:avLst/>
                        </a:prstGeom>
                        <a:solidFill>
                          <a:srgbClr val="1F2959"/>
                        </a:solidFill>
                        <a:ln w="12700" cap="flat" cmpd="sng" algn="ctr">
                          <a:noFill/>
                          <a:prstDash val="solid"/>
                          <a:miter lim="800000"/>
                        </a:ln>
                        <a:effectLst/>
                      </wps:spPr>
                      <wps:bodyPr rtlCol="0" anchor="ctr"/>
                    </wps:wsp>
                  </a:graphicData>
                </a:graphic>
              </wp:anchor>
            </w:drawing>
          </mc:Choice>
          <mc:Fallback>
            <w:pict>
              <v:shape id="椭圆 9" o:spid="_x0000_s1026" o:spt="3" type="#_x0000_t3" style="position:absolute;left:0pt;margin-left:62.2pt;margin-top:242.75pt;height:103.45pt;width:103.45pt;z-index:251665408;v-text-anchor:middle;mso-width-relative:page;mso-height-relative:page;" fillcolor="#1F2959" filled="t" stroked="f" coordsize="21600,21600" o:gfxdata="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0Chgu2AAAAAsBAAAPAAAAAAAAAAEAIAAAACIAAABkcnMvZG93&#10;bnJldi54bWxQSwECFAAUAAAACACHTuJAoj8CGwACAADkAwAADgAAAAAAAAABACAAAAAnAQAAZHJz&#10;L2Uyb0RvYy54bWxQSwUGAAAAAAYABgBZAQAAmQUAAAAA&#10;">
                <v:fill on="t" focussize="0,0"/>
                <v:stroke on="f" weight="1pt" miterlimit="8" joinstyle="miter"/>
                <v:imagedata o:title=""/>
                <o:lock v:ext="edit" aspectratio="f"/>
              </v:shape>
            </w:pict>
          </mc:Fallback>
        </mc:AlternateContent>
      </w:r>
      <w:r>
        <mc:AlternateContent>
          <mc:Choice Requires="wpg">
            <w:drawing>
              <wp:anchor distT="0" distB="0" distL="114300" distR="114300" simplePos="0" relativeHeight="251662336" behindDoc="0" locked="0" layoutInCell="1" allowOverlap="1">
                <wp:simplePos x="0" y="0"/>
                <wp:positionH relativeFrom="column">
                  <wp:posOffset>15875</wp:posOffset>
                </wp:positionH>
                <wp:positionV relativeFrom="paragraph">
                  <wp:posOffset>10435590</wp:posOffset>
                </wp:positionV>
                <wp:extent cx="7559675" cy="272415"/>
                <wp:effectExtent l="0" t="0" r="3175" b="13335"/>
                <wp:wrapNone/>
                <wp:docPr id="13" name="组合 13"/>
                <wp:cNvGraphicFramePr/>
                <a:graphic xmlns:a="http://schemas.openxmlformats.org/drawingml/2006/main">
                  <a:graphicData uri="http://schemas.microsoft.com/office/word/2010/wordprocessingGroup">
                    <wpg:wgp>
                      <wpg:cNvGrpSpPr/>
                      <wpg:grpSpPr>
                        <a:xfrm>
                          <a:off x="0" y="0"/>
                          <a:ext cx="7559675" cy="272415"/>
                          <a:chOff x="1483" y="16692"/>
                          <a:chExt cx="11905" cy="429"/>
                        </a:xfrm>
                        <a:effectLst/>
                      </wpg:grpSpPr>
                      <wps:wsp>
                        <wps:cNvPr id="7" name="矩形 6"/>
                        <wps:cNvSpPr/>
                        <wps:spPr>
                          <a:xfrm>
                            <a:off x="1483" y="16692"/>
                            <a:ext cx="1125" cy="428"/>
                          </a:xfrm>
                          <a:prstGeom prst="rect">
                            <a:avLst/>
                          </a:prstGeom>
                          <a:solidFill>
                            <a:srgbClr val="FDBC11"/>
                          </a:solidFill>
                          <a:ln w="12700" cap="flat" cmpd="sng" algn="ctr">
                            <a:noFill/>
                            <a:prstDash val="solid"/>
                            <a:miter lim="800000"/>
                          </a:ln>
                          <a:effectLst/>
                        </wps:spPr>
                        <wps:bodyPr rtlCol="0" anchor="ctr"/>
                      </wps:wsp>
                      <wps:wsp>
                        <wps:cNvPr id="8" name="矩形 7"/>
                        <wps:cNvSpPr/>
                        <wps:spPr>
                          <a:xfrm>
                            <a:off x="2608" y="16693"/>
                            <a:ext cx="10780" cy="428"/>
                          </a:xfrm>
                          <a:prstGeom prst="rect">
                            <a:avLst/>
                          </a:prstGeom>
                          <a:solidFill>
                            <a:srgbClr val="1F2959"/>
                          </a:solidFill>
                          <a:ln w="12700" cap="flat" cmpd="sng" algn="ctr">
                            <a:noFill/>
                            <a:prstDash val="solid"/>
                            <a:miter lim="800000"/>
                          </a:ln>
                          <a:effectLst/>
                        </wps:spPr>
                        <wps:bodyPr rtlCol="0" anchor="ctr"/>
                      </wps:wsp>
                    </wpg:wgp>
                  </a:graphicData>
                </a:graphic>
              </wp:anchor>
            </w:drawing>
          </mc:Choice>
          <mc:Fallback>
            <w:pict>
              <v:group id="_x0000_s1026" o:spid="_x0000_s1026" o:spt="203" style="position:absolute;left:0pt;margin-left:1.25pt;margin-top:821.7pt;height:21.45pt;width:595.25pt;z-index:251662336;mso-width-relative:page;mso-height-relative:page;" coordorigin="1483,16692" coordsize="11905,429" o:gfxdata="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01yfJdoAAAAMAQAADwAAAAAAAAABACAAAAAiAAAAZHJzL2Rvd25yZXYueG1sUEsBAhQAFAAA&#10;AAgAh07iQBzYOZGYAgAADgcAAA4AAAAAAAAAAQAgAAAAKQEAAGRycy9lMm9Eb2MueG1sUEsFBgAA&#10;AAAGAAYAWQEAADMGAAAAAA==&#10;">
                <o:lock v:ext="edit" aspectratio="f"/>
                <v:rect id="矩形 6" o:spid="_x0000_s1026" o:spt="1" style="position:absolute;left:1483;top:16692;height:428;width:1125;v-text-anchor:middle;" fillcolor="#FDBC11" filled="t" stroked="f" coordsize="21600,21600" o:gfxdata="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k0zBvQAA&#10;ANo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rect id="矩形 7" o:spid="_x0000_s1026" o:spt="1" style="position:absolute;left:2608;top:16693;height:428;width:10780;v-text-anchor:middle;" fillcolor="#1F2959" filled="t" stroked="f" coordsize="21600,21600" o:gfxdata="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RMRQrUAAADaAAAADwAA&#10;AAAAAAABACAAAAAiAAAAZHJzL2Rvd25yZXYueG1sUEsBAhQAFAAAAAgAh07iQDMvBZ47AAAAOQAA&#10;ABAAAAAAAAAAAQAgAAAABAEAAGRycy9zaGFwZXhtbC54bWxQSwUGAAAAAAYABgBbAQAArgMAAAAA&#10;">
                  <v:fill on="t" focussize="0,0"/>
                  <v:stroke on="f" weight="1pt" miterlimit="8" joinstyle="miter"/>
                  <v:imagedata o:title=""/>
                  <o:lock v:ext="edit" aspectratio="f"/>
                </v:rect>
              </v:group>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2346325</wp:posOffset>
                </wp:positionH>
                <wp:positionV relativeFrom="paragraph">
                  <wp:posOffset>3639820</wp:posOffset>
                </wp:positionV>
                <wp:extent cx="4313555" cy="396875"/>
                <wp:effectExtent l="0" t="0" r="0" b="0"/>
                <wp:wrapNone/>
                <wp:docPr id="12" name="矩形 11"/>
                <wp:cNvGraphicFramePr/>
                <a:graphic xmlns:a="http://schemas.openxmlformats.org/drawingml/2006/main">
                  <a:graphicData uri="http://schemas.microsoft.com/office/word/2010/wordprocessingShape">
                    <wps:wsp>
                      <wps:cNvSpPr/>
                      <wps:spPr>
                        <a:xfrm>
                          <a:off x="0" y="0"/>
                          <a:ext cx="4313555" cy="396875"/>
                        </a:xfrm>
                        <a:prstGeom prst="rect">
                          <a:avLst/>
                        </a:prstGeom>
                        <a:noFill/>
                        <a:ln>
                          <a:noFill/>
                        </a:ln>
                        <a:effectLst/>
                      </wps:spPr>
                      <wps:txbx>
                        <w:txbxContent>
                          <w:p/>
                        </w:txbxContent>
                      </wps:txbx>
                      <wps:bodyPr wrap="none">
                        <a:spAutoFit/>
                      </wps:bodyPr>
                    </wps:wsp>
                  </a:graphicData>
                </a:graphic>
              </wp:anchor>
            </w:drawing>
          </mc:Choice>
          <mc:Fallback>
            <w:pict>
              <v:rect id="矩形 11" o:spid="_x0000_s1026" o:spt="1" style="position:absolute;left:0pt;margin-left:184.75pt;margin-top:286.6pt;height:31.25pt;width:339.65pt;mso-wrap-style:none;z-index:251663360;mso-width-relative:page;mso-height-relative:page;" filled="f" stroked="f" coordsize="21600,21600" o:gfxdata="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ZkF9HbAAAADAEAAA8AAAAAAAAAAQAgAAAAIgAAAGRycy9kb3ducmV2LnhtbFBLAQIU&#10;ABQAAAAIAIdO4kBICsdgtwEAAGsDAAAOAAAAAAAAAAEAIAAAACoBAABkcnMvZTJvRG9jLnhtbFBL&#10;BQYAAAAABgAGAFkBAABTBQAAAAA=&#10;">
                <v:fill on="f" focussize="0,0"/>
                <v:stroke on="f"/>
                <v:imagedata o:title=""/>
                <o:lock v:ext="edit" aspectratio="f"/>
                <v:textbox style="mso-fit-shape-to-text:t;">
                  <w:txbxContent>
                    <w:p/>
                  </w:txbxContent>
                </v:textbox>
              </v:rect>
            </w:pict>
          </mc:Fallback>
        </mc:AlternateContent>
      </w:r>
    </w:p>
    <w:p/>
    <w:p>
      <w:pPr>
        <w:jc w:val="center"/>
        <w:rPr>
          <w:rFonts w:ascii="黑体" w:hAnsi="黑体" w:eastAsia="黑体" w:cs="黑体"/>
          <w:sz w:val="56"/>
          <w:szCs w:val="72"/>
        </w:rPr>
      </w:pPr>
    </w:p>
    <w:p>
      <w:pPr>
        <w:jc w:val="center"/>
        <w:rPr>
          <w:rFonts w:ascii="黑体" w:hAnsi="黑体" w:eastAsia="黑体" w:cs="黑体"/>
          <w:sz w:val="56"/>
          <w:szCs w:val="72"/>
        </w:rPr>
      </w:pPr>
    </w:p>
    <w:p>
      <w:pPr>
        <w:rPr>
          <w:rFonts w:ascii="黑体" w:hAnsi="Times New Roman" w:eastAsia="黑体"/>
          <w:sz w:val="48"/>
          <w:szCs w:val="48"/>
        </w:rPr>
      </w:pPr>
      <w:r>
        <w:rPr>
          <w:rFonts w:ascii="黑体" w:hAnsi="Times New Roman" w:eastAsia="黑体"/>
          <w:sz w:val="48"/>
          <w:szCs w:val="48"/>
        </w:rPr>
        <w:br w:type="page"/>
      </w:r>
    </w:p>
    <w:p>
      <w:pPr>
        <w:tabs>
          <w:tab w:val="left" w:pos="2728"/>
        </w:tabs>
        <w:rPr>
          <w:rFonts w:ascii="黑体" w:hAnsi="Times New Roman" w:eastAsia="黑体"/>
          <w:sz w:val="48"/>
          <w:szCs w:val="48"/>
        </w:rPr>
      </w:pPr>
      <w:r>
        <w:rPr>
          <w:rFonts w:ascii="黑体" w:hAnsi="Times New Roman" w:eastAsia="黑体"/>
          <w:sz w:val="48"/>
          <w:szCs w:val="48"/>
        </w:rPr>
        <w:tab/>
      </w:r>
    </w:p>
    <w:p>
      <w:pPr>
        <w:rPr>
          <w:rFonts w:ascii="黑体" w:hAnsi="黑体" w:eastAsia="黑体" w:cs="黑体"/>
          <w:sz w:val="56"/>
          <w:szCs w:val="72"/>
        </w:rPr>
      </w:pPr>
    </w:p>
    <w:p>
      <w:pPr>
        <w:rPr>
          <w:rFonts w:hint="eastAsia" w:ascii="黑体" w:hAnsi="黑体" w:eastAsia="黑体" w:cs="黑体"/>
          <w:b/>
          <w:bCs/>
          <w:sz w:val="72"/>
          <w:szCs w:val="96"/>
          <w:lang w:eastAsia="zh-CN"/>
        </w:rPr>
      </w:pPr>
      <w:r>
        <w:rPr>
          <w:rFonts w:ascii="黑体" w:hAnsi="黑体" w:eastAsia="黑体" w:cs="黑体"/>
          <w:b/>
          <w:bCs/>
          <w:sz w:val="72"/>
          <w:szCs w:val="96"/>
        </w:rPr>
        <w:t>2019</w:t>
      </w:r>
      <w:r>
        <w:rPr>
          <w:rFonts w:hint="eastAsia" w:ascii="黑体" w:hAnsi="黑体" w:eastAsia="黑体" w:cs="黑体"/>
          <w:b/>
          <w:bCs/>
          <w:sz w:val="72"/>
          <w:szCs w:val="96"/>
        </w:rPr>
        <w:t>年度部门决算公开</w:t>
      </w:r>
      <w:r>
        <w:rPr>
          <w:rFonts w:hint="eastAsia" w:ascii="黑体" w:hAnsi="黑体" w:eastAsia="黑体" w:cs="黑体"/>
          <w:b/>
          <w:bCs/>
          <w:sz w:val="72"/>
          <w:szCs w:val="96"/>
          <w:lang w:eastAsia="zh-CN"/>
        </w:rPr>
        <w:t>说明</w:t>
      </w:r>
      <w:bookmarkStart w:id="0" w:name="_GoBack"/>
      <w:bookmarkEnd w:id="0"/>
    </w:p>
    <w:p>
      <w:pPr>
        <w:spacing w:line="360" w:lineRule="auto"/>
        <w:jc w:val="center"/>
        <w:rPr>
          <w:rFonts w:ascii="黑体" w:hAnsi="黑体" w:eastAsia="黑体" w:cs="黑体"/>
          <w:sz w:val="56"/>
          <w:szCs w:val="72"/>
        </w:rPr>
      </w:pPr>
    </w:p>
    <w:p>
      <w:pPr>
        <w:spacing w:line="600" w:lineRule="auto"/>
        <w:jc w:val="both"/>
        <w:rPr>
          <w:rFonts w:ascii="黑体" w:hAnsi="黑体" w:eastAsia="黑体" w:cs="黑体"/>
          <w:sz w:val="56"/>
          <w:szCs w:val="72"/>
        </w:rPr>
      </w:pPr>
      <w:r>
        <w:rPr>
          <w:rFonts w:hint="eastAsia" w:ascii="黑体" w:hAnsi="Times New Roman" w:eastAsia="黑体"/>
          <w:sz w:val="48"/>
          <w:szCs w:val="48"/>
          <w:lang w:eastAsia="zh-CN"/>
        </w:rPr>
        <w:drawing>
          <wp:inline distT="0" distB="0" distL="114300" distR="114300">
            <wp:extent cx="4368165" cy="5446395"/>
            <wp:effectExtent l="0" t="0" r="1905" b="13335"/>
            <wp:docPr id="32" name="图片 32" descr="cd050f2fddd2e51c605fea9a68b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d050f2fddd2e51c605fea9a68b3759"/>
                    <pic:cNvPicPr>
                      <a:picLocks noChangeAspect="1"/>
                    </pic:cNvPicPr>
                  </pic:nvPicPr>
                  <pic:blipFill>
                    <a:blip r:embed="rId18"/>
                    <a:stretch>
                      <a:fillRect/>
                    </a:stretch>
                  </pic:blipFill>
                  <pic:spPr>
                    <a:xfrm rot="5400000">
                      <a:off x="0" y="0"/>
                      <a:ext cx="4368165" cy="5446395"/>
                    </a:xfrm>
                    <a:prstGeom prst="rect">
                      <a:avLst/>
                    </a:prstGeom>
                  </pic:spPr>
                </pic:pic>
              </a:graphicData>
            </a:graphic>
          </wp:inline>
        </w:drawing>
      </w:r>
    </w:p>
    <w:p>
      <w:pPr>
        <w:spacing w:line="600" w:lineRule="auto"/>
        <w:jc w:val="center"/>
        <w:rPr>
          <w:rFonts w:ascii="黑体" w:hAnsi="黑体" w:eastAsia="黑体" w:cs="黑体"/>
          <w:sz w:val="56"/>
          <w:szCs w:val="72"/>
        </w:rPr>
      </w:pPr>
    </w:p>
    <w:p>
      <w:pPr>
        <w:snapToGrid w:val="0"/>
        <w:ind w:firstLine="3080" w:firstLineChars="700"/>
        <w:jc w:val="both"/>
        <w:rPr>
          <w:rFonts w:ascii="楷体_GB2312" w:hAnsi="楷体_GB2312" w:eastAsia="楷体_GB2312" w:cs="楷体_GB2312"/>
          <w:color w:val="000000"/>
          <w:kern w:val="0"/>
          <w:sz w:val="44"/>
          <w:szCs w:val="44"/>
        </w:rPr>
        <w:sectPr>
          <w:headerReference r:id="rId5" w:type="first"/>
          <w:footerReference r:id="rId6" w:type="first"/>
          <w:headerReference r:id="rId4" w:type="default"/>
          <w:type w:val="continuous"/>
          <w:pgSz w:w="11906" w:h="16838"/>
          <w:pgMar w:top="2041" w:right="1531" w:bottom="2041" w:left="1531" w:header="851" w:footer="992" w:gutter="0"/>
          <w:cols w:space="0" w:num="1"/>
          <w:titlePg/>
          <w:docGrid w:type="lines" w:linePitch="312" w:charSpace="0"/>
        </w:sectPr>
      </w:pPr>
      <w:r>
        <w:rPr>
          <w:rFonts w:hint="eastAsia" w:ascii="楷体_GB2312" w:hAnsi="楷体_GB2312" w:eastAsia="楷体_GB2312" w:cs="楷体_GB2312"/>
          <w:color w:val="000000"/>
          <w:kern w:val="0"/>
          <w:sz w:val="44"/>
          <w:szCs w:val="44"/>
        </w:rPr>
        <w:t>二〇二〇年八月</w:t>
      </w:r>
    </w:p>
    <w:p>
      <w:pPr>
        <w:widowControl/>
        <w:spacing w:line="600" w:lineRule="exact"/>
        <w:jc w:val="left"/>
        <w:rPr>
          <w:rFonts w:ascii="黑体" w:hAnsi="黑体" w:eastAsia="黑体" w:cs="黑体"/>
          <w:bCs/>
          <w:sz w:val="32"/>
          <w:szCs w:val="32"/>
          <w:highlight w:val="yellow"/>
        </w:rPr>
      </w:pPr>
    </w:p>
    <w:p>
      <w:pPr>
        <w:jc w:val="center"/>
        <w:rPr>
          <w:rFonts w:hint="eastAsia" w:ascii="黑体" w:hAnsi="黑体" w:eastAsia="黑体" w:cs="黑体"/>
          <w:sz w:val="56"/>
          <w:szCs w:val="72"/>
          <w:lang w:eastAsia="zh-CN"/>
        </w:rPr>
        <w:sectPr>
          <w:headerReference r:id="rId8" w:type="first"/>
          <w:footerReference r:id="rId10" w:type="first"/>
          <w:headerReference r:id="rId7" w:type="default"/>
          <w:footerReference r:id="rId9" w:type="default"/>
          <w:type w:val="continuous"/>
          <w:pgSz w:w="11906" w:h="16838"/>
          <w:pgMar w:top="2041" w:right="1531" w:bottom="2041" w:left="1531" w:header="851" w:footer="992" w:gutter="0"/>
          <w:cols w:space="0" w:num="1"/>
          <w:titlePg/>
          <w:docGrid w:type="lines" w:linePitch="312" w:charSpace="0"/>
        </w:sectPr>
      </w:pPr>
    </w:p>
    <w:p>
      <w:pPr>
        <w:rPr>
          <w:rFonts w:hint="eastAsia" w:ascii="黑体" w:hAnsi="Times New Roman" w:eastAsia="黑体"/>
          <w:sz w:val="48"/>
          <w:szCs w:val="48"/>
          <w:lang w:eastAsia="zh-CN"/>
        </w:rPr>
      </w:pPr>
      <w:r>
        <w:rPr>
          <w:rFonts w:ascii="黑体" w:hAnsi="Times New Roman" w:eastAsia="黑体"/>
          <w:sz w:val="48"/>
          <w:szCs w:val="48"/>
        </w:rPr>
        <w:br w:type="page"/>
      </w:r>
    </w:p>
    <w:p>
      <w:pPr>
        <w:tabs>
          <w:tab w:val="left" w:pos="2728"/>
        </w:tabs>
        <w:jc w:val="center"/>
        <w:rPr>
          <w:rFonts w:ascii="黑体" w:hAnsi="Times New Roman" w:eastAsia="黑体"/>
          <w:sz w:val="48"/>
          <w:szCs w:val="48"/>
        </w:rPr>
      </w:pPr>
    </w:p>
    <w:p>
      <w:pPr>
        <w:tabs>
          <w:tab w:val="left" w:pos="2728"/>
        </w:tabs>
        <w:jc w:val="center"/>
        <w:rPr>
          <w:rFonts w:ascii="黑体" w:hAnsi="Times New Roman" w:eastAsia="黑体"/>
          <w:sz w:val="48"/>
          <w:szCs w:val="48"/>
        </w:rPr>
      </w:pPr>
      <w:r>
        <w:rPr>
          <w:rFonts w:hint="eastAsia" w:ascii="黑体" w:hAnsi="Times New Roman" w:eastAsia="黑体"/>
          <w:sz w:val="48"/>
          <w:szCs w:val="48"/>
        </w:rPr>
        <w:t>目</w:t>
      </w:r>
      <w:r>
        <w:rPr>
          <w:rFonts w:ascii="黑体" w:hAnsi="Times New Roman" w:eastAsia="黑体"/>
          <w:sz w:val="48"/>
          <w:szCs w:val="48"/>
        </w:rPr>
        <w:t xml:space="preserve">    </w:t>
      </w:r>
      <w:r>
        <w:rPr>
          <w:rFonts w:hint="eastAsia" w:ascii="黑体" w:hAnsi="Times New Roman" w:eastAsia="黑体"/>
          <w:sz w:val="48"/>
          <w:szCs w:val="48"/>
        </w:rPr>
        <w:t>录</w:t>
      </w:r>
    </w:p>
    <w:p>
      <w:pPr>
        <w:widowControl/>
        <w:spacing w:after="160" w:line="580" w:lineRule="exact"/>
        <w:ind w:firstLine="640" w:firstLineChars="200"/>
        <w:rPr>
          <w:rFonts w:ascii="Times New Roman" w:hAnsi="Times New Roman" w:eastAsia="黑体"/>
          <w:sz w:val="32"/>
          <w:szCs w:val="32"/>
        </w:rPr>
      </w:pPr>
    </w:p>
    <w:p>
      <w:pPr>
        <w:widowControl/>
        <w:spacing w:after="160" w:line="580" w:lineRule="exact"/>
        <w:ind w:firstLine="640" w:firstLineChars="200"/>
        <w:rPr>
          <w:rFonts w:ascii="Times New Roman" w:hAnsi="Times New Roman" w:eastAsia="仿宋_GB2312"/>
          <w:sz w:val="24"/>
          <w:szCs w:val="32"/>
        </w:rPr>
      </w:pPr>
      <w:r>
        <w:rPr>
          <w:rFonts w:hint="eastAsia" w:ascii="Times New Roman" w:hAnsi="Times New Roman" w:eastAsia="黑体"/>
          <w:sz w:val="32"/>
          <w:szCs w:val="32"/>
        </w:rPr>
        <w:t>第一部分</w:t>
      </w:r>
      <w:r>
        <w:rPr>
          <w:rFonts w:ascii="Times New Roman" w:hAnsi="Times New Roman" w:eastAsia="黑体"/>
          <w:sz w:val="32"/>
          <w:szCs w:val="32"/>
        </w:rPr>
        <w:t xml:space="preserve">   </w:t>
      </w:r>
      <w:r>
        <w:rPr>
          <w:rFonts w:hint="eastAsia" w:ascii="Times New Roman" w:hAnsi="Times New Roman" w:eastAsia="黑体"/>
          <w:sz w:val="32"/>
          <w:szCs w:val="32"/>
        </w:rPr>
        <w:t>部门概况</w:t>
      </w:r>
    </w:p>
    <w:p>
      <w:pPr>
        <w:widowControl/>
        <w:spacing w:after="160" w:line="580" w:lineRule="exact"/>
        <w:ind w:firstLine="1273" w:firstLineChars="398"/>
        <w:rPr>
          <w:rFonts w:ascii="Times New Roman" w:hAnsi="Times New Roman" w:eastAsia="仿宋_GB2312"/>
          <w:sz w:val="32"/>
          <w:szCs w:val="32"/>
        </w:rPr>
      </w:pPr>
      <w:r>
        <w:rPr>
          <w:rFonts w:hint="eastAsia" w:ascii="Times New Roman" w:hAnsi="Times New Roman" w:eastAsia="仿宋_GB2312"/>
          <w:sz w:val="32"/>
          <w:szCs w:val="32"/>
        </w:rPr>
        <w:t>一、部门职责</w:t>
      </w:r>
    </w:p>
    <w:p>
      <w:pPr>
        <w:widowControl/>
        <w:spacing w:after="160" w:line="580" w:lineRule="exact"/>
        <w:ind w:firstLine="1273" w:firstLineChars="398"/>
        <w:rPr>
          <w:rFonts w:ascii="Times New Roman" w:hAnsi="Times New Roman" w:eastAsia="仿宋_GB2312"/>
          <w:sz w:val="32"/>
          <w:szCs w:val="32"/>
        </w:rPr>
      </w:pPr>
      <w:r>
        <w:rPr>
          <w:rFonts w:hint="eastAsia" w:ascii="Times New Roman" w:hAnsi="Times New Roman" w:eastAsia="仿宋_GB2312"/>
          <w:sz w:val="32"/>
          <w:szCs w:val="32"/>
        </w:rPr>
        <w:t>二、机构设置</w:t>
      </w:r>
    </w:p>
    <w:p>
      <w:pPr>
        <w:widowControl/>
        <w:spacing w:after="160" w:line="58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第二部分</w:t>
      </w:r>
      <w:r>
        <w:rPr>
          <w:rFonts w:ascii="Times New Roman" w:hAnsi="Times New Roman" w:eastAsia="黑体"/>
          <w:sz w:val="32"/>
          <w:szCs w:val="32"/>
        </w:rPr>
        <w:t xml:space="preserve">   2019</w:t>
      </w:r>
      <w:r>
        <w:rPr>
          <w:rFonts w:hint="eastAsia" w:ascii="Times New Roman" w:hAnsi="Times New Roman" w:eastAsia="黑体"/>
          <w:sz w:val="32"/>
          <w:szCs w:val="32"/>
        </w:rPr>
        <w:t>年部门决算情况说明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一、收入支出决算总体情况说明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二、收入决算情况说明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三、支出决算情况说明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五、一般公共预算</w:t>
      </w:r>
      <w:r>
        <w:rPr>
          <w:rFonts w:ascii="Times New Roman" w:hAnsi="Times New Roman" w:eastAsia="仿宋_GB2312"/>
          <w:sz w:val="32"/>
          <w:szCs w:val="32"/>
        </w:rPr>
        <w:t>“</w:t>
      </w:r>
      <w:r>
        <w:rPr>
          <w:rFonts w:hint="eastAsia" w:ascii="Times New Roman" w:hAnsi="Times New Roman" w:eastAsia="仿宋_GB2312"/>
          <w:sz w:val="32"/>
          <w:szCs w:val="32"/>
        </w:rPr>
        <w:t>三公</w:t>
      </w:r>
      <w:r>
        <w:rPr>
          <w:rFonts w:ascii="Times New Roman" w:hAnsi="Times New Roman" w:eastAsia="仿宋_GB2312"/>
          <w:sz w:val="32"/>
          <w:szCs w:val="32"/>
        </w:rPr>
        <w:t>”</w:t>
      </w:r>
      <w:r>
        <w:rPr>
          <w:rFonts w:hint="eastAsia" w:ascii="Times New Roman" w:hAnsi="Times New Roman" w:eastAsia="仿宋_GB2312"/>
          <w:sz w:val="32"/>
          <w:szCs w:val="32"/>
        </w:rPr>
        <w:t>经费支出决算情况说明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六、预算绩效情况说明</w:t>
      </w:r>
    </w:p>
    <w:p>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七、其他重要事项的说明</w:t>
      </w:r>
    </w:p>
    <w:p>
      <w:pPr>
        <w:widowControl/>
        <w:spacing w:after="160" w:line="58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第三部分</w:t>
      </w:r>
      <w:r>
        <w:rPr>
          <w:rFonts w:ascii="Times New Roman" w:hAnsi="Times New Roman" w:eastAsia="黑体"/>
          <w:sz w:val="32"/>
          <w:szCs w:val="32"/>
        </w:rPr>
        <w:t xml:space="preserve">  </w:t>
      </w:r>
      <w:r>
        <w:rPr>
          <w:rFonts w:hint="eastAsia" w:ascii="Times New Roman" w:hAnsi="Times New Roman" w:eastAsia="黑体"/>
          <w:sz w:val="32"/>
          <w:szCs w:val="32"/>
        </w:rPr>
        <w:t>名词解释</w:t>
      </w:r>
    </w:p>
    <w:p>
      <w:pPr>
        <w:widowControl/>
        <w:spacing w:after="160" w:line="580" w:lineRule="exact"/>
        <w:ind w:firstLine="640" w:firstLineChars="200"/>
        <w:rPr>
          <w:rFonts w:ascii="Times New Roman" w:hAnsi="Times New Roman" w:eastAsia="仿宋_GB2312"/>
          <w:sz w:val="20"/>
          <w:szCs w:val="32"/>
        </w:rPr>
      </w:pPr>
      <w:r>
        <w:rPr>
          <w:rFonts w:hint="eastAsia" w:ascii="Times New Roman" w:hAnsi="Times New Roman" w:eastAsia="黑体"/>
          <w:sz w:val="32"/>
          <w:szCs w:val="32"/>
        </w:rPr>
        <w:t>第四部分</w:t>
      </w:r>
      <w:r>
        <w:rPr>
          <w:rFonts w:ascii="Times New Roman" w:hAnsi="Times New Roman" w:eastAsia="黑体"/>
          <w:sz w:val="32"/>
          <w:szCs w:val="32"/>
        </w:rPr>
        <w:t xml:space="preserve">  2019</w:t>
      </w:r>
      <w:r>
        <w:rPr>
          <w:rFonts w:hint="eastAsia" w:ascii="Times New Roman" w:hAnsi="Times New Roman" w:eastAsia="黑体"/>
          <w:sz w:val="32"/>
          <w:szCs w:val="32"/>
        </w:rPr>
        <w:t>年度部门决算报表</w:t>
      </w:r>
    </w:p>
    <w:p>
      <w:pPr>
        <w:widowControl/>
        <w:spacing w:after="160" w:line="580" w:lineRule="exact"/>
        <w:ind w:firstLine="640" w:firstLineChars="200"/>
        <w:rPr>
          <w:rFonts w:ascii="Times New Roman" w:hAnsi="Times New Roman" w:eastAsia="黑体"/>
          <w:sz w:val="32"/>
          <w:szCs w:val="32"/>
        </w:rPr>
      </w:pPr>
    </w:p>
    <w:p>
      <w:pPr>
        <w:widowControl/>
        <w:spacing w:after="160" w:line="580" w:lineRule="exact"/>
        <w:ind w:firstLine="640" w:firstLineChars="200"/>
        <w:rPr>
          <w:rFonts w:ascii="Times New Roman" w:hAnsi="Times New Roman" w:eastAsia="黑体"/>
          <w:sz w:val="32"/>
          <w:szCs w:val="32"/>
        </w:rPr>
        <w:sectPr>
          <w:headerReference r:id="rId12" w:type="first"/>
          <w:footerReference r:id="rId14" w:type="first"/>
          <w:headerReference r:id="rId11" w:type="default"/>
          <w:footerReference r:id="rId13" w:type="default"/>
          <w:type w:val="continuous"/>
          <w:pgSz w:w="11906" w:h="16838"/>
          <w:pgMar w:top="2041" w:right="1531" w:bottom="2041"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mc:AlternateContent>
          <mc:Choice Requires="wps">
            <w:drawing>
              <wp:anchor distT="0" distB="0" distL="114300" distR="114300" simplePos="0" relativeHeight="251667456" behindDoc="0" locked="0" layoutInCell="1" allowOverlap="1">
                <wp:simplePos x="0" y="0"/>
                <wp:positionH relativeFrom="column">
                  <wp:posOffset>-1088390</wp:posOffset>
                </wp:positionH>
                <wp:positionV relativeFrom="paragraph">
                  <wp:posOffset>1024890</wp:posOffset>
                </wp:positionV>
                <wp:extent cx="7793355" cy="3341370"/>
                <wp:effectExtent l="6350" t="6350" r="10795" b="24130"/>
                <wp:wrapNone/>
                <wp:docPr id="3" name="文本框 29"/>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horz">
                          <a:fgClr>
                            <a:srgbClr val="FFD966"/>
                          </a:fgClr>
                          <a:bgClr>
                            <a:srgbClr val="FFFFFF"/>
                          </a:bgClr>
                        </a:pattFill>
                        <a:ln w="12700" cap="flat" cmpd="sng">
                          <a:solidFill>
                            <a:srgbClr val="FFD966"/>
                          </a:solidFill>
                          <a:prstDash val="solid"/>
                          <a:round/>
                          <a:headEnd type="none" w="med" len="med"/>
                          <a:tailEnd type="none" w="med" len="med"/>
                        </a:ln>
                      </wps:spPr>
                      <wps:txbx>
                        <w:txbxContent>
                          <w:p>
                            <w:pPr>
                              <w:widowControl/>
                              <w:jc w:val="center"/>
                              <w:rPr>
                                <w:rFonts w:ascii="黑体" w:hAnsi="黑体" w:eastAsia="黑体" w:cs="黑体"/>
                                <w:color w:val="000000"/>
                                <w:sz w:val="96"/>
                                <w:szCs w:val="96"/>
                              </w:rPr>
                            </w:pPr>
                            <w:r>
                              <w:rPr>
                                <w:rFonts w:hint="eastAsia" w:ascii="黑体" w:hAnsi="黑体" w:eastAsia="黑体" w:cs="黑体"/>
                                <w:color w:val="000000"/>
                                <w:sz w:val="96"/>
                                <w:szCs w:val="96"/>
                              </w:rPr>
                              <w:t>第一部分</w:t>
                            </w:r>
                            <w:r>
                              <w:rPr>
                                <w:rFonts w:ascii="黑体" w:hAnsi="黑体" w:eastAsia="黑体" w:cs="黑体"/>
                                <w:color w:val="000000"/>
                                <w:sz w:val="96"/>
                                <w:szCs w:val="96"/>
                              </w:rPr>
                              <w:t xml:space="preserve">  </w:t>
                            </w:r>
                            <w:r>
                              <w:rPr>
                                <w:rFonts w:hint="eastAsia" w:ascii="黑体" w:hAnsi="黑体" w:eastAsia="黑体" w:cs="黑体"/>
                                <w:color w:val="000000"/>
                                <w:sz w:val="96"/>
                                <w:szCs w:val="96"/>
                              </w:rPr>
                              <w:t>部门概况</w:t>
                            </w:r>
                          </w:p>
                        </w:txbxContent>
                      </wps:txbx>
                      <wps:bodyPr anchor="ctr" upright="1"/>
                    </wps:wsp>
                  </a:graphicData>
                </a:graphic>
              </wp:anchor>
            </w:drawing>
          </mc:Choice>
          <mc:Fallback>
            <w:pict>
              <v:shape id="文本框 29" o:spid="_x0000_s1026" o:spt="202" type="#_x0000_t202" style="position:absolute;left:0pt;margin-left:-85.7pt;margin-top:80.7pt;height:263.1pt;width:613.65pt;z-index:251667456;v-text-anchor:middle;mso-width-relative:page;mso-height-relative:page;" fillcolor="#FFD966" filled="t" stroked="t" coordsize="21600,21600" o:gfxdata="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jhJPdsAAAANAQAADwAAAAAAAAABACAAAAAiAAAAZHJzL2Rv&#10;d25yZXYueG1sUEsBAhQAFAAAAAgAh07iQBDjt8s3AgAAjwQAAA4AAAAAAAAAAQAgAAAAKgEAAGRy&#10;cy9lMm9Eb2MueG1sUEsFBgAAAAAGAAYAWQEAANMFAAAAAA==&#10;">
                <v:fill type="pattern" on="t" color2="#FFFFFF" focussize="0,0" r:id="rId19"/>
                <v:stroke weight="1pt" color="#FFD966" joinstyle="round"/>
                <v:imagedata o:title=""/>
                <o:lock v:ext="edit" aspectratio="f"/>
                <v:textbox>
                  <w:txbxContent>
                    <w:p>
                      <w:pPr>
                        <w:widowControl/>
                        <w:jc w:val="center"/>
                        <w:rPr>
                          <w:rFonts w:ascii="黑体" w:hAnsi="黑体" w:eastAsia="黑体" w:cs="黑体"/>
                          <w:color w:val="000000"/>
                          <w:sz w:val="96"/>
                          <w:szCs w:val="96"/>
                        </w:rPr>
                      </w:pPr>
                      <w:r>
                        <w:rPr>
                          <w:rFonts w:hint="eastAsia" w:ascii="黑体" w:hAnsi="黑体" w:eastAsia="黑体" w:cs="黑体"/>
                          <w:color w:val="000000"/>
                          <w:sz w:val="96"/>
                          <w:szCs w:val="96"/>
                        </w:rPr>
                        <w:t>第一部分</w:t>
                      </w:r>
                      <w:r>
                        <w:rPr>
                          <w:rFonts w:ascii="黑体" w:hAnsi="黑体" w:eastAsia="黑体" w:cs="黑体"/>
                          <w:color w:val="000000"/>
                          <w:sz w:val="96"/>
                          <w:szCs w:val="96"/>
                        </w:rPr>
                        <w:t xml:space="preserve">  </w:t>
                      </w:r>
                      <w:r>
                        <w:rPr>
                          <w:rFonts w:hint="eastAsia" w:ascii="黑体" w:hAnsi="黑体" w:eastAsia="黑体" w:cs="黑体"/>
                          <w:color w:val="000000"/>
                          <w:sz w:val="96"/>
                          <w:szCs w:val="96"/>
                        </w:rPr>
                        <w:t>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根据遵机编字【2002】50文件，我单位主要职责是：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 1、贯彻落实党和国家有关加强科学技术普及工作的方针；会同有关部门制定和组织实施全市科学技术普及工作的规划，推动科学技术进步和全市科学技术普及工作的发展。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   2、开展学术交流，促进科学发展，引进新成果，推广新技术，抓好科普示范基地建设，促进科技成果向现代生产力转化。</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   3、维护科技工作者的合法权益，反映科技工作者的意见和要求，组织科技工作者参与科技政策、地方性法规的拟定、科学决策和民主监督工作。</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   4、开展反对伪科学、反科学活动。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   5、组织科技人员搞好科技咨询服务，开展民间技术交流与合作。</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   6、与有关部门配合，搞好科技人员的培训工作。</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   7、承办市委、市政府交办的其他工作任务。</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从决算编报单位构成看，纳入</w:t>
      </w:r>
      <w:r>
        <w:rPr>
          <w:rFonts w:ascii="仿宋_GB2312" w:hAnsi="Calibri" w:eastAsia="仿宋_GB2312" w:cs="ArialUnicodeMS"/>
          <w:kern w:val="0"/>
          <w:sz w:val="32"/>
          <w:szCs w:val="32"/>
        </w:rPr>
        <w:t xml:space="preserve">2019 </w:t>
      </w:r>
      <w:r>
        <w:rPr>
          <w:rFonts w:hint="eastAsia" w:ascii="仿宋_GB2312" w:hAnsi="Calibri" w:eastAsia="仿宋_GB2312" w:cs="ArialUnicodeMS"/>
          <w:kern w:val="0"/>
          <w:sz w:val="32"/>
          <w:szCs w:val="32"/>
        </w:rPr>
        <w:t>年度本部门决算汇编范围的独立核算单位（以下简称“单位”）共</w:t>
      </w:r>
      <w:r>
        <w:rPr>
          <w:rFonts w:ascii="仿宋_GB2312" w:hAnsi="Calibri" w:eastAsia="仿宋_GB2312" w:cs="ArialUnicodeMS"/>
          <w:kern w:val="0"/>
          <w:sz w:val="32"/>
          <w:szCs w:val="32"/>
        </w:rPr>
        <w:t xml:space="preserve"> </w:t>
      </w:r>
      <w:r>
        <w:rPr>
          <w:rFonts w:hint="eastAsia" w:ascii="仿宋_GB2312" w:hAnsi="Calibri" w:eastAsia="仿宋_GB2312" w:cs="ArialUnicodeMS"/>
          <w:kern w:val="0"/>
          <w:sz w:val="32"/>
          <w:szCs w:val="32"/>
        </w:rPr>
        <w:t>个，具体情况如下：</w:t>
      </w:r>
    </w:p>
    <w:tbl>
      <w:tblPr>
        <w:tblStyle w:val="6"/>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ascii="仿宋_GB2312" w:hAnsi="Calibri" w:eastAsia="仿宋_GB2312" w:cs="ArialUnicodeMS"/>
                <w:kern w:val="0"/>
                <w:sz w:val="28"/>
                <w:szCs w:val="28"/>
              </w:rPr>
              <w:t>1</w:t>
            </w:r>
          </w:p>
        </w:tc>
        <w:tc>
          <w:tcPr>
            <w:tcW w:w="3485" w:type="dxa"/>
          </w:tcPr>
          <w:p>
            <w:pPr>
              <w:spacing w:line="560" w:lineRule="exact"/>
              <w:rPr>
                <w:rFonts w:ascii="仿宋_GB2312" w:hAnsi="Calibri" w:eastAsia="仿宋_GB2312" w:cs="ArialUnicodeMS"/>
                <w:kern w:val="0"/>
                <w:sz w:val="28"/>
                <w:szCs w:val="28"/>
              </w:rPr>
            </w:pPr>
            <w:r>
              <w:rPr>
                <w:rFonts w:hint="eastAsia" w:ascii="仿宋_GB2312" w:hAnsi="Cambria" w:eastAsia="仿宋_GB2312" w:cs="ArialUnicodeMS"/>
                <w:kern w:val="0"/>
                <w:sz w:val="28"/>
                <w:szCs w:val="28"/>
                <w:lang w:eastAsia="zh-CN"/>
              </w:rPr>
              <w:t>遵化市科学技术协会</w:t>
            </w:r>
          </w:p>
        </w:tc>
        <w:tc>
          <w:tcPr>
            <w:tcW w:w="2445" w:type="dxa"/>
          </w:tcPr>
          <w:p>
            <w:pPr>
              <w:spacing w:line="560" w:lineRule="exact"/>
              <w:jc w:val="center"/>
              <w:rPr>
                <w:rFonts w:ascii="仿宋_GB2312" w:hAnsi="Calibri" w:eastAsia="仿宋_GB2312" w:cs="ArialUnicodeMS"/>
                <w:kern w:val="0"/>
                <w:sz w:val="28"/>
                <w:szCs w:val="28"/>
              </w:rPr>
            </w:pPr>
            <w:r>
              <w:rPr>
                <w:rFonts w:hint="eastAsia" w:ascii="仿宋_GB2312" w:hAnsi="Cambria" w:eastAsia="仿宋_GB2312" w:cs="ArialUnicodeMS"/>
                <w:kern w:val="0"/>
                <w:sz w:val="28"/>
                <w:szCs w:val="28"/>
                <w:lang w:eastAsia="zh-CN"/>
              </w:rPr>
              <w:t>参公事业单位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mbria" w:eastAsia="仿宋_GB2312" w:cs="ArialUnicodeMS"/>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ascii="仿宋_GB2312" w:hAnsi="Calibri" w:eastAsia="仿宋_GB2312" w:cs="ArialUnicodeMS"/>
                <w:kern w:val="0"/>
                <w:sz w:val="28"/>
                <w:szCs w:val="28"/>
              </w:rPr>
              <w:t>2</w:t>
            </w:r>
          </w:p>
        </w:tc>
        <w:tc>
          <w:tcPr>
            <w:tcW w:w="3485" w:type="dxa"/>
          </w:tcPr>
          <w:p>
            <w:pPr>
              <w:spacing w:line="560" w:lineRule="exact"/>
              <w:rPr>
                <w:rFonts w:ascii="仿宋_GB2312" w:hAnsi="Calibri" w:eastAsia="仿宋_GB2312" w:cs="ArialUnicodeMS"/>
                <w:kern w:val="0"/>
                <w:sz w:val="28"/>
                <w:szCs w:val="28"/>
              </w:rPr>
            </w:pPr>
          </w:p>
        </w:tc>
        <w:tc>
          <w:tcPr>
            <w:tcW w:w="2445" w:type="dxa"/>
          </w:tcPr>
          <w:p>
            <w:pPr>
              <w:spacing w:line="560" w:lineRule="exact"/>
              <w:jc w:val="center"/>
              <w:rPr>
                <w:rFonts w:ascii="仿宋_GB2312" w:hAnsi="Calibri" w:eastAsia="仿宋_GB2312" w:cs="ArialUnicodeMS"/>
                <w:kern w:val="0"/>
                <w:sz w:val="28"/>
                <w:szCs w:val="28"/>
              </w:rPr>
            </w:pPr>
          </w:p>
        </w:tc>
        <w:tc>
          <w:tcPr>
            <w:tcW w:w="2665" w:type="dxa"/>
          </w:tcPr>
          <w:p>
            <w:pPr>
              <w:spacing w:line="560" w:lineRule="exact"/>
              <w:jc w:val="center"/>
              <w:rPr>
                <w:rFonts w:ascii="仿宋_GB2312" w:hAnsi="Calibri" w:eastAsia="仿宋_GB2312" w:cs="ArialUnicodeMS"/>
                <w:kern w:val="0"/>
                <w:sz w:val="28"/>
                <w:szCs w:val="28"/>
              </w:rPr>
            </w:pPr>
          </w:p>
        </w:tc>
      </w:tr>
    </w:tbl>
    <w:p>
      <w:pPr>
        <w:widowControl/>
        <w:spacing w:after="160" w:line="580" w:lineRule="exact"/>
        <w:rPr>
          <w:rFonts w:ascii="Times New Roman" w:hAnsi="Times New Roman" w:eastAsia="黑体"/>
          <w:sz w:val="32"/>
          <w:szCs w:val="32"/>
        </w:rPr>
        <w:sectPr>
          <w:pgSz w:w="11906" w:h="16838"/>
          <w:pgMar w:top="2041" w:right="1531" w:bottom="2041" w:left="1531" w:header="851" w:footer="992" w:gutter="0"/>
          <w:pgNumType w:fmt="numberInDash" w:start="1"/>
          <w:cols w:space="0" w:num="1"/>
          <w:titlePg/>
          <w:docGrid w:type="lines" w:linePitch="312" w:charSpace="0"/>
        </w:sectPr>
      </w:pPr>
    </w:p>
    <w:p>
      <w:pPr>
        <w:widowControl/>
        <w:spacing w:after="160" w:line="580" w:lineRule="exact"/>
        <w:ind w:firstLine="420" w:firstLineChars="200"/>
        <w:rPr>
          <w:rFonts w:ascii="Times New Roman" w:hAnsi="Times New Roman" w:eastAsia="黑体"/>
          <w:sz w:val="32"/>
          <w:szCs w:val="32"/>
        </w:rPr>
        <w:sectPr>
          <w:pgSz w:w="11906" w:h="16838"/>
          <w:pgMar w:top="2041" w:right="1531" w:bottom="2041" w:left="1531" w:header="851" w:footer="992" w:gutter="0"/>
          <w:pgNumType w:fmt="numberInDash"/>
          <w:cols w:space="0" w:num="1"/>
          <w:titlePg/>
          <w:docGrid w:type="lines" w:linePitch="312" w:charSpace="0"/>
        </w:sectPr>
      </w:pPr>
      <w:r>
        <mc:AlternateContent>
          <mc:Choice Requires="wps">
            <w:drawing>
              <wp:anchor distT="0" distB="0" distL="114300" distR="114300" simplePos="0" relativeHeight="251668480"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a:effectLst/>
                      </wps:spPr>
                      <wps:txbx>
                        <w:txbxContent>
                          <w:p>
                            <w:pPr>
                              <w:widowControl/>
                              <w:jc w:val="center"/>
                              <w:rPr>
                                <w:rFonts w:ascii="黑体" w:hAnsi="黑体" w:eastAsia="黑体" w:cs="黑体"/>
                                <w:color w:val="000000"/>
                                <w:sz w:val="96"/>
                                <w:szCs w:val="96"/>
                              </w:rPr>
                            </w:pPr>
                            <w:r>
                              <w:rPr>
                                <w:rFonts w:ascii="黑体" w:hAnsi="黑体" w:eastAsia="黑体" w:cs="黑体"/>
                                <w:color w:val="000000"/>
                                <w:sz w:val="96"/>
                                <w:szCs w:val="96"/>
                              </w:rPr>
                              <w:t xml:space="preserve"> </w:t>
                            </w:r>
                          </w:p>
                          <w:p>
                            <w:pPr>
                              <w:widowControl/>
                              <w:jc w:val="center"/>
                              <w:rPr>
                                <w:rFonts w:ascii="黑体" w:hAnsi="黑体" w:eastAsia="黑体" w:cs="黑体"/>
                                <w:color w:val="000000"/>
                                <w:sz w:val="96"/>
                                <w:szCs w:val="9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8480;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uuj5PeAAAADQEAAA8AAAAAAAAA&#10;AQAgAAAAIgAAAGRycy9kb3ducmV2LnhtbFBLAQIUABQAAAAIAIdO4kCR71RIRAIAAHkEAAAOAAAA&#10;AAAAAAEAIAAAAC0BAABkcnMvZTJvRG9jLnhtbFBLBQYAAAAABgAGAFkBAADjBQAAAAA=&#10;">
                <v:fill on="f" focussize="0,0"/>
                <v:stroke on="f" weight="0.5pt"/>
                <v:imagedata o:title=""/>
                <o:lock v:ext="edit" aspectratio="f"/>
                <v:textbox>
                  <w:txbxContent>
                    <w:p>
                      <w:pPr>
                        <w:widowControl/>
                        <w:jc w:val="center"/>
                        <w:rPr>
                          <w:rFonts w:ascii="黑体" w:hAnsi="黑体" w:eastAsia="黑体" w:cs="黑体"/>
                          <w:color w:val="000000"/>
                          <w:sz w:val="96"/>
                          <w:szCs w:val="96"/>
                        </w:rPr>
                      </w:pPr>
                      <w:r>
                        <w:rPr>
                          <w:rFonts w:ascii="黑体" w:hAnsi="黑体" w:eastAsia="黑体" w:cs="黑体"/>
                          <w:color w:val="000000"/>
                          <w:sz w:val="96"/>
                          <w:szCs w:val="96"/>
                        </w:rPr>
                        <w:t xml:space="preserve"> </w:t>
                      </w:r>
                    </w:p>
                    <w:p>
                      <w:pPr>
                        <w:widowControl/>
                        <w:jc w:val="center"/>
                        <w:rPr>
                          <w:rFonts w:ascii="黑体" w:hAnsi="黑体" w:eastAsia="黑体" w:cs="黑体"/>
                          <w:color w:val="000000"/>
                          <w:sz w:val="96"/>
                          <w:szCs w:val="96"/>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mc:AlternateContent>
          <mc:Choice Requires="wps">
            <w:drawing>
              <wp:anchor distT="0" distB="0" distL="114300" distR="114300" simplePos="0" relativeHeight="251669504" behindDoc="0" locked="0" layoutInCell="1" allowOverlap="1">
                <wp:simplePos x="0" y="0"/>
                <wp:positionH relativeFrom="column">
                  <wp:posOffset>-1153160</wp:posOffset>
                </wp:positionH>
                <wp:positionV relativeFrom="paragraph">
                  <wp:posOffset>55245</wp:posOffset>
                </wp:positionV>
                <wp:extent cx="7793355" cy="3341370"/>
                <wp:effectExtent l="4445" t="4445" r="12700" b="6985"/>
                <wp:wrapNone/>
                <wp:docPr id="5" name="文本框 3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horz">
                          <a:fgClr>
                            <a:srgbClr val="FFD966"/>
                          </a:fgClr>
                          <a:bgClr>
                            <a:srgbClr val="FFFFFF"/>
                          </a:bgClr>
                        </a:pattFill>
                        <a:ln w="6350" cap="flat" cmpd="sng">
                          <a:solidFill>
                            <a:srgbClr val="FFD966"/>
                          </a:solidFill>
                          <a:prstDash val="solid"/>
                          <a:round/>
                          <a:headEnd type="none" w="med" len="med"/>
                          <a:tailEnd type="none" w="med" len="med"/>
                        </a:ln>
                      </wps:spPr>
                      <wps:txbx>
                        <w:txbxContent>
                          <w:p>
                            <w:pPr>
                              <w:widowControl/>
                              <w:jc w:val="center"/>
                              <w:rPr>
                                <w:rFonts w:ascii="黑体" w:hAnsi="黑体" w:eastAsia="黑体" w:cs="黑体"/>
                                <w:color w:val="000000"/>
                                <w:sz w:val="90"/>
                                <w:szCs w:val="90"/>
                              </w:rPr>
                            </w:pPr>
                            <w:r>
                              <w:rPr>
                                <w:rFonts w:hint="eastAsia" w:ascii="黑体" w:hAnsi="黑体" w:eastAsia="黑体" w:cs="黑体"/>
                                <w:color w:val="000000"/>
                                <w:sz w:val="90"/>
                                <w:szCs w:val="90"/>
                              </w:rPr>
                              <w:t>第二部分</w:t>
                            </w:r>
                            <w:r>
                              <w:rPr>
                                <w:rFonts w:ascii="黑体" w:hAnsi="黑体" w:eastAsia="黑体" w:cs="黑体"/>
                                <w:color w:val="000000"/>
                                <w:sz w:val="90"/>
                                <w:szCs w:val="90"/>
                              </w:rPr>
                              <w:t xml:space="preserve"> </w:t>
                            </w:r>
                          </w:p>
                          <w:p>
                            <w:pPr>
                              <w:widowControl/>
                              <w:jc w:val="center"/>
                              <w:rPr>
                                <w:rFonts w:ascii="黑体" w:hAnsi="黑体" w:eastAsia="黑体" w:cs="黑体"/>
                                <w:color w:val="000000"/>
                                <w:sz w:val="90"/>
                                <w:szCs w:val="90"/>
                              </w:rPr>
                            </w:pPr>
                            <w:r>
                              <w:rPr>
                                <w:rFonts w:ascii="黑体" w:hAnsi="黑体" w:eastAsia="黑体" w:cs="黑体"/>
                                <w:color w:val="000000"/>
                                <w:sz w:val="90"/>
                                <w:szCs w:val="90"/>
                              </w:rPr>
                              <w:t>2019</w:t>
                            </w:r>
                            <w:r>
                              <w:rPr>
                                <w:rFonts w:hint="eastAsia" w:ascii="黑体" w:hAnsi="黑体" w:eastAsia="黑体" w:cs="黑体"/>
                                <w:color w:val="000000"/>
                                <w:sz w:val="90"/>
                                <w:szCs w:val="90"/>
                              </w:rPr>
                              <w:t>年部门决算情况说明</w:t>
                            </w:r>
                          </w:p>
                          <w:p/>
                        </w:txbxContent>
                      </wps:txbx>
                      <wps:bodyPr anchor="ctr" upright="1"/>
                    </wps:wsp>
                  </a:graphicData>
                </a:graphic>
              </wp:anchor>
            </w:drawing>
          </mc:Choice>
          <mc:Fallback>
            <w:pict>
              <v:shape id="文本框 38" o:spid="_x0000_s1026" o:spt="202" type="#_x0000_t202" style="position:absolute;left:0pt;margin-left:-90.8pt;margin-top:4.35pt;height:263.1pt;width:613.65pt;z-index:251669504;v-text-anchor:middle;mso-width-relative:page;mso-height-relative:page;" fillcolor="#FFD966" filled="t" stroked="t" coordsize="21600,21600" o:gfxdata="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tFFiXXAAAACwEAAA8AAAAAAAAAAQAgAAAAIgAAAGRycy9kb3ducmV2&#10;LnhtbFBLAQIUABQAAAAIAIdO4kD8G+TBNgIAAI4EAAAOAAAAAAAAAAEAIAAAACYBAABkcnMvZTJv&#10;RG9jLnhtbFBLBQYAAAAABgAGAFkBAADOBQAAAAA=&#10;">
                <v:fill type="pattern" on="t" color2="#FFFFFF" focussize="0,0" r:id="rId19"/>
                <v:stroke weight="0.5pt" color="#FFD966" joinstyle="round"/>
                <v:imagedata o:title=""/>
                <o:lock v:ext="edit" aspectratio="f"/>
                <v:textbox>
                  <w:txbxContent>
                    <w:p>
                      <w:pPr>
                        <w:widowControl/>
                        <w:jc w:val="center"/>
                        <w:rPr>
                          <w:rFonts w:ascii="黑体" w:hAnsi="黑体" w:eastAsia="黑体" w:cs="黑体"/>
                          <w:color w:val="000000"/>
                          <w:sz w:val="90"/>
                          <w:szCs w:val="90"/>
                        </w:rPr>
                      </w:pPr>
                      <w:r>
                        <w:rPr>
                          <w:rFonts w:hint="eastAsia" w:ascii="黑体" w:hAnsi="黑体" w:eastAsia="黑体" w:cs="黑体"/>
                          <w:color w:val="000000"/>
                          <w:sz w:val="90"/>
                          <w:szCs w:val="90"/>
                        </w:rPr>
                        <w:t>第二部分</w:t>
                      </w:r>
                      <w:r>
                        <w:rPr>
                          <w:rFonts w:ascii="黑体" w:hAnsi="黑体" w:eastAsia="黑体" w:cs="黑体"/>
                          <w:color w:val="000000"/>
                          <w:sz w:val="90"/>
                          <w:szCs w:val="90"/>
                        </w:rPr>
                        <w:t xml:space="preserve"> </w:t>
                      </w:r>
                    </w:p>
                    <w:p>
                      <w:pPr>
                        <w:widowControl/>
                        <w:jc w:val="center"/>
                        <w:rPr>
                          <w:rFonts w:ascii="黑体" w:hAnsi="黑体" w:eastAsia="黑体" w:cs="黑体"/>
                          <w:color w:val="000000"/>
                          <w:sz w:val="90"/>
                          <w:szCs w:val="90"/>
                        </w:rPr>
                      </w:pPr>
                      <w:r>
                        <w:rPr>
                          <w:rFonts w:ascii="黑体" w:hAnsi="黑体" w:eastAsia="黑体" w:cs="黑体"/>
                          <w:color w:val="000000"/>
                          <w:sz w:val="90"/>
                          <w:szCs w:val="90"/>
                        </w:rPr>
                        <w:t>2019</w:t>
                      </w:r>
                      <w:r>
                        <w:rPr>
                          <w:rFonts w:hint="eastAsia" w:ascii="黑体" w:hAnsi="黑体" w:eastAsia="黑体" w:cs="黑体"/>
                          <w:color w:val="000000"/>
                          <w:sz w:val="90"/>
                          <w:szCs w:val="90"/>
                        </w:rPr>
                        <w:t>年部门决算情况说明</w:t>
                      </w:r>
                    </w:p>
                    <w:p/>
                  </w:txbxContent>
                </v:textbox>
              </v:shape>
            </w:pict>
          </mc:Fallback>
        </mc:AlternateContent>
      </w: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一、收入</w:t>
      </w:r>
      <w:r>
        <w:rPr>
          <w:rFonts w:hint="eastAsia" w:ascii="黑体" w:hAnsi="Cambria" w:eastAsia="黑体" w:cs="黑体"/>
          <w:kern w:val="0"/>
          <w:sz w:val="32"/>
          <w:szCs w:val="32"/>
        </w:rPr>
        <w:t>支出</w:t>
      </w:r>
      <w:r>
        <w:rPr>
          <w:rFonts w:hint="eastAsia" w:ascii="黑体" w:hAnsi="Calibri" w:eastAsia="黑体"/>
          <w:sz w:val="32"/>
          <w:szCs w:val="32"/>
        </w:rPr>
        <w:t>决算总体情况说明</w:t>
      </w:r>
    </w:p>
    <w:p>
      <w:pPr>
        <w:ind w:firstLine="640" w:firstLineChars="200"/>
        <w:rPr>
          <w:rFonts w:hint="eastAsia" w:ascii="仿宋_GB2312" w:eastAsia="仿宋_GB2312" w:cs="DengXian-Regular"/>
          <w:sz w:val="32"/>
          <w:szCs w:val="32"/>
          <w:highlight w:val="yellow"/>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年度收支总计</w:t>
      </w:r>
      <w:r>
        <w:rPr>
          <w:rFonts w:hint="eastAsia" w:ascii="仿宋_GB2312" w:hAnsi="Times New Roman" w:eastAsia="仿宋_GB2312" w:cs="DengXian-Regular"/>
          <w:sz w:val="32"/>
          <w:szCs w:val="32"/>
          <w:lang w:val="en-US" w:eastAsia="zh-CN"/>
        </w:rPr>
        <w:t>161.37</w:t>
      </w:r>
      <w:r>
        <w:rPr>
          <w:rFonts w:hint="eastAsia" w:ascii="仿宋_GB2312" w:hAnsi="Times New Roman" w:eastAsia="仿宋_GB2312" w:cs="DengXian-Regular"/>
          <w:sz w:val="32"/>
          <w:szCs w:val="32"/>
        </w:rPr>
        <w:t>万元。与</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年度决算相比，收支各</w:t>
      </w:r>
      <w:r>
        <w:rPr>
          <w:rFonts w:hint="eastAsia" w:ascii="仿宋_GB2312" w:hAnsi="Times New Roman" w:eastAsia="仿宋_GB2312" w:cs="DengXian-Regular"/>
          <w:sz w:val="32"/>
          <w:szCs w:val="32"/>
          <w:lang w:val="en-US" w:eastAsia="zh-CN"/>
        </w:rPr>
        <w:t>减少11.17</w:t>
      </w:r>
      <w:r>
        <w:rPr>
          <w:rFonts w:hint="eastAsia" w:ascii="仿宋_GB2312" w:hAnsi="Times New Roman" w:eastAsia="仿宋_GB2312" w:cs="DengXian-Regular"/>
          <w:sz w:val="32"/>
          <w:szCs w:val="32"/>
        </w:rPr>
        <w:t>万元，下降</w:t>
      </w:r>
      <w:r>
        <w:rPr>
          <w:rFonts w:hint="eastAsia" w:ascii="仿宋_GB2312" w:hAnsi="Times New Roman" w:eastAsia="仿宋_GB2312" w:cs="DengXian-Regular"/>
          <w:sz w:val="32"/>
          <w:szCs w:val="32"/>
          <w:lang w:val="en-US" w:eastAsia="zh-CN"/>
        </w:rPr>
        <w:t>6.9</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val="en-US" w:eastAsia="zh-CN"/>
        </w:rPr>
        <w:t>比去年</w:t>
      </w:r>
      <w:r>
        <w:rPr>
          <w:rFonts w:hint="eastAsia" w:ascii="方正仿宋简体" w:eastAsia="方正仿宋简体"/>
          <w:sz w:val="32"/>
          <w:szCs w:val="32"/>
          <w:lang w:val="en-US" w:eastAsia="zh-CN"/>
        </w:rPr>
        <w:t>2018</w:t>
      </w:r>
      <w:r>
        <w:rPr>
          <w:rFonts w:hint="eastAsia" w:ascii="方正仿宋简体" w:eastAsia="方正仿宋简体"/>
          <w:sz w:val="32"/>
          <w:szCs w:val="32"/>
        </w:rPr>
        <w:t>年</w:t>
      </w:r>
      <w:r>
        <w:rPr>
          <w:rFonts w:hint="eastAsia" w:ascii="仿宋_GB2312" w:hAnsi="Times New Roman" w:eastAsia="仿宋_GB2312" w:cs="DengXian-Regular"/>
          <w:sz w:val="32"/>
          <w:szCs w:val="32"/>
          <w:lang w:val="en-US" w:eastAsia="zh-CN"/>
        </w:rPr>
        <w:t>少了</w:t>
      </w:r>
      <w:r>
        <w:rPr>
          <w:rFonts w:hint="eastAsia" w:ascii="方正仿宋简体" w:eastAsia="方正仿宋简体"/>
          <w:sz w:val="32"/>
          <w:szCs w:val="32"/>
          <w:lang w:eastAsia="zh-CN"/>
        </w:rPr>
        <w:t>市科技馆维修改造项目</w:t>
      </w:r>
      <w:r>
        <w:rPr>
          <w:rFonts w:hint="eastAsia" w:ascii="方正仿宋简体" w:eastAsia="方正仿宋简体"/>
          <w:sz w:val="32"/>
          <w:szCs w:val="32"/>
        </w:rPr>
        <w:t>。</w:t>
      </w: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二、收入决算情况说明</w:t>
      </w:r>
    </w:p>
    <w:p>
      <w:pPr>
        <w:adjustRightInd w:val="0"/>
        <w:snapToGrid w:val="0"/>
        <w:spacing w:line="580" w:lineRule="exact"/>
        <w:ind w:firstLine="640" w:firstLineChars="200"/>
        <w:rPr>
          <w:rFonts w:ascii="黑体" w:hAnsi="Calibri" w:eastAsia="黑体"/>
          <w:b/>
          <w:bCs/>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年度本年收入合计</w:t>
      </w:r>
      <w:r>
        <w:rPr>
          <w:rFonts w:hint="eastAsia" w:ascii="仿宋_GB2312" w:hAnsi="Times New Roman" w:eastAsia="仿宋_GB2312" w:cs="DengXian-Regular"/>
          <w:sz w:val="32"/>
          <w:szCs w:val="32"/>
          <w:lang w:val="en-US" w:eastAsia="zh-CN"/>
        </w:rPr>
        <w:t>161.37</w:t>
      </w:r>
      <w:r>
        <w:rPr>
          <w:rFonts w:hint="eastAsia" w:ascii="仿宋_GB2312" w:hAnsi="Times New Roman" w:eastAsia="仿宋_GB2312" w:cs="DengXian-Regular"/>
          <w:sz w:val="32"/>
          <w:szCs w:val="32"/>
        </w:rPr>
        <w:t>万元，其中：财政拨款收入</w:t>
      </w:r>
      <w:r>
        <w:rPr>
          <w:rFonts w:hint="eastAsia" w:ascii="仿宋_GB2312" w:hAnsi="Times New Roman" w:eastAsia="仿宋_GB2312" w:cs="DengXian-Regular"/>
          <w:sz w:val="32"/>
          <w:szCs w:val="32"/>
          <w:lang w:val="en-US" w:eastAsia="zh-CN"/>
        </w:rPr>
        <w:t>161.37</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100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；事业收入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；经营收入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；其他收入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三、支出决算情况说明</w:t>
      </w:r>
    </w:p>
    <w:p>
      <w:pPr>
        <w:adjustRightInd w:val="0"/>
        <w:snapToGrid w:val="0"/>
        <w:spacing w:line="580" w:lineRule="exact"/>
        <w:ind w:firstLine="640" w:firstLineChars="200"/>
        <w:rPr>
          <w:rFonts w:ascii="黑体" w:hAnsi="Calibri" w:eastAsia="黑体"/>
          <w:b/>
          <w:bCs/>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年度本年支出合计</w:t>
      </w:r>
      <w:r>
        <w:rPr>
          <w:rFonts w:hint="eastAsia" w:ascii="仿宋_GB2312" w:hAnsi="Times New Roman" w:eastAsia="仿宋_GB2312" w:cs="DengXian-Regular"/>
          <w:sz w:val="32"/>
          <w:szCs w:val="32"/>
          <w:lang w:val="en-US" w:eastAsia="zh-CN"/>
        </w:rPr>
        <w:t>161.37</w:t>
      </w:r>
      <w:r>
        <w:rPr>
          <w:rFonts w:hint="eastAsia" w:ascii="仿宋_GB2312" w:hAnsi="Times New Roman" w:eastAsia="仿宋_GB2312" w:cs="DengXian-Regular"/>
          <w:sz w:val="32"/>
          <w:szCs w:val="32"/>
        </w:rPr>
        <w:t>万元，其中：基本支出</w:t>
      </w:r>
      <w:r>
        <w:rPr>
          <w:rFonts w:hint="eastAsia" w:ascii="仿宋_GB2312" w:hAnsi="Times New Roman" w:eastAsia="仿宋_GB2312" w:cs="DengXian-Regular"/>
          <w:sz w:val="32"/>
          <w:szCs w:val="32"/>
          <w:lang w:val="en-US" w:eastAsia="zh-CN"/>
        </w:rPr>
        <w:t>96.54</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59.8</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；项目支出</w:t>
      </w:r>
      <w:r>
        <w:rPr>
          <w:rFonts w:hint="eastAsia" w:ascii="仿宋_GB2312" w:hAnsi="Times New Roman" w:eastAsia="仿宋_GB2312" w:cs="DengXian-Regular"/>
          <w:sz w:val="32"/>
          <w:szCs w:val="32"/>
          <w:lang w:val="en-US" w:eastAsia="zh-CN"/>
        </w:rPr>
        <w:t>64.83</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40.2</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；经营支出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四、</w:t>
      </w:r>
      <w:r>
        <w:rPr>
          <w:rFonts w:hint="eastAsia" w:ascii="黑体" w:hAnsi="Cambria" w:eastAsia="黑体" w:cs="黑体"/>
          <w:kern w:val="0"/>
          <w:sz w:val="32"/>
          <w:szCs w:val="32"/>
        </w:rPr>
        <w:t>财政</w:t>
      </w:r>
      <w:r>
        <w:rPr>
          <w:rFonts w:hint="eastAsia" w:ascii="黑体" w:hAnsi="Calibri" w:eastAsia="黑体"/>
          <w:sz w:val="32"/>
          <w:szCs w:val="32"/>
        </w:rPr>
        <w:t>拨款收入支出决算总体情况说明</w:t>
      </w:r>
    </w:p>
    <w:p>
      <w:pPr>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（一）财政拨款收支与</w:t>
      </w:r>
      <w:r>
        <w:rPr>
          <w:rFonts w:ascii="楷体_GB2312" w:hAnsi="Times New Roman" w:eastAsia="楷体_GB2312" w:cs="DengXian-Bold"/>
          <w:b/>
          <w:bCs/>
          <w:sz w:val="32"/>
          <w:szCs w:val="32"/>
        </w:rPr>
        <w:t xml:space="preserve">2018 </w:t>
      </w:r>
      <w:r>
        <w:rPr>
          <w:rFonts w:hint="eastAsia" w:ascii="楷体_GB2312" w:hAnsi="Times New Roman" w:eastAsia="楷体_GB2312" w:cs="DengXian-Bold"/>
          <w:b/>
          <w:bCs/>
          <w:sz w:val="32"/>
          <w:szCs w:val="32"/>
        </w:rPr>
        <w:t>年度决算对比情况</w:t>
      </w:r>
    </w:p>
    <w:p>
      <w:pPr>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年度形成的财政拨款收支均为一般公共预算财政拨款，其中本年收入</w:t>
      </w:r>
      <w:r>
        <w:rPr>
          <w:rFonts w:hint="eastAsia" w:ascii="仿宋_GB2312" w:hAnsi="Times New Roman" w:eastAsia="仿宋_GB2312" w:cs="DengXian-Regular"/>
          <w:sz w:val="32"/>
          <w:szCs w:val="32"/>
          <w:lang w:val="en-US" w:eastAsia="zh-CN"/>
        </w:rPr>
        <w:t>161.37</w:t>
      </w:r>
      <w:r>
        <w:rPr>
          <w:rFonts w:hint="eastAsia" w:ascii="仿宋_GB2312" w:hAnsi="Times New Roman" w:eastAsia="仿宋_GB2312" w:cs="DengXian-Regular"/>
          <w:sz w:val="32"/>
          <w:szCs w:val="32"/>
        </w:rPr>
        <w:t>万元</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比</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年度减少</w:t>
      </w:r>
      <w:r>
        <w:rPr>
          <w:rFonts w:hint="eastAsia" w:ascii="仿宋_GB2312" w:hAnsi="Times New Roman" w:eastAsia="仿宋_GB2312" w:cs="DengXian-Regular"/>
          <w:sz w:val="32"/>
          <w:szCs w:val="32"/>
          <w:lang w:val="en-US" w:eastAsia="zh-CN"/>
        </w:rPr>
        <w:t>11.17</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6.9</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w:t>
      </w:r>
      <w:r>
        <w:rPr>
          <w:rFonts w:hint="eastAsia" w:ascii="仿宋_GB2312" w:hAnsi="Times New Roman" w:eastAsia="仿宋_GB2312" w:cs="DengXian-Regular"/>
          <w:sz w:val="32"/>
          <w:szCs w:val="32"/>
          <w:lang w:val="en-US" w:eastAsia="zh-CN"/>
        </w:rPr>
        <w:t>原因</w:t>
      </w:r>
      <w:r>
        <w:rPr>
          <w:rFonts w:hint="eastAsia" w:ascii="仿宋_GB2312" w:hAnsi="Times New Roman" w:eastAsia="仿宋_GB2312" w:cs="DengXian-Regular"/>
          <w:sz w:val="32"/>
          <w:szCs w:val="32"/>
        </w:rPr>
        <w:t>是</w:t>
      </w:r>
      <w:r>
        <w:rPr>
          <w:rFonts w:hint="eastAsia" w:ascii="仿宋_GB2312" w:hAnsi="Times New Roman" w:eastAsia="仿宋_GB2312" w:cs="DengXian-Regular"/>
          <w:sz w:val="32"/>
          <w:szCs w:val="32"/>
          <w:lang w:val="en-US" w:eastAsia="zh-CN"/>
        </w:rPr>
        <w:t>比去年</w:t>
      </w:r>
      <w:r>
        <w:rPr>
          <w:rFonts w:hint="eastAsia" w:ascii="方正仿宋简体" w:eastAsia="方正仿宋简体"/>
          <w:sz w:val="32"/>
          <w:szCs w:val="32"/>
          <w:lang w:val="en-US" w:eastAsia="zh-CN"/>
        </w:rPr>
        <w:t>2018</w:t>
      </w:r>
      <w:r>
        <w:rPr>
          <w:rFonts w:hint="eastAsia" w:ascii="方正仿宋简体" w:eastAsia="方正仿宋简体"/>
          <w:sz w:val="32"/>
          <w:szCs w:val="32"/>
        </w:rPr>
        <w:t>年</w:t>
      </w:r>
      <w:r>
        <w:rPr>
          <w:rFonts w:hint="eastAsia" w:ascii="仿宋_GB2312" w:hAnsi="Times New Roman" w:eastAsia="仿宋_GB2312" w:cs="DengXian-Regular"/>
          <w:sz w:val="32"/>
          <w:szCs w:val="32"/>
          <w:lang w:val="en-US" w:eastAsia="zh-CN"/>
        </w:rPr>
        <w:t>少了</w:t>
      </w:r>
      <w:r>
        <w:rPr>
          <w:rFonts w:hint="eastAsia" w:ascii="方正仿宋简体" w:eastAsia="方正仿宋简体"/>
          <w:sz w:val="32"/>
          <w:szCs w:val="32"/>
          <w:lang w:eastAsia="zh-CN"/>
        </w:rPr>
        <w:t>市科技馆维修改造项目</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161.37</w:t>
      </w:r>
      <w:r>
        <w:rPr>
          <w:rFonts w:hint="eastAsia" w:ascii="仿宋_GB2312" w:hAnsi="Times New Roman" w:eastAsia="仿宋_GB2312" w:cs="DengXian-Regular"/>
          <w:sz w:val="32"/>
          <w:szCs w:val="32"/>
        </w:rPr>
        <w:t>万元，减少</w:t>
      </w:r>
      <w:r>
        <w:rPr>
          <w:rFonts w:hint="eastAsia" w:ascii="仿宋_GB2312" w:hAnsi="Times New Roman" w:eastAsia="仿宋_GB2312" w:cs="DengXian-Regular"/>
          <w:sz w:val="32"/>
          <w:szCs w:val="32"/>
          <w:lang w:val="en-US" w:eastAsia="zh-CN"/>
        </w:rPr>
        <w:t>11.17</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6.9</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比去年</w:t>
      </w:r>
      <w:r>
        <w:rPr>
          <w:rFonts w:hint="eastAsia" w:ascii="方正仿宋简体" w:eastAsia="方正仿宋简体"/>
          <w:sz w:val="32"/>
          <w:szCs w:val="32"/>
          <w:lang w:val="en-US" w:eastAsia="zh-CN"/>
        </w:rPr>
        <w:t>2018</w:t>
      </w:r>
      <w:r>
        <w:rPr>
          <w:rFonts w:hint="eastAsia" w:ascii="方正仿宋简体" w:eastAsia="方正仿宋简体"/>
          <w:sz w:val="32"/>
          <w:szCs w:val="32"/>
        </w:rPr>
        <w:t>年</w:t>
      </w:r>
      <w:r>
        <w:rPr>
          <w:rFonts w:hint="eastAsia" w:ascii="仿宋_GB2312" w:hAnsi="Times New Roman" w:eastAsia="仿宋_GB2312" w:cs="DengXian-Regular"/>
          <w:sz w:val="32"/>
          <w:szCs w:val="32"/>
          <w:lang w:val="en-US" w:eastAsia="zh-CN"/>
        </w:rPr>
        <w:t>少了</w:t>
      </w:r>
      <w:r>
        <w:rPr>
          <w:rFonts w:hint="eastAsia" w:ascii="方正仿宋简体" w:eastAsia="方正仿宋简体"/>
          <w:sz w:val="32"/>
          <w:szCs w:val="32"/>
          <w:lang w:eastAsia="zh-CN"/>
        </w:rPr>
        <w:t>市科技馆维修改造项目。</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年度财政拨款本年收入</w:t>
      </w:r>
      <w:r>
        <w:rPr>
          <w:rFonts w:hint="eastAsia" w:ascii="仿宋_GB2312" w:hAnsi="Times New Roman" w:eastAsia="仿宋_GB2312" w:cs="DengXian-Regular"/>
          <w:sz w:val="32"/>
          <w:szCs w:val="32"/>
          <w:lang w:val="en-US" w:eastAsia="zh-CN"/>
        </w:rPr>
        <w:t>161.37</w:t>
      </w:r>
      <w:r>
        <w:rPr>
          <w:rFonts w:hint="eastAsia" w:ascii="仿宋_GB2312" w:hAnsi="Times New Roman" w:eastAsia="仿宋_GB2312" w:cs="DengXian-Regular"/>
          <w:sz w:val="32"/>
          <w:szCs w:val="32"/>
        </w:rPr>
        <w:t>万元</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比</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年度增加</w:t>
      </w:r>
      <w:r>
        <w:rPr>
          <w:rFonts w:hint="eastAsia" w:ascii="仿宋_GB2312" w:hAnsi="Times New Roman" w:eastAsia="仿宋_GB2312" w:cs="DengXian-Regular"/>
          <w:sz w:val="32"/>
          <w:szCs w:val="32"/>
          <w:lang w:val="en-US" w:eastAsia="zh-CN"/>
        </w:rPr>
        <w:t>11.17</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6.9</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比去年</w:t>
      </w:r>
      <w:r>
        <w:rPr>
          <w:rFonts w:hint="eastAsia" w:ascii="方正仿宋简体" w:eastAsia="方正仿宋简体"/>
          <w:sz w:val="32"/>
          <w:szCs w:val="32"/>
          <w:lang w:val="en-US" w:eastAsia="zh-CN"/>
        </w:rPr>
        <w:t>2018</w:t>
      </w:r>
      <w:r>
        <w:rPr>
          <w:rFonts w:hint="eastAsia" w:ascii="方正仿宋简体" w:eastAsia="方正仿宋简体"/>
          <w:sz w:val="32"/>
          <w:szCs w:val="32"/>
        </w:rPr>
        <w:t>年</w:t>
      </w:r>
      <w:r>
        <w:rPr>
          <w:rFonts w:hint="eastAsia" w:ascii="仿宋_GB2312" w:hAnsi="Times New Roman" w:eastAsia="仿宋_GB2312" w:cs="DengXian-Regular"/>
          <w:sz w:val="32"/>
          <w:szCs w:val="32"/>
          <w:lang w:val="en-US" w:eastAsia="zh-CN"/>
        </w:rPr>
        <w:t>少了</w:t>
      </w:r>
      <w:r>
        <w:rPr>
          <w:rFonts w:hint="eastAsia" w:ascii="方正仿宋简体" w:eastAsia="方正仿宋简体"/>
          <w:sz w:val="32"/>
          <w:szCs w:val="32"/>
          <w:lang w:eastAsia="zh-CN"/>
        </w:rPr>
        <w:t>市科技馆维修改造项目</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161.37</w:t>
      </w:r>
      <w:r>
        <w:rPr>
          <w:rFonts w:hint="eastAsia" w:ascii="仿宋_GB2312" w:hAnsi="Times New Roman" w:eastAsia="仿宋_GB2312" w:cs="DengXian-Regular"/>
          <w:sz w:val="32"/>
          <w:szCs w:val="32"/>
        </w:rPr>
        <w:t>万元，减少</w:t>
      </w:r>
      <w:r>
        <w:rPr>
          <w:rFonts w:hint="eastAsia" w:ascii="仿宋_GB2312" w:hAnsi="Times New Roman" w:eastAsia="仿宋_GB2312" w:cs="DengXian-Regular"/>
          <w:sz w:val="32"/>
          <w:szCs w:val="32"/>
          <w:lang w:val="en-US" w:eastAsia="zh-CN"/>
        </w:rPr>
        <w:t>11.17</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6.9</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比去年</w:t>
      </w:r>
      <w:r>
        <w:rPr>
          <w:rFonts w:hint="eastAsia" w:ascii="方正仿宋简体" w:eastAsia="方正仿宋简体"/>
          <w:sz w:val="32"/>
          <w:szCs w:val="32"/>
          <w:lang w:val="en-US" w:eastAsia="zh-CN"/>
        </w:rPr>
        <w:t>2018</w:t>
      </w:r>
      <w:r>
        <w:rPr>
          <w:rFonts w:hint="eastAsia" w:ascii="方正仿宋简体" w:eastAsia="方正仿宋简体"/>
          <w:sz w:val="32"/>
          <w:szCs w:val="32"/>
        </w:rPr>
        <w:t>年</w:t>
      </w:r>
      <w:r>
        <w:rPr>
          <w:rFonts w:hint="eastAsia" w:ascii="仿宋_GB2312" w:hAnsi="Times New Roman" w:eastAsia="仿宋_GB2312" w:cs="DengXian-Regular"/>
          <w:sz w:val="32"/>
          <w:szCs w:val="32"/>
          <w:lang w:val="en-US" w:eastAsia="zh-CN"/>
        </w:rPr>
        <w:t>少了</w:t>
      </w:r>
      <w:r>
        <w:rPr>
          <w:rFonts w:hint="eastAsia" w:ascii="方正仿宋简体" w:eastAsia="方正仿宋简体"/>
          <w:sz w:val="32"/>
          <w:szCs w:val="32"/>
          <w:lang w:eastAsia="zh-CN"/>
        </w:rPr>
        <w:t>市科技馆维修改造项目</w:t>
      </w:r>
      <w:r>
        <w:rPr>
          <w:rFonts w:hint="eastAsia" w:ascii="仿宋_GB2312" w:hAnsi="Times New Roman" w:eastAsia="仿宋_GB2312" w:cs="DengXian-Regular"/>
          <w:sz w:val="32"/>
          <w:szCs w:val="32"/>
        </w:rPr>
        <w:t>。具体情况如下：</w:t>
      </w:r>
    </w:p>
    <w:p>
      <w:pPr>
        <w:numPr>
          <w:ilvl w:val="0"/>
          <w:numId w:val="1"/>
        </w:num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一般公共预算财政拨款本年收入</w:t>
      </w:r>
      <w:r>
        <w:rPr>
          <w:rFonts w:hint="eastAsia" w:ascii="仿宋_GB2312" w:hAnsi="Times New Roman" w:eastAsia="仿宋_GB2312" w:cs="DengXian-Regular"/>
          <w:sz w:val="32"/>
          <w:szCs w:val="32"/>
          <w:lang w:val="en-US" w:eastAsia="zh-CN"/>
        </w:rPr>
        <w:t>161.37</w:t>
      </w:r>
      <w:r>
        <w:rPr>
          <w:rFonts w:hint="eastAsia" w:ascii="仿宋_GB2312" w:hAnsi="Times New Roman" w:eastAsia="仿宋_GB2312" w:cs="DengXian-Regular"/>
          <w:sz w:val="32"/>
          <w:szCs w:val="32"/>
        </w:rPr>
        <w:t>万元，比上年减少</w:t>
      </w:r>
      <w:r>
        <w:rPr>
          <w:rFonts w:hint="eastAsia" w:ascii="仿宋_GB2312" w:hAnsi="Times New Roman" w:eastAsia="仿宋_GB2312" w:cs="DengXian-Regular"/>
          <w:sz w:val="32"/>
          <w:szCs w:val="32"/>
          <w:lang w:val="en-US" w:eastAsia="zh-CN"/>
        </w:rPr>
        <w:t>11.17</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比去年</w:t>
      </w:r>
      <w:r>
        <w:rPr>
          <w:rFonts w:hint="eastAsia" w:ascii="方正仿宋简体" w:eastAsia="方正仿宋简体"/>
          <w:sz w:val="32"/>
          <w:szCs w:val="32"/>
          <w:lang w:val="en-US" w:eastAsia="zh-CN"/>
        </w:rPr>
        <w:t>2018</w:t>
      </w:r>
      <w:r>
        <w:rPr>
          <w:rFonts w:hint="eastAsia" w:ascii="方正仿宋简体" w:eastAsia="方正仿宋简体"/>
          <w:sz w:val="32"/>
          <w:szCs w:val="32"/>
        </w:rPr>
        <w:t>年</w:t>
      </w:r>
      <w:r>
        <w:rPr>
          <w:rFonts w:hint="eastAsia" w:ascii="仿宋_GB2312" w:hAnsi="Times New Roman" w:eastAsia="仿宋_GB2312" w:cs="DengXian-Regular"/>
          <w:sz w:val="32"/>
          <w:szCs w:val="32"/>
          <w:lang w:val="en-US" w:eastAsia="zh-CN"/>
        </w:rPr>
        <w:t>少了</w:t>
      </w:r>
      <w:r>
        <w:rPr>
          <w:rFonts w:hint="eastAsia" w:ascii="方正仿宋简体" w:eastAsia="方正仿宋简体"/>
          <w:sz w:val="32"/>
          <w:szCs w:val="32"/>
        </w:rPr>
        <w:t>增加</w:t>
      </w:r>
      <w:r>
        <w:rPr>
          <w:rFonts w:hint="eastAsia" w:ascii="方正仿宋简体" w:eastAsia="方正仿宋简体"/>
          <w:sz w:val="32"/>
          <w:szCs w:val="32"/>
          <w:lang w:eastAsia="zh-CN"/>
        </w:rPr>
        <w:t>市科技馆维修改造项目</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161.37</w:t>
      </w:r>
      <w:r>
        <w:rPr>
          <w:rFonts w:hint="eastAsia" w:ascii="仿宋_GB2312" w:hAnsi="Times New Roman" w:eastAsia="仿宋_GB2312" w:cs="DengXian-Regular"/>
          <w:sz w:val="32"/>
          <w:szCs w:val="32"/>
        </w:rPr>
        <w:t>万元，比上年减少</w:t>
      </w:r>
      <w:r>
        <w:rPr>
          <w:rFonts w:hint="eastAsia" w:ascii="仿宋_GB2312" w:hAnsi="Times New Roman" w:eastAsia="仿宋_GB2312" w:cs="DengXian-Regular"/>
          <w:sz w:val="32"/>
          <w:szCs w:val="32"/>
          <w:lang w:val="en-US" w:eastAsia="zh-CN"/>
        </w:rPr>
        <w:t>11.17</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6.9</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比去年</w:t>
      </w:r>
      <w:r>
        <w:rPr>
          <w:rFonts w:hint="eastAsia" w:ascii="方正仿宋简体" w:eastAsia="方正仿宋简体"/>
          <w:sz w:val="32"/>
          <w:szCs w:val="32"/>
          <w:lang w:val="en-US" w:eastAsia="zh-CN"/>
        </w:rPr>
        <w:t>2018</w:t>
      </w:r>
      <w:r>
        <w:rPr>
          <w:rFonts w:hint="eastAsia" w:ascii="方正仿宋简体" w:eastAsia="方正仿宋简体"/>
          <w:sz w:val="32"/>
          <w:szCs w:val="32"/>
        </w:rPr>
        <w:t>年</w:t>
      </w:r>
      <w:r>
        <w:rPr>
          <w:rFonts w:hint="eastAsia" w:ascii="仿宋_GB2312" w:hAnsi="Times New Roman" w:eastAsia="仿宋_GB2312" w:cs="DengXian-Regular"/>
          <w:sz w:val="32"/>
          <w:szCs w:val="32"/>
          <w:lang w:val="en-US" w:eastAsia="zh-CN"/>
        </w:rPr>
        <w:t>少了</w:t>
      </w:r>
      <w:r>
        <w:rPr>
          <w:rFonts w:hint="eastAsia" w:ascii="方正仿宋简体" w:eastAsia="方正仿宋简体"/>
          <w:sz w:val="32"/>
          <w:szCs w:val="32"/>
        </w:rPr>
        <w:t>增加</w:t>
      </w:r>
      <w:r>
        <w:rPr>
          <w:rFonts w:hint="eastAsia" w:ascii="方正仿宋简体" w:eastAsia="方正仿宋简体"/>
          <w:sz w:val="32"/>
          <w:szCs w:val="32"/>
          <w:lang w:eastAsia="zh-CN"/>
        </w:rPr>
        <w:t>市科技馆维修改造项目</w:t>
      </w:r>
      <w:r>
        <w:rPr>
          <w:rFonts w:hint="eastAsia" w:ascii="仿宋_GB2312" w:hAnsi="Times New Roman" w:eastAsia="仿宋_GB2312" w:cs="DengXian-Regular"/>
          <w:sz w:val="32"/>
          <w:szCs w:val="32"/>
        </w:rPr>
        <w:t>。</w:t>
      </w:r>
    </w:p>
    <w:p>
      <w:pPr>
        <w:numPr>
          <w:ilvl w:val="0"/>
          <w:numId w:val="1"/>
        </w:num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政府性基金预算财政拨款本年收入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万元，比上年增加（减少）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万元，增长（降低）</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万元，比上年增加（减少）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万元，增长（降低）</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p>
    <w:p>
      <w:pPr>
        <w:snapToGrid w:val="0"/>
        <w:spacing w:line="580" w:lineRule="exact"/>
        <w:ind w:firstLine="643" w:firstLineChars="200"/>
        <w:rPr>
          <w:rFonts w:ascii="楷体_GB2312" w:hAnsi="Times New Roman" w:eastAsia="楷体_GB2312" w:cs="DengXian-Bold"/>
          <w:b/>
          <w:bCs/>
          <w:sz w:val="32"/>
          <w:szCs w:val="32"/>
        </w:rPr>
      </w:pPr>
    </w:p>
    <w:p>
      <w:pPr>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（二）财政拨款收支与年初预算数对比情况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年度一般公共预算财政拨款收入</w:t>
      </w:r>
      <w:r>
        <w:rPr>
          <w:rFonts w:hint="eastAsia" w:ascii="仿宋_GB2312" w:hAnsi="Times New Roman" w:eastAsia="仿宋_GB2312" w:cs="DengXian-Regular"/>
          <w:sz w:val="32"/>
          <w:szCs w:val="32"/>
          <w:lang w:val="en-US" w:eastAsia="zh-CN"/>
        </w:rPr>
        <w:t>161.37</w:t>
      </w:r>
      <w:r>
        <w:rPr>
          <w:rFonts w:hint="eastAsia" w:ascii="仿宋_GB2312" w:hAnsi="Times New Roman" w:eastAsia="仿宋_GB2312" w:cs="DengXian-Regular"/>
          <w:sz w:val="32"/>
          <w:szCs w:val="32"/>
        </w:rPr>
        <w:t>万元，完成年初预算的</w:t>
      </w:r>
      <w:r>
        <w:rPr>
          <w:rFonts w:hint="eastAsia" w:ascii="仿宋_GB2312" w:hAnsi="Times New Roman" w:eastAsia="仿宋_GB2312" w:cs="DengXian-Regular"/>
          <w:sz w:val="32"/>
          <w:szCs w:val="32"/>
          <w:lang w:val="en-US" w:eastAsia="zh-CN"/>
        </w:rPr>
        <w:t>100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比年初预算减少</w:t>
      </w:r>
      <w:r>
        <w:rPr>
          <w:rFonts w:hint="eastAsia" w:ascii="仿宋_GB2312" w:hAnsi="Times New Roman" w:eastAsia="仿宋_GB2312" w:cs="DengXian-Regular"/>
          <w:sz w:val="32"/>
          <w:szCs w:val="32"/>
          <w:lang w:val="en-US" w:eastAsia="zh-CN"/>
        </w:rPr>
        <w:t>4.32</w:t>
      </w:r>
      <w:r>
        <w:rPr>
          <w:rFonts w:hint="eastAsia" w:ascii="仿宋_GB2312" w:hAnsi="Times New Roman" w:eastAsia="仿宋_GB2312" w:cs="DengXian-Regular"/>
          <w:sz w:val="32"/>
          <w:szCs w:val="32"/>
        </w:rPr>
        <w:t>万元，决算数小于预算数主要原因是</w:t>
      </w:r>
      <w:r>
        <w:rPr>
          <w:rFonts w:hint="eastAsia" w:ascii="仿宋_GB2312" w:hAnsi="Times New Roman" w:eastAsia="仿宋_GB2312" w:cs="DengXian-Regular"/>
          <w:sz w:val="32"/>
          <w:szCs w:val="32"/>
          <w:lang w:val="en-US" w:eastAsia="zh-CN"/>
        </w:rPr>
        <w:t>人员较去年减少</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161.37</w:t>
      </w:r>
      <w:r>
        <w:rPr>
          <w:rFonts w:hint="eastAsia" w:ascii="仿宋_GB2312" w:hAnsi="Times New Roman" w:eastAsia="仿宋_GB2312" w:cs="DengXian-Regular"/>
          <w:sz w:val="32"/>
          <w:szCs w:val="32"/>
        </w:rPr>
        <w:t>万元，完成年初预算的</w:t>
      </w:r>
      <w:r>
        <w:rPr>
          <w:rFonts w:hint="eastAsia" w:ascii="仿宋_GB2312" w:hAnsi="Times New Roman" w:eastAsia="仿宋_GB2312" w:cs="DengXian-Regular"/>
          <w:sz w:val="32"/>
          <w:szCs w:val="32"/>
          <w:lang w:val="en-US" w:eastAsia="zh-CN"/>
        </w:rPr>
        <w:t>100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比年初预算减少</w:t>
      </w:r>
      <w:r>
        <w:rPr>
          <w:rFonts w:hint="eastAsia" w:ascii="仿宋_GB2312" w:hAnsi="Times New Roman" w:eastAsia="仿宋_GB2312" w:cs="DengXian-Regular"/>
          <w:sz w:val="32"/>
          <w:szCs w:val="32"/>
          <w:lang w:val="en-US" w:eastAsia="zh-CN"/>
        </w:rPr>
        <w:t>4.32</w:t>
      </w:r>
      <w:r>
        <w:rPr>
          <w:rFonts w:hint="eastAsia" w:ascii="仿宋_GB2312" w:hAnsi="Times New Roman" w:eastAsia="仿宋_GB2312" w:cs="DengXian-Regular"/>
          <w:sz w:val="32"/>
          <w:szCs w:val="32"/>
        </w:rPr>
        <w:t>万元，决算数小于预算数主要原因是主要是</w:t>
      </w:r>
      <w:r>
        <w:rPr>
          <w:rFonts w:hint="eastAsia" w:ascii="仿宋_GB2312" w:hAnsi="Times New Roman" w:eastAsia="仿宋_GB2312" w:cs="DengXian-Regular"/>
          <w:sz w:val="32"/>
          <w:szCs w:val="32"/>
          <w:lang w:val="en-US" w:eastAsia="zh-CN"/>
        </w:rPr>
        <w:t>人员较去年减少</w:t>
      </w:r>
      <w:r>
        <w:rPr>
          <w:rFonts w:hint="eastAsia" w:ascii="仿宋_GB2312" w:hAnsi="Times New Roman" w:eastAsia="仿宋_GB2312" w:cs="DengXian-Regular"/>
          <w:sz w:val="32"/>
          <w:szCs w:val="32"/>
        </w:rPr>
        <w:t>。</w:t>
      </w:r>
    </w:p>
    <w:p>
      <w:pPr>
        <w:adjustRightInd w:val="0"/>
        <w:snapToGrid w:val="0"/>
        <w:spacing w:line="580" w:lineRule="exact"/>
        <w:ind w:firstLine="640" w:firstLineChars="200"/>
        <w:rPr>
          <w:rFonts w:ascii="仿宋_GB2312" w:hAnsi="Times New Roman" w:eastAsia="仿宋_GB2312" w:cs="DengXian-Regular"/>
          <w:sz w:val="32"/>
          <w:szCs w:val="32"/>
          <w:highlight w:val="yellow"/>
        </w:rPr>
      </w:pP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年度财政拨款本年收入</w:t>
      </w:r>
      <w:r>
        <w:rPr>
          <w:rFonts w:hint="eastAsia" w:ascii="仿宋_GB2312" w:hAnsi="Times New Roman" w:eastAsia="仿宋_GB2312" w:cs="DengXian-Regular"/>
          <w:sz w:val="32"/>
          <w:szCs w:val="32"/>
          <w:lang w:val="en-US" w:eastAsia="zh-CN"/>
        </w:rPr>
        <w:t>161.37</w:t>
      </w:r>
      <w:r>
        <w:rPr>
          <w:rFonts w:hint="eastAsia" w:ascii="仿宋_GB2312" w:hAnsi="Times New Roman" w:eastAsia="仿宋_GB2312" w:cs="DengXian-Regular"/>
          <w:sz w:val="32"/>
          <w:szCs w:val="32"/>
        </w:rPr>
        <w:t>万元，完成年初预算的</w:t>
      </w:r>
      <w:r>
        <w:rPr>
          <w:rFonts w:hint="eastAsia" w:ascii="仿宋_GB2312" w:hAnsi="Times New Roman" w:eastAsia="仿宋_GB2312" w:cs="DengXian-Regular"/>
          <w:sz w:val="32"/>
          <w:szCs w:val="32"/>
          <w:lang w:val="en-US" w:eastAsia="zh-CN"/>
        </w:rPr>
        <w:t>100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比年初预算减少</w:t>
      </w:r>
      <w:r>
        <w:rPr>
          <w:rFonts w:hint="eastAsia" w:ascii="仿宋_GB2312" w:hAnsi="Times New Roman" w:eastAsia="仿宋_GB2312" w:cs="DengXian-Regular"/>
          <w:sz w:val="32"/>
          <w:szCs w:val="32"/>
          <w:lang w:val="en-US" w:eastAsia="zh-CN"/>
        </w:rPr>
        <w:t>4.32</w:t>
      </w:r>
      <w:r>
        <w:rPr>
          <w:rFonts w:hint="eastAsia" w:ascii="仿宋_GB2312" w:hAnsi="Times New Roman" w:eastAsia="仿宋_GB2312" w:cs="DengXian-Regular"/>
          <w:sz w:val="32"/>
          <w:szCs w:val="32"/>
        </w:rPr>
        <w:t>万元，决算数小于预算数主要原因是</w:t>
      </w:r>
      <w:r>
        <w:rPr>
          <w:rFonts w:hint="eastAsia" w:ascii="仿宋_GB2312" w:hAnsi="Times New Roman" w:eastAsia="仿宋_GB2312" w:cs="DengXian-Regular"/>
          <w:sz w:val="32"/>
          <w:szCs w:val="32"/>
          <w:lang w:val="en-US" w:eastAsia="zh-CN"/>
        </w:rPr>
        <w:t>人员较去年减少</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161.37</w:t>
      </w:r>
      <w:r>
        <w:rPr>
          <w:rFonts w:hint="eastAsia" w:ascii="仿宋_GB2312" w:hAnsi="Times New Roman" w:eastAsia="仿宋_GB2312" w:cs="DengXian-Regular"/>
          <w:sz w:val="32"/>
          <w:szCs w:val="32"/>
        </w:rPr>
        <w:t>万元，完成年初预算的</w:t>
      </w:r>
      <w:r>
        <w:rPr>
          <w:rFonts w:hint="eastAsia" w:ascii="仿宋_GB2312" w:hAnsi="Times New Roman" w:eastAsia="仿宋_GB2312" w:cs="DengXian-Regular"/>
          <w:sz w:val="32"/>
          <w:szCs w:val="32"/>
          <w:lang w:val="en-US" w:eastAsia="zh-CN"/>
        </w:rPr>
        <w:t>100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比年初预算减少</w:t>
      </w:r>
      <w:r>
        <w:rPr>
          <w:rFonts w:hint="eastAsia" w:ascii="仿宋_GB2312" w:hAnsi="Times New Roman" w:eastAsia="仿宋_GB2312" w:cs="DengXian-Regular"/>
          <w:sz w:val="32"/>
          <w:szCs w:val="32"/>
          <w:lang w:val="en-US" w:eastAsia="zh-CN"/>
        </w:rPr>
        <w:t>4.32</w:t>
      </w:r>
      <w:r>
        <w:rPr>
          <w:rFonts w:hint="eastAsia" w:ascii="仿宋_GB2312" w:hAnsi="Times New Roman" w:eastAsia="仿宋_GB2312" w:cs="DengXian-Regular"/>
          <w:sz w:val="32"/>
          <w:szCs w:val="32"/>
        </w:rPr>
        <w:t>万元，决算数小于预算数主要原因是主要是</w:t>
      </w:r>
      <w:r>
        <w:rPr>
          <w:rFonts w:hint="eastAsia" w:ascii="仿宋_GB2312" w:hAnsi="Times New Roman" w:eastAsia="仿宋_GB2312" w:cs="DengXian-Regular"/>
          <w:sz w:val="32"/>
          <w:szCs w:val="32"/>
          <w:lang w:val="en-US" w:eastAsia="zh-CN"/>
        </w:rPr>
        <w:t>人员较去年减少</w:t>
      </w:r>
      <w:r>
        <w:rPr>
          <w:rFonts w:hint="eastAsia" w:ascii="仿宋_GB2312" w:hAnsi="Times New Roman" w:eastAsia="仿宋_GB2312" w:cs="DengXian-Regular"/>
          <w:sz w:val="32"/>
          <w:szCs w:val="32"/>
        </w:rPr>
        <w:t>。具体情况如下：</w:t>
      </w:r>
    </w:p>
    <w:p>
      <w:pPr>
        <w:numPr>
          <w:ilvl w:val="0"/>
          <w:numId w:val="2"/>
        </w:num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一般公共预算财政拨款本年收入完成年初预算</w:t>
      </w:r>
      <w:r>
        <w:rPr>
          <w:rFonts w:hint="eastAsia" w:ascii="仿宋_GB2312" w:hAnsi="Times New Roman" w:eastAsia="仿宋_GB2312" w:cs="DengXian-Regular"/>
          <w:sz w:val="32"/>
          <w:szCs w:val="32"/>
          <w:lang w:val="en-US" w:eastAsia="zh-CN"/>
        </w:rPr>
        <w:t>100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，比年初预算减少</w:t>
      </w:r>
      <w:r>
        <w:rPr>
          <w:rFonts w:hint="eastAsia" w:ascii="仿宋_GB2312" w:hAnsi="Times New Roman" w:eastAsia="仿宋_GB2312" w:cs="DengXian-Regular"/>
          <w:sz w:val="32"/>
          <w:szCs w:val="32"/>
          <w:lang w:val="en-US" w:eastAsia="zh-CN"/>
        </w:rPr>
        <w:t>4.32</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人员较去年减少</w:t>
      </w:r>
      <w:r>
        <w:rPr>
          <w:rFonts w:hint="eastAsia" w:ascii="仿宋_GB2312" w:hAnsi="Times New Roman" w:eastAsia="仿宋_GB2312" w:cs="DengXian-Regular"/>
          <w:sz w:val="32"/>
          <w:szCs w:val="32"/>
        </w:rPr>
        <w:t>；支出完成年初预算</w:t>
      </w:r>
      <w:r>
        <w:rPr>
          <w:rFonts w:hint="eastAsia" w:ascii="仿宋_GB2312" w:hAnsi="Times New Roman" w:eastAsia="仿宋_GB2312" w:cs="DengXian-Regular"/>
          <w:sz w:val="32"/>
          <w:szCs w:val="32"/>
          <w:lang w:val="en-US" w:eastAsia="zh-CN"/>
        </w:rPr>
        <w:t>100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，比年初预算减少</w:t>
      </w:r>
      <w:r>
        <w:rPr>
          <w:rFonts w:hint="eastAsia" w:ascii="仿宋_GB2312" w:hAnsi="Times New Roman" w:eastAsia="仿宋_GB2312" w:cs="DengXian-Regular"/>
          <w:sz w:val="32"/>
          <w:szCs w:val="32"/>
          <w:lang w:val="en-US" w:eastAsia="zh-CN"/>
        </w:rPr>
        <w:t>4.32</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人员较去年减少</w:t>
      </w:r>
      <w:r>
        <w:rPr>
          <w:rFonts w:hint="eastAsia" w:ascii="仿宋_GB2312" w:hAnsi="Times New Roman" w:eastAsia="仿宋_GB2312" w:cs="DengXian-Regular"/>
          <w:sz w:val="32"/>
          <w:szCs w:val="32"/>
        </w:rPr>
        <w:t>。</w:t>
      </w:r>
    </w:p>
    <w:p>
      <w:pPr>
        <w:numPr>
          <w:ilvl w:val="0"/>
          <w:numId w:val="2"/>
        </w:num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政府性基金预算财政拨款本年收入完成年初预算</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，比年初预算增加（减少）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w:t>
      </w:r>
      <w:r>
        <w:rPr>
          <w:rFonts w:hint="eastAsia" w:ascii="仿宋_GB2312" w:hAnsi="Times New Roman" w:eastAsia="仿宋_GB2312" w:cs="DengXian-Regular"/>
          <w:sz w:val="32"/>
          <w:szCs w:val="32"/>
          <w:lang w:val="en-US" w:eastAsia="zh-CN"/>
        </w:rPr>
        <w:t>元</w:t>
      </w:r>
      <w:r>
        <w:rPr>
          <w:rFonts w:hint="eastAsia" w:ascii="仿宋_GB2312" w:hAnsi="Times New Roman" w:eastAsia="仿宋_GB2312" w:cs="DengXian-Regular"/>
          <w:sz w:val="32"/>
          <w:szCs w:val="32"/>
        </w:rPr>
        <w:t>；支出完成年初预算</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，比年初预算增加（减少）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p>
    <w:p>
      <w:pPr>
        <w:adjustRightInd w:val="0"/>
        <w:snapToGrid w:val="0"/>
        <w:spacing w:line="580" w:lineRule="exact"/>
        <w:ind w:firstLine="640" w:firstLineChars="200"/>
        <w:rPr>
          <w:rFonts w:ascii="仿宋_GB2312" w:hAnsi="Times New Roman" w:eastAsia="仿宋_GB2312" w:cs="DengXian-Regular"/>
          <w:sz w:val="32"/>
          <w:szCs w:val="32"/>
          <w:highlight w:val="yellow"/>
        </w:rPr>
      </w:pPr>
    </w:p>
    <w:p>
      <w:pPr>
        <w:numPr>
          <w:ilvl w:val="0"/>
          <w:numId w:val="3"/>
        </w:num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财政拨款支出决算结构情况。</w:t>
      </w:r>
    </w:p>
    <w:p>
      <w:pPr>
        <w:adjustRightInd w:val="0"/>
        <w:snapToGrid w:val="0"/>
        <w:spacing w:line="580" w:lineRule="exact"/>
        <w:ind w:firstLine="640" w:firstLineChars="200"/>
        <w:rPr>
          <w:rFonts w:ascii="楷体_GB2312" w:hAnsi="Times New Roman" w:eastAsia="楷体_GB2312" w:cs="DengXian-Bold"/>
          <w:b/>
          <w:bCs/>
          <w:sz w:val="32"/>
          <w:szCs w:val="32"/>
        </w:rPr>
      </w:pPr>
      <w:r>
        <w:rPr>
          <w:rFonts w:ascii="仿宋_GB2312" w:hAnsi="Times New Roman" w:eastAsia="仿宋_GB2312" w:cs="DengXian-Regular"/>
          <w:sz w:val="32"/>
          <w:szCs w:val="32"/>
        </w:rPr>
        <w:t xml:space="preserve">2019 </w:t>
      </w:r>
      <w:r>
        <w:rPr>
          <w:rFonts w:hint="eastAsia" w:ascii="仿宋_GB2312" w:hAnsi="Times New Roman" w:eastAsia="仿宋_GB2312" w:cs="DengXian-Regular"/>
          <w:sz w:val="32"/>
          <w:szCs w:val="32"/>
        </w:rPr>
        <w:t>年度财政拨款支出</w:t>
      </w:r>
      <w:r>
        <w:rPr>
          <w:rFonts w:hint="eastAsia" w:ascii="仿宋_GB2312" w:hAnsi="Times New Roman" w:eastAsia="仿宋_GB2312" w:cs="DengXian-Regular"/>
          <w:sz w:val="32"/>
          <w:szCs w:val="32"/>
          <w:lang w:val="en-US" w:eastAsia="zh-CN"/>
        </w:rPr>
        <w:t>161.37</w:t>
      </w:r>
      <w:r>
        <w:rPr>
          <w:rFonts w:hint="eastAsia" w:ascii="仿宋_GB2312" w:hAnsi="Times New Roman" w:eastAsia="仿宋_GB2312" w:cs="DengXian-Regular"/>
          <w:sz w:val="32"/>
          <w:szCs w:val="32"/>
        </w:rPr>
        <w:t>万元，主要用于以下方面一般公共服务（类）支出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，；公共安全类（类）支出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；教育（类）支出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；科学技术（类）支出</w:t>
      </w:r>
      <w:r>
        <w:rPr>
          <w:rFonts w:hint="eastAsia" w:ascii="仿宋_GB2312" w:hAnsi="Times New Roman" w:eastAsia="仿宋_GB2312" w:cs="DengXian-Regular"/>
          <w:sz w:val="32"/>
          <w:szCs w:val="32"/>
          <w:lang w:val="en-US" w:eastAsia="zh-CN"/>
        </w:rPr>
        <w:t>139.83</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86.6</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；社会保障和就业（类）支出</w:t>
      </w:r>
      <w:r>
        <w:rPr>
          <w:rFonts w:hint="eastAsia" w:ascii="仿宋_GB2312" w:hAnsi="Times New Roman" w:eastAsia="仿宋_GB2312" w:cs="DengXian-Regular"/>
          <w:sz w:val="32"/>
          <w:szCs w:val="32"/>
          <w:lang w:val="en-US" w:eastAsia="zh-CN"/>
        </w:rPr>
        <w:t>1.82</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1.1</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；住房保障（类）支出</w:t>
      </w:r>
      <w:r>
        <w:rPr>
          <w:rFonts w:hint="eastAsia" w:ascii="仿宋_GB2312" w:hAnsi="Times New Roman" w:eastAsia="仿宋_GB2312" w:cs="DengXian-Regular"/>
          <w:sz w:val="32"/>
          <w:szCs w:val="32"/>
          <w:lang w:val="en-US" w:eastAsia="zh-CN"/>
        </w:rPr>
        <w:t>6.74</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4.1</w:t>
      </w:r>
      <w:r>
        <w:rPr>
          <w:rFonts w:ascii="仿宋_GB2312" w:hAnsi="Times New Roman" w:eastAsia="仿宋_GB2312" w:cs="DengXian-Regular"/>
          <w:sz w:val="32"/>
          <w:szCs w:val="32"/>
        </w:rPr>
        <w:t>%;</w:t>
      </w:r>
      <w:r>
        <w:rPr>
          <w:rFonts w:hint="eastAsia" w:ascii="仿宋_GB2312" w:eastAsia="仿宋_GB2312" w:cs="DengXian-Regular"/>
          <w:sz w:val="32"/>
          <w:szCs w:val="32"/>
        </w:rPr>
        <w:t>医疗卫生与计划生育支出</w:t>
      </w:r>
      <w:r>
        <w:rPr>
          <w:rFonts w:hint="eastAsia" w:ascii="仿宋_GB2312" w:eastAsia="仿宋_GB2312" w:cs="DengXian-Regular"/>
          <w:sz w:val="32"/>
          <w:szCs w:val="32"/>
          <w:lang w:val="en-US" w:eastAsia="zh-CN"/>
        </w:rPr>
        <w:t>12.97万元，占8.2%</w:t>
      </w:r>
      <w:r>
        <w:rPr>
          <w:rFonts w:hint="eastAsia" w:ascii="仿宋_GB2312" w:hAnsi="Times New Roman" w:eastAsia="仿宋_GB2312" w:cs="DengXian-Regular"/>
          <w:sz w:val="32"/>
          <w:szCs w:val="32"/>
        </w:rPr>
        <w:t>。</w:t>
      </w:r>
    </w:p>
    <w:p>
      <w:pPr>
        <w:adjustRightInd w:val="0"/>
        <w:snapToGrid w:val="0"/>
        <w:spacing w:line="580" w:lineRule="exact"/>
        <w:rPr>
          <w:rFonts w:ascii="楷体_GB2312" w:hAnsi="Times New Roman" w:eastAsia="楷体_GB2312" w:cs="DengXian-Bold"/>
          <w:b/>
          <w:bCs/>
          <w:sz w:val="32"/>
          <w:szCs w:val="32"/>
        </w:rPr>
      </w:pPr>
    </w:p>
    <w:p>
      <w:p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（四）一般公共预算基本支出决算情况说明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 xml:space="preserve">2019 </w:t>
      </w:r>
      <w:r>
        <w:rPr>
          <w:rFonts w:hint="eastAsia" w:ascii="仿宋_GB2312" w:hAnsi="Times New Roman" w:eastAsia="仿宋_GB2312" w:cs="DengXian-Regular"/>
          <w:sz w:val="32"/>
          <w:szCs w:val="32"/>
        </w:rPr>
        <w:t>年度财政拨款基本支出</w:t>
      </w:r>
      <w:r>
        <w:rPr>
          <w:rFonts w:hint="eastAsia" w:ascii="仿宋_GB2312" w:hAnsi="Times New Roman" w:eastAsia="仿宋_GB2312" w:cs="DengXian-Regular"/>
          <w:sz w:val="32"/>
          <w:szCs w:val="32"/>
          <w:lang w:val="en-US" w:eastAsia="zh-CN"/>
        </w:rPr>
        <w:t>96.54</w:t>
      </w:r>
      <w:r>
        <w:rPr>
          <w:rFonts w:hint="eastAsia" w:ascii="仿宋_GB2312" w:hAnsi="Times New Roman" w:eastAsia="仿宋_GB2312" w:cs="DengXian-Regular"/>
          <w:sz w:val="32"/>
          <w:szCs w:val="32"/>
        </w:rPr>
        <w:t>万元，其中：人员经费</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lang w:val="en-US" w:eastAsia="zh-CN"/>
        </w:rPr>
        <w:t>87.68</w:t>
      </w:r>
      <w:r>
        <w:rPr>
          <w:rFonts w:hint="eastAsia" w:ascii="仿宋_GB2312" w:hAnsi="Times New Roman"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hint="eastAsia" w:ascii="仿宋_GB2312" w:hAnsi="Times New Roman" w:eastAsia="仿宋_GB2312" w:cs="DengXian-Regular"/>
          <w:sz w:val="32"/>
          <w:szCs w:val="32"/>
          <w:lang w:val="en-US" w:eastAsia="zh-CN"/>
        </w:rPr>
        <w:t>8.86</w:t>
      </w:r>
      <w:r>
        <w:rPr>
          <w:rFonts w:hint="eastAsia" w:ascii="仿宋_GB2312" w:hAnsi="Times New Roman"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五、一般公共预算“三公”</w:t>
      </w:r>
      <w:r>
        <w:rPr>
          <w:rFonts w:ascii="黑体" w:hAnsi="Calibri" w:eastAsia="黑体"/>
          <w:sz w:val="32"/>
          <w:szCs w:val="32"/>
        </w:rPr>
        <w:t xml:space="preserve"> </w:t>
      </w:r>
      <w:r>
        <w:rPr>
          <w:rFonts w:hint="eastAsia" w:ascii="黑体" w:hAnsi="Calibri" w:eastAsia="黑体"/>
          <w:sz w:val="32"/>
          <w:szCs w:val="32"/>
        </w:rPr>
        <w:t>经费支出决算情况说明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年度“三公”经费支出共计</w:t>
      </w:r>
      <w:r>
        <w:rPr>
          <w:rFonts w:hint="eastAsia" w:ascii="仿宋_GB2312" w:hAnsi="Times New Roman" w:eastAsia="仿宋_GB2312" w:cs="DengXian-Regular"/>
          <w:sz w:val="32"/>
          <w:szCs w:val="32"/>
          <w:lang w:val="en-US" w:eastAsia="zh-CN"/>
        </w:rPr>
        <w:t>1.94</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100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较预算减少</w:t>
      </w:r>
      <w:r>
        <w:rPr>
          <w:rFonts w:hint="eastAsia" w:ascii="仿宋_GB2312" w:hAnsi="Times New Roman" w:eastAsia="仿宋_GB2312" w:cs="DengXian-Regular"/>
          <w:sz w:val="32"/>
          <w:szCs w:val="32"/>
          <w:lang w:val="en-US" w:eastAsia="zh-CN"/>
        </w:rPr>
        <w:t>0.12</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6.1</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lang w:eastAsia="zh-CN"/>
        </w:rPr>
        <w:t>公务用车运行费、公务接待费减少</w:t>
      </w:r>
      <w:r>
        <w:rPr>
          <w:rFonts w:hint="eastAsia" w:ascii="仿宋_GB2312" w:hAnsi="Times New Roman" w:eastAsia="仿宋_GB2312" w:cs="DengXian-Regular"/>
          <w:sz w:val="32"/>
          <w:szCs w:val="32"/>
        </w:rPr>
        <w:t>；较</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年度增加</w:t>
      </w:r>
      <w:r>
        <w:rPr>
          <w:rFonts w:hint="eastAsia" w:ascii="仿宋_GB2312" w:hAnsi="Times New Roman" w:eastAsia="仿宋_GB2312" w:cs="DengXian-Regular"/>
          <w:sz w:val="32"/>
          <w:szCs w:val="32"/>
          <w:lang w:val="en-US" w:eastAsia="zh-CN"/>
        </w:rPr>
        <w:t>0.02</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1.3</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公务车维护费增加</w:t>
      </w:r>
      <w:r>
        <w:rPr>
          <w:rFonts w:hint="eastAsia" w:ascii="仿宋_GB2312" w:hAnsi="Times New Roman" w:eastAsia="仿宋_GB2312" w:cs="DengXian-Regular"/>
          <w:sz w:val="32"/>
          <w:szCs w:val="32"/>
        </w:rPr>
        <w:t>。具体情况如下：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hAnsi="Times New Roman" w:eastAsia="楷体_GB2312" w:cs="DengXian-Bold"/>
          <w:b/>
          <w:bCs/>
          <w:sz w:val="32"/>
          <w:szCs w:val="32"/>
        </w:rPr>
        <w:t>（一）因公出国（境）费支出</w:t>
      </w:r>
      <w:r>
        <w:rPr>
          <w:rFonts w:hint="eastAsia" w:ascii="楷体_GB2312" w:hAnsi="Times New Roman" w:eastAsia="楷体_GB2312" w:cs="DengXian-Bold"/>
          <w:b/>
          <w:bCs/>
          <w:sz w:val="32"/>
          <w:szCs w:val="32"/>
          <w:lang w:val="en-US" w:eastAsia="zh-CN"/>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参加其他单位组织的因公出国（境）团组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无本单位组织的出国（境）团组。因公出国（境）费支出较预算增加（减少）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万元，增长（降低）</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；较上年增加（减少）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万元，增长（降低）</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w:t>
      </w:r>
      <w:r>
        <w:rPr>
          <w:rFonts w:hint="eastAsia" w:ascii="仿宋_GB2312" w:eastAsia="仿宋_GB2312" w:cs="DengXian-Regular"/>
          <w:sz w:val="32"/>
          <w:szCs w:val="32"/>
        </w:rPr>
        <w:t>因公出国（境）费</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较年初预算</w:t>
      </w:r>
      <w:r>
        <w:rPr>
          <w:rFonts w:hint="eastAsia" w:ascii="仿宋_GB2312" w:eastAsia="仿宋_GB2312" w:cs="DengXian-Regular"/>
          <w:sz w:val="32"/>
          <w:szCs w:val="32"/>
          <w:lang w:eastAsia="zh-CN"/>
        </w:rPr>
        <w:t>一致</w:t>
      </w:r>
      <w:r>
        <w:rPr>
          <w:rFonts w:hint="eastAsia" w:ascii="仿宋_GB2312" w:eastAsia="仿宋_GB2312" w:cs="DengXian-Regular"/>
          <w:sz w:val="32"/>
          <w:szCs w:val="32"/>
        </w:rPr>
        <w:t>；</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上年</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w:t>
      </w:r>
    </w:p>
    <w:p>
      <w:pPr>
        <w:adjustRightInd w:val="0"/>
        <w:snapToGrid w:val="0"/>
        <w:spacing w:line="580" w:lineRule="exact"/>
        <w:ind w:firstLine="640" w:firstLineChars="200"/>
        <w:rPr>
          <w:rFonts w:hint="eastAsia" w:ascii="仿宋_GB2312" w:hAnsi="Times New Roman" w:eastAsia="仿宋_GB2312" w:cs="DengXian-Regular"/>
          <w:sz w:val="32"/>
          <w:szCs w:val="32"/>
          <w:lang w:eastAsia="zh-CN"/>
        </w:rPr>
      </w:pPr>
    </w:p>
    <w:p>
      <w:pPr>
        <w:numPr>
          <w:ilvl w:val="0"/>
          <w:numId w:val="4"/>
        </w:numPr>
        <w:adjustRightInd w:val="0"/>
        <w:snapToGrid w:val="0"/>
        <w:spacing w:line="580" w:lineRule="exact"/>
        <w:ind w:firstLine="643" w:firstLineChars="200"/>
        <w:rPr>
          <w:rFonts w:hint="eastAsia" w:ascii="仿宋_GB2312" w:hAnsi="Times New Roman" w:eastAsia="仿宋_GB2312" w:cs="DengXian-Bold"/>
          <w:b/>
          <w:bCs/>
          <w:sz w:val="32"/>
          <w:szCs w:val="32"/>
        </w:rPr>
      </w:pPr>
      <w:r>
        <w:rPr>
          <w:rFonts w:hint="eastAsia" w:ascii="楷体_GB2312" w:hAnsi="Times New Roman" w:eastAsia="楷体_GB2312" w:cs="DengXian-Bold"/>
          <w:b/>
          <w:bCs/>
          <w:sz w:val="32"/>
          <w:szCs w:val="32"/>
        </w:rPr>
        <w:t>公务用车购置及运行维护费支出</w:t>
      </w:r>
      <w:r>
        <w:rPr>
          <w:rFonts w:hint="eastAsia" w:ascii="楷体_GB2312" w:hAnsi="Times New Roman" w:eastAsia="楷体_GB2312" w:cs="DengXian-Bold"/>
          <w:b/>
          <w:bCs/>
          <w:sz w:val="32"/>
          <w:szCs w:val="32"/>
          <w:lang w:val="en-US" w:eastAsia="zh-CN"/>
        </w:rPr>
        <w:t>1.94</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年度公务用车购置及运行维护费较预算减少</w:t>
      </w:r>
      <w:r>
        <w:rPr>
          <w:rFonts w:hint="eastAsia" w:ascii="仿宋_GB2312" w:hAnsi="Times New Roman" w:eastAsia="仿宋_GB2312" w:cs="DengXian-Regular"/>
          <w:sz w:val="32"/>
          <w:szCs w:val="32"/>
          <w:lang w:val="en-US" w:eastAsia="zh-CN"/>
        </w:rPr>
        <w:t>0.12</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6.1</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lang w:eastAsia="zh-CN"/>
        </w:rPr>
        <w:t>公务用车运行费、公务接待费减少</w:t>
      </w:r>
      <w:r>
        <w:rPr>
          <w:rFonts w:hint="eastAsia" w:ascii="仿宋_GB2312" w:hAnsi="Times New Roman" w:eastAsia="仿宋_GB2312" w:cs="DengXian-Regular"/>
          <w:sz w:val="32"/>
          <w:szCs w:val="32"/>
        </w:rPr>
        <w:t>；较上年</w:t>
      </w:r>
      <w:r>
        <w:rPr>
          <w:rFonts w:hint="eastAsia" w:ascii="仿宋_GB2312" w:hAnsi="Times New Roman" w:eastAsia="仿宋_GB2312" w:cs="DengXian-Regular"/>
          <w:sz w:val="32"/>
          <w:szCs w:val="32"/>
          <w:lang w:val="en-US" w:eastAsia="zh-CN"/>
        </w:rPr>
        <w:t>增加0.02</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增加1.3</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公务车维护费增加</w:t>
      </w:r>
      <w:r>
        <w:rPr>
          <w:rFonts w:hint="eastAsia" w:ascii="仿宋_GB2312" w:hAnsi="Times New Roman" w:eastAsia="仿宋_GB2312" w:cs="DengXian-Regular"/>
          <w:sz w:val="32"/>
          <w:szCs w:val="32"/>
        </w:rPr>
        <w:t>。</w:t>
      </w:r>
      <w:r>
        <w:rPr>
          <w:rFonts w:hint="eastAsia" w:ascii="仿宋_GB2312" w:hAnsi="Times New Roman" w:eastAsia="仿宋_GB2312" w:cs="DengXian-Bold"/>
          <w:b/>
          <w:bCs/>
          <w:sz w:val="32"/>
          <w:szCs w:val="32"/>
        </w:rPr>
        <w:t>其中：</w:t>
      </w:r>
    </w:p>
    <w:p>
      <w:pPr>
        <w:adjustRightInd w:val="0"/>
        <w:snapToGrid w:val="0"/>
        <w:spacing w:line="580" w:lineRule="exact"/>
        <w:ind w:firstLine="643" w:firstLineChars="200"/>
        <w:rPr>
          <w:rFonts w:hint="eastAsia" w:ascii="仿宋_GB2312" w:hAnsi="Times New Roman" w:eastAsia="仿宋_GB2312" w:cs="DengXian-Regular"/>
          <w:sz w:val="32"/>
          <w:szCs w:val="32"/>
          <w:lang w:eastAsia="zh-CN"/>
        </w:rPr>
      </w:pPr>
      <w:r>
        <w:rPr>
          <w:rFonts w:hint="eastAsia" w:ascii="仿宋_GB2312" w:hAnsi="Times New Roman" w:eastAsia="仿宋_GB2312" w:cs="DengXian-Regular"/>
          <w:b/>
          <w:sz w:val="32"/>
          <w:szCs w:val="32"/>
        </w:rPr>
        <w:t>公务用车购置费：</w:t>
      </w:r>
      <w:r>
        <w:rPr>
          <w:rFonts w:hint="eastAsia" w:ascii="仿宋_GB2312" w:eastAsia="仿宋_GB2312" w:cs="DengXian-Regular"/>
          <w:sz w:val="32"/>
          <w:szCs w:val="32"/>
        </w:rPr>
        <w:t>本部门201</w:t>
      </w:r>
      <w:r>
        <w:rPr>
          <w:rFonts w:hint="eastAsia" w:ascii="仿宋_GB2312" w:eastAsia="仿宋_GB2312" w:cs="DengXian-Regular"/>
          <w:sz w:val="32"/>
          <w:szCs w:val="32"/>
          <w:lang w:val="en-US" w:eastAsia="zh-CN"/>
        </w:rPr>
        <w:t>9</w:t>
      </w:r>
      <w:r>
        <w:rPr>
          <w:rFonts w:hint="eastAsia" w:ascii="仿宋_GB2312" w:eastAsia="仿宋_GB2312" w:cs="DengXian-Regular"/>
          <w:sz w:val="32"/>
          <w:szCs w:val="32"/>
        </w:rPr>
        <w:t>年度未发生“公务用车购置”经费支出。公务用车购置费支出较年初预算无增减变化，较201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年度决算无增减变化</w:t>
      </w:r>
      <w:r>
        <w:rPr>
          <w:rFonts w:hint="eastAsia" w:ascii="仿宋_GB2312" w:eastAsia="仿宋_GB2312" w:cs="DengXian-Regular"/>
          <w:sz w:val="32"/>
          <w:szCs w:val="32"/>
          <w:lang w:eastAsia="zh-CN"/>
        </w:rPr>
        <w:t>；</w:t>
      </w:r>
      <w:r>
        <w:rPr>
          <w:rFonts w:hint="eastAsia" w:ascii="仿宋_GB2312" w:hAnsi="Times New Roman" w:eastAsia="仿宋_GB2312" w:cs="DengXian-Regular"/>
          <w:sz w:val="32"/>
          <w:szCs w:val="32"/>
        </w:rPr>
        <w:t>与</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年度决算支出持平。</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公务用车运行维护费：</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年度单位公务用车保有量</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辆。公车运行维护费支出较预算减少</w:t>
      </w:r>
      <w:r>
        <w:rPr>
          <w:rFonts w:hint="eastAsia" w:ascii="仿宋_GB2312" w:hAnsi="Times New Roman" w:eastAsia="仿宋_GB2312" w:cs="DengXian-Regular"/>
          <w:sz w:val="32"/>
          <w:szCs w:val="32"/>
          <w:lang w:val="en-US" w:eastAsia="zh-CN"/>
        </w:rPr>
        <w:t>0.12</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6.1</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lang w:eastAsia="zh-CN"/>
        </w:rPr>
        <w:t>公务用车运行费、公务接待费减少</w:t>
      </w:r>
      <w:r>
        <w:rPr>
          <w:rFonts w:hint="eastAsia" w:ascii="仿宋_GB2312" w:hAnsi="Times New Roman" w:eastAsia="仿宋_GB2312" w:cs="DengXian-Regular"/>
          <w:sz w:val="32"/>
          <w:szCs w:val="32"/>
        </w:rPr>
        <w:t>；较上年增加</w:t>
      </w:r>
      <w:r>
        <w:rPr>
          <w:rFonts w:hint="eastAsia" w:ascii="仿宋_GB2312" w:hAnsi="Times New Roman" w:eastAsia="仿宋_GB2312" w:cs="DengXian-Regular"/>
          <w:sz w:val="32"/>
          <w:szCs w:val="32"/>
          <w:lang w:val="en-US" w:eastAsia="zh-CN"/>
        </w:rPr>
        <w:t>0.02</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1.3</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公务车维护费增加</w:t>
      </w:r>
      <w:r>
        <w:rPr>
          <w:rFonts w:hint="eastAsia" w:ascii="仿宋_GB2312" w:hAnsi="Times New Roman" w:eastAsia="仿宋_GB2312" w:cs="DengXian-Regular"/>
          <w:sz w:val="32"/>
          <w:szCs w:val="32"/>
        </w:rPr>
        <w:t>。</w:t>
      </w:r>
    </w:p>
    <w:p>
      <w:pPr>
        <w:numPr>
          <w:ilvl w:val="0"/>
          <w:numId w:val="3"/>
        </w:numPr>
        <w:adjustRightInd w:val="0"/>
        <w:snapToGrid w:val="0"/>
        <w:spacing w:line="580" w:lineRule="exact"/>
        <w:ind w:left="420" w:leftChars="200" w:firstLine="0" w:firstLineChars="0"/>
        <w:rPr>
          <w:rFonts w:hint="eastAsia" w:ascii="仿宋_GB2312" w:eastAsia="仿宋_GB2312" w:cs="DengXian-Regular"/>
          <w:sz w:val="32"/>
          <w:szCs w:val="32"/>
          <w:lang w:eastAsia="zh-CN"/>
        </w:rPr>
      </w:pPr>
      <w:r>
        <w:rPr>
          <w:rFonts w:hint="eastAsia" w:ascii="楷体_GB2312" w:hAnsi="Times New Roman" w:eastAsia="楷体_GB2312" w:cs="DengXian-Bold"/>
          <w:b/>
          <w:bCs/>
          <w:sz w:val="32"/>
          <w:szCs w:val="32"/>
        </w:rPr>
        <w:t>公务接待费支出</w:t>
      </w:r>
      <w:r>
        <w:rPr>
          <w:rFonts w:hint="eastAsia" w:ascii="楷体_GB2312" w:hAnsi="Times New Roman" w:eastAsia="楷体_GB2312" w:cs="DengXian-Bold"/>
          <w:b/>
          <w:bCs/>
          <w:sz w:val="32"/>
          <w:szCs w:val="32"/>
          <w:lang w:val="en-US" w:eastAsia="zh-CN"/>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年度公务接待共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批次、</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人次。</w:t>
      </w:r>
      <w:r>
        <w:rPr>
          <w:rFonts w:hint="eastAsia" w:ascii="仿宋_GB2312" w:eastAsia="仿宋_GB2312" w:cs="DengXian-Regular"/>
          <w:sz w:val="32"/>
          <w:szCs w:val="32"/>
        </w:rPr>
        <w:t>公务用车购置费支出较年初预算无增减变化，</w:t>
      </w:r>
      <w:r>
        <w:rPr>
          <w:rFonts w:hint="eastAsia" w:ascii="仿宋_GB2312" w:hAnsi="Times New Roman" w:eastAsia="仿宋_GB2312" w:cs="DengXian-Regular"/>
          <w:sz w:val="32"/>
          <w:szCs w:val="32"/>
        </w:rPr>
        <w:t>较上年度</w:t>
      </w:r>
      <w:r>
        <w:rPr>
          <w:rFonts w:hint="eastAsia" w:ascii="仿宋_GB2312" w:eastAsia="仿宋_GB2312" w:cs="DengXian-Regular"/>
          <w:sz w:val="32"/>
          <w:szCs w:val="32"/>
        </w:rPr>
        <w:t>无增减变化</w:t>
      </w:r>
      <w:r>
        <w:rPr>
          <w:rFonts w:hint="eastAsia" w:ascii="仿宋_GB2312" w:eastAsia="仿宋_GB2312" w:cs="DengXian-Regular"/>
          <w:sz w:val="32"/>
          <w:szCs w:val="32"/>
          <w:lang w:eastAsia="zh-CN"/>
        </w:rPr>
        <w:t>。</w:t>
      </w:r>
    </w:p>
    <w:p>
      <w:pPr>
        <w:adjustRightInd w:val="0"/>
        <w:snapToGrid w:val="0"/>
        <w:spacing w:line="580" w:lineRule="exact"/>
        <w:ind w:firstLine="640" w:firstLineChars="200"/>
        <w:rPr>
          <w:rFonts w:ascii="黑体" w:hAnsi="Times New Roman" w:eastAsia="黑体"/>
          <w:sz w:val="32"/>
          <w:szCs w:val="40"/>
        </w:rPr>
      </w:pPr>
      <w:r>
        <w:rPr>
          <w:rFonts w:hint="eastAsia" w:ascii="黑体" w:hAnsi="Times New Roman" w:eastAsia="黑体"/>
          <w:sz w:val="32"/>
          <w:szCs w:val="40"/>
        </w:rPr>
        <w:t>六、预算绩效情况说明</w:t>
      </w:r>
    </w:p>
    <w:p>
      <w:pPr>
        <w:adjustRightInd w:val="0"/>
        <w:snapToGrid w:val="0"/>
        <w:spacing w:line="580" w:lineRule="exact"/>
        <w:ind w:firstLine="643" w:firstLineChars="200"/>
        <w:rPr>
          <w:rFonts w:hint="eastAsia" w:ascii="仿宋_GB2312" w:hAnsi="仿宋_GB2312" w:eastAsia="仿宋_GB2312" w:cs="仿宋_GB2312"/>
          <w:b/>
          <w:bCs/>
          <w:sz w:val="32"/>
          <w:szCs w:val="32"/>
        </w:rPr>
      </w:pPr>
      <w:r>
        <w:rPr>
          <w:rFonts w:ascii="仿宋_GB2312" w:hAnsi="仿宋_GB2312" w:eastAsia="仿宋_GB2312" w:cs="仿宋_GB2312"/>
          <w:b/>
          <w:bCs/>
          <w:sz w:val="32"/>
          <w:szCs w:val="32"/>
        </w:rPr>
        <w:t xml:space="preserve">1. </w:t>
      </w:r>
      <w:r>
        <w:rPr>
          <w:rFonts w:hint="eastAsia" w:ascii="仿宋_GB2312" w:hAnsi="仿宋_GB2312" w:eastAsia="仿宋_GB2312" w:cs="仿宋_GB2312"/>
          <w:b/>
          <w:bCs/>
          <w:sz w:val="32"/>
          <w:szCs w:val="32"/>
        </w:rPr>
        <w:t>预算绩效管理工作开展情况。</w:t>
      </w:r>
    </w:p>
    <w:p>
      <w:pPr>
        <w:keepNext w:val="0"/>
        <w:keepLines w:val="0"/>
        <w:pageBreakBefore w:val="0"/>
        <w:widowControl w:val="0"/>
        <w:kinsoku/>
        <w:wordWrap/>
        <w:overflowPunct/>
        <w:topLinePunct w:val="0"/>
        <w:autoSpaceDE/>
        <w:autoSpaceDN/>
        <w:bidi w:val="0"/>
        <w:spacing w:line="570" w:lineRule="exact"/>
        <w:ind w:left="319" w:leftChars="152" w:firstLine="480" w:firstLineChars="150"/>
        <w:textAlignment w:val="auto"/>
        <w:rPr>
          <w:rFonts w:hint="eastAsia" w:ascii="方正仿宋简体" w:eastAsia="方正仿宋简体"/>
          <w:sz w:val="32"/>
          <w:szCs w:val="32"/>
          <w:lang w:val="en-US" w:eastAsia="zh-CN"/>
        </w:rPr>
      </w:pPr>
      <w:r>
        <w:rPr>
          <w:rFonts w:hint="eastAsia" w:ascii="方正仿宋简体" w:eastAsia="方正仿宋简体"/>
          <w:sz w:val="32"/>
          <w:szCs w:val="32"/>
          <w:lang w:val="en-US" w:eastAsia="zh-CN"/>
        </w:rPr>
        <w:t>根据财政局预算绩效管理要求，我单位以“部门职责—工作活动”为依据，确定部门预算项目和预算额度，清晰描述预算项目开支范围和内容，确定预算项目的绩效目标、绩效指标和评价标准，为预算绩效控制、绩效分析、绩效评价打下好的基础。</w:t>
      </w:r>
    </w:p>
    <w:p>
      <w:pPr>
        <w:keepNext w:val="0"/>
        <w:keepLines w:val="0"/>
        <w:pageBreakBefore w:val="0"/>
        <w:widowControl w:val="0"/>
        <w:kinsoku/>
        <w:wordWrap/>
        <w:overflowPunct/>
        <w:topLinePunct w:val="0"/>
        <w:autoSpaceDE/>
        <w:autoSpaceDN/>
        <w:bidi w:val="0"/>
        <w:spacing w:line="570" w:lineRule="exact"/>
        <w:ind w:firstLine="960" w:firstLineChars="300"/>
        <w:textAlignment w:val="auto"/>
        <w:rPr>
          <w:rFonts w:hint="eastAsia" w:ascii="方正仿宋简体" w:eastAsia="方正仿宋简体"/>
          <w:sz w:val="32"/>
          <w:szCs w:val="32"/>
          <w:lang w:val="en-US" w:eastAsia="zh-CN"/>
        </w:rPr>
      </w:pPr>
      <w:r>
        <w:rPr>
          <w:rFonts w:hint="eastAsia" w:ascii="仿宋_GB2312" w:eastAsia="仿宋_GB2312" w:cs="DengXian-Regular"/>
          <w:sz w:val="32"/>
          <w:szCs w:val="32"/>
        </w:rPr>
        <w:t>预算项目绩效评价开展情况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570" w:lineRule="exact"/>
        <w:ind w:firstLine="960" w:firstLineChars="300"/>
        <w:textAlignment w:val="auto"/>
        <w:rPr>
          <w:rFonts w:hint="eastAsia" w:ascii="方正仿宋简体" w:eastAsia="方正仿宋简体"/>
          <w:sz w:val="32"/>
          <w:szCs w:val="32"/>
          <w:lang w:val="en-US" w:eastAsia="zh-CN"/>
        </w:rPr>
      </w:pPr>
      <w:r>
        <w:rPr>
          <w:rFonts w:hint="eastAsia" w:ascii="方正仿宋简体" w:eastAsia="方正仿宋简体"/>
          <w:sz w:val="32"/>
          <w:szCs w:val="32"/>
          <w:lang w:val="en-US" w:eastAsia="zh-CN"/>
        </w:rPr>
        <w:t>2019年度预算项目实际支出64.82万元</w:t>
      </w:r>
    </w:p>
    <w:p>
      <w:pPr>
        <w:numPr>
          <w:ilvl w:val="0"/>
          <w:numId w:val="5"/>
        </w:numPr>
        <w:ind w:firstLine="640"/>
        <w:rPr>
          <w:rFonts w:hint="eastAsia" w:ascii="方正仿宋简体" w:eastAsia="方正仿宋简体"/>
          <w:sz w:val="32"/>
          <w:szCs w:val="32"/>
          <w:lang w:val="en-US" w:eastAsia="zh-CN"/>
        </w:rPr>
      </w:pPr>
      <w:r>
        <w:rPr>
          <w:rFonts w:hint="eastAsia" w:ascii="仿宋_GB2312" w:eastAsia="仿宋_GB2312" w:cs="DengXian-Regular"/>
          <w:sz w:val="32"/>
          <w:szCs w:val="32"/>
          <w:highlight w:val="none"/>
          <w:lang w:eastAsia="zh-CN"/>
        </w:rPr>
        <w:t>科</w:t>
      </w:r>
      <w:r>
        <w:rPr>
          <w:rFonts w:hint="eastAsia" w:ascii="仿宋_GB2312" w:eastAsia="仿宋_GB2312" w:cs="DengXian-Regular"/>
          <w:sz w:val="32"/>
          <w:szCs w:val="32"/>
          <w:highlight w:val="none"/>
          <w:lang w:val="en-US" w:eastAsia="zh-CN"/>
        </w:rPr>
        <w:t>学技术普及经费44.82万元，</w:t>
      </w:r>
      <w:r>
        <w:rPr>
          <w:rFonts w:hint="eastAsia" w:ascii="方正仿宋简体" w:eastAsia="方正仿宋简体"/>
          <w:sz w:val="32"/>
          <w:szCs w:val="32"/>
          <w:lang w:val="en-US" w:eastAsia="zh-CN"/>
        </w:rPr>
        <w:t>通过开展内容丰富、形式多样的科普宣传活动，在讲科学、学科学、用科学的社会氛围方面大大提升；</w:t>
      </w:r>
      <w:r>
        <w:rPr>
          <w:rFonts w:hint="eastAsia" w:ascii="Times New Roman" w:hAnsi="Times New Roman" w:eastAsia="方正仿宋_GBK" w:cs="方正仿宋_GBK"/>
          <w:sz w:val="32"/>
          <w:szCs w:val="32"/>
        </w:rPr>
        <w:t>面向农民、社区居民、青少年、领导干部和公务员等重点人群，开展科普惠农、科普益民等重点科普活动；开展科普日、科技周、减灾日、三下乡等系列科普活动。</w:t>
      </w:r>
    </w:p>
    <w:p>
      <w:pPr>
        <w:numPr>
          <w:ilvl w:val="0"/>
          <w:numId w:val="5"/>
        </w:numPr>
        <w:ind w:firstLine="640"/>
        <w:rPr>
          <w:rFonts w:hint="eastAsia" w:ascii="仿宋_GB2312" w:hAnsi="仿宋_GB2312" w:eastAsia="仿宋_GB2312" w:cs="仿宋_GB2312"/>
          <w:b/>
          <w:bCs/>
          <w:sz w:val="32"/>
          <w:szCs w:val="32"/>
        </w:rPr>
      </w:pPr>
      <w:r>
        <w:rPr>
          <w:rFonts w:hint="eastAsia" w:ascii="方正仿宋简体" w:eastAsia="方正仿宋简体"/>
          <w:sz w:val="32"/>
          <w:szCs w:val="32"/>
          <w:lang w:val="en-US" w:eastAsia="zh-CN"/>
        </w:rPr>
        <w:t>科技馆站经费20万元，主要用于市科技馆展品维修更新、购置多媒体互动、机器人等展品费用等设备设施改造。</w:t>
      </w:r>
    </w:p>
    <w:p>
      <w:pPr>
        <w:adjustRightInd w:val="0"/>
        <w:snapToGrid w:val="0"/>
        <w:spacing w:line="580" w:lineRule="exact"/>
        <w:rPr>
          <w:rFonts w:ascii="仿宋_GB2312" w:hAnsi="仿宋_GB2312" w:eastAsia="仿宋_GB2312" w:cs="仿宋_GB2312"/>
          <w:sz w:val="32"/>
          <w:szCs w:val="32"/>
        </w:rPr>
      </w:pPr>
    </w:p>
    <w:p>
      <w:pPr>
        <w:adjustRightInd w:val="0"/>
        <w:snapToGrid w:val="0"/>
        <w:spacing w:line="580" w:lineRule="exact"/>
        <w:ind w:left="420" w:leftChars="200" w:firstLine="321" w:firstLineChars="100"/>
        <w:rPr>
          <w:rFonts w:ascii="仿宋_GB2312" w:hAnsi="仿宋_GB2312" w:eastAsia="仿宋_GB2312" w:cs="仿宋_GB2312"/>
          <w:b/>
          <w:bCs/>
          <w:sz w:val="32"/>
          <w:szCs w:val="32"/>
        </w:rPr>
      </w:pPr>
      <w:r>
        <w:rPr>
          <w:rFonts w:ascii="仿宋_GB2312" w:hAnsi="仿宋_GB2312" w:eastAsia="仿宋_GB2312" w:cs="仿宋_GB2312"/>
          <w:b/>
          <w:bCs/>
          <w:sz w:val="32"/>
          <w:szCs w:val="32"/>
        </w:rPr>
        <w:t xml:space="preserve">2. </w:t>
      </w:r>
      <w:r>
        <w:rPr>
          <w:rFonts w:hint="eastAsia" w:ascii="仿宋_GB2312" w:hAnsi="仿宋_GB2312" w:eastAsia="仿宋_GB2312" w:cs="仿宋_GB2312"/>
          <w:b/>
          <w:bCs/>
          <w:sz w:val="32"/>
          <w:szCs w:val="32"/>
        </w:rPr>
        <w:t>部门决算中项目绩效自评结果。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w:t>
      </w:r>
      <w:r>
        <w:rPr>
          <w:rFonts w:hint="eastAsia" w:ascii="仿宋_GB2312" w:hAnsi="仿宋_GB2312" w:eastAsia="仿宋_GB2312" w:cs="仿宋_GB2312"/>
          <w:sz w:val="32"/>
          <w:szCs w:val="32"/>
          <w:lang w:val="en-US" w:eastAsia="zh-CN"/>
        </w:rPr>
        <w:t>一般公共预算</w:t>
      </w:r>
      <w:r>
        <w:rPr>
          <w:rFonts w:hint="eastAsia" w:ascii="仿宋_GB2312" w:hAnsi="仿宋_GB2312" w:eastAsia="仿宋_GB2312" w:cs="仿宋_GB2312"/>
          <w:sz w:val="32"/>
          <w:szCs w:val="32"/>
        </w:rPr>
        <w:t>项目的</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个项目绩效自评结果。</w:t>
      </w:r>
    </w:p>
    <w:p>
      <w:pPr>
        <w:numPr>
          <w:ilvl w:val="0"/>
          <w:numId w:val="6"/>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eastAsia="仿宋_GB2312" w:cs="DengXian-Regular"/>
          <w:sz w:val="32"/>
          <w:szCs w:val="32"/>
          <w:highlight w:val="none"/>
          <w:lang w:eastAsia="zh-CN"/>
        </w:rPr>
        <w:t>科</w:t>
      </w:r>
      <w:r>
        <w:rPr>
          <w:rFonts w:hint="eastAsia" w:ascii="仿宋_GB2312" w:eastAsia="仿宋_GB2312" w:cs="DengXian-Regular"/>
          <w:sz w:val="32"/>
          <w:szCs w:val="32"/>
          <w:highlight w:val="none"/>
          <w:lang w:val="en-US" w:eastAsia="zh-CN"/>
        </w:rPr>
        <w:t>学技术普及</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科学技术普及</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44.82</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44.82</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ascii="仿宋_GB2312" w:hAnsi="Times New Roman" w:eastAsia="仿宋_GB2312" w:cs="DengXian-Regular"/>
          <w:sz w:val="32"/>
          <w:szCs w:val="32"/>
        </w:rPr>
        <w:t>%</w:t>
      </w:r>
      <w:r>
        <w:rPr>
          <w:rFonts w:hint="eastAsia" w:ascii="仿宋_GB2312" w:hAnsi="仿宋_GB2312" w:eastAsia="仿宋_GB2312" w:cs="仿宋_GB2312"/>
          <w:sz w:val="32"/>
          <w:szCs w:val="32"/>
        </w:rPr>
        <w:t>。项目绩效目标完成情况：</w:t>
      </w:r>
      <w:r>
        <w:rPr>
          <w:rFonts w:hint="eastAsia" w:ascii="方正仿宋简体" w:hAnsi="宋体" w:eastAsia="方正仿宋简体"/>
          <w:sz w:val="32"/>
          <w:szCs w:val="32"/>
        </w:rPr>
        <w:t>该项目目标明确，全部用于</w:t>
      </w:r>
      <w:r>
        <w:rPr>
          <w:rFonts w:hint="eastAsia" w:ascii="方正仿宋简体" w:hAnsi="宋体" w:eastAsia="方正仿宋简体"/>
          <w:sz w:val="32"/>
          <w:szCs w:val="32"/>
          <w:lang w:val="en-US" w:eastAsia="zh-CN"/>
        </w:rPr>
        <w:t>科学技术普及工作</w:t>
      </w:r>
      <w:r>
        <w:rPr>
          <w:rFonts w:hint="eastAsia" w:ascii="方正仿宋简体" w:hAnsi="宋体" w:eastAsia="方正仿宋简体"/>
          <w:sz w:val="32"/>
          <w:szCs w:val="32"/>
        </w:rPr>
        <w:t>经费，符合</w:t>
      </w:r>
      <w:r>
        <w:rPr>
          <w:rFonts w:hint="eastAsia" w:ascii="方正仿宋简体" w:hAnsi="宋体" w:eastAsia="方正仿宋简体"/>
          <w:sz w:val="32"/>
          <w:szCs w:val="32"/>
          <w:lang w:val="en-US" w:eastAsia="zh-CN"/>
        </w:rPr>
        <w:t>科学技术普及工作</w:t>
      </w:r>
      <w:r>
        <w:rPr>
          <w:rFonts w:hint="eastAsia" w:ascii="方正仿宋简体" w:hAnsi="宋体" w:eastAsia="方正仿宋简体"/>
          <w:sz w:val="32"/>
          <w:szCs w:val="32"/>
        </w:rPr>
        <w:t>的相关要求，2019年度我</w:t>
      </w:r>
      <w:r>
        <w:rPr>
          <w:rFonts w:hint="eastAsia" w:ascii="方正仿宋简体" w:hAnsi="宋体" w:eastAsia="方正仿宋简体"/>
          <w:sz w:val="32"/>
          <w:szCs w:val="32"/>
          <w:lang w:val="en-US" w:eastAsia="zh-CN"/>
        </w:rPr>
        <w:t>单位</w:t>
      </w:r>
      <w:r>
        <w:rPr>
          <w:rFonts w:hint="eastAsia" w:ascii="方正仿宋简体" w:hAnsi="宋体" w:eastAsia="方正仿宋简体"/>
          <w:sz w:val="32"/>
          <w:szCs w:val="32"/>
        </w:rPr>
        <w:t>财政预算资金</w:t>
      </w:r>
      <w:r>
        <w:rPr>
          <w:rFonts w:hint="eastAsia" w:ascii="方正仿宋简体" w:hAnsi="宋体" w:eastAsia="方正仿宋简体"/>
          <w:sz w:val="32"/>
          <w:szCs w:val="32"/>
          <w:lang w:val="en-US" w:eastAsia="zh-CN"/>
        </w:rPr>
        <w:t>44.82</w:t>
      </w:r>
      <w:r>
        <w:rPr>
          <w:rFonts w:hint="eastAsia" w:ascii="方正仿宋简体" w:hAnsi="宋体" w:eastAsia="方正仿宋简体"/>
          <w:sz w:val="32"/>
          <w:szCs w:val="32"/>
        </w:rPr>
        <w:t>万元，实际发生</w:t>
      </w:r>
      <w:r>
        <w:rPr>
          <w:rFonts w:hint="eastAsia" w:ascii="方正仿宋简体" w:hAnsi="宋体" w:eastAsia="方正仿宋简体"/>
          <w:sz w:val="32"/>
          <w:szCs w:val="32"/>
          <w:lang w:val="en-US" w:eastAsia="zh-CN"/>
        </w:rPr>
        <w:t>44.82</w:t>
      </w:r>
      <w:r>
        <w:rPr>
          <w:rFonts w:hint="eastAsia" w:ascii="方正仿宋简体" w:hAnsi="宋体" w:eastAsia="方正仿宋简体"/>
          <w:sz w:val="32"/>
          <w:szCs w:val="32"/>
        </w:rPr>
        <w:t>万元，项目认定，资金申报、批复程序符合相关管理办法，项目实施手续健全，资金到位占实际资金需求的100%。项目不存在虚列（套取）总控情况，项目资金支出合理合规，无截留、挤占、招标准发放现象，项目实施单位财务制度健全，会计核算规范</w:t>
      </w:r>
      <w:r>
        <w:rPr>
          <w:rFonts w:hint="eastAsia" w:ascii="仿宋_GB2312" w:hAnsi="仿宋_GB2312" w:eastAsia="仿宋_GB2312" w:cs="仿宋_GB2312"/>
          <w:sz w:val="32"/>
          <w:szCs w:val="32"/>
        </w:rPr>
        <w:t>。发现的主要问题及原因：</w:t>
      </w:r>
      <w:r>
        <w:rPr>
          <w:rFonts w:hint="eastAsia" w:ascii="方正仿宋简体" w:hAnsi="宋体" w:eastAsia="方正仿宋简体"/>
          <w:sz w:val="32"/>
          <w:szCs w:val="32"/>
        </w:rPr>
        <w:t>工作任务繁重，但预算指标小，</w:t>
      </w:r>
      <w:r>
        <w:rPr>
          <w:rFonts w:hint="eastAsia" w:ascii="方正仿宋简体" w:hAnsi="宋体" w:eastAsia="方正仿宋简体"/>
          <w:sz w:val="32"/>
          <w:szCs w:val="32"/>
          <w:lang w:val="en-US" w:eastAsia="zh-CN"/>
        </w:rPr>
        <w:t>科学技术普及</w:t>
      </w:r>
      <w:r>
        <w:rPr>
          <w:rFonts w:hint="eastAsia" w:ascii="方正仿宋简体" w:hAnsi="宋体" w:eastAsia="方正仿宋简体"/>
          <w:sz w:val="32"/>
          <w:szCs w:val="32"/>
        </w:rPr>
        <w:t>经费足。</w:t>
      </w:r>
      <w:r>
        <w:rPr>
          <w:rFonts w:hint="eastAsia" w:ascii="仿宋_GB2312" w:hAnsi="仿宋_GB2312" w:eastAsia="仿宋_GB2312" w:cs="仿宋_GB2312"/>
          <w:sz w:val="32"/>
          <w:szCs w:val="32"/>
        </w:rPr>
        <w:t>下一步改进措施：</w:t>
      </w:r>
      <w:r>
        <w:rPr>
          <w:rFonts w:hint="eastAsia" w:ascii="方正仿宋简体" w:eastAsia="方正仿宋简体"/>
          <w:sz w:val="32"/>
          <w:szCs w:val="32"/>
        </w:rPr>
        <w:t>加大对</w:t>
      </w:r>
      <w:r>
        <w:rPr>
          <w:rFonts w:hint="eastAsia" w:ascii="方正仿宋简体" w:eastAsia="方正仿宋简体"/>
          <w:sz w:val="32"/>
          <w:szCs w:val="32"/>
          <w:lang w:val="en-US" w:eastAsia="zh-CN"/>
        </w:rPr>
        <w:t>科学技术普及</w:t>
      </w:r>
      <w:r>
        <w:rPr>
          <w:rFonts w:hint="eastAsia" w:ascii="方正仿宋简体" w:eastAsia="方正仿宋简体"/>
          <w:sz w:val="32"/>
          <w:szCs w:val="32"/>
        </w:rPr>
        <w:t>工作经费的投入</w:t>
      </w:r>
      <w:r>
        <w:rPr>
          <w:rFonts w:hint="eastAsia" w:ascii="仿宋_GB2312" w:hAnsi="仿宋_GB2312" w:eastAsia="仿宋_GB2312" w:cs="仿宋_GB2312"/>
          <w:sz w:val="32"/>
          <w:szCs w:val="32"/>
        </w:rPr>
        <w:t>。</w:t>
      </w:r>
    </w:p>
    <w:p>
      <w:pPr>
        <w:numPr>
          <w:ilvl w:val="0"/>
          <w:numId w:val="6"/>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方正仿宋简体" w:hAnsi="宋体" w:eastAsia="方正仿宋简体"/>
          <w:sz w:val="32"/>
          <w:szCs w:val="32"/>
          <w:lang w:val="en-US" w:eastAsia="zh-CN"/>
        </w:rPr>
        <w:t>科技馆站</w:t>
      </w:r>
      <w:r>
        <w:rPr>
          <w:rFonts w:hint="eastAsia" w:ascii="方正仿宋简体" w:hAnsi="宋体" w:eastAsia="方正仿宋简体"/>
          <w:sz w:val="32"/>
          <w:szCs w:val="32"/>
        </w:rPr>
        <w:t>经费</w:t>
      </w:r>
      <w:r>
        <w:rPr>
          <w:rFonts w:hint="eastAsia" w:ascii="仿宋_GB2312" w:hAnsi="仿宋_GB2312" w:eastAsia="仿宋_GB2312" w:cs="仿宋_GB2312"/>
          <w:sz w:val="32"/>
          <w:szCs w:val="32"/>
        </w:rPr>
        <w:t>项目绩效自评综述：根据年初设定的绩效目标，</w:t>
      </w:r>
      <w:r>
        <w:rPr>
          <w:rFonts w:hint="eastAsia" w:ascii="仿宋_GB2312" w:hAnsi="仿宋_GB2312" w:eastAsia="仿宋_GB2312" w:cs="仿宋_GB2312"/>
          <w:sz w:val="32"/>
          <w:szCs w:val="32"/>
          <w:lang w:val="en-US" w:eastAsia="zh-CN"/>
        </w:rPr>
        <w:t>科技馆站</w:t>
      </w:r>
      <w:r>
        <w:rPr>
          <w:rFonts w:hint="eastAsia" w:ascii="方正仿宋简体" w:hAnsi="宋体" w:eastAsia="方正仿宋简体"/>
          <w:sz w:val="32"/>
          <w:szCs w:val="32"/>
        </w:rPr>
        <w:t>工作经费</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万元，完成预算的100%。项目绩效目标完成情况：</w:t>
      </w:r>
      <w:r>
        <w:rPr>
          <w:rFonts w:hint="eastAsia" w:ascii="方正仿宋简体" w:hAnsi="宋体" w:eastAsia="方正仿宋简体"/>
          <w:sz w:val="32"/>
          <w:szCs w:val="32"/>
        </w:rPr>
        <w:t>该项目目标明确，全部用于</w:t>
      </w:r>
      <w:r>
        <w:rPr>
          <w:rFonts w:hint="eastAsia" w:ascii="方正仿宋简体" w:hAnsi="宋体" w:eastAsia="方正仿宋简体"/>
          <w:sz w:val="32"/>
          <w:szCs w:val="32"/>
          <w:lang w:val="en-US" w:eastAsia="zh-CN"/>
        </w:rPr>
        <w:t>市科技馆站</w:t>
      </w:r>
      <w:r>
        <w:rPr>
          <w:rFonts w:hint="eastAsia" w:ascii="方正仿宋简体" w:hAnsi="宋体" w:eastAsia="方正仿宋简体"/>
          <w:sz w:val="32"/>
          <w:szCs w:val="32"/>
        </w:rPr>
        <w:t>工作经费，符合</w:t>
      </w:r>
      <w:r>
        <w:rPr>
          <w:rFonts w:hint="eastAsia" w:ascii="方正仿宋简体" w:hAnsi="宋体" w:eastAsia="方正仿宋简体"/>
          <w:sz w:val="32"/>
          <w:szCs w:val="32"/>
          <w:lang w:val="en-US" w:eastAsia="zh-CN"/>
        </w:rPr>
        <w:t>市科技馆站</w:t>
      </w:r>
      <w:r>
        <w:rPr>
          <w:rFonts w:hint="eastAsia" w:ascii="方正仿宋简体" w:hAnsi="宋体" w:eastAsia="方正仿宋简体"/>
          <w:sz w:val="32"/>
          <w:szCs w:val="32"/>
        </w:rPr>
        <w:t>工作的相关要求，2019年度我</w:t>
      </w:r>
      <w:r>
        <w:rPr>
          <w:rFonts w:hint="eastAsia" w:ascii="方正仿宋简体" w:hAnsi="宋体" w:eastAsia="方正仿宋简体"/>
          <w:sz w:val="32"/>
          <w:szCs w:val="32"/>
          <w:lang w:val="en-US" w:eastAsia="zh-CN"/>
        </w:rPr>
        <w:t>单位</w:t>
      </w:r>
      <w:r>
        <w:rPr>
          <w:rFonts w:hint="eastAsia" w:ascii="方正仿宋简体" w:hAnsi="宋体" w:eastAsia="方正仿宋简体"/>
          <w:sz w:val="32"/>
          <w:szCs w:val="32"/>
        </w:rPr>
        <w:t>财政预算资金</w:t>
      </w:r>
      <w:r>
        <w:rPr>
          <w:rFonts w:hint="eastAsia" w:ascii="方正仿宋简体" w:hAnsi="宋体" w:eastAsia="方正仿宋简体"/>
          <w:sz w:val="32"/>
          <w:szCs w:val="32"/>
          <w:lang w:val="en-US" w:eastAsia="zh-CN"/>
        </w:rPr>
        <w:t>20</w:t>
      </w:r>
      <w:r>
        <w:rPr>
          <w:rFonts w:hint="eastAsia" w:ascii="方正仿宋简体" w:hAnsi="宋体" w:eastAsia="方正仿宋简体"/>
          <w:sz w:val="32"/>
          <w:szCs w:val="32"/>
        </w:rPr>
        <w:t>万元，实际发生</w:t>
      </w:r>
      <w:r>
        <w:rPr>
          <w:rFonts w:hint="eastAsia" w:ascii="方正仿宋简体" w:hAnsi="宋体" w:eastAsia="方正仿宋简体"/>
          <w:sz w:val="32"/>
          <w:szCs w:val="32"/>
          <w:lang w:val="en-US" w:eastAsia="zh-CN"/>
        </w:rPr>
        <w:t>20</w:t>
      </w:r>
      <w:r>
        <w:rPr>
          <w:rFonts w:hint="eastAsia" w:ascii="方正仿宋简体" w:hAnsi="宋体" w:eastAsia="方正仿宋简体"/>
          <w:sz w:val="32"/>
          <w:szCs w:val="32"/>
        </w:rPr>
        <w:t>万元，项目认定，资金申报、批复程序符合相关管理办法，项目实施手续健全，资金到位占实际资金需求的100%。</w:t>
      </w:r>
      <w:r>
        <w:rPr>
          <w:rFonts w:hint="eastAsia" w:ascii="仿宋_GB2312" w:hAnsi="仿宋_GB2312" w:eastAsia="仿宋_GB2312" w:cs="仿宋_GB2312"/>
          <w:sz w:val="32"/>
          <w:szCs w:val="32"/>
        </w:rPr>
        <w:t>发现的主要问题及原因：</w:t>
      </w:r>
      <w:r>
        <w:rPr>
          <w:rFonts w:hint="eastAsia" w:ascii="方正仿宋简体" w:hAnsi="宋体" w:eastAsia="方正仿宋简体"/>
          <w:sz w:val="32"/>
          <w:szCs w:val="32"/>
        </w:rPr>
        <w:t>工作任务繁重，但预算指标小，对</w:t>
      </w:r>
      <w:r>
        <w:rPr>
          <w:rFonts w:hint="eastAsia" w:ascii="方正仿宋简体" w:hAnsi="宋体" w:eastAsia="方正仿宋简体"/>
          <w:sz w:val="32"/>
          <w:szCs w:val="32"/>
          <w:lang w:val="en-US" w:eastAsia="zh-CN"/>
        </w:rPr>
        <w:t>科技馆站</w:t>
      </w:r>
      <w:r>
        <w:rPr>
          <w:rFonts w:hint="eastAsia" w:ascii="方正仿宋简体" w:hAnsi="宋体" w:eastAsia="方正仿宋简体"/>
          <w:sz w:val="32"/>
          <w:szCs w:val="32"/>
        </w:rPr>
        <w:t>工作经费足。</w:t>
      </w:r>
      <w:r>
        <w:rPr>
          <w:rFonts w:hint="eastAsia" w:ascii="仿宋_GB2312" w:hAnsi="仿宋_GB2312" w:eastAsia="仿宋_GB2312" w:cs="仿宋_GB2312"/>
          <w:sz w:val="32"/>
          <w:szCs w:val="32"/>
        </w:rPr>
        <w:t>下一步改进措施：</w:t>
      </w:r>
      <w:r>
        <w:rPr>
          <w:rFonts w:hint="eastAsia" w:ascii="方正仿宋简体" w:eastAsia="方正仿宋简体"/>
          <w:sz w:val="32"/>
          <w:szCs w:val="32"/>
        </w:rPr>
        <w:t>建议加大对</w:t>
      </w:r>
      <w:r>
        <w:rPr>
          <w:rFonts w:hint="eastAsia" w:ascii="方正仿宋简体" w:eastAsia="方正仿宋简体"/>
          <w:sz w:val="32"/>
          <w:szCs w:val="32"/>
          <w:lang w:val="en-US" w:eastAsia="zh-CN"/>
        </w:rPr>
        <w:t>科技馆站</w:t>
      </w:r>
      <w:r>
        <w:rPr>
          <w:rFonts w:hint="eastAsia" w:ascii="方正仿宋简体" w:eastAsia="方正仿宋简体"/>
          <w:sz w:val="32"/>
          <w:szCs w:val="32"/>
        </w:rPr>
        <w:t>工作经费的投入。</w:t>
      </w:r>
    </w:p>
    <w:p>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七、其他重要事项的说明</w:t>
      </w:r>
    </w:p>
    <w:p>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（一）机关运行经费情况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年度机关运行经费支出</w:t>
      </w:r>
      <w:r>
        <w:rPr>
          <w:rFonts w:hint="eastAsia" w:ascii="仿宋_GB2312" w:hAnsi="Times New Roman" w:eastAsia="仿宋_GB2312" w:cs="DengXian-Regular"/>
          <w:sz w:val="32"/>
          <w:szCs w:val="32"/>
          <w:lang w:val="en-US" w:eastAsia="zh-CN"/>
        </w:rPr>
        <w:t>8.85</w:t>
      </w:r>
      <w:r>
        <w:rPr>
          <w:rFonts w:hint="eastAsia" w:ascii="仿宋_GB2312" w:hAnsi="Times New Roman" w:eastAsia="仿宋_GB2312" w:cs="DengXian-Regular"/>
          <w:sz w:val="32"/>
          <w:szCs w:val="32"/>
        </w:rPr>
        <w:t>万元，比</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年度减少</w:t>
      </w:r>
      <w:r>
        <w:rPr>
          <w:rFonts w:hint="eastAsia" w:ascii="仿宋_GB2312" w:hAnsi="Times New Roman" w:eastAsia="仿宋_GB2312" w:cs="DengXian-Regular"/>
          <w:sz w:val="32"/>
          <w:szCs w:val="32"/>
          <w:lang w:val="en-US" w:eastAsia="zh-CN"/>
        </w:rPr>
        <w:t>0.79</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8.2</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val="en-US" w:eastAsia="zh-CN"/>
        </w:rPr>
        <w:t>减少人员</w:t>
      </w:r>
      <w:r>
        <w:rPr>
          <w:rFonts w:hint="eastAsia" w:ascii="方正仿宋简体" w:eastAsia="方正仿宋简体"/>
          <w:sz w:val="32"/>
          <w:szCs w:val="32"/>
          <w:lang w:eastAsia="zh-CN"/>
        </w:rPr>
        <w:t>公务交通补贴费用</w:t>
      </w:r>
      <w:r>
        <w:rPr>
          <w:rFonts w:hint="eastAsia" w:ascii="仿宋_GB2312" w:hAnsi="Times New Roman" w:eastAsia="仿宋_GB2312" w:cs="DengXian-Regular"/>
          <w:sz w:val="32"/>
          <w:szCs w:val="32"/>
        </w:rPr>
        <w:t>。</w:t>
      </w:r>
    </w:p>
    <w:p>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（二）政府采购情况</w:t>
      </w:r>
    </w:p>
    <w:p>
      <w:pPr>
        <w:snapToGrid w:val="0"/>
        <w:spacing w:line="580" w:lineRule="exact"/>
        <w:ind w:firstLine="640" w:firstLineChars="200"/>
        <w:jc w:val="left"/>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年度政府采购支出总额</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万元、政府采购服务支出</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p>
    <w:p>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（三）国有资产占用情况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截至</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w:t>
      </w:r>
      <w:r>
        <w:rPr>
          <w:rFonts w:ascii="仿宋_GB2312" w:hAnsi="Times New Roman" w:eastAsia="仿宋_GB2312" w:cs="DengXian-Regular"/>
          <w:sz w:val="32"/>
          <w:szCs w:val="32"/>
        </w:rPr>
        <w:t>12</w:t>
      </w:r>
      <w:r>
        <w:rPr>
          <w:rFonts w:hint="eastAsia" w:ascii="仿宋_GB2312" w:hAnsi="Times New Roman" w:eastAsia="仿宋_GB2312" w:cs="DengXian-Regular"/>
          <w:sz w:val="32"/>
          <w:szCs w:val="32"/>
        </w:rPr>
        <w:t>月</w:t>
      </w:r>
      <w:r>
        <w:rPr>
          <w:rFonts w:ascii="仿宋_GB2312" w:hAnsi="Times New Roman" w:eastAsia="仿宋_GB2312" w:cs="DengXian-Regular"/>
          <w:sz w:val="32"/>
          <w:szCs w:val="32"/>
        </w:rPr>
        <w:t>31</w:t>
      </w:r>
      <w:r>
        <w:rPr>
          <w:rFonts w:hint="eastAsia" w:ascii="仿宋_GB2312" w:hAnsi="Times New Roman" w:eastAsia="仿宋_GB2312" w:cs="DengXian-Regular"/>
          <w:sz w:val="32"/>
          <w:szCs w:val="32"/>
        </w:rPr>
        <w:t>日，本部门共有车辆</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辆，</w:t>
      </w:r>
      <w:r>
        <w:rPr>
          <w:rFonts w:hint="eastAsia" w:ascii="仿宋_GB2312" w:hAnsi="Times New Roman" w:eastAsia="仿宋_GB2312" w:cs="DengXian-Regular"/>
          <w:sz w:val="32"/>
          <w:szCs w:val="32"/>
          <w:lang w:val="en-US" w:eastAsia="zh-CN"/>
        </w:rPr>
        <w:t>较</w:t>
      </w:r>
      <w:r>
        <w:rPr>
          <w:rFonts w:hint="eastAsia" w:ascii="仿宋_GB2312" w:hAnsi="Times New Roman" w:eastAsia="仿宋_GB2312" w:cs="DengXian-Regular"/>
          <w:sz w:val="32"/>
          <w:szCs w:val="32"/>
        </w:rPr>
        <w:t>上年增</w:t>
      </w:r>
      <w:r>
        <w:rPr>
          <w:rFonts w:hint="eastAsia" w:ascii="仿宋_GB2312" w:hAnsi="Times New Roman" w:eastAsia="仿宋_GB2312" w:cs="DengXian-Regular"/>
          <w:sz w:val="32"/>
          <w:szCs w:val="32"/>
          <w:lang w:val="en-US" w:eastAsia="zh-CN"/>
        </w:rPr>
        <w:t>减无变化。</w:t>
      </w:r>
      <w:r>
        <w:rPr>
          <w:rFonts w:hint="eastAsia" w:ascii="仿宋_GB2312" w:hAnsi="Times New Roman" w:eastAsia="仿宋_GB2312" w:cs="DengXian-Regular"/>
          <w:sz w:val="32"/>
          <w:szCs w:val="32"/>
        </w:rPr>
        <w:t>其中，副部（省）级及以上领导用车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辆，主要领导干部用车</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辆，机要通信用车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辆，应急保障用车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辆，执法执勤用车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辆，特种专业技术用车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辆，离退休干部用车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辆，其他用车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w:t>
      </w:r>
    </w:p>
    <w:p>
      <w:pPr>
        <w:adjustRightInd w:val="0"/>
        <w:snapToGrid w:val="0"/>
        <w:spacing w:line="580" w:lineRule="exact"/>
        <w:ind w:firstLine="640" w:firstLineChars="200"/>
        <w:rPr>
          <w:rFonts w:ascii="楷体_GB2312" w:hAnsi="Times New Roman" w:eastAsia="楷体_GB2312" w:cs="DengXian-Bold"/>
          <w:b/>
          <w:bCs/>
          <w:sz w:val="32"/>
          <w:szCs w:val="32"/>
        </w:rPr>
      </w:pPr>
      <w:r>
        <w:rPr>
          <w:rFonts w:hint="eastAsia" w:ascii="仿宋_GB2312" w:hAnsi="Times New Roman" w:eastAsia="仿宋_GB2312" w:cs="DengXian-Regular"/>
          <w:sz w:val="32"/>
          <w:szCs w:val="32"/>
        </w:rPr>
        <w:t>单位价值</w:t>
      </w:r>
      <w:r>
        <w:rPr>
          <w:rFonts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台（套），</w:t>
      </w:r>
      <w:r>
        <w:rPr>
          <w:rFonts w:hint="eastAsia" w:ascii="仿宋_GB2312" w:eastAsia="仿宋_GB2312" w:cs="DengXian-Regular"/>
          <w:sz w:val="32"/>
          <w:szCs w:val="32"/>
          <w:lang w:eastAsia="zh-CN"/>
        </w:rPr>
        <w:t>较</w:t>
      </w:r>
      <w:r>
        <w:rPr>
          <w:rFonts w:hint="eastAsia" w:ascii="仿宋_GB2312" w:eastAsia="仿宋_GB2312" w:cs="DengXian-Regular"/>
          <w:sz w:val="32"/>
          <w:szCs w:val="32"/>
        </w:rPr>
        <w:t>上年</w:t>
      </w:r>
      <w:r>
        <w:rPr>
          <w:rFonts w:hint="eastAsia" w:ascii="仿宋_GB2312" w:eastAsia="仿宋_GB2312" w:cs="DengXian-Regular"/>
          <w:sz w:val="32"/>
          <w:szCs w:val="32"/>
          <w:lang w:eastAsia="zh-CN"/>
        </w:rPr>
        <w:t>无增减变化</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台（套）</w:t>
      </w:r>
      <w:r>
        <w:rPr>
          <w:rFonts w:hint="eastAsia" w:ascii="仿宋_GB2312" w:hAnsi="Times New Roman" w:eastAsia="仿宋_GB2312" w:cs="DengXian-Regular"/>
          <w:sz w:val="32"/>
          <w:szCs w:val="32"/>
          <w:lang w:eastAsia="zh-CN"/>
        </w:rPr>
        <w:t>，</w:t>
      </w:r>
      <w:r>
        <w:rPr>
          <w:rFonts w:hint="eastAsia" w:ascii="仿宋_GB2312" w:eastAsia="仿宋_GB2312" w:cs="DengXian-Regular"/>
          <w:sz w:val="32"/>
          <w:szCs w:val="32"/>
          <w:lang w:eastAsia="zh-CN"/>
        </w:rPr>
        <w:t>较</w:t>
      </w:r>
      <w:r>
        <w:rPr>
          <w:rFonts w:hint="eastAsia" w:ascii="仿宋_GB2312" w:eastAsia="仿宋_GB2312" w:cs="DengXian-Regular"/>
          <w:sz w:val="32"/>
          <w:szCs w:val="32"/>
        </w:rPr>
        <w:t>上年</w:t>
      </w:r>
      <w:r>
        <w:rPr>
          <w:rFonts w:hint="eastAsia" w:ascii="仿宋_GB2312" w:eastAsia="仿宋_GB2312" w:cs="DengXian-Regular"/>
          <w:sz w:val="32"/>
          <w:szCs w:val="32"/>
          <w:lang w:eastAsia="zh-CN"/>
        </w:rPr>
        <w:t>无增减变化。</w:t>
      </w:r>
    </w:p>
    <w:p>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（四）其他需要说明的情况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 xml:space="preserve">1. </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年度无收支及结转结余情况，故表以空表列示。</w:t>
      </w:r>
    </w:p>
    <w:p>
      <w:pPr>
        <w:adjustRightInd w:val="0"/>
        <w:snapToGrid w:val="0"/>
        <w:spacing w:line="58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 xml:space="preserve">2. </w:t>
      </w:r>
      <w:r>
        <w:rPr>
          <w:rFonts w:hint="eastAsia" w:ascii="仿宋_GB2312" w:hAnsi="Times New Roman" w:eastAsia="仿宋_GB2312" w:cs="DengXian-Regular"/>
          <w:sz w:val="32"/>
          <w:szCs w:val="32"/>
        </w:rPr>
        <w:t>由于决算公开表格中金额数值应当保留两位小数，公开数据为四舍五入计算结果，个别数据合计项与分项之和存在小数点后差额，特此说明。</w:t>
      </w:r>
    </w:p>
    <w:p>
      <w:pPr>
        <w:widowControl/>
        <w:spacing w:line="580" w:lineRule="exact"/>
        <w:ind w:firstLine="883" w:firstLineChars="200"/>
        <w:jc w:val="left"/>
        <w:rPr>
          <w:rFonts w:ascii="宋体" w:hAnsi="宋体" w:eastAsia="宋体" w:cs="MS-UIGothic,Bold"/>
          <w:b/>
          <w:bCs/>
          <w:kern w:val="0"/>
          <w:sz w:val="44"/>
          <w:szCs w:val="44"/>
        </w:rPr>
        <w:sectPr>
          <w:type w:val="continuous"/>
          <w:pgSz w:w="11906" w:h="16838"/>
          <w:pgMar w:top="2098" w:right="1474" w:bottom="1984" w:left="1588" w:header="851" w:footer="992" w:gutter="0"/>
          <w:pgNumType w:fmt="numberInDash"/>
          <w:cols w:space="0" w:num="1"/>
          <w:docGrid w:type="lines" w:linePitch="312" w:charSpace="0"/>
        </w:sectPr>
      </w:pPr>
    </w:p>
    <w:p>
      <w:pPr>
        <w:jc w:val="center"/>
        <w:rPr>
          <w:rFonts w:ascii="黑体" w:hAnsi="黑体" w:eastAsia="黑体" w:cs="黑体"/>
          <w:sz w:val="56"/>
          <w:szCs w:val="72"/>
        </w:rPr>
      </w:pPr>
    </w:p>
    <w:p>
      <w:pPr>
        <w:jc w:val="center"/>
        <w:rPr>
          <w:rFonts w:ascii="黑体" w:hAnsi="黑体" w:eastAsia="黑体" w:cs="黑体"/>
          <w:sz w:val="56"/>
          <w:szCs w:val="72"/>
        </w:rPr>
        <w:sectPr>
          <w:type w:val="continuous"/>
          <w:pgSz w:w="11906" w:h="16838"/>
          <w:pgMar w:top="2041" w:right="1531" w:bottom="2041" w:left="1531" w:header="851" w:footer="992" w:gutter="0"/>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41" w:right="1531" w:bottom="2041" w:left="1531" w:header="851" w:footer="992" w:gutter="0"/>
          <w:pgNumType w:fmt="numberInDash"/>
          <w:cols w:space="0" w:num="1"/>
          <w:titlePg/>
          <w:docGrid w:type="lines" w:linePitch="312" w:charSpace="0"/>
        </w:sectPr>
      </w:pPr>
      <w:r>
        <w:rPr>
          <w:rFonts w:ascii="黑体" w:hAnsi="黑体" w:eastAsia="黑体" w:cs="黑体"/>
          <w:sz w:val="56"/>
          <w:szCs w:val="72"/>
        </w:rPr>
        <w:br w:type="page"/>
      </w:r>
    </w:p>
    <w:p>
      <w:pP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sz w:val="72"/>
        </w:rPr>
      </w:pPr>
      <w:r>
        <mc:AlternateContent>
          <mc:Choice Requires="wps">
            <w:drawing>
              <wp:anchor distT="0" distB="0" distL="114300" distR="114300" simplePos="0" relativeHeight="251670528" behindDoc="0" locked="0" layoutInCell="1" allowOverlap="1">
                <wp:simplePos x="0" y="0"/>
                <wp:positionH relativeFrom="column">
                  <wp:posOffset>-1021715</wp:posOffset>
                </wp:positionH>
                <wp:positionV relativeFrom="paragraph">
                  <wp:posOffset>441960</wp:posOffset>
                </wp:positionV>
                <wp:extent cx="7793355" cy="3341370"/>
                <wp:effectExtent l="4445" t="4445" r="12700" b="6985"/>
                <wp:wrapNone/>
                <wp:docPr id="14" name="文本框 64"/>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horz">
                          <a:fgClr>
                            <a:srgbClr val="FFD966"/>
                          </a:fgClr>
                          <a:bgClr>
                            <a:srgbClr val="FFFFFF"/>
                          </a:bgClr>
                        </a:pattFill>
                        <a:ln w="6350" cap="flat" cmpd="sng">
                          <a:solidFill>
                            <a:srgbClr val="FFD966"/>
                          </a:solidFill>
                          <a:prstDash val="solid"/>
                          <a:round/>
                          <a:headEnd type="none" w="med" len="med"/>
                          <a:tailEnd type="none" w="med" len="med"/>
                        </a:ln>
                      </wps:spPr>
                      <wps:txbx>
                        <w:txbxContent>
                          <w:p>
                            <w:pPr>
                              <w:widowControl/>
                              <w:jc w:val="center"/>
                            </w:pPr>
                            <w:r>
                              <w:rPr>
                                <w:rFonts w:hint="eastAsia" w:ascii="黑体" w:hAnsi="黑体" w:eastAsia="黑体" w:cs="黑体"/>
                                <w:color w:val="000000"/>
                                <w:sz w:val="90"/>
                                <w:szCs w:val="90"/>
                              </w:rPr>
                              <w:t>第三部分</w:t>
                            </w:r>
                            <w:r>
                              <w:rPr>
                                <w:rFonts w:ascii="黑体" w:hAnsi="黑体" w:eastAsia="黑体" w:cs="黑体"/>
                                <w:color w:val="000000"/>
                                <w:sz w:val="90"/>
                                <w:szCs w:val="90"/>
                              </w:rPr>
                              <w:t xml:space="preserve"> </w:t>
                            </w:r>
                            <w:r>
                              <w:rPr>
                                <w:rFonts w:hint="eastAsia" w:ascii="黑体" w:hAnsi="黑体" w:eastAsia="黑体" w:cs="黑体"/>
                                <w:color w:val="000000"/>
                                <w:sz w:val="90"/>
                                <w:szCs w:val="90"/>
                              </w:rPr>
                              <w:t>相关名词解释</w:t>
                            </w:r>
                          </w:p>
                        </w:txbxContent>
                      </wps:txbx>
                      <wps:bodyPr anchor="ctr" upright="1"/>
                    </wps:wsp>
                  </a:graphicData>
                </a:graphic>
              </wp:anchor>
            </w:drawing>
          </mc:Choice>
          <mc:Fallback>
            <w:pict>
              <v:shape id="文本框 64" o:spid="_x0000_s1026" o:spt="202" type="#_x0000_t202" style="position:absolute;left:0pt;margin-left:-80.45pt;margin-top:34.8pt;height:263.1pt;width:613.65pt;z-index:251670528;v-text-anchor:middle;mso-width-relative:page;mso-height-relative:page;" fillcolor="#FFD966" filled="t" stroked="t" coordsize="21600,21600" o:gfxdata="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9zSl1wAAAAwBAAAPAAAAAAAAAAEAIAAAACIAAABkcnMvZG93bnJl&#10;di54bWxQSwECFAAUAAAACACHTuJAnbEq8zcCAACPBAAADgAAAAAAAAABACAAAAAmAQAAZHJzL2Uy&#10;b0RvYy54bWxQSwUGAAAAAAYABgBZAQAAzwUAAAAA&#10;">
                <v:fill type="pattern" on="t" color2="#FFFFFF" focussize="0,0" r:id="rId19"/>
                <v:stroke weight="0.5pt" color="#FFD966" joinstyle="round"/>
                <v:imagedata o:title=""/>
                <o:lock v:ext="edit" aspectratio="f"/>
                <v:textbox>
                  <w:txbxContent>
                    <w:p>
                      <w:pPr>
                        <w:widowControl/>
                        <w:jc w:val="center"/>
                      </w:pPr>
                      <w:r>
                        <w:rPr>
                          <w:rFonts w:hint="eastAsia" w:ascii="黑体" w:hAnsi="黑体" w:eastAsia="黑体" w:cs="黑体"/>
                          <w:color w:val="000000"/>
                          <w:sz w:val="90"/>
                          <w:szCs w:val="90"/>
                        </w:rPr>
                        <w:t>第三部分</w:t>
                      </w:r>
                      <w:r>
                        <w:rPr>
                          <w:rFonts w:ascii="黑体" w:hAnsi="黑体" w:eastAsia="黑体" w:cs="黑体"/>
                          <w:color w:val="000000"/>
                          <w:sz w:val="90"/>
                          <w:szCs w:val="90"/>
                        </w:rPr>
                        <w:t xml:space="preserve"> </w:t>
                      </w:r>
                      <w:r>
                        <w:rPr>
                          <w:rFonts w:hint="eastAsia" w:ascii="黑体" w:hAnsi="黑体" w:eastAsia="黑体" w:cs="黑体"/>
                          <w:color w:val="000000"/>
                          <w:sz w:val="90"/>
                          <w:szCs w:val="90"/>
                        </w:rPr>
                        <w:t>相关名词解释</w:t>
                      </w:r>
                    </w:p>
                  </w:txbxContent>
                </v:textbox>
              </v:shape>
            </w:pict>
          </mc:Fallback>
        </mc:AlternateContent>
      </w:r>
    </w:p>
    <w:p/>
    <w:p/>
    <w:p/>
    <w:p/>
    <w:p/>
    <w:p/>
    <w:p/>
    <w:p/>
    <w:p/>
    <w:p/>
    <w:p/>
    <w:p/>
    <w:p/>
    <w:p>
      <w:pPr>
        <w:tabs>
          <w:tab w:val="left" w:pos="886"/>
        </w:tabs>
        <w:jc w:val="left"/>
        <w:sectPr>
          <w:headerReference r:id="rId15" w:type="first"/>
          <w:pgSz w:w="11906" w:h="16838"/>
          <w:pgMar w:top="2041" w:right="1531" w:bottom="2041" w:left="1531" w:header="851" w:footer="992" w:gutter="0"/>
          <w:pgNumType w:fmt="numberInDash"/>
          <w:cols w:space="0" w:num="1"/>
          <w:titlePg/>
          <w:docGrid w:type="lines" w:linePitch="312" w:charSpace="0"/>
        </w:sectPr>
      </w:pPr>
    </w:p>
    <w:p>
      <w:pPr>
        <w:rPr>
          <w:rFonts w:ascii="仿宋_GB2312" w:hAnsi="宋体" w:eastAsia="仿宋_GB2312" w:cs="ArialUnicodeMS"/>
          <w:sz w:val="32"/>
          <w:szCs w:val="32"/>
          <w:highlight w:val="yellow"/>
        </w:rPr>
      </w:pPr>
      <w:r>
        <w:rPr>
          <w:rFonts w:ascii="仿宋_GB2312" w:hAnsi="宋体" w:eastAsia="仿宋_GB2312" w:cs="ArialUnicodeMS"/>
          <w:sz w:val="32"/>
          <w:szCs w:val="32"/>
          <w:highlight w:val="yellow"/>
        </w:rPr>
        <w:br w:type="page"/>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（十）基本建设支出：</w:t>
      </w:r>
      <w:r>
        <w:rPr>
          <w:rFonts w:hint="eastAsia" w:ascii="仿宋_GB2312" w:hAnsi="宋体" w:eastAsia="仿宋_GB2312"/>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（十一）其他资本性支出：</w:t>
      </w:r>
      <w:r>
        <w:rPr>
          <w:rFonts w:hint="eastAsia" w:ascii="仿宋_GB2312" w:hAnsi="宋体" w:eastAsia="仿宋_GB2312"/>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填列单位公务用车车辆购置支出（含车辆购置税、牌照费）。</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jc w:val="left"/>
        <w:rPr>
          <w:rFonts w:ascii="仿宋_GB2312" w:hAnsi="Cambria" w:eastAsia="仿宋_GB2312" w:cs="ArialUnicodeMS"/>
          <w:kern w:val="0"/>
          <w:sz w:val="32"/>
          <w:szCs w:val="32"/>
        </w:r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
    <w:p/>
    <w:p/>
    <w:p/>
    <w:p/>
    <w:p/>
    <w:p/>
    <w:p/>
    <w:p/>
    <w:p/>
    <w:p>
      <w:pPr>
        <w:jc w:val="left"/>
        <w:sectPr>
          <w:headerReference r:id="rId16" w:type="default"/>
          <w:type w:val="continuous"/>
          <w:pgSz w:w="11906" w:h="16838"/>
          <w:pgMar w:top="2098" w:right="1474" w:bottom="1985" w:left="1588" w:header="851" w:footer="992" w:gutter="0"/>
          <w:pgNumType w:fmt="numberInDash"/>
          <w:cols w:space="425" w:num="1"/>
          <w:docGrid w:type="lines" w:linePitch="312" w:charSpace="0"/>
        </w:sectPr>
      </w:pPr>
    </w:p>
    <w:p>
      <w:pPr>
        <w:tabs>
          <w:tab w:val="left" w:pos="235"/>
        </w:tabs>
        <w:jc w:val="left"/>
        <w:sectPr>
          <w:pgSz w:w="11906" w:h="16838"/>
          <w:pgMar w:top="2098" w:right="1474" w:bottom="1985" w:left="1588" w:header="851" w:footer="992" w:gutter="0"/>
          <w:pgNumType w:fmt="numberInDash"/>
          <w:cols w:space="425" w:num="1"/>
          <w:docGrid w:type="lines" w:linePitch="312" w:charSpace="0"/>
        </w:sectPr>
      </w:pPr>
      <w:r>
        <mc:AlternateContent>
          <mc:Choice Requires="wps">
            <w:drawing>
              <wp:anchor distT="0" distB="0" distL="114300" distR="114300" simplePos="0" relativeHeight="251660288" behindDoc="1" locked="0" layoutInCell="1" allowOverlap="1">
                <wp:simplePos x="0" y="0"/>
                <wp:positionH relativeFrom="column">
                  <wp:posOffset>-1042035</wp:posOffset>
                </wp:positionH>
                <wp:positionV relativeFrom="paragraph">
                  <wp:posOffset>1725295</wp:posOffset>
                </wp:positionV>
                <wp:extent cx="7793355" cy="3341370"/>
                <wp:effectExtent l="4445" t="4445" r="12700" b="6985"/>
                <wp:wrapNone/>
                <wp:docPr id="1" name="文本框 6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horz">
                          <a:fgClr>
                            <a:srgbClr val="FFD966"/>
                          </a:fgClr>
                          <a:bgClr>
                            <a:srgbClr val="FFFFFF"/>
                          </a:bgClr>
                        </a:pattFill>
                        <a:ln w="6350" cap="flat" cmpd="sng">
                          <a:solidFill>
                            <a:srgbClr val="FFD966"/>
                          </a:solidFill>
                          <a:prstDash val="solid"/>
                          <a:round/>
                          <a:headEnd type="none" w="med" len="med"/>
                          <a:tailEnd type="none" w="med" len="med"/>
                        </a:ln>
                      </wps:spPr>
                      <wps:txbx>
                        <w:txbxContent>
                          <w:p>
                            <w:pPr>
                              <w:widowControl/>
                              <w:jc w:val="center"/>
                              <w:rPr>
                                <w:rFonts w:ascii="黑体" w:hAnsi="黑体" w:eastAsia="黑体" w:cs="黑体"/>
                                <w:color w:val="000000"/>
                                <w:sz w:val="90"/>
                                <w:szCs w:val="90"/>
                              </w:rPr>
                            </w:pPr>
                            <w:r>
                              <w:rPr>
                                <w:rFonts w:hint="eastAsia" w:ascii="黑体" w:hAnsi="黑体" w:eastAsia="黑体" w:cs="黑体"/>
                                <w:color w:val="000000"/>
                                <w:sz w:val="90"/>
                                <w:szCs w:val="90"/>
                              </w:rPr>
                              <w:t>第四部分</w:t>
                            </w:r>
                            <w:r>
                              <w:rPr>
                                <w:rFonts w:ascii="黑体" w:hAnsi="黑体" w:eastAsia="黑体" w:cs="黑体"/>
                                <w:color w:val="000000"/>
                                <w:sz w:val="90"/>
                                <w:szCs w:val="90"/>
                              </w:rPr>
                              <w:t xml:space="preserve"> </w:t>
                            </w:r>
                          </w:p>
                          <w:p>
                            <w:pPr>
                              <w:widowControl/>
                              <w:jc w:val="center"/>
                            </w:pPr>
                            <w:r>
                              <w:rPr>
                                <w:rFonts w:ascii="黑体" w:hAnsi="黑体" w:eastAsia="黑体" w:cs="黑体"/>
                                <w:color w:val="000000"/>
                                <w:sz w:val="90"/>
                                <w:szCs w:val="90"/>
                              </w:rPr>
                              <w:t>2019</w:t>
                            </w:r>
                            <w:r>
                              <w:rPr>
                                <w:rFonts w:hint="eastAsia" w:ascii="黑体" w:hAnsi="黑体" w:eastAsia="黑体" w:cs="黑体"/>
                                <w:color w:val="000000"/>
                                <w:sz w:val="90"/>
                                <w:szCs w:val="90"/>
                              </w:rPr>
                              <w:t>年度部门决算报表</w:t>
                            </w:r>
                          </w:p>
                        </w:txbxContent>
                      </wps:txbx>
                      <wps:bodyPr anchor="ctr" upright="1"/>
                    </wps:wsp>
                  </a:graphicData>
                </a:graphic>
              </wp:anchor>
            </w:drawing>
          </mc:Choice>
          <mc:Fallback>
            <w:pict>
              <v:shape id="文本框 65" o:spid="_x0000_s1026" o:spt="202" type="#_x0000_t202" style="position:absolute;left:0pt;margin-left:-82.05pt;margin-top:135.85pt;height:263.1pt;width:613.65pt;z-index:-251656192;v-text-anchor:middle;mso-width-relative:page;mso-height-relative:page;" fillcolor="#FFD966" filled="t" stroked="t" coordsize="21600,21600" o:gfxdata="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jjD2HYAAAADQEAAA8AAAAAAAAAAQAgAAAAIgAAAGRycy9kb3ducmV2&#10;LnhtbFBLAQIUABQAAAAIAIdO4kBIHDwdNQIAAI4EAAAOAAAAAAAAAAEAIAAAACcBAABkcnMvZTJv&#10;RG9jLnhtbFBLBQYAAAAABgAGAFkBAADOBQAAAAA=&#10;">
                <v:fill type="pattern" on="t" color2="#FFFFFF" focussize="0,0" r:id="rId19"/>
                <v:stroke weight="0.5pt" color="#FFD966" joinstyle="round"/>
                <v:imagedata o:title=""/>
                <o:lock v:ext="edit" aspectratio="f"/>
                <v:textbox>
                  <w:txbxContent>
                    <w:p>
                      <w:pPr>
                        <w:widowControl/>
                        <w:jc w:val="center"/>
                        <w:rPr>
                          <w:rFonts w:ascii="黑体" w:hAnsi="黑体" w:eastAsia="黑体" w:cs="黑体"/>
                          <w:color w:val="000000"/>
                          <w:sz w:val="90"/>
                          <w:szCs w:val="90"/>
                        </w:rPr>
                      </w:pPr>
                      <w:r>
                        <w:rPr>
                          <w:rFonts w:hint="eastAsia" w:ascii="黑体" w:hAnsi="黑体" w:eastAsia="黑体" w:cs="黑体"/>
                          <w:color w:val="000000"/>
                          <w:sz w:val="90"/>
                          <w:szCs w:val="90"/>
                        </w:rPr>
                        <w:t>第四部分</w:t>
                      </w:r>
                      <w:r>
                        <w:rPr>
                          <w:rFonts w:ascii="黑体" w:hAnsi="黑体" w:eastAsia="黑体" w:cs="黑体"/>
                          <w:color w:val="000000"/>
                          <w:sz w:val="90"/>
                          <w:szCs w:val="90"/>
                        </w:rPr>
                        <w:t xml:space="preserve"> </w:t>
                      </w:r>
                    </w:p>
                    <w:p>
                      <w:pPr>
                        <w:widowControl/>
                        <w:jc w:val="center"/>
                      </w:pPr>
                      <w:r>
                        <w:rPr>
                          <w:rFonts w:ascii="黑体" w:hAnsi="黑体" w:eastAsia="黑体" w:cs="黑体"/>
                          <w:color w:val="000000"/>
                          <w:sz w:val="90"/>
                          <w:szCs w:val="90"/>
                        </w:rPr>
                        <w:t>2019</w:t>
                      </w:r>
                      <w:r>
                        <w:rPr>
                          <w:rFonts w:hint="eastAsia" w:ascii="黑体" w:hAnsi="黑体" w:eastAsia="黑体" w:cs="黑体"/>
                          <w:color w:val="000000"/>
                          <w:sz w:val="90"/>
                          <w:szCs w:val="90"/>
                        </w:rPr>
                        <w:t>年度部门决算报表</w:t>
                      </w:r>
                    </w:p>
                  </w:txbxContent>
                </v:textbox>
              </v:shape>
            </w:pict>
          </mc:Fallback>
        </mc:AlternateContent>
      </w:r>
    </w:p>
    <w:p>
      <w:pPr>
        <w:tabs>
          <w:tab w:val="left" w:pos="886"/>
        </w:tabs>
        <w:jc w:val="left"/>
      </w:pPr>
    </w:p>
    <w:p>
      <w:pPr>
        <w:jc w:val="left"/>
      </w:pPr>
    </w:p>
    <w:tbl>
      <w:tblPr>
        <w:tblStyle w:val="6"/>
        <w:tblpPr w:leftFromText="180" w:rightFromText="180" w:vertAnchor="text" w:horzAnchor="page" w:tblpXSpec="center" w:tblpY="31"/>
        <w:tblOverlap w:val="never"/>
        <w:tblW w:w="9517" w:type="dxa"/>
        <w:jc w:val="center"/>
        <w:tblLayout w:type="fixed"/>
        <w:tblCellMar>
          <w:top w:w="0" w:type="dxa"/>
          <w:left w:w="0" w:type="dxa"/>
          <w:bottom w:w="0" w:type="dxa"/>
          <w:right w:w="0" w:type="dxa"/>
        </w:tblCellMar>
      </w:tblPr>
      <w:tblGrid>
        <w:gridCol w:w="3236"/>
        <w:gridCol w:w="731"/>
        <w:gridCol w:w="691"/>
        <w:gridCol w:w="3474"/>
        <w:gridCol w:w="541"/>
        <w:gridCol w:w="844"/>
      </w:tblGrid>
      <w:tr>
        <w:tblPrEx>
          <w:tblCellMar>
            <w:top w:w="0" w:type="dxa"/>
            <w:left w:w="0" w:type="dxa"/>
            <w:bottom w:w="0" w:type="dxa"/>
            <w:right w:w="0" w:type="dxa"/>
          </w:tblCellMar>
        </w:tblPrEx>
        <w:trPr>
          <w:trHeight w:val="489" w:hRule="atLeast"/>
          <w:jc w:val="center"/>
        </w:trPr>
        <w:tc>
          <w:tcPr>
            <w:tcW w:w="9517" w:type="dxa"/>
            <w:gridSpan w:val="6"/>
            <w:tcBorders>
              <w:top w:val="nil"/>
              <w:left w:val="nil"/>
              <w:bottom w:val="nil"/>
              <w:right w:val="nil"/>
            </w:tcBorders>
            <w:noWrap/>
            <w:tcMar>
              <w:top w:w="15" w:type="dxa"/>
              <w:left w:w="15" w:type="dxa"/>
              <w:right w:w="15" w:type="dxa"/>
            </w:tcMar>
            <w:vAlign w:val="bottom"/>
          </w:tcPr>
          <w:p>
            <w:pPr>
              <w:spacing w:line="40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rPr>
              <w:t>收入支出决算总表</w:t>
            </w:r>
          </w:p>
        </w:tc>
      </w:tr>
      <w:tr>
        <w:tblPrEx>
          <w:tblCellMar>
            <w:top w:w="0" w:type="dxa"/>
            <w:left w:w="0" w:type="dxa"/>
            <w:bottom w:w="0" w:type="dxa"/>
            <w:right w:w="0" w:type="dxa"/>
          </w:tblCellMar>
        </w:tblPrEx>
        <w:trPr>
          <w:trHeight w:val="205" w:hRule="atLeast"/>
          <w:jc w:val="center"/>
        </w:trPr>
        <w:tc>
          <w:tcPr>
            <w:tcW w:w="323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73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9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4859" w:type="dxa"/>
            <w:gridSpan w:val="3"/>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01</w:t>
            </w:r>
            <w:r>
              <w:rPr>
                <w:rFonts w:hint="eastAsia" w:ascii="宋体" w:hAnsi="宋体" w:eastAsia="宋体" w:cs="宋体"/>
                <w:color w:val="000000"/>
                <w:kern w:val="0"/>
                <w:sz w:val="20"/>
                <w:szCs w:val="20"/>
              </w:rPr>
              <w:t>表</w:t>
            </w:r>
          </w:p>
        </w:tc>
      </w:tr>
      <w:tr>
        <w:tblPrEx>
          <w:tblCellMar>
            <w:top w:w="0" w:type="dxa"/>
            <w:left w:w="0" w:type="dxa"/>
            <w:bottom w:w="0" w:type="dxa"/>
            <w:right w:w="0" w:type="dxa"/>
          </w:tblCellMar>
        </w:tblPrEx>
        <w:trPr>
          <w:trHeight w:val="421" w:hRule="atLeast"/>
          <w:jc w:val="center"/>
        </w:trPr>
        <w:tc>
          <w:tcPr>
            <w:tcW w:w="3236" w:type="dxa"/>
            <w:tcBorders>
              <w:top w:val="nil"/>
              <w:left w:val="nil"/>
              <w:bottom w:val="nil"/>
              <w:right w:val="nil"/>
            </w:tcBorders>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r>
              <w:rPr>
                <w:rFonts w:hint="eastAsia" w:ascii="Arial" w:hAnsi="Arial" w:cs="Arial"/>
                <w:color w:val="000000"/>
                <w:sz w:val="20"/>
                <w:szCs w:val="20"/>
                <w:lang w:val="en-US" w:eastAsia="zh-CN"/>
              </w:rPr>
              <w:t>遵化市科学技术协会</w:t>
            </w:r>
          </w:p>
        </w:tc>
        <w:tc>
          <w:tcPr>
            <w:tcW w:w="73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9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4859" w:type="dxa"/>
            <w:gridSpan w:val="3"/>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284" w:hRule="atLeast"/>
          <w:jc w:val="center"/>
        </w:trPr>
        <w:tc>
          <w:tcPr>
            <w:tcW w:w="4658"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收入</w:t>
            </w:r>
          </w:p>
        </w:tc>
        <w:tc>
          <w:tcPr>
            <w:tcW w:w="4859"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支出</w:t>
            </w:r>
          </w:p>
        </w:tc>
      </w:tr>
      <w:tr>
        <w:tblPrEx>
          <w:tblCellMar>
            <w:top w:w="0" w:type="dxa"/>
            <w:left w:w="0" w:type="dxa"/>
            <w:bottom w:w="0" w:type="dxa"/>
            <w:right w:w="0" w:type="dxa"/>
          </w:tblCellMar>
        </w:tblPrEx>
        <w:trPr>
          <w:trHeight w:val="770"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一、一般公共预算财政拨款收入</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tabs>
                <w:tab w:val="left" w:pos="308"/>
                <w:tab w:val="right" w:pos="1001"/>
              </w:tabs>
              <w:jc w:val="left"/>
              <w:textAlignment w:val="center"/>
              <w:rPr>
                <w:rFonts w:ascii="宋体" w:hAnsi="宋体" w:eastAsia="宋体" w:cs="宋体"/>
                <w:color w:val="000000"/>
                <w:sz w:val="22"/>
              </w:rPr>
            </w:pPr>
            <w:r>
              <w:rPr>
                <w:rFonts w:hint="eastAsia" w:ascii="宋体" w:hAnsi="宋体" w:eastAsia="宋体" w:cs="宋体"/>
                <w:color w:val="000000"/>
                <w:kern w:val="0"/>
                <w:sz w:val="22"/>
                <w:lang w:val="en-US" w:eastAsia="zh-CN"/>
              </w:rPr>
              <w:t>141.37</w:t>
            </w:r>
            <w:r>
              <w:rPr>
                <w:rFonts w:hint="eastAsia" w:ascii="宋体" w:hAnsi="宋体" w:eastAsia="宋体" w:cs="宋体"/>
                <w:color w:val="000000"/>
                <w:kern w:val="0"/>
                <w:sz w:val="22"/>
                <w:lang w:eastAsia="zh-CN"/>
              </w:rPr>
              <w:tab/>
            </w: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一、一般公共服务支出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29</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二、政府性基金预算财政拨款收入</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二、外交支出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30</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182"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三、上级补助收入</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val="en-US" w:eastAsia="zh-CN"/>
              </w:rPr>
              <w:t>20.00</w:t>
            </w: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三、国防支出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31</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四、事业收入</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四、公共安全支出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32</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五、经营收入</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五、教育支出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33</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六、附属单位上缴收入</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六、科学技术支出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34</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val="en-US" w:eastAsia="zh-CN"/>
              </w:rPr>
              <w:t>139.83</w:t>
            </w: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七、其他收入</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七、文化旅游体育与传媒支出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35</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8</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八、社会保障和就业支出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36</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tabs>
                <w:tab w:val="left" w:pos="302"/>
                <w:tab w:val="right" w:pos="1154"/>
              </w:tabs>
              <w:jc w:val="left"/>
              <w:textAlignment w:val="center"/>
              <w:rPr>
                <w:rFonts w:ascii="宋体" w:hAnsi="宋体" w:eastAsia="宋体" w:cs="宋体"/>
                <w:color w:val="000000"/>
                <w:sz w:val="22"/>
              </w:rPr>
            </w:pPr>
            <w:r>
              <w:rPr>
                <w:rFonts w:hint="eastAsia" w:ascii="宋体" w:hAnsi="宋体" w:eastAsia="宋体" w:cs="宋体"/>
                <w:color w:val="000000"/>
                <w:kern w:val="0"/>
                <w:sz w:val="22"/>
                <w:lang w:eastAsia="zh-CN"/>
              </w:rPr>
              <w:tab/>
            </w:r>
            <w:r>
              <w:rPr>
                <w:rFonts w:hint="eastAsia" w:ascii="宋体" w:hAnsi="宋体" w:eastAsia="宋体" w:cs="宋体"/>
                <w:color w:val="000000"/>
                <w:kern w:val="0"/>
                <w:sz w:val="22"/>
                <w:lang w:val="en-US" w:eastAsia="zh-CN"/>
              </w:rPr>
              <w:t>1.83</w:t>
            </w:r>
            <w:r>
              <w:rPr>
                <w:rFonts w:hint="eastAsia" w:ascii="宋体" w:hAnsi="宋体" w:eastAsia="宋体" w:cs="宋体"/>
                <w:color w:val="000000"/>
                <w:kern w:val="0"/>
                <w:sz w:val="22"/>
                <w:lang w:eastAsia="zh-CN"/>
              </w:rPr>
              <w:tab/>
            </w: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9</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九、卫生健康支出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37</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val="en-US" w:eastAsia="zh-CN"/>
              </w:rPr>
              <w:t>12.97</w:t>
            </w: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10</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十、节能环保支出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38</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11</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十一、城乡社区支出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39</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12</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十二、农林水支出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40</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13</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十三、交通运输支出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41</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14</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十四、资源勘探信息等支出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42</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15</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十五、商业服务业等支出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43</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16</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十六、金融支出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44</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17</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十七、援助其他地区支出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45</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18</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十八、自然资源海洋气象等支出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46</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19</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十九、住房保障支出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47</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val="en-US" w:eastAsia="zh-CN"/>
              </w:rPr>
              <w:t>6.74</w:t>
            </w: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20</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二十、粮油物资储备支出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48</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21</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二十一、灾害防治及应急管理支出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49</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22</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二十二、其他支出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50</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23</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二十四、债务付息支出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51</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本年收入合计</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24</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val="en-US" w:eastAsia="zh-CN"/>
              </w:rPr>
              <w:t>161.37</w:t>
            </w: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本年支出合计</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52</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tabs>
                <w:tab w:val="center" w:pos="407"/>
                <w:tab w:val="right" w:pos="1154"/>
              </w:tabs>
              <w:jc w:val="left"/>
              <w:textAlignment w:val="center"/>
              <w:rPr>
                <w:rFonts w:ascii="宋体" w:hAnsi="宋体" w:eastAsia="宋体" w:cs="宋体"/>
                <w:color w:val="000000"/>
                <w:sz w:val="22"/>
              </w:rPr>
            </w:pPr>
            <w:r>
              <w:rPr>
                <w:rFonts w:hint="eastAsia" w:ascii="宋体" w:hAnsi="宋体" w:eastAsia="宋体" w:cs="宋体"/>
                <w:color w:val="000000"/>
                <w:kern w:val="0"/>
                <w:sz w:val="22"/>
                <w:lang w:eastAsia="zh-CN"/>
              </w:rPr>
              <w:tab/>
            </w:r>
            <w:r>
              <w:rPr>
                <w:rFonts w:hint="eastAsia" w:ascii="宋体" w:hAnsi="宋体" w:eastAsia="宋体" w:cs="宋体"/>
                <w:color w:val="000000"/>
                <w:kern w:val="0"/>
                <w:sz w:val="22"/>
                <w:lang w:val="en-US" w:eastAsia="zh-CN"/>
              </w:rPr>
              <w:t>161.37</w:t>
            </w:r>
            <w:r>
              <w:rPr>
                <w:rFonts w:hint="eastAsia" w:ascii="宋体" w:hAnsi="宋体" w:eastAsia="宋体" w:cs="宋体"/>
                <w:color w:val="000000"/>
                <w:kern w:val="0"/>
                <w:sz w:val="22"/>
                <w:lang w:eastAsia="zh-CN"/>
              </w:rPr>
              <w:tab/>
            </w: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用事业基金弥补收支差额</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25</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结余分配</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53</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年初结转和结余</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26</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年末结转和结余</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54</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27</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55</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73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28</w:t>
            </w:r>
          </w:p>
        </w:tc>
        <w:tc>
          <w:tcPr>
            <w:tcW w:w="6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tabs>
                <w:tab w:val="left" w:pos="433"/>
                <w:tab w:val="right" w:pos="1001"/>
              </w:tabs>
              <w:jc w:val="left"/>
              <w:textAlignment w:val="center"/>
              <w:rPr>
                <w:rFonts w:ascii="宋体" w:hAnsi="宋体" w:eastAsia="宋体" w:cs="宋体"/>
                <w:color w:val="000000"/>
                <w:sz w:val="22"/>
              </w:rPr>
            </w:pPr>
            <w:r>
              <w:rPr>
                <w:rFonts w:hint="eastAsia" w:ascii="宋体" w:hAnsi="宋体" w:eastAsia="宋体" w:cs="宋体"/>
                <w:color w:val="000000"/>
                <w:kern w:val="0"/>
                <w:sz w:val="22"/>
                <w:lang w:val="en-US" w:eastAsia="zh-CN"/>
              </w:rPr>
              <w:t>161.37</w:t>
            </w:r>
            <w:r>
              <w:rPr>
                <w:rFonts w:hint="eastAsia" w:ascii="宋体" w:hAnsi="宋体" w:eastAsia="宋体" w:cs="宋体"/>
                <w:color w:val="000000"/>
                <w:kern w:val="0"/>
                <w:sz w:val="22"/>
                <w:lang w:eastAsia="zh-CN"/>
              </w:rPr>
              <w:tab/>
            </w: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56</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val="en-US" w:eastAsia="zh-CN"/>
              </w:rPr>
              <w:t>161.37</w:t>
            </w: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13" w:hRule="atLeast"/>
          <w:jc w:val="center"/>
        </w:trPr>
        <w:tc>
          <w:tcPr>
            <w:tcW w:w="9517" w:type="dxa"/>
            <w:gridSpan w:val="6"/>
            <w:tcBorders>
              <w:top w:val="nil"/>
              <w:left w:val="nil"/>
              <w:bottom w:val="nil"/>
              <w:right w:val="nil"/>
            </w:tcBorders>
            <w:noWrap/>
            <w:tcMar>
              <w:top w:w="15" w:type="dxa"/>
              <w:left w:w="15" w:type="dxa"/>
              <w:right w:w="15" w:type="dxa"/>
            </w:tcMar>
            <w:vAlign w:val="center"/>
          </w:tcPr>
          <w:p>
            <w:pPr>
              <w:widowControl/>
              <w:jc w:val="left"/>
              <w:textAlignment w:val="center"/>
              <w:rPr>
                <w:rFonts w:ascii="宋体" w:hAnsi="宋体" w:eastAsia="宋体" w:cs="宋体"/>
                <w:color w:val="000000"/>
                <w:kern w:val="0"/>
                <w:sz w:val="22"/>
              </w:rPr>
            </w:pPr>
            <w:r>
              <w:rPr>
                <w:rFonts w:hint="eastAsia" w:ascii="宋体" w:hAnsi="宋体" w:eastAsia="宋体" w:cs="宋体"/>
                <w:color w:val="000000"/>
                <w:kern w:val="0"/>
                <w:sz w:val="22"/>
              </w:rPr>
              <w:t>注：本表反映部门本年度的总收支和年末结转结余情况。</w:t>
            </w:r>
          </w:p>
          <w:p>
            <w:pPr>
              <w:widowControl/>
              <w:jc w:val="left"/>
              <w:textAlignment w:val="center"/>
              <w:rPr>
                <w:rFonts w:ascii="宋体" w:hAnsi="宋体" w:eastAsia="宋体" w:cs="宋体"/>
                <w:color w:val="000000"/>
                <w:kern w:val="0"/>
                <w:sz w:val="22"/>
              </w:rPr>
            </w:pPr>
          </w:p>
          <w:p>
            <w:pPr>
              <w:widowControl/>
              <w:jc w:val="left"/>
              <w:textAlignment w:val="center"/>
              <w:rPr>
                <w:rFonts w:ascii="宋体" w:hAnsi="宋体" w:eastAsia="宋体" w:cs="宋体"/>
                <w:color w:val="000000"/>
                <w:kern w:val="0"/>
                <w:sz w:val="22"/>
              </w:rPr>
            </w:pPr>
          </w:p>
        </w:tc>
      </w:tr>
    </w:tbl>
    <w:tbl>
      <w:tblPr>
        <w:tblStyle w:val="6"/>
        <w:tblW w:w="9758" w:type="dxa"/>
        <w:jc w:val="center"/>
        <w:tblLayout w:type="autofit"/>
        <w:tblCellMar>
          <w:top w:w="0" w:type="dxa"/>
          <w:left w:w="0" w:type="dxa"/>
          <w:bottom w:w="0" w:type="dxa"/>
          <w:right w:w="0" w:type="dxa"/>
        </w:tblCellMar>
      </w:tblPr>
      <w:tblGrid>
        <w:gridCol w:w="718"/>
        <w:gridCol w:w="41"/>
        <w:gridCol w:w="41"/>
        <w:gridCol w:w="3836"/>
        <w:gridCol w:w="1291"/>
        <w:gridCol w:w="889"/>
        <w:gridCol w:w="788"/>
        <w:gridCol w:w="508"/>
        <w:gridCol w:w="558"/>
        <w:gridCol w:w="566"/>
        <w:gridCol w:w="563"/>
      </w:tblGrid>
      <w:tr>
        <w:tblPrEx>
          <w:tblCellMar>
            <w:top w:w="0" w:type="dxa"/>
            <w:left w:w="0" w:type="dxa"/>
            <w:bottom w:w="0" w:type="dxa"/>
            <w:right w:w="0" w:type="dxa"/>
          </w:tblCellMar>
        </w:tblPrEx>
        <w:trPr>
          <w:trHeight w:val="670" w:hRule="atLeast"/>
          <w:jc w:val="center"/>
        </w:trPr>
        <w:tc>
          <w:tcPr>
            <w:tcW w:w="9758" w:type="dxa"/>
            <w:gridSpan w:val="11"/>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kern w:val="0"/>
                <w:sz w:val="32"/>
                <w:szCs w:val="32"/>
              </w:rPr>
            </w:pPr>
          </w:p>
          <w:p>
            <w:pPr>
              <w:widowControl/>
              <w:jc w:val="center"/>
              <w:textAlignment w:val="bottom"/>
              <w:rPr>
                <w:rFonts w:ascii="黑体" w:hAnsi="宋体" w:eastAsia="黑体" w:cs="黑体"/>
                <w:color w:val="000000"/>
                <w:sz w:val="32"/>
                <w:szCs w:val="32"/>
              </w:rPr>
            </w:pPr>
            <w:r>
              <w:rPr>
                <w:rFonts w:hint="eastAsia" w:ascii="黑体" w:hAnsi="宋体" w:eastAsia="黑体" w:cs="黑体"/>
                <w:color w:val="000000"/>
                <w:kern w:val="0"/>
                <w:sz w:val="32"/>
                <w:szCs w:val="32"/>
              </w:rPr>
              <w:t>收入决算表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02</w:t>
            </w:r>
            <w:r>
              <w:rPr>
                <w:rFonts w:hint="eastAsia" w:ascii="宋体" w:hAnsi="宋体" w:eastAsia="宋体" w:cs="宋体"/>
                <w:color w:val="000000"/>
                <w:kern w:val="0"/>
                <w:sz w:val="20"/>
                <w:szCs w:val="20"/>
              </w:rPr>
              <w:t>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hint="default" w:ascii="Arial" w:hAnsi="Arial" w:eastAsia="等线" w:cs="Arial"/>
                <w:color w:val="000000"/>
                <w:sz w:val="20"/>
                <w:szCs w:val="20"/>
                <w:lang w:val="en-US" w:eastAsia="zh-CN"/>
              </w:rPr>
            </w:pPr>
            <w:r>
              <w:rPr>
                <w:rFonts w:hint="eastAsia" w:ascii="Arial" w:hAnsi="Arial" w:cs="Arial"/>
                <w:color w:val="000000"/>
                <w:sz w:val="20"/>
                <w:szCs w:val="20"/>
                <w:lang w:val="en-US" w:eastAsia="zh-CN"/>
              </w:rPr>
              <w:t>遵化市科学技术协会</w:t>
            </w: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gridSpan w:val="3"/>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85" w:hRule="atLeast"/>
          <w:jc w:val="center"/>
        </w:trPr>
        <w:tc>
          <w:tcPr>
            <w:tcW w:w="0" w:type="auto"/>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264"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本年收入合计</w:t>
            </w:r>
          </w:p>
        </w:tc>
        <w:tc>
          <w:tcPr>
            <w:tcW w:w="949"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财政拨款收入</w:t>
            </w:r>
          </w:p>
        </w:tc>
        <w:tc>
          <w:tcPr>
            <w:tcW w:w="87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上级补助收入</w:t>
            </w:r>
          </w:p>
        </w:tc>
        <w:tc>
          <w:tcPr>
            <w:tcW w:w="455"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事业收入</w:t>
            </w:r>
          </w:p>
        </w:tc>
        <w:tc>
          <w:tcPr>
            <w:tcW w:w="47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经营收入</w:t>
            </w:r>
          </w:p>
        </w:tc>
        <w:tc>
          <w:tcPr>
            <w:tcW w:w="48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附属单位上缴收入</w:t>
            </w:r>
          </w:p>
        </w:tc>
        <w:tc>
          <w:tcPr>
            <w:tcW w:w="47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其他收入</w:t>
            </w:r>
          </w:p>
        </w:tc>
      </w:tr>
      <w:tr>
        <w:tblPrEx>
          <w:tblCellMar>
            <w:top w:w="0" w:type="dxa"/>
            <w:left w:w="0" w:type="dxa"/>
            <w:bottom w:w="0" w:type="dxa"/>
            <w:right w:w="0" w:type="dxa"/>
          </w:tblCellMar>
        </w:tblPrEx>
        <w:trPr>
          <w:trHeight w:val="380" w:hRule="atLeast"/>
          <w:jc w:val="center"/>
        </w:trPr>
        <w:tc>
          <w:tcPr>
            <w:tcW w:w="800"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0" w:type="auto"/>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26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94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87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5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8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7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800"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126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94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87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5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8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7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800"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126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94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87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5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8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47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26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94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872"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45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47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482"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c>
          <w:tcPr>
            <w:tcW w:w="478"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161.37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141.37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20.00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b/>
                <w:color w:val="000000"/>
                <w:sz w:val="22"/>
                <w:lang w:val="en-US" w:eastAsia="zh-CN"/>
              </w:rPr>
            </w:pPr>
            <w:r>
              <w:rPr>
                <w:rFonts w:hint="eastAsia" w:ascii="宋体" w:hAnsi="宋体" w:eastAsia="宋体" w:cs="宋体"/>
                <w:color w:val="000000"/>
                <w:sz w:val="22"/>
                <w:lang w:val="en-US" w:eastAsia="zh-CN"/>
              </w:rPr>
              <w:t>0.00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r>
              <w:rPr>
                <w:rFonts w:hint="eastAsia" w:ascii="宋体" w:hAnsi="宋体" w:eastAsia="宋体" w:cs="宋体"/>
                <w:color w:val="000000"/>
                <w:sz w:val="22"/>
                <w:lang w:val="en-US" w:eastAsia="zh-CN"/>
              </w:rPr>
              <w:t>0.00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0.00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0.00</w:t>
            </w: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206</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科学技术支出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tabs>
                <w:tab w:val="left" w:pos="323"/>
              </w:tabs>
              <w:jc w:val="left"/>
              <w:rPr>
                <w:rFonts w:hint="default" w:ascii="宋体" w:hAnsi="宋体" w:eastAsia="宋体" w:cs="宋体"/>
                <w:color w:val="000000"/>
                <w:sz w:val="22"/>
                <w:lang w:val="en-US" w:eastAsia="zh-CN"/>
              </w:rPr>
            </w:pPr>
            <w:r>
              <w:rPr>
                <w:rFonts w:hint="eastAsia" w:ascii="宋体" w:hAnsi="宋体" w:eastAsia="宋体" w:cs="宋体"/>
                <w:color w:val="000000"/>
                <w:sz w:val="22"/>
                <w:lang w:eastAsia="zh-CN"/>
              </w:rPr>
              <w:tab/>
            </w:r>
            <w:r>
              <w:rPr>
                <w:rFonts w:hint="eastAsia" w:ascii="宋体" w:hAnsi="宋体" w:eastAsia="宋体" w:cs="宋体"/>
                <w:color w:val="000000"/>
                <w:sz w:val="22"/>
                <w:lang w:val="en-US" w:eastAsia="zh-CN"/>
              </w:rPr>
              <w:t>139.83</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141.37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51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20601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科学技术管理事务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tabs>
                <w:tab w:val="left" w:pos="545"/>
              </w:tabs>
              <w:jc w:val="left"/>
              <w:rPr>
                <w:rFonts w:hint="default" w:ascii="宋体" w:hAnsi="宋体" w:eastAsia="宋体" w:cs="宋体"/>
                <w:color w:val="000000"/>
                <w:sz w:val="22"/>
                <w:lang w:val="en-US" w:eastAsia="zh-CN"/>
              </w:rPr>
            </w:pPr>
            <w:r>
              <w:rPr>
                <w:rFonts w:hint="eastAsia" w:ascii="宋体" w:hAnsi="宋体" w:eastAsia="宋体" w:cs="宋体"/>
                <w:color w:val="000000"/>
                <w:sz w:val="22"/>
                <w:lang w:eastAsia="zh-CN"/>
              </w:rPr>
              <w:tab/>
            </w:r>
            <w:r>
              <w:rPr>
                <w:rFonts w:hint="eastAsia" w:ascii="宋体" w:hAnsi="宋体" w:eastAsia="宋体" w:cs="宋体"/>
                <w:color w:val="000000"/>
                <w:sz w:val="22"/>
                <w:lang w:val="en-US" w:eastAsia="zh-CN"/>
              </w:rPr>
              <w:t>75.00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75.00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51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2060101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75.00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75.00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51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20607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科学技术普及</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64.83</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44.83</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51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2060702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 xml:space="preserve"> 科普活动</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44.83</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44.83</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51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2060705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科技馆站</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51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208</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社会保障和就业支出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18.32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18.32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51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行政事业单位离退休</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18.32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18.32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51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机关事业单位基本养老保险缴费支出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18.32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18.32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51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210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卫生健康支出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12.96</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12.96</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51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21011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行政事业单位医疗</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12.96</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12.96</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51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2101102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事业单位医疗</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12.96</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12.96</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51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221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住房保障支出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6.74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6.74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51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住房改革支出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6.74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6.74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51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 xml:space="preserve">  住房公积金</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6.74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6.74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51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c>
          <w:tcPr>
            <w:tcW w:w="52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0.00</w:t>
            </w:r>
          </w:p>
        </w:tc>
      </w:tr>
      <w:tr>
        <w:tblPrEx>
          <w:tblCellMar>
            <w:top w:w="0" w:type="dxa"/>
            <w:left w:w="0" w:type="dxa"/>
            <w:bottom w:w="0" w:type="dxa"/>
            <w:right w:w="0" w:type="dxa"/>
          </w:tblCellMar>
        </w:tblPrEx>
        <w:trPr>
          <w:trHeight w:val="385" w:hRule="atLeast"/>
          <w:jc w:val="center"/>
        </w:trPr>
        <w:tc>
          <w:tcPr>
            <w:tcW w:w="0" w:type="auto"/>
            <w:gridSpan w:val="11"/>
            <w:tcBorders>
              <w:top w:val="nil"/>
              <w:left w:val="nil"/>
              <w:bottom w:val="nil"/>
              <w:right w:val="nil"/>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注：本表反映部门本年度取得的各项收入情况。</w:t>
            </w:r>
          </w:p>
        </w:tc>
      </w:tr>
    </w:tbl>
    <w:p>
      <w:pPr>
        <w:jc w:val="left"/>
      </w:pPr>
    </w:p>
    <w:p>
      <w:r>
        <w:br w:type="page"/>
      </w:r>
    </w:p>
    <w:tbl>
      <w:tblPr>
        <w:tblStyle w:val="6"/>
        <w:tblW w:w="9810" w:type="dxa"/>
        <w:jc w:val="center"/>
        <w:tblLayout w:type="fixed"/>
        <w:tblCellMar>
          <w:top w:w="0" w:type="dxa"/>
          <w:left w:w="0" w:type="dxa"/>
          <w:bottom w:w="0" w:type="dxa"/>
          <w:right w:w="0" w:type="dxa"/>
        </w:tblCellMar>
      </w:tblPr>
      <w:tblGrid>
        <w:gridCol w:w="1071"/>
        <w:gridCol w:w="53"/>
        <w:gridCol w:w="240"/>
        <w:gridCol w:w="3661"/>
        <w:gridCol w:w="1037"/>
        <w:gridCol w:w="825"/>
        <w:gridCol w:w="688"/>
        <w:gridCol w:w="825"/>
        <w:gridCol w:w="600"/>
        <w:gridCol w:w="810"/>
      </w:tblGrid>
      <w:tr>
        <w:tblPrEx>
          <w:tblCellMar>
            <w:top w:w="0" w:type="dxa"/>
            <w:left w:w="0" w:type="dxa"/>
            <w:bottom w:w="0" w:type="dxa"/>
            <w:right w:w="0" w:type="dxa"/>
          </w:tblCellMar>
        </w:tblPrEx>
        <w:trPr>
          <w:trHeight w:val="612" w:hRule="atLeast"/>
          <w:jc w:val="center"/>
        </w:trPr>
        <w:tc>
          <w:tcPr>
            <w:tcW w:w="9810" w:type="dxa"/>
            <w:gridSpan w:val="10"/>
            <w:tcBorders>
              <w:top w:val="nil"/>
              <w:left w:val="nil"/>
              <w:bottom w:val="nil"/>
              <w:right w:val="nil"/>
            </w:tcBorders>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支出决算表</w:t>
            </w:r>
          </w:p>
        </w:tc>
      </w:tr>
      <w:tr>
        <w:tblPrEx>
          <w:tblCellMar>
            <w:top w:w="0" w:type="dxa"/>
            <w:left w:w="0" w:type="dxa"/>
            <w:bottom w:w="0" w:type="dxa"/>
            <w:right w:w="0" w:type="dxa"/>
          </w:tblCellMar>
        </w:tblPrEx>
        <w:trPr>
          <w:trHeight w:val="313" w:hRule="atLeast"/>
          <w:jc w:val="center"/>
        </w:trPr>
        <w:tc>
          <w:tcPr>
            <w:tcW w:w="107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53"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4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366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037"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82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88"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82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0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810" w:type="dxa"/>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03</w:t>
            </w:r>
            <w:r>
              <w:rPr>
                <w:rFonts w:hint="eastAsia" w:ascii="宋体" w:hAnsi="宋体" w:eastAsia="宋体" w:cs="宋体"/>
                <w:color w:val="000000"/>
                <w:kern w:val="0"/>
                <w:sz w:val="20"/>
                <w:szCs w:val="20"/>
              </w:rPr>
              <w:t>表</w:t>
            </w:r>
          </w:p>
        </w:tc>
      </w:tr>
      <w:tr>
        <w:tblPrEx>
          <w:tblCellMar>
            <w:top w:w="0" w:type="dxa"/>
            <w:left w:w="0" w:type="dxa"/>
            <w:bottom w:w="0" w:type="dxa"/>
            <w:right w:w="0" w:type="dxa"/>
          </w:tblCellMar>
        </w:tblPrEx>
        <w:trPr>
          <w:trHeight w:val="313" w:hRule="atLeast"/>
          <w:jc w:val="center"/>
        </w:trPr>
        <w:tc>
          <w:tcPr>
            <w:tcW w:w="1071" w:type="dxa"/>
            <w:tcBorders>
              <w:top w:val="nil"/>
              <w:left w:val="nil"/>
              <w:bottom w:val="nil"/>
              <w:right w:val="nil"/>
            </w:tcBorders>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53"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4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366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lang w:val="en-US" w:eastAsia="zh-CN"/>
              </w:rPr>
              <w:t>遵化市科学技术协会</w:t>
            </w:r>
          </w:p>
        </w:tc>
        <w:tc>
          <w:tcPr>
            <w:tcW w:w="1037"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82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88"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82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410"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23" w:hRule="atLeast"/>
          <w:jc w:val="center"/>
        </w:trPr>
        <w:tc>
          <w:tcPr>
            <w:tcW w:w="5025"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037"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本年支出合计</w:t>
            </w:r>
          </w:p>
        </w:tc>
        <w:tc>
          <w:tcPr>
            <w:tcW w:w="825"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68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c>
          <w:tcPr>
            <w:tcW w:w="825"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上缴上级支出</w:t>
            </w:r>
          </w:p>
        </w:tc>
        <w:tc>
          <w:tcPr>
            <w:tcW w:w="60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经营支出</w:t>
            </w:r>
          </w:p>
        </w:tc>
        <w:tc>
          <w:tcPr>
            <w:tcW w:w="81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对附属单位补助支出</w:t>
            </w:r>
          </w:p>
        </w:tc>
      </w:tr>
      <w:tr>
        <w:tblPrEx>
          <w:tblCellMar>
            <w:top w:w="0" w:type="dxa"/>
            <w:left w:w="0" w:type="dxa"/>
            <w:bottom w:w="0" w:type="dxa"/>
            <w:right w:w="0" w:type="dxa"/>
          </w:tblCellMar>
        </w:tblPrEx>
        <w:trPr>
          <w:trHeight w:val="319" w:hRule="atLeast"/>
          <w:jc w:val="center"/>
        </w:trPr>
        <w:tc>
          <w:tcPr>
            <w:tcW w:w="1364"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3661"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03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82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68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82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6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81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19" w:hRule="atLeast"/>
          <w:jc w:val="center"/>
        </w:trPr>
        <w:tc>
          <w:tcPr>
            <w:tcW w:w="1364"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3661"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103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82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68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82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6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81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19" w:hRule="atLeast"/>
          <w:jc w:val="center"/>
        </w:trPr>
        <w:tc>
          <w:tcPr>
            <w:tcW w:w="1364"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3661"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103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82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68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82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6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81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5025"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03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8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688"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8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60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81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r>
      <w:tr>
        <w:tblPrEx>
          <w:tblCellMar>
            <w:top w:w="0" w:type="dxa"/>
            <w:left w:w="0" w:type="dxa"/>
            <w:bottom w:w="0" w:type="dxa"/>
            <w:right w:w="0" w:type="dxa"/>
          </w:tblCellMar>
        </w:tblPrEx>
        <w:trPr>
          <w:trHeight w:val="323" w:hRule="atLeast"/>
          <w:jc w:val="center"/>
        </w:trPr>
        <w:tc>
          <w:tcPr>
            <w:tcW w:w="5025"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03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161.37</w:t>
            </w: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96.55</w:t>
            </w:r>
          </w:p>
        </w:tc>
        <w:tc>
          <w:tcPr>
            <w:tcW w:w="6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64.82</w:t>
            </w: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b/>
                <w:color w:val="000000"/>
                <w:sz w:val="22"/>
                <w:lang w:val="en-US" w:eastAsia="zh-CN"/>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b/>
                <w:color w:val="000000"/>
                <w:sz w:val="22"/>
                <w:lang w:val="en-US" w:eastAsia="zh-CN"/>
              </w:rPr>
            </w:pPr>
          </w:p>
        </w:tc>
        <w:tc>
          <w:tcPr>
            <w:tcW w:w="81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b/>
                <w:color w:val="000000"/>
                <w:sz w:val="22"/>
                <w:lang w:val="en-US" w:eastAsia="zh-CN"/>
              </w:rPr>
            </w:pPr>
          </w:p>
        </w:tc>
      </w:tr>
      <w:tr>
        <w:tblPrEx>
          <w:tblCellMar>
            <w:top w:w="0" w:type="dxa"/>
            <w:left w:w="0" w:type="dxa"/>
            <w:bottom w:w="0" w:type="dxa"/>
            <w:right w:w="0" w:type="dxa"/>
          </w:tblCellMar>
        </w:tblPrEx>
        <w:trPr>
          <w:trHeight w:val="323" w:hRule="atLeast"/>
          <w:jc w:val="center"/>
        </w:trPr>
        <w:tc>
          <w:tcPr>
            <w:tcW w:w="136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206</w:t>
            </w:r>
          </w:p>
        </w:tc>
        <w:tc>
          <w:tcPr>
            <w:tcW w:w="3661"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科学技术支出</w:t>
            </w:r>
          </w:p>
        </w:tc>
        <w:tc>
          <w:tcPr>
            <w:tcW w:w="1037" w:type="dxa"/>
            <w:tcBorders>
              <w:top w:val="nil"/>
              <w:left w:val="nil"/>
              <w:bottom w:val="single" w:color="000000" w:sz="4" w:space="0"/>
              <w:right w:val="single" w:color="000000" w:sz="4" w:space="0"/>
            </w:tcBorders>
            <w:noWrap/>
            <w:tcMar>
              <w:top w:w="15" w:type="dxa"/>
              <w:left w:w="15" w:type="dxa"/>
              <w:right w:w="15" w:type="dxa"/>
            </w:tcMar>
            <w:vAlign w:val="center"/>
          </w:tcPr>
          <w:p>
            <w:pPr>
              <w:tabs>
                <w:tab w:val="left" w:pos="545"/>
              </w:tabs>
              <w:ind w:firstLine="220" w:firstLineChars="100"/>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139.82</w:t>
            </w: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75.00</w:t>
            </w:r>
          </w:p>
        </w:tc>
        <w:tc>
          <w:tcPr>
            <w:tcW w:w="6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p>
        </w:tc>
        <w:tc>
          <w:tcPr>
            <w:tcW w:w="81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p>
        </w:tc>
      </w:tr>
      <w:tr>
        <w:tblPrEx>
          <w:tblCellMar>
            <w:top w:w="0" w:type="dxa"/>
            <w:left w:w="0" w:type="dxa"/>
            <w:bottom w:w="0" w:type="dxa"/>
            <w:right w:w="0" w:type="dxa"/>
          </w:tblCellMar>
        </w:tblPrEx>
        <w:trPr>
          <w:trHeight w:val="323" w:hRule="atLeast"/>
          <w:jc w:val="center"/>
        </w:trPr>
        <w:tc>
          <w:tcPr>
            <w:tcW w:w="136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20601</w:t>
            </w:r>
          </w:p>
        </w:tc>
        <w:tc>
          <w:tcPr>
            <w:tcW w:w="3661"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科学技术管理事务</w:t>
            </w:r>
          </w:p>
        </w:tc>
        <w:tc>
          <w:tcPr>
            <w:tcW w:w="1037" w:type="dxa"/>
            <w:tcBorders>
              <w:top w:val="nil"/>
              <w:left w:val="nil"/>
              <w:bottom w:val="single" w:color="000000" w:sz="4" w:space="0"/>
              <w:right w:val="single" w:color="000000" w:sz="4" w:space="0"/>
            </w:tcBorders>
            <w:noWrap/>
            <w:tcMar>
              <w:top w:w="15" w:type="dxa"/>
              <w:left w:w="15" w:type="dxa"/>
              <w:right w:w="15" w:type="dxa"/>
            </w:tcMar>
            <w:vAlign w:val="center"/>
          </w:tcPr>
          <w:p>
            <w:pPr>
              <w:tabs>
                <w:tab w:val="left" w:pos="545"/>
              </w:tabs>
              <w:ind w:firstLine="440" w:firstLineChars="200"/>
              <w:jc w:val="left"/>
              <w:rPr>
                <w:rFonts w:ascii="宋体" w:hAnsi="宋体" w:eastAsia="宋体" w:cs="宋体"/>
                <w:color w:val="000000"/>
                <w:sz w:val="22"/>
              </w:rPr>
            </w:pPr>
            <w:r>
              <w:rPr>
                <w:rFonts w:hint="eastAsia" w:ascii="宋体" w:hAnsi="宋体" w:eastAsia="宋体" w:cs="宋体"/>
                <w:color w:val="000000"/>
                <w:sz w:val="22"/>
                <w:lang w:val="en-US" w:eastAsia="zh-CN"/>
              </w:rPr>
              <w:t>75.00</w:t>
            </w: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75.00</w:t>
            </w:r>
          </w:p>
        </w:tc>
        <w:tc>
          <w:tcPr>
            <w:tcW w:w="6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81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36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2060101</w:t>
            </w:r>
          </w:p>
        </w:tc>
        <w:tc>
          <w:tcPr>
            <w:tcW w:w="3661"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103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75.00</w:t>
            </w: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75.00</w:t>
            </w:r>
          </w:p>
        </w:tc>
        <w:tc>
          <w:tcPr>
            <w:tcW w:w="6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81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36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20607</w:t>
            </w:r>
          </w:p>
        </w:tc>
        <w:tc>
          <w:tcPr>
            <w:tcW w:w="3661"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科学技术普及</w:t>
            </w:r>
          </w:p>
        </w:tc>
        <w:tc>
          <w:tcPr>
            <w:tcW w:w="103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64.83</w:t>
            </w: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rPr>
            </w:pPr>
          </w:p>
        </w:tc>
        <w:tc>
          <w:tcPr>
            <w:tcW w:w="6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rPr>
            </w:pPr>
            <w:r>
              <w:rPr>
                <w:rFonts w:hint="eastAsia" w:ascii="宋体" w:hAnsi="宋体" w:eastAsia="宋体" w:cs="宋体"/>
                <w:color w:val="000000"/>
                <w:sz w:val="22"/>
                <w:lang w:val="en-US" w:eastAsia="zh-CN"/>
              </w:rPr>
              <w:t>64.82</w:t>
            </w: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81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36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2060702</w:t>
            </w:r>
          </w:p>
        </w:tc>
        <w:tc>
          <w:tcPr>
            <w:tcW w:w="3661"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 xml:space="preserve"> 科普活动</w:t>
            </w:r>
          </w:p>
        </w:tc>
        <w:tc>
          <w:tcPr>
            <w:tcW w:w="103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44.83</w:t>
            </w: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rPr>
            </w:pPr>
          </w:p>
        </w:tc>
        <w:tc>
          <w:tcPr>
            <w:tcW w:w="6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44.82</w:t>
            </w: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81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36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2060705</w:t>
            </w:r>
          </w:p>
        </w:tc>
        <w:tc>
          <w:tcPr>
            <w:tcW w:w="3661"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科技馆站</w:t>
            </w:r>
          </w:p>
        </w:tc>
        <w:tc>
          <w:tcPr>
            <w:tcW w:w="103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20.00</w:t>
            </w: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6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20.00</w:t>
            </w: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81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36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lang w:val="en-US" w:eastAsia="zh-CN"/>
              </w:rPr>
              <w:t>208</w:t>
            </w:r>
          </w:p>
        </w:tc>
        <w:tc>
          <w:tcPr>
            <w:tcW w:w="3661"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社会保障和就业支出</w:t>
            </w:r>
          </w:p>
        </w:tc>
        <w:tc>
          <w:tcPr>
            <w:tcW w:w="103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18.32</w:t>
            </w: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18.32</w:t>
            </w:r>
          </w:p>
        </w:tc>
        <w:tc>
          <w:tcPr>
            <w:tcW w:w="6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81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136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w:t>
            </w:r>
          </w:p>
        </w:tc>
        <w:tc>
          <w:tcPr>
            <w:tcW w:w="3661"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行政事业单位离退休</w:t>
            </w:r>
          </w:p>
        </w:tc>
        <w:tc>
          <w:tcPr>
            <w:tcW w:w="103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18.32</w:t>
            </w: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18.32</w:t>
            </w:r>
          </w:p>
        </w:tc>
        <w:tc>
          <w:tcPr>
            <w:tcW w:w="6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81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36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2080505</w:t>
            </w:r>
          </w:p>
        </w:tc>
        <w:tc>
          <w:tcPr>
            <w:tcW w:w="3661"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机关事业单位基本养老保险缴费支出</w:t>
            </w:r>
          </w:p>
        </w:tc>
        <w:tc>
          <w:tcPr>
            <w:tcW w:w="103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18.32</w:t>
            </w: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18.32</w:t>
            </w:r>
          </w:p>
        </w:tc>
        <w:tc>
          <w:tcPr>
            <w:tcW w:w="6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81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36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lang w:val="en-US" w:eastAsia="zh-CN"/>
              </w:rPr>
              <w:t>210</w:t>
            </w:r>
          </w:p>
        </w:tc>
        <w:tc>
          <w:tcPr>
            <w:tcW w:w="3661"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卫生健康支出</w:t>
            </w:r>
          </w:p>
        </w:tc>
        <w:tc>
          <w:tcPr>
            <w:tcW w:w="103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12.96</w:t>
            </w: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12.96</w:t>
            </w:r>
          </w:p>
        </w:tc>
        <w:tc>
          <w:tcPr>
            <w:tcW w:w="6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81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36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lang w:val="en-US" w:eastAsia="zh-CN"/>
              </w:rPr>
              <w:t>21011</w:t>
            </w:r>
          </w:p>
        </w:tc>
        <w:tc>
          <w:tcPr>
            <w:tcW w:w="3661"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行政事业单位医疗</w:t>
            </w:r>
          </w:p>
        </w:tc>
        <w:tc>
          <w:tcPr>
            <w:tcW w:w="103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12.96</w:t>
            </w: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12.96</w:t>
            </w:r>
          </w:p>
        </w:tc>
        <w:tc>
          <w:tcPr>
            <w:tcW w:w="6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81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66" w:hRule="atLeast"/>
          <w:jc w:val="center"/>
        </w:trPr>
        <w:tc>
          <w:tcPr>
            <w:tcW w:w="136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2101102</w:t>
            </w:r>
          </w:p>
        </w:tc>
        <w:tc>
          <w:tcPr>
            <w:tcW w:w="3661"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事业单位医疗</w:t>
            </w:r>
          </w:p>
        </w:tc>
        <w:tc>
          <w:tcPr>
            <w:tcW w:w="103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12.96</w:t>
            </w: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12.96</w:t>
            </w:r>
          </w:p>
        </w:tc>
        <w:tc>
          <w:tcPr>
            <w:tcW w:w="6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81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36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lang w:val="en-US" w:eastAsia="zh-CN"/>
              </w:rPr>
              <w:t>221</w:t>
            </w:r>
          </w:p>
        </w:tc>
        <w:tc>
          <w:tcPr>
            <w:tcW w:w="3661"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住房保障支出</w:t>
            </w:r>
          </w:p>
        </w:tc>
        <w:tc>
          <w:tcPr>
            <w:tcW w:w="103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6.74</w:t>
            </w: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6.74</w:t>
            </w:r>
          </w:p>
        </w:tc>
        <w:tc>
          <w:tcPr>
            <w:tcW w:w="6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81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136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w:t>
            </w:r>
          </w:p>
        </w:tc>
        <w:tc>
          <w:tcPr>
            <w:tcW w:w="3661"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住房改革支出</w:t>
            </w:r>
          </w:p>
        </w:tc>
        <w:tc>
          <w:tcPr>
            <w:tcW w:w="103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6.74</w:t>
            </w: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6.74</w:t>
            </w:r>
          </w:p>
        </w:tc>
        <w:tc>
          <w:tcPr>
            <w:tcW w:w="6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81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136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2210201</w:t>
            </w:r>
          </w:p>
        </w:tc>
        <w:tc>
          <w:tcPr>
            <w:tcW w:w="3661"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 xml:space="preserve">  住房公积金</w:t>
            </w:r>
          </w:p>
        </w:tc>
        <w:tc>
          <w:tcPr>
            <w:tcW w:w="103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6.74</w:t>
            </w: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lang w:val="en-US" w:eastAsia="zh-CN"/>
              </w:rPr>
              <w:t>6.74</w:t>
            </w:r>
          </w:p>
        </w:tc>
        <w:tc>
          <w:tcPr>
            <w:tcW w:w="6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82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81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23" w:hRule="atLeast"/>
          <w:jc w:val="center"/>
        </w:trPr>
        <w:tc>
          <w:tcPr>
            <w:tcW w:w="9810" w:type="dxa"/>
            <w:gridSpan w:val="10"/>
            <w:tcBorders>
              <w:top w:val="nil"/>
              <w:left w:val="nil"/>
              <w:bottom w:val="nil"/>
              <w:right w:val="nil"/>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注：本表反映部门本年度各项支出情况。</w:t>
            </w:r>
          </w:p>
        </w:tc>
      </w:tr>
    </w:tbl>
    <w:p>
      <w:r>
        <w:br w:type="page"/>
      </w:r>
    </w:p>
    <w:tbl>
      <w:tblPr>
        <w:tblStyle w:val="6"/>
        <w:tblW w:w="9520" w:type="dxa"/>
        <w:jc w:val="center"/>
        <w:tblLayout w:type="fixed"/>
        <w:tblCellMar>
          <w:top w:w="0" w:type="dxa"/>
          <w:left w:w="0" w:type="dxa"/>
          <w:bottom w:w="0" w:type="dxa"/>
          <w:right w:w="0" w:type="dxa"/>
        </w:tblCellMar>
      </w:tblPr>
      <w:tblGrid>
        <w:gridCol w:w="2816"/>
        <w:gridCol w:w="350"/>
        <w:gridCol w:w="750"/>
        <w:gridCol w:w="3000"/>
        <w:gridCol w:w="275"/>
        <w:gridCol w:w="775"/>
        <w:gridCol w:w="765"/>
        <w:gridCol w:w="789"/>
      </w:tblGrid>
      <w:tr>
        <w:tblPrEx>
          <w:tblCellMar>
            <w:top w:w="0" w:type="dxa"/>
            <w:left w:w="0" w:type="dxa"/>
            <w:bottom w:w="0" w:type="dxa"/>
            <w:right w:w="0" w:type="dxa"/>
          </w:tblCellMar>
        </w:tblPrEx>
        <w:trPr>
          <w:trHeight w:val="406" w:hRule="atLeast"/>
          <w:jc w:val="center"/>
        </w:trPr>
        <w:tc>
          <w:tcPr>
            <w:tcW w:w="9520" w:type="dxa"/>
            <w:gridSpan w:val="8"/>
            <w:tcBorders>
              <w:top w:val="nil"/>
              <w:left w:val="nil"/>
              <w:bottom w:val="nil"/>
              <w:right w:val="nil"/>
            </w:tcBorders>
            <w:noWrap/>
            <w:tcMar>
              <w:top w:w="15" w:type="dxa"/>
              <w:left w:w="15" w:type="dxa"/>
              <w:right w:w="15" w:type="dxa"/>
            </w:tcMar>
            <w:vAlign w:val="bottom"/>
          </w:tcPr>
          <w:p>
            <w:pPr>
              <w:jc w:val="center"/>
              <w:rPr>
                <w:rFonts w:ascii="黑体" w:hAnsi="宋体" w:eastAsia="黑体" w:cs="黑体"/>
                <w:color w:val="000000"/>
                <w:sz w:val="32"/>
                <w:szCs w:val="32"/>
              </w:rPr>
            </w:pPr>
            <w:r>
              <w:rPr>
                <w:rFonts w:hint="eastAsia" w:ascii="黑体" w:hAnsi="宋体" w:eastAsia="黑体" w:cs="黑体"/>
                <w:color w:val="000000"/>
                <w:kern w:val="0"/>
                <w:sz w:val="32"/>
                <w:szCs w:val="32"/>
              </w:rPr>
              <w:t>财政拨款收入支出决算总表</w:t>
            </w:r>
          </w:p>
        </w:tc>
      </w:tr>
      <w:tr>
        <w:tblPrEx>
          <w:tblCellMar>
            <w:top w:w="0" w:type="dxa"/>
            <w:left w:w="0" w:type="dxa"/>
            <w:bottom w:w="0" w:type="dxa"/>
            <w:right w:w="0" w:type="dxa"/>
          </w:tblCellMar>
        </w:tblPrEx>
        <w:trPr>
          <w:trHeight w:val="90" w:hRule="atLeast"/>
          <w:jc w:val="center"/>
        </w:trPr>
        <w:tc>
          <w:tcPr>
            <w:tcW w:w="281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35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75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300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7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329" w:type="dxa"/>
            <w:gridSpan w:val="3"/>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04</w:t>
            </w:r>
            <w:r>
              <w:rPr>
                <w:rFonts w:hint="eastAsia" w:ascii="宋体" w:hAnsi="宋体" w:eastAsia="宋体" w:cs="宋体"/>
                <w:color w:val="000000"/>
                <w:kern w:val="0"/>
                <w:sz w:val="20"/>
                <w:szCs w:val="20"/>
              </w:rPr>
              <w:t>表</w:t>
            </w:r>
          </w:p>
        </w:tc>
      </w:tr>
      <w:tr>
        <w:tblPrEx>
          <w:tblCellMar>
            <w:top w:w="0" w:type="dxa"/>
            <w:left w:w="0" w:type="dxa"/>
            <w:bottom w:w="0" w:type="dxa"/>
            <w:right w:w="0" w:type="dxa"/>
          </w:tblCellMar>
        </w:tblPrEx>
        <w:trPr>
          <w:trHeight w:val="90" w:hRule="atLeast"/>
          <w:jc w:val="center"/>
        </w:trPr>
        <w:tc>
          <w:tcPr>
            <w:tcW w:w="2816" w:type="dxa"/>
            <w:tcBorders>
              <w:top w:val="nil"/>
              <w:left w:val="nil"/>
              <w:bottom w:val="nil"/>
              <w:right w:val="nil"/>
            </w:tcBorders>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r>
              <w:rPr>
                <w:rFonts w:hint="eastAsia" w:ascii="Arial" w:hAnsi="Arial" w:cs="Arial"/>
                <w:color w:val="000000"/>
                <w:sz w:val="20"/>
                <w:szCs w:val="20"/>
                <w:lang w:val="en-US" w:eastAsia="zh-CN"/>
              </w:rPr>
              <w:t>遵化市科学技术协会</w:t>
            </w:r>
          </w:p>
        </w:tc>
        <w:tc>
          <w:tcPr>
            <w:tcW w:w="35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75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300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7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329" w:type="dxa"/>
            <w:gridSpan w:val="3"/>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90" w:hRule="atLeast"/>
          <w:jc w:val="center"/>
        </w:trPr>
        <w:tc>
          <w:tcPr>
            <w:tcW w:w="391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收</w:t>
            </w:r>
            <w:r>
              <w:rPr>
                <w:rFonts w:ascii="宋体" w:hAnsi="宋体" w:eastAsia="宋体" w:cs="宋体"/>
                <w:color w:val="000000"/>
                <w:kern w:val="0"/>
                <w:sz w:val="22"/>
              </w:rPr>
              <w:t xml:space="preserve">     </w:t>
            </w:r>
            <w:r>
              <w:rPr>
                <w:rFonts w:hint="eastAsia" w:ascii="宋体" w:hAnsi="宋体" w:eastAsia="宋体" w:cs="宋体"/>
                <w:color w:val="000000"/>
                <w:kern w:val="0"/>
                <w:sz w:val="22"/>
              </w:rPr>
              <w:t>入</w:t>
            </w:r>
          </w:p>
        </w:tc>
        <w:tc>
          <w:tcPr>
            <w:tcW w:w="5604"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支</w:t>
            </w:r>
            <w:r>
              <w:rPr>
                <w:rFonts w:ascii="宋体" w:hAnsi="宋体" w:eastAsia="宋体" w:cs="宋体"/>
                <w:color w:val="000000"/>
                <w:kern w:val="0"/>
                <w:sz w:val="22"/>
              </w:rPr>
              <w:t xml:space="preserve">     </w:t>
            </w:r>
            <w:r>
              <w:rPr>
                <w:rFonts w:hint="eastAsia" w:ascii="宋体" w:hAnsi="宋体" w:eastAsia="宋体" w:cs="宋体"/>
                <w:color w:val="000000"/>
                <w:kern w:val="0"/>
                <w:sz w:val="22"/>
              </w:rPr>
              <w:t>出</w:t>
            </w:r>
          </w:p>
        </w:tc>
      </w:tr>
      <w:tr>
        <w:tblPrEx>
          <w:tblCellMar>
            <w:top w:w="0" w:type="dxa"/>
            <w:left w:w="0" w:type="dxa"/>
            <w:bottom w:w="0" w:type="dxa"/>
            <w:right w:w="0" w:type="dxa"/>
          </w:tblCellMar>
        </w:tblPrEx>
        <w:trPr>
          <w:trHeight w:val="312" w:hRule="atLeast"/>
          <w:jc w:val="center"/>
        </w:trPr>
        <w:tc>
          <w:tcPr>
            <w:tcW w:w="2816"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35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75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c>
          <w:tcPr>
            <w:tcW w:w="300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275"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775"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765"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一般公共预算财政拨款</w:t>
            </w:r>
          </w:p>
        </w:tc>
        <w:tc>
          <w:tcPr>
            <w:tcW w:w="78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政府性基金预算财政拨款</w:t>
            </w:r>
          </w:p>
        </w:tc>
      </w:tr>
      <w:tr>
        <w:tblPrEx>
          <w:tblCellMar>
            <w:top w:w="0" w:type="dxa"/>
            <w:left w:w="0" w:type="dxa"/>
            <w:bottom w:w="0" w:type="dxa"/>
            <w:right w:w="0" w:type="dxa"/>
          </w:tblCellMar>
        </w:tblPrEx>
        <w:trPr>
          <w:trHeight w:val="312" w:hRule="atLeast"/>
          <w:jc w:val="center"/>
        </w:trPr>
        <w:tc>
          <w:tcPr>
            <w:tcW w:w="281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350"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50"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3000"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275"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75"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765"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8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栏次</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w:t>
            </w: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161.37</w:t>
            </w: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一、一般公共服务支出</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30</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二、政府性基金预算财政拨款</w:t>
            </w: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二、外交支出</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31</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三、国防支出</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32</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四、公共安全支出</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33</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五、教育支出</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34</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六、科学技术支出</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35</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139.83</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139.83</w:t>
            </w: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七、文化旅游体育与传媒支出</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36</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8</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八、社会保障和就业支出</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37</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1.83</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1.83</w:t>
            </w: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9</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九、卫生健康支出</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38</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12.97</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12.97</w:t>
            </w: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10</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十、节能环保支出</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39</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11</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十一、城乡社区支出</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40</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12</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十二、农林水支出</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41</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13</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十三、交通运输支出</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42</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14</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十四、资源勘探信息等支出</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43</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15</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十五、商业服务业等支出</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44</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16</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十六、金融支出</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45</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17</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十七、援助其他地区支出</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46</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18</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Cs w:val="21"/>
              </w:rPr>
            </w:pP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十八、自然资源海洋气象等支出</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47</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19</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十九、住房保障支出</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48</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6.74</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6.74</w:t>
            </w: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20</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二十、粮油物资储备支出</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49</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21</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 w:val="20"/>
                <w:szCs w:val="20"/>
              </w:rPr>
              <w:t>二十一、灾害防治及应急管理支出</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50</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22</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二十二、其他支出</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51</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23</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二十四、债务付息支出</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52</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本年收入合计</w:t>
            </w: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24</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161.37</w:t>
            </w: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本年支出合计</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53</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161.37</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161.37</w:t>
            </w: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年初财政拨款结转和结余</w:t>
            </w: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25</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年末财政拨款结转和结余</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54</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w:t>
            </w: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26</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55</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二、政府性基金预算财政拨款</w:t>
            </w: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27</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56</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28</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57</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28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3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29</w:t>
            </w:r>
          </w:p>
        </w:tc>
        <w:tc>
          <w:tcPr>
            <w:tcW w:w="7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161.37</w:t>
            </w:r>
          </w:p>
        </w:tc>
        <w:tc>
          <w:tcPr>
            <w:tcW w:w="3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27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58</w:t>
            </w:r>
          </w:p>
        </w:tc>
        <w:tc>
          <w:tcPr>
            <w:tcW w:w="77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161.37</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161.37</w:t>
            </w:r>
          </w:p>
        </w:tc>
        <w:tc>
          <w:tcPr>
            <w:tcW w:w="78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0.00</w:t>
            </w:r>
          </w:p>
        </w:tc>
      </w:tr>
      <w:tr>
        <w:tblPrEx>
          <w:tblCellMar>
            <w:top w:w="0" w:type="dxa"/>
            <w:left w:w="0" w:type="dxa"/>
            <w:bottom w:w="0" w:type="dxa"/>
            <w:right w:w="0" w:type="dxa"/>
          </w:tblCellMar>
        </w:tblPrEx>
        <w:trPr>
          <w:trHeight w:val="90" w:hRule="atLeast"/>
          <w:jc w:val="center"/>
        </w:trPr>
        <w:tc>
          <w:tcPr>
            <w:tcW w:w="9520" w:type="dxa"/>
            <w:gridSpan w:val="8"/>
            <w:tcBorders>
              <w:top w:val="nil"/>
              <w:left w:val="nil"/>
              <w:bottom w:val="nil"/>
              <w:right w:val="nil"/>
            </w:tcBorders>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注：本表反映部门本年度一般公共预算财政拨款和政府性基金预算财政拨款的总收支和年末结转结余情况。</w:t>
            </w:r>
          </w:p>
        </w:tc>
      </w:tr>
    </w:tbl>
    <w:p>
      <w:r>
        <w:br w:type="page"/>
      </w:r>
    </w:p>
    <w:tbl>
      <w:tblPr>
        <w:tblStyle w:val="6"/>
        <w:tblW w:w="10248" w:type="dxa"/>
        <w:jc w:val="center"/>
        <w:tblLayout w:type="autofit"/>
        <w:tblCellMar>
          <w:top w:w="0" w:type="dxa"/>
          <w:left w:w="0" w:type="dxa"/>
          <w:bottom w:w="0" w:type="dxa"/>
          <w:right w:w="0" w:type="dxa"/>
        </w:tblCellMar>
      </w:tblPr>
      <w:tblGrid>
        <w:gridCol w:w="1249"/>
        <w:gridCol w:w="71"/>
        <w:gridCol w:w="71"/>
        <w:gridCol w:w="3820"/>
        <w:gridCol w:w="1917"/>
        <w:gridCol w:w="1776"/>
        <w:gridCol w:w="1777"/>
      </w:tblGrid>
      <w:tr>
        <w:tblPrEx>
          <w:tblCellMar>
            <w:top w:w="0" w:type="dxa"/>
            <w:left w:w="0" w:type="dxa"/>
            <w:bottom w:w="0" w:type="dxa"/>
            <w:right w:w="0" w:type="dxa"/>
          </w:tblCellMar>
        </w:tblPrEx>
        <w:trPr>
          <w:trHeight w:val="600" w:hRule="atLeast"/>
          <w:jc w:val="center"/>
        </w:trPr>
        <w:tc>
          <w:tcPr>
            <w:tcW w:w="10248" w:type="dxa"/>
            <w:gridSpan w:val="7"/>
            <w:tcBorders>
              <w:top w:val="nil"/>
              <w:left w:val="nil"/>
              <w:bottom w:val="nil"/>
              <w:right w:val="nil"/>
            </w:tcBorders>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05</w:t>
            </w:r>
            <w:r>
              <w:rPr>
                <w:rFonts w:hint="eastAsia" w:ascii="宋体" w:hAnsi="宋体" w:eastAsia="宋体" w:cs="宋体"/>
                <w:color w:val="000000"/>
                <w:kern w:val="0"/>
                <w:sz w:val="20"/>
                <w:szCs w:val="20"/>
              </w:rPr>
              <w:t>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lang w:val="en-US" w:eastAsia="zh-CN"/>
              </w:rPr>
              <w:t>遵化市科学技术协会</w:t>
            </w: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605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r>
      <w:tr>
        <w:tblPrEx>
          <w:tblCellMar>
            <w:top w:w="0" w:type="dxa"/>
            <w:left w:w="0" w:type="dxa"/>
            <w:bottom w:w="0" w:type="dxa"/>
            <w:right w:w="0" w:type="dxa"/>
          </w:tblCellMar>
        </w:tblPrEx>
        <w:trPr>
          <w:trHeight w:val="312" w:hRule="atLeast"/>
          <w:jc w:val="center"/>
        </w:trPr>
        <w:tc>
          <w:tcPr>
            <w:tcW w:w="1391"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0" w:type="auto"/>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201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201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201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r>
      <w:tr>
        <w:tblPrEx>
          <w:tblCellMar>
            <w:top w:w="0" w:type="dxa"/>
            <w:left w:w="0" w:type="dxa"/>
            <w:bottom w:w="0" w:type="dxa"/>
            <w:right w:w="0" w:type="dxa"/>
          </w:tblCellMar>
        </w:tblPrEx>
        <w:trPr>
          <w:trHeight w:val="312" w:hRule="atLeast"/>
          <w:jc w:val="center"/>
        </w:trPr>
        <w:tc>
          <w:tcPr>
            <w:tcW w:w="1391"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201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201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201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12" w:hRule="atLeast"/>
          <w:jc w:val="center"/>
        </w:trPr>
        <w:tc>
          <w:tcPr>
            <w:tcW w:w="1391"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201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201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201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161.37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96.55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64.82</w:t>
            </w:r>
          </w:p>
        </w:tc>
      </w:tr>
      <w:tr>
        <w:tblPrEx>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206</w:t>
            </w:r>
          </w:p>
        </w:tc>
        <w:tc>
          <w:tcPr>
            <w:tcW w:w="2800"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科学技术支出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139.82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75.00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64.82</w:t>
            </w:r>
          </w:p>
        </w:tc>
      </w:tr>
      <w:tr>
        <w:tblPrEx>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20601</w:t>
            </w:r>
          </w:p>
        </w:tc>
        <w:tc>
          <w:tcPr>
            <w:tcW w:w="2800"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科学技术管理事务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75.00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75.00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2060101</w:t>
            </w:r>
          </w:p>
        </w:tc>
        <w:tc>
          <w:tcPr>
            <w:tcW w:w="2800"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75.00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75.00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20607</w:t>
            </w:r>
          </w:p>
        </w:tc>
        <w:tc>
          <w:tcPr>
            <w:tcW w:w="2800"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科学技术普及</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44.82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44.82</w:t>
            </w:r>
          </w:p>
        </w:tc>
      </w:tr>
      <w:tr>
        <w:tblPrEx>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auto"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2060702</w:t>
            </w:r>
          </w:p>
        </w:tc>
        <w:tc>
          <w:tcPr>
            <w:tcW w:w="2800" w:type="dxa"/>
            <w:tcBorders>
              <w:top w:val="nil"/>
              <w:left w:val="nil"/>
              <w:bottom w:val="single" w:color="auto"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 xml:space="preserve"> 科普活动</w:t>
            </w:r>
          </w:p>
        </w:tc>
        <w:tc>
          <w:tcPr>
            <w:tcW w:w="0" w:type="auto"/>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44.82</w:t>
            </w:r>
          </w:p>
        </w:tc>
        <w:tc>
          <w:tcPr>
            <w:tcW w:w="0" w:type="auto"/>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p>
        </w:tc>
        <w:tc>
          <w:tcPr>
            <w:tcW w:w="0" w:type="auto"/>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44.82</w:t>
            </w:r>
          </w:p>
        </w:tc>
      </w:tr>
      <w:tr>
        <w:tblPrEx>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2060705</w:t>
            </w:r>
          </w:p>
        </w:tc>
        <w:tc>
          <w:tcPr>
            <w:tcW w:w="2800" w:type="dxa"/>
            <w:tcBorders>
              <w:top w:val="single" w:color="auto" w:sz="4" w:space="0"/>
              <w:left w:val="single" w:color="auto" w:sz="4" w:space="0"/>
              <w:bottom w:val="single" w:color="auto"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科技馆站</w:t>
            </w:r>
          </w:p>
        </w:tc>
        <w:tc>
          <w:tcPr>
            <w:tcW w:w="0" w:type="auto"/>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20.00</w:t>
            </w:r>
          </w:p>
        </w:tc>
        <w:tc>
          <w:tcPr>
            <w:tcW w:w="0" w:type="auto"/>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p>
        </w:tc>
        <w:tc>
          <w:tcPr>
            <w:tcW w:w="0" w:type="auto"/>
            <w:tcBorders>
              <w:top w:val="single" w:color="auto" w:sz="4" w:space="0"/>
              <w:left w:val="nil"/>
              <w:bottom w:val="single" w:color="auto" w:sz="4" w:space="0"/>
              <w:right w:val="single" w:color="auto"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20.00</w:t>
            </w:r>
          </w:p>
        </w:tc>
      </w:tr>
      <w:tr>
        <w:tblPrEx>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lang w:val="en-US" w:eastAsia="zh-CN"/>
              </w:rPr>
              <w:t>208</w:t>
            </w:r>
          </w:p>
        </w:tc>
        <w:tc>
          <w:tcPr>
            <w:tcW w:w="2800" w:type="dxa"/>
            <w:tcBorders>
              <w:top w:val="single" w:color="auto" w:sz="4" w:space="0"/>
              <w:left w:val="single" w:color="auto" w:sz="4" w:space="0"/>
              <w:bottom w:val="single" w:color="auto"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社会保障和就业支出</w:t>
            </w:r>
          </w:p>
        </w:tc>
        <w:tc>
          <w:tcPr>
            <w:tcW w:w="0" w:type="auto"/>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1.83</w:t>
            </w:r>
          </w:p>
        </w:tc>
        <w:tc>
          <w:tcPr>
            <w:tcW w:w="0" w:type="auto"/>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1.83</w:t>
            </w:r>
          </w:p>
        </w:tc>
        <w:tc>
          <w:tcPr>
            <w:tcW w:w="0" w:type="auto"/>
            <w:tcBorders>
              <w:top w:val="single" w:color="auto" w:sz="4" w:space="0"/>
              <w:left w:val="nil"/>
              <w:bottom w:val="single" w:color="auto" w:sz="4" w:space="0"/>
              <w:right w:val="single" w:color="auto"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w:t>
            </w:r>
          </w:p>
        </w:tc>
        <w:tc>
          <w:tcPr>
            <w:tcW w:w="2800" w:type="dxa"/>
            <w:tcBorders>
              <w:top w:val="single" w:color="auto" w:sz="4" w:space="0"/>
              <w:left w:val="single" w:color="auto" w:sz="4" w:space="0"/>
              <w:bottom w:val="single" w:color="auto"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行政事业单位离退休</w:t>
            </w:r>
          </w:p>
        </w:tc>
        <w:tc>
          <w:tcPr>
            <w:tcW w:w="0" w:type="auto"/>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1.83</w:t>
            </w:r>
          </w:p>
        </w:tc>
        <w:tc>
          <w:tcPr>
            <w:tcW w:w="0" w:type="auto"/>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1.83</w:t>
            </w:r>
          </w:p>
        </w:tc>
        <w:tc>
          <w:tcPr>
            <w:tcW w:w="0" w:type="auto"/>
            <w:tcBorders>
              <w:top w:val="single" w:color="auto" w:sz="4" w:space="0"/>
              <w:left w:val="nil"/>
              <w:bottom w:val="single" w:color="auto" w:sz="4" w:space="0"/>
              <w:right w:val="single" w:color="auto"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2080505</w:t>
            </w:r>
          </w:p>
        </w:tc>
        <w:tc>
          <w:tcPr>
            <w:tcW w:w="2800" w:type="dxa"/>
            <w:tcBorders>
              <w:top w:val="single" w:color="auto" w:sz="4" w:space="0"/>
              <w:left w:val="single" w:color="auto" w:sz="4" w:space="0"/>
              <w:bottom w:val="single" w:color="auto"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机关事业单位基本养老保险缴费支出</w:t>
            </w:r>
          </w:p>
        </w:tc>
        <w:tc>
          <w:tcPr>
            <w:tcW w:w="0" w:type="auto"/>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1.83</w:t>
            </w:r>
          </w:p>
        </w:tc>
        <w:tc>
          <w:tcPr>
            <w:tcW w:w="0" w:type="auto"/>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1.83</w:t>
            </w:r>
          </w:p>
        </w:tc>
        <w:tc>
          <w:tcPr>
            <w:tcW w:w="0" w:type="auto"/>
            <w:tcBorders>
              <w:top w:val="single" w:color="auto" w:sz="4" w:space="0"/>
              <w:left w:val="nil"/>
              <w:bottom w:val="single" w:color="auto" w:sz="4" w:space="0"/>
              <w:right w:val="single" w:color="auto"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lang w:val="en-US" w:eastAsia="zh-CN"/>
              </w:rPr>
              <w:t>210</w:t>
            </w:r>
          </w:p>
        </w:tc>
        <w:tc>
          <w:tcPr>
            <w:tcW w:w="2800" w:type="dxa"/>
            <w:tcBorders>
              <w:top w:val="single" w:color="auto" w:sz="4" w:space="0"/>
              <w:left w:val="single" w:color="auto" w:sz="4" w:space="0"/>
              <w:bottom w:val="single" w:color="auto"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卫生健康支出</w:t>
            </w:r>
          </w:p>
        </w:tc>
        <w:tc>
          <w:tcPr>
            <w:tcW w:w="0" w:type="auto"/>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12.96</w:t>
            </w:r>
          </w:p>
        </w:tc>
        <w:tc>
          <w:tcPr>
            <w:tcW w:w="0" w:type="auto"/>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12.96</w:t>
            </w:r>
          </w:p>
        </w:tc>
        <w:tc>
          <w:tcPr>
            <w:tcW w:w="0" w:type="auto"/>
            <w:tcBorders>
              <w:top w:val="single" w:color="auto" w:sz="4" w:space="0"/>
              <w:left w:val="nil"/>
              <w:bottom w:val="single" w:color="auto" w:sz="4" w:space="0"/>
              <w:right w:val="single" w:color="auto"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lang w:val="en-US" w:eastAsia="zh-CN"/>
              </w:rPr>
              <w:t>21011</w:t>
            </w:r>
          </w:p>
        </w:tc>
        <w:tc>
          <w:tcPr>
            <w:tcW w:w="280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行政事业单位医疗</w:t>
            </w:r>
          </w:p>
        </w:tc>
        <w:tc>
          <w:tcPr>
            <w:tcW w:w="0" w:type="auto"/>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296"/>
              </w:tabs>
              <w:ind w:firstLine="220" w:firstLineChars="100"/>
              <w:jc w:val="lef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12.96</w:t>
            </w:r>
          </w:p>
        </w:tc>
        <w:tc>
          <w:tcPr>
            <w:tcW w:w="0" w:type="auto"/>
            <w:tcBorders>
              <w:top w:val="single" w:color="auto" w:sz="4" w:space="0"/>
              <w:left w:val="single" w:color="auto" w:sz="4" w:space="0"/>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12.96</w:t>
            </w:r>
          </w:p>
        </w:tc>
        <w:tc>
          <w:tcPr>
            <w:tcW w:w="0" w:type="auto"/>
            <w:tcBorders>
              <w:top w:val="single" w:color="auto" w:sz="4" w:space="0"/>
              <w:left w:val="nil"/>
              <w:bottom w:val="single" w:color="auto" w:sz="4" w:space="0"/>
              <w:right w:val="single" w:color="auto"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2101102</w:t>
            </w:r>
          </w:p>
        </w:tc>
        <w:tc>
          <w:tcPr>
            <w:tcW w:w="2800" w:type="dxa"/>
            <w:tcBorders>
              <w:top w:val="single" w:color="auto" w:sz="4" w:space="0"/>
              <w:left w:val="single" w:color="auto" w:sz="4" w:space="0"/>
              <w:bottom w:val="single" w:color="auto"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事业单位医疗</w:t>
            </w:r>
          </w:p>
        </w:tc>
        <w:tc>
          <w:tcPr>
            <w:tcW w:w="0" w:type="auto"/>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12.96</w:t>
            </w:r>
          </w:p>
        </w:tc>
        <w:tc>
          <w:tcPr>
            <w:tcW w:w="0" w:type="auto"/>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12.96</w:t>
            </w:r>
          </w:p>
        </w:tc>
        <w:tc>
          <w:tcPr>
            <w:tcW w:w="0" w:type="auto"/>
            <w:tcBorders>
              <w:top w:val="single" w:color="auto" w:sz="4" w:space="0"/>
              <w:left w:val="nil"/>
              <w:bottom w:val="single" w:color="auto" w:sz="4" w:space="0"/>
              <w:right w:val="single" w:color="auto"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lang w:val="en-US" w:eastAsia="zh-CN"/>
              </w:rPr>
              <w:t>221</w:t>
            </w:r>
          </w:p>
        </w:tc>
        <w:tc>
          <w:tcPr>
            <w:tcW w:w="2800" w:type="dxa"/>
            <w:tcBorders>
              <w:top w:val="single" w:color="auto" w:sz="4" w:space="0"/>
              <w:left w:val="single" w:color="auto" w:sz="4" w:space="0"/>
              <w:bottom w:val="single" w:color="auto"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住房保障支出</w:t>
            </w:r>
          </w:p>
        </w:tc>
        <w:tc>
          <w:tcPr>
            <w:tcW w:w="0" w:type="auto"/>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6.74</w:t>
            </w:r>
          </w:p>
        </w:tc>
        <w:tc>
          <w:tcPr>
            <w:tcW w:w="0" w:type="auto"/>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6.74</w:t>
            </w:r>
          </w:p>
        </w:tc>
        <w:tc>
          <w:tcPr>
            <w:tcW w:w="0" w:type="auto"/>
            <w:tcBorders>
              <w:top w:val="single" w:color="auto" w:sz="4" w:space="0"/>
              <w:left w:val="nil"/>
              <w:bottom w:val="single" w:color="auto" w:sz="4" w:space="0"/>
              <w:right w:val="single" w:color="auto"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w:t>
            </w:r>
          </w:p>
        </w:tc>
        <w:tc>
          <w:tcPr>
            <w:tcW w:w="2800" w:type="dxa"/>
            <w:tcBorders>
              <w:top w:val="single" w:color="auto" w:sz="4" w:space="0"/>
              <w:left w:val="single" w:color="auto" w:sz="4" w:space="0"/>
              <w:bottom w:val="single" w:color="auto"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住房改革支出</w:t>
            </w:r>
          </w:p>
        </w:tc>
        <w:tc>
          <w:tcPr>
            <w:tcW w:w="0" w:type="auto"/>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6.74</w:t>
            </w:r>
          </w:p>
        </w:tc>
        <w:tc>
          <w:tcPr>
            <w:tcW w:w="0" w:type="auto"/>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6.74</w:t>
            </w:r>
          </w:p>
        </w:tc>
        <w:tc>
          <w:tcPr>
            <w:tcW w:w="0" w:type="auto"/>
            <w:tcBorders>
              <w:top w:val="single" w:color="auto" w:sz="4" w:space="0"/>
              <w:left w:val="nil"/>
              <w:bottom w:val="single" w:color="auto" w:sz="4" w:space="0"/>
              <w:right w:val="single" w:color="auto"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2210201</w:t>
            </w:r>
          </w:p>
        </w:tc>
        <w:tc>
          <w:tcPr>
            <w:tcW w:w="2800" w:type="dxa"/>
            <w:tcBorders>
              <w:top w:val="single" w:color="auto" w:sz="4" w:space="0"/>
              <w:left w:val="single" w:color="auto" w:sz="4" w:space="0"/>
              <w:bottom w:val="single" w:color="auto"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 xml:space="preserve">  住房公积金</w:t>
            </w:r>
          </w:p>
        </w:tc>
        <w:tc>
          <w:tcPr>
            <w:tcW w:w="0" w:type="auto"/>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6.74</w:t>
            </w:r>
          </w:p>
        </w:tc>
        <w:tc>
          <w:tcPr>
            <w:tcW w:w="0" w:type="auto"/>
            <w:tcBorders>
              <w:top w:val="single" w:color="auto" w:sz="4" w:space="0"/>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6.74</w:t>
            </w:r>
          </w:p>
        </w:tc>
        <w:tc>
          <w:tcPr>
            <w:tcW w:w="0" w:type="auto"/>
            <w:tcBorders>
              <w:top w:val="single" w:color="auto" w:sz="4" w:space="0"/>
              <w:left w:val="nil"/>
              <w:bottom w:val="single" w:color="auto" w:sz="4" w:space="0"/>
              <w:right w:val="single" w:color="auto" w:sz="4" w:space="0"/>
            </w:tcBorders>
            <w:noWrap/>
            <w:tcMar>
              <w:top w:w="15" w:type="dxa"/>
              <w:left w:w="15" w:type="dxa"/>
              <w:right w:w="15" w:type="dxa"/>
            </w:tcMar>
            <w:vAlign w:val="center"/>
          </w:tcPr>
          <w:p>
            <w:pPr>
              <w:jc w:val="right"/>
              <w:rPr>
                <w:rFonts w:ascii="宋体" w:hAnsi="宋体" w:eastAsia="宋体" w:cs="宋体"/>
                <w:color w:val="000000"/>
                <w:sz w:val="22"/>
              </w:rPr>
            </w:pPr>
          </w:p>
        </w:tc>
      </w:tr>
    </w:tbl>
    <w:p>
      <w:r>
        <w:br w:type="page"/>
      </w:r>
    </w:p>
    <w:tbl>
      <w:tblPr>
        <w:tblStyle w:val="6"/>
        <w:tblW w:w="10000" w:type="dxa"/>
        <w:jc w:val="center"/>
        <w:tblLayout w:type="fixed"/>
        <w:tblCellMar>
          <w:top w:w="0" w:type="dxa"/>
          <w:left w:w="0" w:type="dxa"/>
          <w:bottom w:w="0" w:type="dxa"/>
          <w:right w:w="0" w:type="dxa"/>
        </w:tblCellMar>
      </w:tblPr>
      <w:tblGrid>
        <w:gridCol w:w="896"/>
        <w:gridCol w:w="1932"/>
        <w:gridCol w:w="783"/>
        <w:gridCol w:w="655"/>
        <w:gridCol w:w="1599"/>
        <w:gridCol w:w="768"/>
        <w:gridCol w:w="744"/>
        <w:gridCol w:w="1891"/>
        <w:gridCol w:w="732"/>
      </w:tblGrid>
      <w:tr>
        <w:tblPrEx>
          <w:tblCellMar>
            <w:top w:w="0" w:type="dxa"/>
            <w:left w:w="0" w:type="dxa"/>
            <w:bottom w:w="0" w:type="dxa"/>
            <w:right w:w="0" w:type="dxa"/>
          </w:tblCellMar>
        </w:tblPrEx>
        <w:trPr>
          <w:trHeight w:val="662" w:hRule="atLeast"/>
          <w:jc w:val="center"/>
        </w:trPr>
        <w:tc>
          <w:tcPr>
            <w:tcW w:w="10000" w:type="dxa"/>
            <w:gridSpan w:val="9"/>
            <w:tcBorders>
              <w:top w:val="nil"/>
              <w:left w:val="nil"/>
              <w:bottom w:val="nil"/>
              <w:right w:val="nil"/>
            </w:tcBorders>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一般公共预算财政拨款基本支出决算表</w:t>
            </w:r>
          </w:p>
        </w:tc>
      </w:tr>
      <w:tr>
        <w:tblPrEx>
          <w:tblCellMar>
            <w:top w:w="0" w:type="dxa"/>
            <w:left w:w="0" w:type="dxa"/>
            <w:bottom w:w="0" w:type="dxa"/>
            <w:right w:w="0" w:type="dxa"/>
          </w:tblCellMar>
        </w:tblPrEx>
        <w:trPr>
          <w:trHeight w:val="339" w:hRule="atLeast"/>
          <w:jc w:val="center"/>
        </w:trPr>
        <w:tc>
          <w:tcPr>
            <w:tcW w:w="89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932"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783"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5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99"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768"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744"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623"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w:t>
            </w:r>
            <w:r>
              <w:rPr>
                <w:rFonts w:ascii="宋体" w:hAnsi="宋体" w:eastAsia="宋体" w:cs="宋体"/>
                <w:color w:val="000000"/>
                <w:kern w:val="0"/>
                <w:sz w:val="18"/>
                <w:szCs w:val="18"/>
              </w:rPr>
              <w:t>06</w:t>
            </w:r>
            <w:r>
              <w:rPr>
                <w:rFonts w:hint="eastAsia" w:ascii="宋体" w:hAnsi="宋体" w:eastAsia="宋体" w:cs="宋体"/>
                <w:color w:val="000000"/>
                <w:kern w:val="0"/>
                <w:sz w:val="18"/>
                <w:szCs w:val="18"/>
              </w:rPr>
              <w:t>表</w:t>
            </w:r>
          </w:p>
        </w:tc>
      </w:tr>
      <w:tr>
        <w:tblPrEx>
          <w:tblCellMar>
            <w:top w:w="0" w:type="dxa"/>
            <w:left w:w="0" w:type="dxa"/>
            <w:bottom w:w="0" w:type="dxa"/>
            <w:right w:w="0" w:type="dxa"/>
          </w:tblCellMar>
        </w:tblPrEx>
        <w:trPr>
          <w:trHeight w:val="339" w:hRule="atLeast"/>
          <w:jc w:val="center"/>
        </w:trPr>
        <w:tc>
          <w:tcPr>
            <w:tcW w:w="896" w:type="dxa"/>
            <w:tcBorders>
              <w:top w:val="nil"/>
              <w:left w:val="nil"/>
              <w:bottom w:val="nil"/>
              <w:right w:val="nil"/>
            </w:tcBorders>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1932"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lang w:val="en-US" w:eastAsia="zh-CN"/>
              </w:rPr>
              <w:t>遵化市科学技术协会</w:t>
            </w:r>
          </w:p>
        </w:tc>
        <w:tc>
          <w:tcPr>
            <w:tcW w:w="783"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5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99"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768"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744"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623"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62" w:hRule="atLeast"/>
          <w:jc w:val="center"/>
        </w:trPr>
        <w:tc>
          <w:tcPr>
            <w:tcW w:w="361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人员经费</w:t>
            </w:r>
          </w:p>
        </w:tc>
        <w:tc>
          <w:tcPr>
            <w:tcW w:w="6389"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公用经费</w:t>
            </w:r>
          </w:p>
        </w:tc>
      </w:tr>
      <w:tr>
        <w:tblPrEx>
          <w:tblCellMar>
            <w:top w:w="0" w:type="dxa"/>
            <w:left w:w="0" w:type="dxa"/>
            <w:bottom w:w="0" w:type="dxa"/>
            <w:right w:w="0" w:type="dxa"/>
          </w:tblCellMar>
        </w:tblPrEx>
        <w:trPr>
          <w:trHeight w:val="362" w:hRule="atLeast"/>
          <w:jc w:val="center"/>
        </w:trPr>
        <w:tc>
          <w:tcPr>
            <w:tcW w:w="896"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kern w:val="0"/>
                <w:sz w:val="22"/>
              </w:rPr>
            </w:pPr>
            <w:r>
              <w:rPr>
                <w:rFonts w:hint="eastAsia" w:ascii="宋体" w:hAnsi="宋体" w:eastAsia="宋体" w:cs="宋体"/>
                <w:color w:val="000000"/>
                <w:kern w:val="0"/>
                <w:sz w:val="22"/>
              </w:rPr>
              <w:t>科目</w:t>
            </w:r>
          </w:p>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编码</w:t>
            </w:r>
          </w:p>
        </w:tc>
        <w:tc>
          <w:tcPr>
            <w:tcW w:w="193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78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c>
          <w:tcPr>
            <w:tcW w:w="655"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科目编码</w:t>
            </w:r>
          </w:p>
        </w:tc>
        <w:tc>
          <w:tcPr>
            <w:tcW w:w="159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76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c>
          <w:tcPr>
            <w:tcW w:w="744"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kern w:val="0"/>
                <w:sz w:val="22"/>
              </w:rPr>
            </w:pPr>
            <w:r>
              <w:rPr>
                <w:rFonts w:hint="eastAsia" w:ascii="宋体" w:hAnsi="宋体" w:eastAsia="宋体" w:cs="宋体"/>
                <w:color w:val="000000"/>
                <w:kern w:val="0"/>
                <w:sz w:val="22"/>
              </w:rPr>
              <w:t>科目</w:t>
            </w:r>
          </w:p>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编码</w:t>
            </w:r>
          </w:p>
        </w:tc>
        <w:tc>
          <w:tcPr>
            <w:tcW w:w="18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73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tblPrEx>
          <w:tblCellMar>
            <w:top w:w="0" w:type="dxa"/>
            <w:left w:w="0" w:type="dxa"/>
            <w:bottom w:w="0" w:type="dxa"/>
            <w:right w:w="0" w:type="dxa"/>
          </w:tblCellMar>
        </w:tblPrEx>
        <w:trPr>
          <w:trHeight w:val="349" w:hRule="atLeast"/>
          <w:jc w:val="center"/>
        </w:trPr>
        <w:tc>
          <w:tcPr>
            <w:tcW w:w="89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932"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83"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655"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59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68"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44"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89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732"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工资福利支出</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87.68</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商品和服务支出</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8.85</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债务利息及费用支出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基本工资</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37.92</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办公费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0.21</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30701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国内债务付息</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30102</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津贴补贴</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23.53</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印刷费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30702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国外债务付息</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奖金</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2.76</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30203</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咨询费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资本性支出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30106</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伙食补助费</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手续费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房屋建筑物购建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30107</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绩效工资</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水费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办公设备购置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r>
      <w:tr>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30108</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机关事业单位基本养老保险缴费</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1.83</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电费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0.14</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31003</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专用设备购置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职业年金缴费</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30207</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邮电费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0.55</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31005</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基础设施建设</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r>
      <w:tr>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30110</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职工基本医疗保险缴费</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3.86</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取暖费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31006</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大型修缮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r>
      <w:tr>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公务员医疗补助缴费</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9.10</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物业管理费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信息网络及软件购置更新</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30112</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其他社会保障缴费</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0.42</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差旅费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0.001</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31008</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物资储备</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r>
      <w:tr>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住房公积金</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6.74</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因公出国（境）费用</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土地补偿</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30114</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医疗费</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30213</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维修（护）费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31010</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安置补助</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r>
      <w:tr>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30199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其他工资福利支出</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1.50</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租赁费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31011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地上附着物和青苗补偿</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对个人和家庭的补助</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会议费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0.04</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31012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拆迁补偿</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离休费</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培训费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0.04</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31013</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公务用车购置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30302</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退休费</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公务接待费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0.02</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31019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其他交通工具购置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退职（役）费</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专用材料费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31021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文物和陈列品购置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30304</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抚恤金</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被装购置费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31022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无形资产购置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30305</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生活补助</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专用燃料费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其他资本性支出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30306</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救济费</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劳务费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其他支出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30307</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医疗费补助</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30227</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委托业务费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39906</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赠与</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30308</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助学金</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工会经费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0.04</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39907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国家赔偿费用支出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r>
      <w:tr>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奖励金</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福利费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0.07</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39908</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ascii="宋体" w:hAnsi="宋体" w:eastAsia="宋体" w:cs="宋体"/>
                <w:color w:val="000000"/>
                <w:kern w:val="0"/>
                <w:sz w:val="18"/>
                <w:szCs w:val="18"/>
              </w:rPr>
              <w:t xml:space="preserve"> </w:t>
            </w:r>
            <w:r>
              <w:rPr>
                <w:rFonts w:hint="eastAsia" w:ascii="宋体" w:hAnsi="宋体" w:eastAsia="宋体" w:cs="宋体"/>
                <w:color w:val="000000"/>
                <w:kern w:val="0"/>
                <w:sz w:val="18"/>
                <w:szCs w:val="18"/>
              </w:rPr>
              <w:t>对民间非营利组织和群众性自治组织补贴</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r>
      <w:tr>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30310</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个人农业生产补贴</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30231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公务用车运行维护费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1.92</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39999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r>
      <w:tr>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30399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其他对个人和家庭的补助</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30239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其他交通费用</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4.51</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30240</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税金及附加费用</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0.00</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30299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其他商品和服务支出</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0.23</w:t>
            </w:r>
          </w:p>
        </w:tc>
        <w:tc>
          <w:tcPr>
            <w:tcW w:w="744"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hAnsi="宋体" w:eastAsia="宋体" w:cs="宋体"/>
                <w:color w:val="000000"/>
                <w:sz w:val="20"/>
                <w:szCs w:val="20"/>
              </w:rPr>
            </w:pP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hAnsi="宋体" w:eastAsia="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82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人员经费合计</w:t>
            </w:r>
          </w:p>
        </w:tc>
        <w:tc>
          <w:tcPr>
            <w:tcW w:w="783"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87.68</w:t>
            </w:r>
          </w:p>
        </w:tc>
        <w:tc>
          <w:tcPr>
            <w:tcW w:w="5657"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公用经费合计</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8.85</w:t>
            </w:r>
          </w:p>
        </w:tc>
      </w:tr>
    </w:tbl>
    <w:p>
      <w:r>
        <w:br w:type="page"/>
      </w:r>
    </w:p>
    <w:tbl>
      <w:tblPr>
        <w:tblStyle w:val="6"/>
        <w:tblW w:w="9220" w:type="dxa"/>
        <w:jc w:val="center"/>
        <w:tblLayout w:type="autofit"/>
        <w:tblCellMar>
          <w:top w:w="0" w:type="dxa"/>
          <w:left w:w="0" w:type="dxa"/>
          <w:bottom w:w="0" w:type="dxa"/>
          <w:right w:w="0" w:type="dxa"/>
        </w:tblCellMar>
      </w:tblPr>
      <w:tblGrid>
        <w:gridCol w:w="1267"/>
        <w:gridCol w:w="1830"/>
        <w:gridCol w:w="1565"/>
        <w:gridCol w:w="1421"/>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07</w:t>
            </w:r>
            <w:r>
              <w:rPr>
                <w:rFonts w:hint="eastAsia" w:ascii="宋体" w:hAnsi="宋体" w:eastAsia="宋体" w:cs="宋体"/>
                <w:color w:val="000000"/>
                <w:kern w:val="0"/>
                <w:sz w:val="20"/>
                <w:szCs w:val="20"/>
              </w:rPr>
              <w:t>表</w:t>
            </w:r>
          </w:p>
        </w:tc>
      </w:tr>
      <w:tr>
        <w:tblPrEx>
          <w:tblCellMar>
            <w:top w:w="0" w:type="dxa"/>
            <w:left w:w="0" w:type="dxa"/>
            <w:bottom w:w="0" w:type="dxa"/>
            <w:right w:w="0" w:type="dxa"/>
          </w:tblCellMar>
        </w:tblPrEx>
        <w:trPr>
          <w:trHeight w:val="360" w:hRule="atLeast"/>
          <w:jc w:val="center"/>
        </w:trPr>
        <w:tc>
          <w:tcPr>
            <w:tcW w:w="0" w:type="auto"/>
            <w:tcBorders>
              <w:top w:val="nil"/>
              <w:left w:val="nil"/>
              <w:bottom w:val="nil"/>
              <w:right w:val="nil"/>
            </w:tcBorders>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lang w:val="en-US" w:eastAsia="zh-CN"/>
              </w:rPr>
              <w:t>遵化市科学技术协会</w:t>
            </w: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68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4695" w:type="dxa"/>
            <w:gridSpan w:val="3"/>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公务用车购置及运行费</w:t>
            </w:r>
          </w:p>
        </w:tc>
        <w:tc>
          <w:tcPr>
            <w:tcW w:w="1572" w:type="dxa"/>
            <w:vMerge w:val="restart"/>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68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公务用车运行费</w:t>
            </w:r>
          </w:p>
        </w:tc>
        <w:tc>
          <w:tcPr>
            <w:tcW w:w="1572" w:type="dxa"/>
            <w:vMerge w:val="continue"/>
            <w:tcBorders>
              <w:top w:val="nil"/>
              <w:left w:val="nil"/>
              <w:bottom w:val="single" w:color="000000" w:sz="4" w:space="0"/>
              <w:right w:val="single" w:color="auto"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168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1572" w:type="dxa"/>
            <w:tcBorders>
              <w:top w:val="nil"/>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r>
      <w:tr>
        <w:tblPrEx>
          <w:tblCellMar>
            <w:top w:w="0" w:type="dxa"/>
            <w:left w:w="0" w:type="dxa"/>
            <w:bottom w:w="0" w:type="dxa"/>
            <w:right w:w="0" w:type="dxa"/>
          </w:tblCellMar>
        </w:tblPrEx>
        <w:trPr>
          <w:trHeight w:val="417" w:hRule="atLeast"/>
          <w:jc w:val="center"/>
        </w:trPr>
        <w:tc>
          <w:tcPr>
            <w:tcW w:w="0" w:type="auto"/>
            <w:tcBorders>
              <w:top w:val="nil"/>
              <w:left w:val="single" w:color="auto" w:sz="4" w:space="0"/>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2.05</w:t>
            </w:r>
          </w:p>
        </w:tc>
        <w:tc>
          <w:tcPr>
            <w:tcW w:w="0" w:type="auto"/>
            <w:tcBorders>
              <w:top w:val="nil"/>
              <w:left w:val="nil"/>
              <w:bottom w:val="single" w:color="000000" w:sz="4" w:space="0"/>
              <w:right w:val="single" w:color="auto"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0.02</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68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4695" w:type="dxa"/>
            <w:gridSpan w:val="3"/>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公务用车购置及运行费</w:t>
            </w:r>
          </w:p>
        </w:tc>
        <w:tc>
          <w:tcPr>
            <w:tcW w:w="1572" w:type="dxa"/>
            <w:vMerge w:val="restart"/>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68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公务用车运行费</w:t>
            </w:r>
          </w:p>
        </w:tc>
        <w:tc>
          <w:tcPr>
            <w:tcW w:w="1572" w:type="dxa"/>
            <w:vMerge w:val="continue"/>
            <w:tcBorders>
              <w:top w:val="nil"/>
              <w:left w:val="nil"/>
              <w:bottom w:val="single" w:color="000000" w:sz="4" w:space="0"/>
              <w:right w:val="single" w:color="auto"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c>
          <w:tcPr>
            <w:tcW w:w="168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8</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9</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10</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11</w:t>
            </w:r>
          </w:p>
        </w:tc>
        <w:tc>
          <w:tcPr>
            <w:tcW w:w="1572" w:type="dxa"/>
            <w:tcBorders>
              <w:top w:val="nil"/>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12</w:t>
            </w:r>
          </w:p>
        </w:tc>
      </w:tr>
      <w:tr>
        <w:tblPrEx>
          <w:tblCellMar>
            <w:top w:w="0" w:type="dxa"/>
            <w:left w:w="0" w:type="dxa"/>
            <w:bottom w:w="0" w:type="dxa"/>
            <w:right w:w="0" w:type="dxa"/>
          </w:tblCellMar>
        </w:tblPrEx>
        <w:trPr>
          <w:trHeight w:val="447" w:hRule="atLeast"/>
          <w:jc w:val="center"/>
        </w:trPr>
        <w:tc>
          <w:tcPr>
            <w:tcW w:w="0" w:type="auto"/>
            <w:tcBorders>
              <w:top w:val="nil"/>
              <w:left w:val="single" w:color="auto" w:sz="4" w:space="0"/>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1.94</w:t>
            </w:r>
          </w:p>
        </w:tc>
        <w:tc>
          <w:tcPr>
            <w:tcW w:w="0" w:type="auto"/>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p>
        </w:tc>
        <w:tc>
          <w:tcPr>
            <w:tcW w:w="0" w:type="auto"/>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1.94</w:t>
            </w:r>
          </w:p>
        </w:tc>
        <w:tc>
          <w:tcPr>
            <w:tcW w:w="0" w:type="auto"/>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p>
        </w:tc>
        <w:tc>
          <w:tcPr>
            <w:tcW w:w="0" w:type="auto"/>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1.92</w:t>
            </w:r>
          </w:p>
        </w:tc>
        <w:tc>
          <w:tcPr>
            <w:tcW w:w="0" w:type="auto"/>
            <w:tcBorders>
              <w:top w:val="nil"/>
              <w:left w:val="nil"/>
              <w:bottom w:val="single" w:color="auto" w:sz="4" w:space="0"/>
              <w:right w:val="single" w:color="auto" w:sz="4" w:space="0"/>
            </w:tcBorders>
            <w:noWrap/>
            <w:tcMar>
              <w:top w:w="15" w:type="dxa"/>
              <w:left w:w="15" w:type="dxa"/>
              <w:right w:w="15" w:type="dxa"/>
            </w:tcMar>
            <w:vAlign w:val="center"/>
          </w:tcPr>
          <w:p>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0.02</w:t>
            </w:r>
          </w:p>
        </w:tc>
      </w:tr>
    </w:tbl>
    <w:p>
      <w:r>
        <w:rPr>
          <w:rFonts w:hint="eastAsia" w:ascii="宋体" w:hAnsi="宋体" w:eastAsia="宋体" w:cs="宋体"/>
        </w:rPr>
        <w:t>注：本表反映部门本年度“三公”经费支出预决算情况。其中：预算数为“三公”经费全年预算数，反映按规定程序调整后的预算数；决算数是包括当年一般公共预算财政拨款和以前年度结转资金安排的实际支出。</w:t>
      </w:r>
      <w:r>
        <w:rPr>
          <w:rFonts w:ascii="仿宋_GB2312" w:hAnsi="仿宋_GB2312" w:eastAsia="仿宋_GB2312" w:cs="仿宋_GB2312"/>
        </w:rPr>
        <w:tab/>
      </w:r>
      <w:r>
        <w:tab/>
      </w:r>
      <w:r>
        <w:tab/>
      </w:r>
      <w:r>
        <w:tab/>
      </w:r>
      <w:r>
        <w:tab/>
      </w:r>
      <w:r>
        <w:tab/>
      </w:r>
      <w:r>
        <w:tab/>
      </w:r>
      <w:r>
        <w:tab/>
      </w:r>
      <w:r>
        <w:tab/>
      </w:r>
      <w:r>
        <w:tab/>
      </w:r>
      <w:r>
        <w:tab/>
      </w:r>
      <w:r>
        <w:br w:type="page"/>
      </w:r>
    </w:p>
    <w:tbl>
      <w:tblPr>
        <w:tblStyle w:val="6"/>
        <w:tblW w:w="9510" w:type="dxa"/>
        <w:jc w:val="center"/>
        <w:tblLayout w:type="autofit"/>
        <w:tblCellMar>
          <w:top w:w="0" w:type="dxa"/>
          <w:left w:w="0" w:type="dxa"/>
          <w:bottom w:w="0" w:type="dxa"/>
          <w:right w:w="0" w:type="dxa"/>
        </w:tblCellMar>
      </w:tblPr>
      <w:tblGrid>
        <w:gridCol w:w="630"/>
        <w:gridCol w:w="36"/>
        <w:gridCol w:w="36"/>
        <w:gridCol w:w="1830"/>
        <w:gridCol w:w="1163"/>
        <w:gridCol w:w="1163"/>
        <w:gridCol w:w="1163"/>
        <w:gridCol w:w="1163"/>
        <w:gridCol w:w="1163"/>
        <w:gridCol w:w="1163"/>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08</w:t>
            </w:r>
            <w:r>
              <w:rPr>
                <w:rFonts w:hint="eastAsia" w:ascii="宋体" w:hAnsi="宋体" w:eastAsia="宋体" w:cs="宋体"/>
                <w:color w:val="000000"/>
                <w:kern w:val="0"/>
                <w:sz w:val="20"/>
                <w:szCs w:val="20"/>
              </w:rPr>
              <w:t>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lang w:val="en-US" w:eastAsia="zh-CN"/>
              </w:rPr>
              <w:t>遵化市科学技术协会</w:t>
            </w: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17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年初结转和结余</w:t>
            </w:r>
          </w:p>
        </w:tc>
        <w:tc>
          <w:tcPr>
            <w:tcW w:w="117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本年收入</w:t>
            </w:r>
          </w:p>
        </w:tc>
        <w:tc>
          <w:tcPr>
            <w:tcW w:w="3510"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c>
          <w:tcPr>
            <w:tcW w:w="117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年末结转和结余</w:t>
            </w:r>
          </w:p>
        </w:tc>
      </w:tr>
      <w:tr>
        <w:tblPrEx>
          <w:tblCellMar>
            <w:top w:w="0" w:type="dxa"/>
            <w:left w:w="0" w:type="dxa"/>
            <w:bottom w:w="0" w:type="dxa"/>
            <w:right w:w="0" w:type="dxa"/>
          </w:tblCellMar>
        </w:tblPrEx>
        <w:trPr>
          <w:trHeight w:val="312" w:hRule="atLeast"/>
          <w:jc w:val="center"/>
        </w:trPr>
        <w:tc>
          <w:tcPr>
            <w:tcW w:w="990"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0" w:type="auto"/>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1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7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17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117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c>
          <w:tcPr>
            <w:tcW w:w="11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12" w:hRule="atLeast"/>
          <w:jc w:val="center"/>
        </w:trPr>
        <w:tc>
          <w:tcPr>
            <w:tcW w:w="990"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12" w:hRule="atLeast"/>
          <w:jc w:val="center"/>
        </w:trPr>
        <w:tc>
          <w:tcPr>
            <w:tcW w:w="990"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bl>
    <w:p>
      <w:r>
        <w:br w:type="page"/>
      </w:r>
    </w:p>
    <w:tbl>
      <w:tblPr>
        <w:tblStyle w:val="6"/>
        <w:tblW w:w="9915" w:type="dxa"/>
        <w:jc w:val="center"/>
        <w:tblLayout w:type="autofit"/>
        <w:tblCellMar>
          <w:top w:w="0" w:type="dxa"/>
          <w:left w:w="0" w:type="dxa"/>
          <w:bottom w:w="0" w:type="dxa"/>
          <w:right w:w="0" w:type="dxa"/>
        </w:tblCellMar>
      </w:tblPr>
      <w:tblGrid>
        <w:gridCol w:w="1176"/>
        <w:gridCol w:w="67"/>
        <w:gridCol w:w="67"/>
        <w:gridCol w:w="4328"/>
        <w:gridCol w:w="878"/>
        <w:gridCol w:w="1699"/>
        <w:gridCol w:w="1700"/>
      </w:tblGrid>
      <w:tr>
        <w:tblPrEx>
          <w:tblCellMar>
            <w:top w:w="0" w:type="dxa"/>
            <w:left w:w="0" w:type="dxa"/>
            <w:bottom w:w="0" w:type="dxa"/>
            <w:right w:w="0" w:type="dxa"/>
          </w:tblCellMar>
        </w:tblPrEx>
        <w:trPr>
          <w:trHeight w:val="840" w:hRule="atLeast"/>
          <w:jc w:val="center"/>
        </w:trPr>
        <w:tc>
          <w:tcPr>
            <w:tcW w:w="9915" w:type="dxa"/>
            <w:gridSpan w:val="7"/>
            <w:tcBorders>
              <w:top w:val="nil"/>
              <w:left w:val="nil"/>
              <w:bottom w:val="nil"/>
              <w:right w:val="nil"/>
            </w:tcBorders>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国有资本经营预算财政拨款支出决算表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09</w:t>
            </w:r>
            <w:r>
              <w:rPr>
                <w:rFonts w:hint="eastAsia" w:ascii="宋体" w:hAnsi="宋体" w:eastAsia="宋体" w:cs="宋体"/>
                <w:color w:val="000000"/>
                <w:kern w:val="0"/>
                <w:sz w:val="20"/>
                <w:szCs w:val="20"/>
              </w:rPr>
              <w:t>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lang w:val="en-US" w:eastAsia="zh-CN"/>
              </w:rPr>
              <w:t>遵化市科学技术协会</w:t>
            </w: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w:t>
            </w:r>
          </w:p>
        </w:tc>
        <w:tc>
          <w:tcPr>
            <w:tcW w:w="0" w:type="auto"/>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r>
      <w:tr>
        <w:tblPrEx>
          <w:tblCellMar>
            <w:top w:w="0" w:type="dxa"/>
            <w:left w:w="0" w:type="dxa"/>
            <w:bottom w:w="0" w:type="dxa"/>
            <w:right w:w="0" w:type="dxa"/>
          </w:tblCellMar>
        </w:tblPrEx>
        <w:trPr>
          <w:trHeight w:val="615" w:hRule="atLeast"/>
          <w:jc w:val="center"/>
        </w:trPr>
        <w:tc>
          <w:tcPr>
            <w:tcW w:w="171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2805"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2805"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2805"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2805"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hAnsi="宋体" w:eastAsia="宋体" w:cs="宋体"/>
                <w:color w:val="000000"/>
                <w:sz w:val="22"/>
              </w:rPr>
            </w:pPr>
          </w:p>
        </w:tc>
        <w:tc>
          <w:tcPr>
            <w:tcW w:w="2805"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hAnsi="宋体" w:eastAsia="宋体" w:cs="宋体"/>
                <w:color w:val="000000"/>
                <w:sz w:val="22"/>
              </w:rPr>
            </w:pPr>
          </w:p>
        </w:tc>
      </w:tr>
    </w:tbl>
    <w:p>
      <w:r>
        <w:br w:type="page"/>
      </w:r>
    </w:p>
    <w:p>
      <w:r>
        <mc:AlternateContent>
          <mc:Choice Requires="wps">
            <w:drawing>
              <wp:anchor distT="0" distB="0" distL="114300" distR="114300" simplePos="0" relativeHeight="251671552" behindDoc="0" locked="0" layoutInCell="1" allowOverlap="1">
                <wp:simplePos x="0" y="0"/>
                <wp:positionH relativeFrom="column">
                  <wp:posOffset>-895350</wp:posOffset>
                </wp:positionH>
                <wp:positionV relativeFrom="paragraph">
                  <wp:posOffset>-1082675</wp:posOffset>
                </wp:positionV>
                <wp:extent cx="7557770" cy="10682605"/>
                <wp:effectExtent l="0" t="0" r="5080" b="4445"/>
                <wp:wrapNone/>
                <wp:docPr id="40" name="矩形 40"/>
                <wp:cNvGraphicFramePr/>
                <a:graphic xmlns:a="http://schemas.openxmlformats.org/drawingml/2006/main">
                  <a:graphicData uri="http://schemas.microsoft.com/office/word/2010/wordprocessingShape">
                    <wps:wsp>
                      <wps:cNvSpPr/>
                      <wps:spPr>
                        <a:xfrm>
                          <a:off x="937895" y="1169035"/>
                          <a:ext cx="7557770" cy="10682605"/>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5pt;margin-top:-85.25pt;height:841.15pt;width:595.1pt;z-index:251671552;v-text-anchor:middle;mso-width-relative:page;mso-height-relative:page;" fillcolor="#FFC000" filled="t" stroked="f" coordsize="21600,21600" o:gfxdata="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gm8tf3QAAAA8BAAAPAAAAAAAA&#10;AAEAIAAAACIAAABkcnMvZG93bnJldi54bWxQSwECFAAUAAAACACHTuJAVzmx2H8CAADoBAAADgAA&#10;AAAAAAABACAAAAAsAQAAZHJzL2Uyb0RvYy54bWxQSwUGAAAAAAYABgBZAQAAHQYAAAAA&#10;">
                <v:fill on="t" focussize="0,0"/>
                <v:stroke on="f" weight="1pt" miterlimit="8" joinstyle="miter"/>
                <v:imagedata o:title=""/>
                <o:lock v:ext="edit" aspectratio="f"/>
              </v:rect>
            </w:pict>
          </mc:Fallback>
        </mc:AlternateContent>
      </w:r>
    </w:p>
    <w:sectPr>
      <w:pgSz w:w="11906" w:h="16838"/>
      <w:pgMar w:top="1701" w:right="1417" w:bottom="1281" w:left="141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8777D0F5-062A-439A-84BE-5B8661D49882}"/>
  </w:font>
  <w:font w:name="黑体">
    <w:panose1 w:val="02010609060101010101"/>
    <w:charset w:val="86"/>
    <w:family w:val="auto"/>
    <w:pitch w:val="default"/>
    <w:sig w:usb0="800002BF" w:usb1="38CF7CFA" w:usb2="00000016" w:usb3="00000000" w:csb0="00040001" w:csb1="00000000"/>
    <w:embedRegular r:id="rId2" w:fontKey="{A1097165-FFDB-452F-A527-CB02F09EC21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C3D950F4-34CD-49E4-8A0D-19A3930CCC6A}"/>
  </w:font>
  <w:font w:name="等线">
    <w:altName w:val="宋体"/>
    <w:panose1 w:val="00000000000000000000"/>
    <w:charset w:val="86"/>
    <w:family w:val="auto"/>
    <w:pitch w:val="default"/>
    <w:sig w:usb0="00000000" w:usb1="00000000" w:usb2="00000010" w:usb3="00000000" w:csb0="00040000" w:csb1="00000000"/>
    <w:embedRegular r:id="rId4" w:fontKey="{C03FC10D-756C-4F3D-B0BF-5DC157162DA3}"/>
  </w:font>
  <w:font w:name="仿宋_GB2312">
    <w:panose1 w:val="02010609030101010101"/>
    <w:charset w:val="86"/>
    <w:family w:val="modern"/>
    <w:pitch w:val="default"/>
    <w:sig w:usb0="00000001" w:usb1="080E0000" w:usb2="00000000" w:usb3="00000000" w:csb0="00040000" w:csb1="00000000"/>
    <w:embedRegular r:id="rId5" w:fontKey="{774C0931-49A4-4D88-8B6D-ED956B696EF0}"/>
  </w:font>
  <w:font w:name="思源黑体 HW Bold">
    <w:altName w:val="黑体"/>
    <w:panose1 w:val="00000000000000000000"/>
    <w:charset w:val="86"/>
    <w:family w:val="swiss"/>
    <w:pitch w:val="default"/>
    <w:sig w:usb0="00000000" w:usb1="00000000" w:usb2="00000010" w:usb3="00000000" w:csb0="00040000" w:csb1="00000000"/>
    <w:embedRegular r:id="rId6" w:fontKey="{C0127893-79F5-4F7B-8501-AE394B1BAA45}"/>
  </w:font>
  <w:font w:name="楷体_GB2312">
    <w:altName w:val="楷体"/>
    <w:panose1 w:val="02010609030101010101"/>
    <w:charset w:val="86"/>
    <w:family w:val="modern"/>
    <w:pitch w:val="default"/>
    <w:sig w:usb0="00000000" w:usb1="00000000" w:usb2="00000010" w:usb3="00000000" w:csb0="00040000" w:csb1="00000000"/>
    <w:embedRegular r:id="rId7" w:fontKey="{C6920F3B-7A03-445F-A099-1CC944D6F766}"/>
  </w:font>
  <w:font w:name="楷体">
    <w:panose1 w:val="02010609060101010101"/>
    <w:charset w:val="86"/>
    <w:family w:val="auto"/>
    <w:pitch w:val="default"/>
    <w:sig w:usb0="800002BF" w:usb1="38CF7CFA" w:usb2="00000016" w:usb3="00000000" w:csb0="00040001" w:csb1="00000000"/>
  </w:font>
  <w:font w:name="Yu Gothic UI Semibold">
    <w:altName w:val="MS Gothic"/>
    <w:panose1 w:val="00000000000000000000"/>
    <w:charset w:val="80"/>
    <w:family w:val="swiss"/>
    <w:pitch w:val="default"/>
    <w:sig w:usb0="00000000" w:usb1="00000000" w:usb2="00000010" w:usb3="00000000" w:csb0="00020000" w:csb1="00000000"/>
    <w:embedRegular r:id="rId8" w:fontKey="{4123D507-23B0-43F8-85EB-F34925DF20DA}"/>
  </w:font>
  <w:font w:name="MS Gothic">
    <w:panose1 w:val="020B0609070205080204"/>
    <w:charset w:val="80"/>
    <w:family w:val="auto"/>
    <w:pitch w:val="default"/>
    <w:sig w:usb0="E00002FF" w:usb1="6AC7FDFB" w:usb2="00000012" w:usb3="00000000" w:csb0="4002009F" w:csb1="DFD70000"/>
  </w:font>
  <w:font w:name="方正仿宋简体">
    <w:panose1 w:val="03000509000000000000"/>
    <w:charset w:val="86"/>
    <w:family w:val="script"/>
    <w:pitch w:val="default"/>
    <w:sig w:usb0="00000001" w:usb1="080E0000" w:usb2="00000000" w:usb3="00000000" w:csb0="00040000" w:csb1="00000000"/>
    <w:embedRegular r:id="rId9" w:fontKey="{D05046A7-66ED-4DBD-957D-A2D57263112A}"/>
  </w:font>
  <w:font w:name="ArialUnicodeMS">
    <w:altName w:val="Malgun Gothic"/>
    <w:panose1 w:val="00000000000000000000"/>
    <w:charset w:val="81"/>
    <w:family w:val="auto"/>
    <w:pitch w:val="default"/>
    <w:sig w:usb0="00000000" w:usb1="00000000" w:usb2="00000010" w:usb3="00000000" w:csb0="00080000" w:csb1="00000000"/>
    <w:embedRegular r:id="rId10" w:fontKey="{748990A3-4CED-4A57-BB77-EEB2CEEA9B36}"/>
  </w:font>
  <w:font w:name="Malgun Gothic">
    <w:panose1 w:val="020B0503020000020004"/>
    <w:charset w:val="81"/>
    <w:family w:val="auto"/>
    <w:pitch w:val="default"/>
    <w:sig w:usb0="900002AF" w:usb1="01D77CFB" w:usb2="00000012" w:usb3="00000000" w:csb0="00080001" w:csb1="00000000"/>
  </w:font>
  <w:font w:name="Cambria">
    <w:panose1 w:val="02040503050406030204"/>
    <w:charset w:val="00"/>
    <w:family w:val="roman"/>
    <w:pitch w:val="default"/>
    <w:sig w:usb0="E00002FF" w:usb1="400004FF" w:usb2="00000000" w:usb3="00000000" w:csb0="2000019F" w:csb1="00000000"/>
    <w:embedRegular r:id="rId11" w:fontKey="{5EEA69FA-C459-4D61-BDFE-0EEF22C3E906}"/>
  </w:font>
  <w:font w:name="DengXian-Regular">
    <w:altName w:val="宋体"/>
    <w:panose1 w:val="00000000000000000000"/>
    <w:charset w:val="86"/>
    <w:family w:val="auto"/>
    <w:pitch w:val="default"/>
    <w:sig w:usb0="00000000" w:usb1="00000000" w:usb2="00000010" w:usb3="00000000" w:csb0="00040000" w:csb1="00000000"/>
    <w:embedRegular r:id="rId12" w:fontKey="{0563F22D-9FD6-4E8E-AD64-44B7C9FBF766}"/>
  </w:font>
  <w:font w:name="DengXian-Bold">
    <w:altName w:val="宋体"/>
    <w:panose1 w:val="00000000000000000000"/>
    <w:charset w:val="86"/>
    <w:family w:val="auto"/>
    <w:pitch w:val="default"/>
    <w:sig w:usb0="00000000" w:usb1="00000000" w:usb2="00000010" w:usb3="00000000" w:csb0="00040000" w:csb1="00000000"/>
    <w:embedRegular r:id="rId13" w:fontKey="{9B14DA62-E171-4CD9-B57C-049C8CEC2FE6}"/>
  </w:font>
  <w:font w:name="方正仿宋_GBK">
    <w:panose1 w:val="02000000000000000000"/>
    <w:charset w:val="86"/>
    <w:family w:val="script"/>
    <w:pitch w:val="default"/>
    <w:sig w:usb0="00000000" w:usb1="00000000" w:usb2="00000000" w:usb3="00000000" w:csb0="00000000" w:csb1="00000000"/>
    <w:embedRegular r:id="rId14" w:fontKey="{FAC71E64-1513-4454-9CFF-FA93B3672F9F}"/>
  </w:font>
  <w:font w:name="TimesNewRomanPSMT">
    <w:altName w:val="Arial"/>
    <w:panose1 w:val="00000000000000000000"/>
    <w:charset w:val="00"/>
    <w:family w:val="swiss"/>
    <w:pitch w:val="default"/>
    <w:sig w:usb0="00000000" w:usb1="00000000" w:usb2="00000000" w:usb3="00000000" w:csb0="00000001" w:csb1="00000000"/>
  </w:font>
  <w:font w:name="MS-UIGothic,Bold">
    <w:altName w:val="Malgun Gothic"/>
    <w:panose1 w:val="00000000000000000000"/>
    <w:charset w:val="81"/>
    <w:family w:val="auto"/>
    <w:pitch w:val="default"/>
    <w:sig w:usb0="00000000" w:usb1="00000000" w:usb2="00000010" w:usb3="00000000" w:csb0="00080000" w:csb1="00000000"/>
    <w:embedRegular r:id="rId15" w:fontKey="{2FADC756-FBC2-4C3B-81F0-FA6E6D8B8B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B2A564"/>
    <w:multiLevelType w:val="singleLevel"/>
    <w:tmpl w:val="A3B2A564"/>
    <w:lvl w:ilvl="0" w:tentative="0">
      <w:start w:val="1"/>
      <w:numFmt w:val="decimal"/>
      <w:suff w:val="nothing"/>
      <w:lvlText w:val="%1、"/>
      <w:lvlJc w:val="left"/>
    </w:lvl>
  </w:abstractNum>
  <w:abstractNum w:abstractNumId="1">
    <w:nsid w:val="259BF96C"/>
    <w:multiLevelType w:val="singleLevel"/>
    <w:tmpl w:val="259BF96C"/>
    <w:lvl w:ilvl="0" w:tentative="0">
      <w:start w:val="2"/>
      <w:numFmt w:val="chineseCounting"/>
      <w:suff w:val="nothing"/>
      <w:lvlText w:val="（%1）"/>
      <w:lvlJc w:val="left"/>
      <w:rPr>
        <w:rFonts w:hint="eastAsia"/>
      </w:rPr>
    </w:lvl>
  </w:abstractNum>
  <w:abstractNum w:abstractNumId="2">
    <w:nsid w:val="45DB9A87"/>
    <w:multiLevelType w:val="singleLevel"/>
    <w:tmpl w:val="45DB9A87"/>
    <w:lvl w:ilvl="0" w:tentative="0">
      <w:start w:val="3"/>
      <w:numFmt w:val="chineseCounting"/>
      <w:suff w:val="nothing"/>
      <w:lvlText w:val="（%1）"/>
      <w:lvlJc w:val="left"/>
      <w:rPr>
        <w:rFonts w:hint="eastAsia" w:cs="Times New Roman"/>
      </w:rPr>
    </w:lvl>
  </w:abstractNum>
  <w:abstractNum w:abstractNumId="3">
    <w:nsid w:val="59950409"/>
    <w:multiLevelType w:val="singleLevel"/>
    <w:tmpl w:val="59950409"/>
    <w:lvl w:ilvl="0" w:tentative="0">
      <w:start w:val="1"/>
      <w:numFmt w:val="decimal"/>
      <w:suff w:val="space"/>
      <w:lvlText w:val="%1."/>
      <w:lvlJc w:val="left"/>
      <w:rPr>
        <w:rFonts w:cs="Times New Roman"/>
      </w:rPr>
    </w:lvl>
  </w:abstractNum>
  <w:abstractNum w:abstractNumId="4">
    <w:nsid w:val="5F222FFA"/>
    <w:multiLevelType w:val="singleLevel"/>
    <w:tmpl w:val="5F222FFA"/>
    <w:lvl w:ilvl="0" w:tentative="0">
      <w:start w:val="1"/>
      <w:numFmt w:val="decimal"/>
      <w:suff w:val="nothing"/>
      <w:lvlText w:val="（%1）"/>
      <w:lvlJc w:val="left"/>
      <w:rPr>
        <w:rFonts w:cs="Times New Roman"/>
      </w:rPr>
    </w:lvl>
  </w:abstractNum>
  <w:abstractNum w:abstractNumId="5">
    <w:nsid w:val="78C1413D"/>
    <w:multiLevelType w:val="singleLevel"/>
    <w:tmpl w:val="78C1413D"/>
    <w:lvl w:ilvl="0" w:tentative="0">
      <w:start w:val="1"/>
      <w:numFmt w:val="decimal"/>
      <w:suff w:val="space"/>
      <w:lvlText w:val="%1."/>
      <w:lvlJc w:val="left"/>
      <w:rPr>
        <w:rFonts w:cs="Times New Roman"/>
      </w:rPr>
    </w:lvl>
  </w:abstractNum>
  <w:num w:numId="1">
    <w:abstractNumId w:val="5"/>
  </w:num>
  <w:num w:numId="2">
    <w:abstractNumId w:val="3"/>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AF1C96"/>
    <w:rsid w:val="0007063E"/>
    <w:rsid w:val="00073392"/>
    <w:rsid w:val="00073F4E"/>
    <w:rsid w:val="00086C89"/>
    <w:rsid w:val="000A39FB"/>
    <w:rsid w:val="00117746"/>
    <w:rsid w:val="00163F95"/>
    <w:rsid w:val="00180A9A"/>
    <w:rsid w:val="001829C0"/>
    <w:rsid w:val="00184809"/>
    <w:rsid w:val="00192112"/>
    <w:rsid w:val="001B0127"/>
    <w:rsid w:val="001C12D5"/>
    <w:rsid w:val="001C69F7"/>
    <w:rsid w:val="00247E5C"/>
    <w:rsid w:val="002650EC"/>
    <w:rsid w:val="002A6C46"/>
    <w:rsid w:val="002C19B5"/>
    <w:rsid w:val="00305E68"/>
    <w:rsid w:val="003A4EE8"/>
    <w:rsid w:val="00442CC2"/>
    <w:rsid w:val="00446244"/>
    <w:rsid w:val="00473C20"/>
    <w:rsid w:val="004D61CB"/>
    <w:rsid w:val="005011D6"/>
    <w:rsid w:val="00503F2E"/>
    <w:rsid w:val="00552226"/>
    <w:rsid w:val="00566120"/>
    <w:rsid w:val="00582E6D"/>
    <w:rsid w:val="005954D5"/>
    <w:rsid w:val="005A53FA"/>
    <w:rsid w:val="005D1293"/>
    <w:rsid w:val="006069EF"/>
    <w:rsid w:val="00644D5F"/>
    <w:rsid w:val="006727AD"/>
    <w:rsid w:val="00691425"/>
    <w:rsid w:val="006A516E"/>
    <w:rsid w:val="006B0830"/>
    <w:rsid w:val="00716E2B"/>
    <w:rsid w:val="00770F18"/>
    <w:rsid w:val="00773B74"/>
    <w:rsid w:val="0078290C"/>
    <w:rsid w:val="007A7966"/>
    <w:rsid w:val="007C06CA"/>
    <w:rsid w:val="008163FB"/>
    <w:rsid w:val="0082605B"/>
    <w:rsid w:val="00855C36"/>
    <w:rsid w:val="00857DBE"/>
    <w:rsid w:val="008701BC"/>
    <w:rsid w:val="00883D92"/>
    <w:rsid w:val="008A5362"/>
    <w:rsid w:val="008E54BB"/>
    <w:rsid w:val="008F21F1"/>
    <w:rsid w:val="008F221B"/>
    <w:rsid w:val="008F5A2D"/>
    <w:rsid w:val="00921602"/>
    <w:rsid w:val="00957EA1"/>
    <w:rsid w:val="00966E5B"/>
    <w:rsid w:val="009B4EF0"/>
    <w:rsid w:val="009D271F"/>
    <w:rsid w:val="00A30E36"/>
    <w:rsid w:val="00A929C2"/>
    <w:rsid w:val="00AD097F"/>
    <w:rsid w:val="00B844F4"/>
    <w:rsid w:val="00BA06A1"/>
    <w:rsid w:val="00BA770A"/>
    <w:rsid w:val="00C054DE"/>
    <w:rsid w:val="00C45032"/>
    <w:rsid w:val="00C679A9"/>
    <w:rsid w:val="00C7541C"/>
    <w:rsid w:val="00CC0FAA"/>
    <w:rsid w:val="00CD0736"/>
    <w:rsid w:val="00D1570F"/>
    <w:rsid w:val="00D32830"/>
    <w:rsid w:val="00DB7153"/>
    <w:rsid w:val="00DB7F05"/>
    <w:rsid w:val="00E028C3"/>
    <w:rsid w:val="00E14F77"/>
    <w:rsid w:val="00E3076B"/>
    <w:rsid w:val="00E36978"/>
    <w:rsid w:val="00E82A1E"/>
    <w:rsid w:val="00EC06F4"/>
    <w:rsid w:val="00EE4E36"/>
    <w:rsid w:val="00F665F4"/>
    <w:rsid w:val="00FD225F"/>
    <w:rsid w:val="0218789B"/>
    <w:rsid w:val="04AF4640"/>
    <w:rsid w:val="0EFF7502"/>
    <w:rsid w:val="110E2A52"/>
    <w:rsid w:val="11134578"/>
    <w:rsid w:val="12415AEC"/>
    <w:rsid w:val="12D877ED"/>
    <w:rsid w:val="1A103046"/>
    <w:rsid w:val="1CC43C1A"/>
    <w:rsid w:val="1DDF0ADB"/>
    <w:rsid w:val="229E0969"/>
    <w:rsid w:val="23CC25DC"/>
    <w:rsid w:val="24935073"/>
    <w:rsid w:val="25B561F3"/>
    <w:rsid w:val="28D179F8"/>
    <w:rsid w:val="2C087C79"/>
    <w:rsid w:val="2FA32B9E"/>
    <w:rsid w:val="31C2036A"/>
    <w:rsid w:val="320D02A5"/>
    <w:rsid w:val="32A44244"/>
    <w:rsid w:val="348E566F"/>
    <w:rsid w:val="376764DA"/>
    <w:rsid w:val="380B0B17"/>
    <w:rsid w:val="39880304"/>
    <w:rsid w:val="3A226944"/>
    <w:rsid w:val="3A583CA3"/>
    <w:rsid w:val="3AEE6A48"/>
    <w:rsid w:val="3B365748"/>
    <w:rsid w:val="3C1620AA"/>
    <w:rsid w:val="3D8F080F"/>
    <w:rsid w:val="40781CE8"/>
    <w:rsid w:val="419418DC"/>
    <w:rsid w:val="4270166C"/>
    <w:rsid w:val="42766767"/>
    <w:rsid w:val="44CE1FA4"/>
    <w:rsid w:val="487F73ED"/>
    <w:rsid w:val="4A347EAE"/>
    <w:rsid w:val="4EFB5758"/>
    <w:rsid w:val="4FC938FB"/>
    <w:rsid w:val="52600405"/>
    <w:rsid w:val="529B4319"/>
    <w:rsid w:val="52F10C94"/>
    <w:rsid w:val="57773DD6"/>
    <w:rsid w:val="578B79AB"/>
    <w:rsid w:val="5817762F"/>
    <w:rsid w:val="5BCE2508"/>
    <w:rsid w:val="5CCD3FD5"/>
    <w:rsid w:val="60D87F89"/>
    <w:rsid w:val="61FA5F9D"/>
    <w:rsid w:val="624D04A2"/>
    <w:rsid w:val="64CD6910"/>
    <w:rsid w:val="6789158D"/>
    <w:rsid w:val="67D81BA4"/>
    <w:rsid w:val="6A300493"/>
    <w:rsid w:val="6AAF1C96"/>
    <w:rsid w:val="6B5026E5"/>
    <w:rsid w:val="6C38797C"/>
    <w:rsid w:val="6FAC26B7"/>
    <w:rsid w:val="701D6C3E"/>
    <w:rsid w:val="70827742"/>
    <w:rsid w:val="72F44FA1"/>
    <w:rsid w:val="75681757"/>
    <w:rsid w:val="75A346A8"/>
    <w:rsid w:val="76745F8E"/>
    <w:rsid w:val="76D32A06"/>
    <w:rsid w:val="7750351B"/>
    <w:rsid w:val="79703ECC"/>
    <w:rsid w:val="79B9382C"/>
    <w:rsid w:val="7B043B76"/>
    <w:rsid w:val="7C041A6A"/>
    <w:rsid w:val="7E32757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9"/>
    <w:qFormat/>
    <w:uiPriority w:val="99"/>
    <w:pPr>
      <w:keepNext/>
      <w:keepLines/>
      <w:spacing w:before="340" w:after="330" w:line="578" w:lineRule="auto"/>
      <w:outlineLvl w:val="0"/>
    </w:pPr>
    <w:rPr>
      <w:b/>
      <w:bCs/>
      <w:kern w:val="44"/>
      <w:sz w:val="44"/>
      <w:szCs w:val="44"/>
    </w:rPr>
  </w:style>
  <w:style w:type="character" w:default="1" w:styleId="8">
    <w:name w:val="Default Paragraph Font"/>
    <w:semiHidden/>
    <w:uiPriority w:val="99"/>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0"/>
    <w:uiPriority w:val="99"/>
    <w:rPr>
      <w:rFonts w:ascii="仿宋_GB2312" w:hAnsi="仿宋_GB2312" w:eastAsia="仿宋_GB2312" w:cs="仿宋_GB2312"/>
      <w:sz w:val="32"/>
      <w:szCs w:val="32"/>
      <w:lang w:val="zh-CN"/>
    </w:rPr>
  </w:style>
  <w:style w:type="paragraph" w:styleId="4">
    <w:name w:val="footer"/>
    <w:basedOn w:val="1"/>
    <w:link w:val="11"/>
    <w:qFormat/>
    <w:uiPriority w:val="99"/>
    <w:pPr>
      <w:tabs>
        <w:tab w:val="center" w:pos="4153"/>
        <w:tab w:val="right" w:pos="8306"/>
      </w:tabs>
      <w:snapToGrid w:val="0"/>
      <w:jc w:val="left"/>
    </w:pPr>
    <w:rPr>
      <w:sz w:val="18"/>
      <w:szCs w:val="18"/>
    </w:rPr>
  </w:style>
  <w:style w:type="paragraph" w:styleId="5">
    <w:name w:val="header"/>
    <w:basedOn w:val="1"/>
    <w:link w:val="1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7">
    <w:name w:val="Table Grid"/>
    <w:basedOn w:val="6"/>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9">
    <w:name w:val="Heading 1 Char"/>
    <w:basedOn w:val="8"/>
    <w:link w:val="2"/>
    <w:qFormat/>
    <w:uiPriority w:val="9"/>
    <w:rPr>
      <w:rFonts w:ascii="等线" w:hAnsi="等线" w:eastAsia="等线"/>
      <w:b/>
      <w:bCs/>
      <w:kern w:val="44"/>
      <w:sz w:val="44"/>
      <w:szCs w:val="44"/>
    </w:rPr>
  </w:style>
  <w:style w:type="character" w:customStyle="1" w:styleId="10">
    <w:name w:val="Body Text Char"/>
    <w:basedOn w:val="8"/>
    <w:link w:val="3"/>
    <w:semiHidden/>
    <w:qFormat/>
    <w:uiPriority w:val="99"/>
    <w:rPr>
      <w:rFonts w:ascii="等线" w:hAnsi="等线" w:eastAsia="等线"/>
    </w:rPr>
  </w:style>
  <w:style w:type="character" w:customStyle="1" w:styleId="11">
    <w:name w:val="Footer Char"/>
    <w:basedOn w:val="8"/>
    <w:link w:val="4"/>
    <w:qFormat/>
    <w:locked/>
    <w:uiPriority w:val="99"/>
    <w:rPr>
      <w:rFonts w:cs="Times New Roman"/>
      <w:sz w:val="18"/>
      <w:szCs w:val="18"/>
    </w:rPr>
  </w:style>
  <w:style w:type="character" w:customStyle="1" w:styleId="12">
    <w:name w:val="Header Char"/>
    <w:basedOn w:val="8"/>
    <w:link w:val="5"/>
    <w:qFormat/>
    <w:locked/>
    <w:uiPriority w:val="99"/>
    <w:rPr>
      <w:rFonts w:ascii="等线" w:hAnsi="等线" w:eastAsia="等线" w:cs="Times New Roman"/>
      <w:sz w:val="18"/>
      <w:szCs w:val="18"/>
    </w:rPr>
  </w:style>
  <w:style w:type="paragraph" w:customStyle="1" w:styleId="13">
    <w:name w:val="List Paragraph1"/>
    <w:basedOn w:val="1"/>
    <w:qFormat/>
    <w:uiPriority w:val="99"/>
    <w:pPr>
      <w:spacing w:before="2"/>
      <w:ind w:left="119" w:right="434" w:firstLine="643"/>
    </w:pPr>
    <w:rPr>
      <w:rFonts w:ascii="仿宋_GB2312" w:hAnsi="仿宋_GB2312" w:eastAsia="仿宋_GB2312" w:cs="仿宋_GB231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2.bmp"/><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mingxin\AppData\Roaming\kingsoft\office6\templates\download\5185bd05-a416-9a0b-b3d5-d2d8db942b83\&#31616;&#32422;&#25991;&#26723;&#23553;&#38754;&#27169;&#26495;.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简约文档封面模板.docx</Template>
  <Pages>35</Pages>
  <Words>1664</Words>
  <Characters>9486</Characters>
  <Lines>0</Lines>
  <Paragraphs>0</Paragraphs>
  <TotalTime>1</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2020-07-29T09:42:00Z</dcterms:created>
  <dc:creator>王明新TIAD</dc:creator>
  <cp:lastModifiedBy>orange</cp:lastModifiedBy>
  <cp:lastPrinted>2020-07-30T02:37:00Z</cp:lastPrinted>
  <dcterms:modified xsi:type="dcterms:W3CDTF">2021-05-15T05:52:20Z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303640454_stopsync</vt:lpwstr>
  </property>
  <property fmtid="{D5CDD505-2E9C-101B-9397-08002B2CF9AE}" pid="4" name="ICV">
    <vt:lpwstr>24DE012600864B959EC33927FAEE6795</vt:lpwstr>
  </property>
</Properties>
</file>