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r>
        <w:rPr>
          <w:rFonts w:ascii="方正小标宋_GBK" w:hAnsi="方正小标宋_GBK" w:eastAsia="方正小标宋_GBK" w:cs="方正小标宋_GBK"/>
          <w:color w:val="000000"/>
          <w:sz w:val="72"/>
        </w:rPr>
        <w:t>遵化市汤泉满族乡人民政府</w:t>
      </w:r>
    </w:p>
    <w:p>
      <w:pPr>
        <w:jc w:val="center"/>
      </w:pPr>
      <w:r>
        <w:rPr>
          <w:rFonts w:ascii="方正小标宋_GBK" w:hAnsi="方正小标宋_GBK" w:eastAsia="方正小标宋_GBK" w:cs="方正小标宋_GBK"/>
          <w:color w:val="000000"/>
          <w:sz w:val="72"/>
        </w:rPr>
        <w:t>2023年部门预算</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eastAsia="方正楷体_GBK" w:cs="Times New Roman"/>
          <w:b/>
          <w:color w:val="000000"/>
          <w:sz w:val="32"/>
        </w:rPr>
        <w:t>遵化市汤泉满族乡人民政府编制</w:t>
      </w:r>
    </w:p>
    <w:p>
      <w:pPr>
        <w:jc w:val="center"/>
        <w:sectPr>
          <w:pgSz w:w="11900" w:h="16840"/>
          <w:pgMar w:top="1587" w:right="1134" w:bottom="1361" w:left="1134" w:header="720" w:footer="720" w:gutter="0"/>
          <w:cols w:space="720" w:num="1"/>
          <w:titlePg/>
        </w:sectPr>
      </w:pPr>
      <w:r>
        <w:rPr>
          <w:rFonts w:eastAsia="方正楷体_GBK" w:cs="Times New Roman"/>
          <w:b/>
          <w:color w:val="000000"/>
          <w:sz w:val="32"/>
        </w:rPr>
        <w:t>遵化市财政局审核</w:t>
      </w:r>
    </w:p>
    <w:p>
      <w:pPr>
        <w:jc w:val="center"/>
        <w:sectPr>
          <w:pgSz w:w="11900" w:h="16840"/>
          <w:pgMar w:top="1531" w:right="1134" w:bottom="1474" w:left="1134" w:header="720" w:footer="720" w:gutter="0"/>
          <w:cols w:space="720" w:num="1"/>
          <w:titlePg/>
        </w:sectPr>
      </w:pPr>
    </w:p>
    <w:p>
      <w:pPr>
        <w:jc w:val="center"/>
      </w:pPr>
    </w:p>
    <w:p>
      <w:pPr>
        <w:spacing w:before="0" w:after="0" w:line="240" w:lineRule="auto"/>
        <w:ind w:firstLine="0"/>
        <w:jc w:val="center"/>
        <w:outlineLvl w:val="0"/>
        <w:rPr>
          <w:rFonts w:hint="eastAsia" w:ascii="黑体" w:hAnsi="黑体" w:eastAsia="黑体" w:cs="黑体"/>
          <w:color w:val="000000"/>
          <w:sz w:val="36"/>
        </w:rPr>
      </w:pPr>
      <w:r>
        <w:rPr>
          <w:rFonts w:hint="eastAsia" w:ascii="黑体" w:hAnsi="黑体" w:eastAsia="黑体" w:cs="黑体"/>
          <w:color w:val="000000"/>
          <w:sz w:val="36"/>
        </w:rPr>
        <w:t>目    录</w:t>
      </w:r>
    </w:p>
    <w:p>
      <w:pPr>
        <w:jc w:val="center"/>
      </w:pPr>
    </w:p>
    <w:p>
      <w:pPr>
        <w:spacing w:before="0" w:after="0" w:line="360" w:lineRule="auto"/>
        <w:ind w:firstLine="0"/>
        <w:jc w:val="center"/>
        <w:outlineLvl w:val="9"/>
        <w:rPr>
          <w:rFonts w:hint="eastAsia" w:ascii="黑体" w:hAnsi="黑体" w:eastAsia="黑体" w:cs="黑体"/>
          <w:color w:val="000000"/>
          <w:sz w:val="30"/>
        </w:rPr>
      </w:pPr>
      <w:r>
        <w:rPr>
          <w:rFonts w:hint="eastAsia" w:ascii="方正小标宋_GBK" w:hAnsi="方正小标宋_GBK" w:eastAsia="方正小标宋_GBK" w:cs="方正小标宋_GBK"/>
          <w:color w:val="000000"/>
          <w:sz w:val="30"/>
        </w:rPr>
        <w:t>第一部分 部门预算情况</w:t>
      </w:r>
    </w:p>
    <w:p>
      <w:pPr>
        <w:pStyle w:val="6"/>
        <w:tabs>
          <w:tab w:val="right" w:leader="dot" w:pos="9622"/>
        </w:tabs>
        <w:spacing w:line="240" w:lineRule="auto"/>
        <w:ind w:firstLine="0"/>
        <w:rPr>
          <w:rFonts w:hint="eastAsia"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"2-2" \h \z \u</w:instrText>
      </w:r>
      <w:r>
        <w:rPr>
          <w:rFonts w:ascii="Times New Roman" w:hAnsi="Times New Roman" w:cs="Times New Roman"/>
        </w:rPr>
        <w:fldChar w:fldCharType="separate"/>
      </w: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"_Toc_2_2_0000000001" </w:instrText>
      </w:r>
      <w:r>
        <w:rPr>
          <w:rFonts w:hint="eastAsia" w:ascii="Times New Roman" w:hAnsi="Times New Roman" w:cs="Times New Roman"/>
        </w:rPr>
        <w:fldChar w:fldCharType="separate"/>
      </w:r>
      <w:r>
        <w:rPr>
          <w:rFonts w:hint="eastAsia" w:ascii="Times New Roman" w:hAnsi="Times New Roman" w:cs="Times New Roman"/>
        </w:rPr>
        <w:t>部 门 职 责</w:t>
      </w:r>
      <w:r>
        <w:rPr>
          <w:rFonts w:hint="eastAsia" w:ascii="Times New Roman" w:hAnsi="Times New Roman" w:cs="Times New Roman"/>
        </w:rPr>
        <w:tab/>
      </w:r>
      <w:r>
        <w:rPr>
          <w:rFonts w:hint="eastAsia" w:ascii="Times New Roman" w:hAnsi="Times New Roman" w:cs="Times New Roman"/>
        </w:rPr>
        <w:fldChar w:fldCharType="begin"/>
      </w:r>
      <w:r>
        <w:rPr>
          <w:rFonts w:hint="eastAsia" w:ascii="Times New Roman" w:hAnsi="Times New Roman" w:cs="Times New Roman"/>
        </w:rPr>
        <w:instrText xml:space="preserve">PAGEREF _Toc_2_2_0000000001 \h</w:instrText>
      </w:r>
      <w:r>
        <w:rPr>
          <w:rFonts w:hint="eastAsia" w:ascii="Times New Roman" w:hAnsi="Times New Roman" w:cs="Times New Roman"/>
        </w:rPr>
        <w:fldChar w:fldCharType="separate"/>
      </w:r>
      <w:r>
        <w:rPr>
          <w:rFonts w:hint="eastAsia" w:ascii="Times New Roman" w:hAnsi="Times New Roman" w:cs="Times New Roman"/>
        </w:rPr>
        <w:t>1</w:t>
      </w:r>
      <w:r>
        <w:rPr>
          <w:rFonts w:hint="eastAsia" w:ascii="Times New Roman" w:hAnsi="Times New Roman" w:cs="Times New Roman"/>
        </w:rPr>
        <w:fldChar w:fldCharType="end"/>
      </w:r>
      <w:r>
        <w:rPr>
          <w:rFonts w:hint="eastAsia" w:ascii="Times New Roman" w:hAnsi="Times New Roman" w:cs="Times New Roman"/>
        </w:rPr>
        <w:fldChar w:fldCharType="end"/>
      </w:r>
    </w:p>
    <w:p>
      <w:pPr>
        <w:pStyle w:val="6"/>
        <w:tabs>
          <w:tab w:val="right" w:leader="dot" w:pos="9622"/>
        </w:tabs>
        <w:spacing w:line="240" w:lineRule="auto"/>
        <w:ind w:firstLine="0"/>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"_Toc_2_2_0000000002" </w:instrText>
      </w:r>
      <w:r>
        <w:rPr>
          <w:rFonts w:hint="eastAsia" w:ascii="Times New Roman" w:hAnsi="Times New Roman" w:cs="Times New Roman"/>
        </w:rPr>
        <w:fldChar w:fldCharType="separate"/>
      </w:r>
      <w:r>
        <w:rPr>
          <w:rFonts w:hint="eastAsia" w:ascii="Times New Roman" w:hAnsi="Times New Roman" w:cs="Times New Roman"/>
        </w:rPr>
        <w:t>部门收支预算总表</w:t>
      </w:r>
      <w:r>
        <w:rPr>
          <w:rFonts w:hint="eastAsia" w:ascii="Times New Roman" w:hAnsi="Times New Roman" w:cs="Times New Roman"/>
        </w:rPr>
        <w:tab/>
      </w:r>
      <w:r>
        <w:rPr>
          <w:rFonts w:hint="eastAsia" w:ascii="Times New Roman" w:hAnsi="Times New Roman" w:cs="Times New Roman"/>
        </w:rPr>
        <w:fldChar w:fldCharType="begin"/>
      </w:r>
      <w:r>
        <w:rPr>
          <w:rFonts w:hint="eastAsia" w:ascii="Times New Roman" w:hAnsi="Times New Roman" w:cs="Times New Roman"/>
        </w:rPr>
        <w:instrText xml:space="preserve">PAGEREF _Toc_2_2_0000000002 \h</w:instrText>
      </w:r>
      <w:r>
        <w:rPr>
          <w:rFonts w:hint="eastAsia" w:ascii="Times New Roman" w:hAnsi="Times New Roman" w:cs="Times New Roman"/>
        </w:rPr>
        <w:fldChar w:fldCharType="separate"/>
      </w:r>
      <w:r>
        <w:rPr>
          <w:rFonts w:hint="eastAsia" w:ascii="Times New Roman" w:hAnsi="Times New Roman" w:cs="Times New Roman"/>
        </w:rPr>
        <w:t>3</w:t>
      </w:r>
      <w:r>
        <w:rPr>
          <w:rFonts w:hint="eastAsia" w:ascii="Times New Roman" w:hAnsi="Times New Roman" w:cs="Times New Roman"/>
        </w:rPr>
        <w:fldChar w:fldCharType="end"/>
      </w:r>
      <w:r>
        <w:rPr>
          <w:rFonts w:hint="eastAsia" w:ascii="Times New Roman" w:hAnsi="Times New Roman" w:cs="Times New Roman"/>
        </w:rPr>
        <w:fldChar w:fldCharType="end"/>
      </w:r>
    </w:p>
    <w:p>
      <w:pPr>
        <w:pStyle w:val="6"/>
        <w:tabs>
          <w:tab w:val="right" w:leader="dot" w:pos="9622"/>
        </w:tabs>
        <w:spacing w:line="240" w:lineRule="auto"/>
        <w:ind w:firstLine="0"/>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"_Toc_2_2_0000000003" </w:instrText>
      </w:r>
      <w:r>
        <w:rPr>
          <w:rFonts w:hint="eastAsia" w:ascii="Times New Roman" w:hAnsi="Times New Roman" w:cs="Times New Roman"/>
        </w:rPr>
        <w:fldChar w:fldCharType="separate"/>
      </w:r>
      <w:r>
        <w:rPr>
          <w:rFonts w:hint="eastAsia" w:ascii="Times New Roman" w:hAnsi="Times New Roman" w:cs="Times New Roman"/>
        </w:rPr>
        <w:t>部门基本支出预算</w:t>
      </w:r>
      <w:r>
        <w:rPr>
          <w:rFonts w:hint="eastAsia" w:ascii="Times New Roman" w:hAnsi="Times New Roman" w:cs="Times New Roman"/>
        </w:rPr>
        <w:tab/>
      </w:r>
      <w:r>
        <w:rPr>
          <w:rFonts w:hint="eastAsia" w:ascii="Times New Roman" w:hAnsi="Times New Roman" w:cs="Times New Roman"/>
        </w:rPr>
        <w:fldChar w:fldCharType="begin"/>
      </w:r>
      <w:r>
        <w:rPr>
          <w:rFonts w:hint="eastAsia" w:ascii="Times New Roman" w:hAnsi="Times New Roman" w:cs="Times New Roman"/>
        </w:rPr>
        <w:instrText xml:space="preserve">PAGEREF _Toc_2_2_0000000003 \h</w:instrText>
      </w:r>
      <w:r>
        <w:rPr>
          <w:rFonts w:hint="eastAsia" w:ascii="Times New Roman" w:hAnsi="Times New Roman" w:cs="Times New Roman"/>
        </w:rPr>
        <w:fldChar w:fldCharType="separate"/>
      </w:r>
      <w:r>
        <w:rPr>
          <w:rFonts w:hint="eastAsia" w:ascii="Times New Roman" w:hAnsi="Times New Roman" w:cs="Times New Roman"/>
        </w:rPr>
        <w:t>5</w:t>
      </w:r>
      <w:r>
        <w:rPr>
          <w:rFonts w:hint="eastAsia" w:ascii="Times New Roman" w:hAnsi="Times New Roman" w:cs="Times New Roman"/>
        </w:rPr>
        <w:fldChar w:fldCharType="end"/>
      </w:r>
      <w:r>
        <w:rPr>
          <w:rFonts w:hint="eastAsia" w:ascii="Times New Roman" w:hAnsi="Times New Roman" w:cs="Times New Roman"/>
        </w:rPr>
        <w:fldChar w:fldCharType="end"/>
      </w:r>
    </w:p>
    <w:p>
      <w:pPr>
        <w:pStyle w:val="6"/>
        <w:tabs>
          <w:tab w:val="right" w:leader="dot" w:pos="9622"/>
        </w:tabs>
        <w:spacing w:line="240" w:lineRule="auto"/>
        <w:ind w:firstLine="0"/>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"_Toc_2_2_0000000004" </w:instrText>
      </w:r>
      <w:r>
        <w:rPr>
          <w:rFonts w:hint="eastAsia" w:ascii="Times New Roman" w:hAnsi="Times New Roman" w:cs="Times New Roman"/>
        </w:rPr>
        <w:fldChar w:fldCharType="separate"/>
      </w:r>
      <w:r>
        <w:rPr>
          <w:rFonts w:hint="eastAsia" w:ascii="Times New Roman" w:hAnsi="Times New Roman" w:cs="Times New Roman"/>
        </w:rPr>
        <w:t>部门项目支出预算</w:t>
      </w:r>
      <w:r>
        <w:rPr>
          <w:rFonts w:hint="eastAsia" w:ascii="Times New Roman" w:hAnsi="Times New Roman" w:cs="Times New Roman"/>
        </w:rPr>
        <w:tab/>
      </w:r>
      <w:r>
        <w:rPr>
          <w:rFonts w:hint="eastAsia" w:ascii="Times New Roman" w:hAnsi="Times New Roman" w:cs="Times New Roman"/>
        </w:rPr>
        <w:fldChar w:fldCharType="begin"/>
      </w:r>
      <w:r>
        <w:rPr>
          <w:rFonts w:hint="eastAsia" w:ascii="Times New Roman" w:hAnsi="Times New Roman" w:cs="Times New Roman"/>
        </w:rPr>
        <w:instrText xml:space="preserve">PAGEREF _Toc_2_2_0000000004 \h</w:instrText>
      </w:r>
      <w:r>
        <w:rPr>
          <w:rFonts w:hint="eastAsia" w:ascii="Times New Roman" w:hAnsi="Times New Roman" w:cs="Times New Roman"/>
        </w:rPr>
        <w:fldChar w:fldCharType="separate"/>
      </w:r>
      <w:r>
        <w:rPr>
          <w:rFonts w:hint="eastAsia" w:ascii="Times New Roman" w:hAnsi="Times New Roman" w:cs="Times New Roman"/>
        </w:rPr>
        <w:t>1</w:t>
      </w:r>
      <w:r>
        <w:rPr>
          <w:rFonts w:hint="eastAsia" w:ascii="Times New Roman" w:hAnsi="Times New Roman" w:cs="Times New Roman"/>
          <w:lang w:val="en-US" w:eastAsia="zh-CN"/>
        </w:rPr>
        <w:t>7</w:t>
      </w:r>
      <w:r>
        <w:rPr>
          <w:rFonts w:hint="eastAsia" w:ascii="Times New Roman" w:hAnsi="Times New Roman" w:cs="Times New Roman"/>
        </w:rPr>
        <w:fldChar w:fldCharType="end"/>
      </w:r>
      <w:r>
        <w:rPr>
          <w:rFonts w:hint="eastAsia" w:ascii="Times New Roman" w:hAnsi="Times New Roman" w:cs="Times New Roman"/>
        </w:rPr>
        <w:fldChar w:fldCharType="end"/>
      </w:r>
    </w:p>
    <w:p>
      <w:pPr>
        <w:pStyle w:val="6"/>
        <w:tabs>
          <w:tab w:val="right" w:leader="dot" w:pos="9622"/>
        </w:tabs>
        <w:spacing w:line="240" w:lineRule="auto"/>
        <w:ind w:firstLine="0"/>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"_Toc_2_2_0000000005" </w:instrText>
      </w:r>
      <w:r>
        <w:rPr>
          <w:rFonts w:hint="eastAsia" w:ascii="Times New Roman" w:hAnsi="Times New Roman" w:cs="Times New Roman"/>
        </w:rPr>
        <w:fldChar w:fldCharType="separate"/>
      </w:r>
      <w:r>
        <w:rPr>
          <w:rFonts w:hint="eastAsia" w:ascii="Times New Roman" w:hAnsi="Times New Roman" w:cs="Times New Roman"/>
        </w:rPr>
        <w:t>部门预算政府经济分类表</w:t>
      </w:r>
      <w:r>
        <w:rPr>
          <w:rFonts w:hint="eastAsia" w:ascii="Times New Roman" w:hAnsi="Times New Roman" w:cs="Times New Roman"/>
        </w:rPr>
        <w:tab/>
      </w:r>
      <w:r>
        <w:rPr>
          <w:rFonts w:hint="eastAsia" w:ascii="Times New Roman" w:hAnsi="Times New Roman" w:cs="Times New Roman"/>
        </w:rPr>
        <w:fldChar w:fldCharType="begin"/>
      </w:r>
      <w:r>
        <w:rPr>
          <w:rFonts w:hint="eastAsia" w:ascii="Times New Roman" w:hAnsi="Times New Roman" w:cs="Times New Roman"/>
        </w:rPr>
        <w:instrText xml:space="preserve">PAGEREF _Toc_2_2_0000000005 \h</w:instrText>
      </w:r>
      <w:r>
        <w:rPr>
          <w:rFonts w:hint="eastAsia" w:ascii="Times New Roman" w:hAnsi="Times New Roman" w:cs="Times New Roman"/>
        </w:rPr>
        <w:fldChar w:fldCharType="separate"/>
      </w:r>
      <w:r>
        <w:rPr>
          <w:rFonts w:hint="eastAsia" w:ascii="Times New Roman" w:hAnsi="Times New Roman" w:cs="Times New Roman"/>
        </w:rPr>
        <w:t>1</w:t>
      </w:r>
      <w:r>
        <w:rPr>
          <w:rFonts w:hint="eastAsia" w:ascii="Times New Roman" w:hAnsi="Times New Roman" w:cs="Times New Roman"/>
          <w:lang w:val="en-US" w:eastAsia="zh-CN"/>
        </w:rPr>
        <w:t>8</w:t>
      </w:r>
      <w:r>
        <w:rPr>
          <w:rFonts w:hint="eastAsia" w:ascii="Times New Roman" w:hAnsi="Times New Roman" w:cs="Times New Roman"/>
        </w:rPr>
        <w:fldChar w:fldCharType="end"/>
      </w:r>
      <w:r>
        <w:rPr>
          <w:rFonts w:hint="eastAsia" w:ascii="Times New Roman" w:hAnsi="Times New Roman" w:cs="Times New Roman"/>
        </w:rPr>
        <w:fldChar w:fldCharType="end"/>
      </w:r>
    </w:p>
    <w:p>
      <w:pPr>
        <w:pStyle w:val="6"/>
        <w:tabs>
          <w:tab w:val="right" w:leader="dot" w:pos="9622"/>
        </w:tabs>
        <w:spacing w:line="240" w:lineRule="auto"/>
        <w:ind w:firstLine="0"/>
        <w:rPr>
          <w:rFonts w:hint="eastAsia" w:ascii="Times New Roman" w:hAnsi="Times New Roman" w:cs="Times New Roman"/>
          <w:lang w:val="en-US" w:eastAsia="zh-C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"_Toc_2_2_0000000006" </w:instrText>
      </w:r>
      <w:r>
        <w:rPr>
          <w:rFonts w:hint="eastAsia" w:ascii="Times New Roman" w:hAnsi="Times New Roman" w:cs="Times New Roman"/>
        </w:rPr>
        <w:fldChar w:fldCharType="separate"/>
      </w:r>
      <w:r>
        <w:rPr>
          <w:rFonts w:hint="eastAsia" w:ascii="Times New Roman" w:hAnsi="Times New Roman" w:cs="Times New Roman"/>
        </w:rPr>
        <w:t>部门“三公”及会议培训经费预算</w:t>
      </w:r>
      <w:r>
        <w:rPr>
          <w:rFonts w:hint="eastAsia" w:ascii="Times New Roman" w:hAnsi="Times New Roman" w:cs="Times New Roman"/>
        </w:rPr>
        <w:tab/>
      </w:r>
      <w:r>
        <w:rPr>
          <w:rFonts w:hint="eastAsia" w:ascii="Times New Roman" w:hAnsi="Times New Roman" w:cs="Times New Roman"/>
          <w:lang w:val="en-US" w:eastAsia="zh-CN"/>
        </w:rPr>
        <w:t>2</w:t>
      </w:r>
      <w:r>
        <w:rPr>
          <w:rFonts w:hint="eastAsia" w:ascii="Times New Roman" w:hAnsi="Times New Roman" w:cs="Times New Roman"/>
        </w:rPr>
        <w:fldChar w:fldCharType="end"/>
      </w:r>
      <w:r>
        <w:rPr>
          <w:rFonts w:hint="eastAsia" w:ascii="Times New Roman" w:hAnsi="Times New Roman" w:cs="Times New Roman"/>
          <w:lang w:val="en-US" w:eastAsia="zh-CN"/>
        </w:rPr>
        <w:t>0</w:t>
      </w:r>
    </w:p>
    <w:p>
      <w:pPr>
        <w:pStyle w:val="6"/>
        <w:tabs>
          <w:tab w:val="right" w:leader="dot" w:pos="9622"/>
        </w:tabs>
        <w:spacing w:line="240" w:lineRule="auto"/>
        <w:ind w:firstLine="0"/>
        <w:rPr>
          <w:rFonts w:hint="eastAsia" w:ascii="Times New Roman" w:hAnsi="Times New Roman" w:cs="Times New Roman"/>
          <w:lang w:val="en-US" w:eastAsia="zh-C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"_Toc_2_2_0000000007" </w:instrText>
      </w:r>
      <w:r>
        <w:rPr>
          <w:rFonts w:hint="eastAsia" w:ascii="Times New Roman" w:hAnsi="Times New Roman" w:cs="Times New Roman"/>
        </w:rPr>
        <w:fldChar w:fldCharType="separate"/>
      </w:r>
      <w:r>
        <w:rPr>
          <w:rFonts w:hint="eastAsia" w:ascii="Times New Roman" w:hAnsi="Times New Roman" w:cs="Times New Roman"/>
        </w:rPr>
        <w:t>部门政府采购预算</w:t>
      </w:r>
      <w:r>
        <w:rPr>
          <w:rFonts w:hint="eastAsia" w:ascii="Times New Roman" w:hAnsi="Times New Roman" w:cs="Times New Roman"/>
        </w:rPr>
        <w:tab/>
      </w:r>
      <w:r>
        <w:rPr>
          <w:rFonts w:hint="eastAsia" w:ascii="Times New Roman" w:hAnsi="Times New Roman" w:cs="Times New Roman"/>
          <w:lang w:val="en-US" w:eastAsia="zh-CN"/>
        </w:rPr>
        <w:t>2</w:t>
      </w:r>
      <w:r>
        <w:rPr>
          <w:rFonts w:hint="eastAsia" w:ascii="Times New Roman" w:hAnsi="Times New Roman" w:cs="Times New Roman"/>
        </w:rPr>
        <w:fldChar w:fldCharType="end"/>
      </w:r>
      <w:r>
        <w:rPr>
          <w:rFonts w:hint="eastAsia" w:ascii="Times New Roman" w:hAnsi="Times New Roman" w:cs="Times New Roman"/>
          <w:lang w:val="en-US" w:eastAsia="zh-CN"/>
        </w:rPr>
        <w:t>1</w:t>
      </w:r>
    </w:p>
    <w:p>
      <w:pPr>
        <w:pStyle w:val="6"/>
        <w:tabs>
          <w:tab w:val="right" w:leader="dot" w:pos="9622"/>
        </w:tabs>
        <w:spacing w:line="240" w:lineRule="auto"/>
        <w:ind w:firstLine="0"/>
        <w:rPr>
          <w:rFonts w:hint="eastAsia" w:ascii="Times New Roman" w:hAnsi="Times New Roman" w:cs="Times New Roman"/>
          <w:lang w:val="en-US" w:eastAsia="zh-C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"_Toc_2_2_0000000008" </w:instrText>
      </w:r>
      <w:r>
        <w:rPr>
          <w:rFonts w:hint="eastAsia" w:ascii="Times New Roman" w:hAnsi="Times New Roman" w:cs="Times New Roman"/>
        </w:rPr>
        <w:fldChar w:fldCharType="separate"/>
      </w:r>
      <w:r>
        <w:rPr>
          <w:rFonts w:hint="eastAsia" w:ascii="Times New Roman" w:hAnsi="Times New Roman" w:cs="Times New Roman"/>
        </w:rPr>
        <w:t>部门组织政府非税收入计划</w:t>
      </w:r>
      <w:r>
        <w:rPr>
          <w:rFonts w:hint="eastAsia" w:ascii="Times New Roman" w:hAnsi="Times New Roman" w:cs="Times New Roman"/>
        </w:rPr>
        <w:tab/>
      </w:r>
      <w:r>
        <w:rPr>
          <w:rFonts w:hint="eastAsia" w:ascii="Times New Roman" w:hAnsi="Times New Roman" w:cs="Times New Roman"/>
          <w:lang w:val="en-US" w:eastAsia="zh-CN"/>
        </w:rPr>
        <w:t>2</w:t>
      </w:r>
      <w:r>
        <w:rPr>
          <w:rFonts w:hint="eastAsia" w:ascii="Times New Roman" w:hAnsi="Times New Roman" w:cs="Times New Roman"/>
        </w:rPr>
        <w:fldChar w:fldCharType="end"/>
      </w:r>
      <w:r>
        <w:rPr>
          <w:rFonts w:hint="eastAsia" w:ascii="Times New Roman" w:hAnsi="Times New Roman" w:cs="Times New Roman"/>
          <w:lang w:val="en-US" w:eastAsia="zh-CN"/>
        </w:rPr>
        <w:t>2</w:t>
      </w:r>
    </w:p>
    <w:p>
      <w:pPr>
        <w:pStyle w:val="6"/>
        <w:tabs>
          <w:tab w:val="right" w:leader="dot" w:pos="9622"/>
        </w:tabs>
        <w:spacing w:line="240" w:lineRule="auto"/>
        <w:ind w:firstLine="0"/>
        <w:rPr>
          <w:rFonts w:hint="eastAsia" w:ascii="Times New Roman" w:hAnsi="Times New Roman" w:cs="Times New Roman"/>
          <w:lang w:val="en-US" w:eastAsia="zh-CN"/>
        </w:rPr>
      </w:pPr>
      <w:r>
        <w:rPr>
          <w:rFonts w:hint="eastAsia" w:ascii="Times New Roman" w:hAnsi="Times New Roman" w:cs="Times New Roman"/>
        </w:rPr>
        <w:fldChar w:fldCharType="begin"/>
      </w:r>
      <w:r>
        <w:rPr>
          <w:rFonts w:hint="eastAsia" w:ascii="Times New Roman" w:hAnsi="Times New Roman" w:cs="Times New Roman"/>
        </w:rPr>
        <w:instrText xml:space="preserve"> HYPERLINK \l "_Toc_2_2_0000000009" </w:instrText>
      </w:r>
      <w:r>
        <w:rPr>
          <w:rFonts w:hint="eastAsia" w:ascii="Times New Roman" w:hAnsi="Times New Roman" w:cs="Times New Roman"/>
        </w:rPr>
        <w:fldChar w:fldCharType="separate"/>
      </w:r>
      <w:r>
        <w:rPr>
          <w:rFonts w:hint="eastAsia" w:ascii="Times New Roman" w:hAnsi="Times New Roman" w:cs="Times New Roman"/>
        </w:rPr>
        <w:t>部门基本情况表</w:t>
      </w:r>
      <w:r>
        <w:rPr>
          <w:rFonts w:hint="eastAsia" w:ascii="Times New Roman" w:hAnsi="Times New Roman" w:cs="Times New Roman"/>
        </w:rPr>
        <w:tab/>
      </w:r>
      <w:r>
        <w:rPr>
          <w:rFonts w:hint="eastAsia" w:ascii="Times New Roman" w:hAnsi="Times New Roman" w:cs="Times New Roman"/>
          <w:lang w:val="en-US" w:eastAsia="zh-CN"/>
        </w:rPr>
        <w:t>2</w:t>
      </w:r>
      <w:r>
        <w:rPr>
          <w:rFonts w:hint="eastAsia" w:ascii="Times New Roman" w:hAnsi="Times New Roman" w:cs="Times New Roman"/>
        </w:rPr>
        <w:fldChar w:fldCharType="end"/>
      </w:r>
      <w:r>
        <w:rPr>
          <w:rFonts w:hint="eastAsia" w:ascii="Times New Roman" w:hAnsi="Times New Roman" w:cs="Times New Roman"/>
          <w:lang w:val="en-US" w:eastAsia="zh-CN"/>
        </w:rPr>
        <w:t>3</w:t>
      </w:r>
    </w:p>
    <w:p>
      <w:pPr>
        <w:pStyle w:val="6"/>
        <w:tabs>
          <w:tab w:val="right" w:leader="dot" w:pos="9622"/>
        </w:tabs>
        <w:spacing w:line="240" w:lineRule="auto"/>
        <w:ind w:firstLine="0"/>
      </w:pPr>
      <w:r>
        <w:rPr>
          <w:rFonts w:ascii="Times New Roman" w:hAnsi="Times New Roman" w:cs="Times New Roman"/>
        </w:rPr>
        <w:fldChar w:fldCharType="end"/>
      </w:r>
    </w:p>
    <w:p>
      <w:pPr>
        <w:jc w:val="center"/>
      </w:pPr>
    </w:p>
    <w:p>
      <w:pPr>
        <w:spacing w:before="0" w:after="0" w:line="360" w:lineRule="auto"/>
        <w:ind w:firstLine="0"/>
        <w:jc w:val="center"/>
        <w:outlineLvl w:val="9"/>
        <w:rPr>
          <w:rFonts w:hint="eastAsia" w:ascii="方正小标宋_GBK" w:hAnsi="方正小标宋_GBK" w:eastAsia="方正小标宋_GBK" w:cs="方正小标宋_GBK"/>
          <w:color w:val="000000"/>
          <w:sz w:val="30"/>
        </w:rPr>
      </w:pPr>
      <w:r>
        <w:rPr>
          <w:rFonts w:hint="eastAsia" w:ascii="方正小标宋_GBK" w:hAnsi="方正小标宋_GBK" w:eastAsia="方正小标宋_GBK" w:cs="方正小标宋_GBK"/>
          <w:color w:val="000000"/>
          <w:sz w:val="30"/>
        </w:rPr>
        <w:t>第二部分 预算单位收支预算情况</w:t>
      </w:r>
    </w:p>
    <w:p>
      <w:pPr>
        <w:pStyle w:val="6"/>
        <w:tabs>
          <w:tab w:val="right" w:leader="dot" w:pos="9622"/>
        </w:tabs>
        <w:spacing w:line="240" w:lineRule="auto"/>
        <w:ind w:firstLine="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"4-4" \h \z \u</w:instrText>
      </w:r>
      <w:r>
        <w:rPr>
          <w:rFonts w:ascii="Times New Roman" w:hAnsi="Times New Roman" w:cs="Times New Roman"/>
        </w:rPr>
        <w:fldChar w:fldCharType="separate"/>
      </w:r>
      <w:r>
        <w:rPr>
          <w:rFonts w:hint="eastAsia" w:ascii="Times New Roman" w:hAnsi="Times New Roman" w:cs="Times New Roman"/>
        </w:rPr>
        <w:fldChar w:fldCharType="begin"/>
      </w:r>
      <w:r>
        <w:rPr>
          <w:rFonts w:hint="eastAsia" w:ascii="Times New Roman" w:hAnsi="Times New Roman" w:cs="Times New Roman"/>
        </w:rPr>
        <w:instrText xml:space="preserve"> HYPERLINK \l "_Toc_4_4_0000000010" </w:instrText>
      </w:r>
      <w:r>
        <w:rPr>
          <w:rFonts w:hint="eastAsia" w:ascii="Times New Roman" w:hAnsi="Times New Roman" w:cs="Times New Roman"/>
        </w:rPr>
        <w:fldChar w:fldCharType="separate"/>
      </w:r>
      <w:r>
        <w:rPr>
          <w:rFonts w:hint="eastAsia" w:ascii="Times New Roman" w:hAnsi="Times New Roman" w:cs="Times New Roman"/>
        </w:rPr>
        <w:t>一、遵化市汤泉满族乡人民政府本级收支预算</w:t>
      </w:r>
      <w:r>
        <w:rPr>
          <w:rFonts w:hint="eastAsia" w:ascii="Times New Roman" w:hAnsi="Times New Roman" w:cs="Times New Roman"/>
        </w:rPr>
        <w:tab/>
      </w:r>
      <w:r>
        <w:rPr>
          <w:rFonts w:hint="eastAsia" w:ascii="Times New Roman" w:hAnsi="Times New Roman" w:cs="Times New Roman"/>
        </w:rPr>
        <w:fldChar w:fldCharType="begin"/>
      </w:r>
      <w:r>
        <w:rPr>
          <w:rFonts w:hint="eastAsia" w:ascii="Times New Roman" w:hAnsi="Times New Roman" w:cs="Times New Roman"/>
        </w:rPr>
        <w:instrText xml:space="preserve">PAGEREF _Toc_4_4_0000000010 \h</w:instrText>
      </w:r>
      <w:r>
        <w:rPr>
          <w:rFonts w:hint="eastAsia" w:ascii="Times New Roman" w:hAnsi="Times New Roman" w:cs="Times New Roman"/>
        </w:rPr>
        <w:fldChar w:fldCharType="separate"/>
      </w:r>
      <w:r>
        <w:rPr>
          <w:rFonts w:hint="eastAsia" w:ascii="Times New Roman" w:hAnsi="Times New Roman" w:cs="Times New Roman"/>
        </w:rPr>
        <w:t>2</w:t>
      </w:r>
      <w:r>
        <w:rPr>
          <w:rFonts w:hint="eastAsia" w:ascii="Times New Roman" w:hAnsi="Times New Roman" w:cs="Times New Roman"/>
          <w:lang w:val="en-US" w:eastAsia="zh-CN"/>
        </w:rPr>
        <w:t>5</w:t>
      </w:r>
      <w:r>
        <w:rPr>
          <w:rFonts w:hint="eastAsia" w:ascii="Times New Roman" w:hAnsi="Times New Roman" w:cs="Times New Roman"/>
        </w:rPr>
        <w:fldChar w:fldCharType="end"/>
      </w:r>
      <w:r>
        <w:rPr>
          <w:rFonts w:hint="eastAsia" w:ascii="Times New Roman" w:hAnsi="Times New Roman" w:cs="Times New Roman"/>
        </w:rPr>
        <w:fldChar w:fldCharType="end"/>
      </w:r>
    </w:p>
    <w:p>
      <w:pPr>
        <w:pStyle w:val="6"/>
        <w:tabs>
          <w:tab w:val="right" w:leader="dot" w:pos="9622"/>
        </w:tabs>
        <w:spacing w:line="240" w:lineRule="auto"/>
        <w:ind w:firstLine="0"/>
        <w:rPr>
          <w:rFonts w:ascii="Times New Roman" w:hAnsi="Times New Roman" w:cs="Times New Roman"/>
        </w:rPr>
      </w:pPr>
      <w:r>
        <w:rPr>
          <w:rFonts w:ascii="Times New Roman" w:hAnsi="Times New Roman" w:cs="Times New Roman"/>
        </w:rPr>
        <w:fldChar w:fldCharType="end"/>
      </w:r>
    </w:p>
    <w:p>
      <w:pPr>
        <w:jc w:val="center"/>
      </w:pPr>
    </w:p>
    <w:p>
      <w:pPr>
        <w:jc w:val="center"/>
      </w:pP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jc w:val="center"/>
      </w:pPr>
    </w:p>
    <w:p>
      <w:pPr>
        <w:jc w:val="center"/>
      </w:pPr>
    </w:p>
    <w:p>
      <w:pPr>
        <w:spacing w:before="0" w:after="0" w:line="240" w:lineRule="auto"/>
        <w:ind w:firstLine="0"/>
        <w:jc w:val="center"/>
        <w:outlineLvl w:val="0"/>
        <w:rPr>
          <w:rFonts w:hint="eastAsia" w:ascii="黑体" w:hAnsi="黑体" w:eastAsia="黑体" w:cs="黑体"/>
          <w:color w:val="000000"/>
          <w:sz w:val="44"/>
          <w:szCs w:val="44"/>
        </w:rPr>
      </w:pPr>
      <w:r>
        <w:rPr>
          <w:rFonts w:hint="eastAsia" w:ascii="黑体" w:hAnsi="黑体" w:eastAsia="黑体" w:cs="黑体"/>
          <w:color w:val="000000"/>
          <w:sz w:val="44"/>
          <w:szCs w:val="44"/>
        </w:rPr>
        <w:t>第一部分 部门预算情况</w:t>
      </w:r>
    </w:p>
    <w:p>
      <w:pPr>
        <w:jc w:val="center"/>
      </w:pPr>
    </w:p>
    <w:p>
      <w:pPr>
        <w:jc w:val="center"/>
        <w:outlineLvl w:val="1"/>
      </w:pPr>
      <w:bookmarkStart w:id="0" w:name="_Toc_2_2_0000000001"/>
      <w:r>
        <w:rPr>
          <w:rFonts w:hint="eastAsia" w:ascii="黑体" w:hAnsi="黑体" w:eastAsia="黑体" w:cs="黑体"/>
          <w:color w:val="000000"/>
          <w:sz w:val="36"/>
          <w:szCs w:val="36"/>
        </w:rPr>
        <w:t>部 门 职 责</w:t>
      </w:r>
      <w:bookmarkEnd w:id="0"/>
    </w:p>
    <w:p/>
    <w:p>
      <w:pPr>
        <w:keepNext w:val="0"/>
        <w:keepLines w:val="0"/>
        <w:pageBreakBefore w:val="0"/>
        <w:widowControl w:val="0"/>
        <w:kinsoku/>
        <w:wordWrap/>
        <w:overflowPunct/>
        <w:topLinePunct w:val="0"/>
        <w:autoSpaceDE/>
        <w:autoSpaceDN/>
        <w:bidi w:val="0"/>
        <w:adjustRightInd/>
        <w:spacing w:line="570" w:lineRule="exact"/>
        <w:ind w:firstLine="645"/>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根据《遵化市汤泉满族乡人民政府职能配置、内设机构和人员编制规定》，遵化市汤泉满族乡人民政府的主要职责是：</w:t>
      </w:r>
    </w:p>
    <w:p>
      <w:pPr>
        <w:keepNext w:val="0"/>
        <w:keepLines w:val="0"/>
        <w:pageBreakBefore w:val="0"/>
        <w:widowControl w:val="0"/>
        <w:kinsoku/>
        <w:wordWrap/>
        <w:overflowPunct/>
        <w:topLinePunct w:val="0"/>
        <w:autoSpaceDE/>
        <w:autoSpaceDN/>
        <w:bidi w:val="0"/>
        <w:adjustRightInd/>
        <w:spacing w:line="570" w:lineRule="exact"/>
        <w:ind w:firstLine="645"/>
        <w:jc w:val="both"/>
        <w:textAlignment w:val="auto"/>
      </w:pPr>
      <w:r>
        <w:rPr>
          <w:rFonts w:hint="eastAsia" w:ascii="宋体" w:hAnsi="宋体" w:eastAsia="方正仿宋简体" w:cs="方正仿宋简体"/>
          <w:sz w:val="32"/>
          <w:szCs w:val="32"/>
          <w:lang w:eastAsia="zh-CN"/>
        </w:rPr>
        <w:t>本级职责：</w:t>
      </w:r>
    </w:p>
    <w:p>
      <w:pPr>
        <w:pStyle w:val="1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2"/>
      </w:pPr>
      <w:r>
        <w:rPr>
          <w:rFonts w:hint="eastAsia" w:ascii="宋体" w:hAnsi="宋体" w:eastAsia="方正仿宋简体" w:cs="方正仿宋简体"/>
          <w:sz w:val="32"/>
          <w:szCs w:val="32"/>
          <w:lang w:val="en-US" w:eastAsia="zh-CN" w:bidi="ar-SA"/>
        </w:rPr>
        <w:t>（2）讨论和决定本乡经济建设、政治建设、文化建设、社会建设、生态文明建设和党的建设以及乡村振兴中的重大问题。</w:t>
      </w:r>
    </w:p>
    <w:p>
      <w:pPr>
        <w:pStyle w:val="12"/>
      </w:pPr>
      <w:r>
        <w:rPr>
          <w:rFonts w:hint="eastAsia" w:ascii="宋体" w:hAnsi="宋体" w:eastAsia="方正仿宋简体" w:cs="方正仿宋简体"/>
          <w:sz w:val="32"/>
          <w:szCs w:val="32"/>
          <w:lang w:val="en-US" w:eastAsia="zh-CN" w:bidi="ar-SA"/>
        </w:rPr>
        <w:t>（3）组织召开本级人民代表大会，充分行使重大事项决定权、监督权和任免权，做好人大代表工作，联系选民、反映群众意见和要求。</w:t>
      </w:r>
    </w:p>
    <w:p>
      <w:pPr>
        <w:pStyle w:val="1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（6）加强乡党委自身建设和村党组织建设，以及其他隶属乡党委的党组织建设，抓好发展党员工作，加强党员队伍建设。维护和执行党的纪律，监督党员干部和其他任何工作人员严格遵守国家法律法规。</w:t>
      </w:r>
    </w:p>
    <w:p>
      <w:pPr>
        <w:pStyle w:val="1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（7）按照干部管理权限，负责对干部的教育、培训、选拔、考核和监督工作。协助管理上级有关本级驻乡单位的干部。做好人才服务工作。</w:t>
      </w:r>
    </w:p>
    <w:p>
      <w:pPr>
        <w:pStyle w:val="1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2"/>
        <w:rPr>
          <w:rFonts w:hint="eastAsia" w:ascii="宋体" w:hAnsi="宋体" w:eastAsia="方正仿宋简体" w:cs="方正仿宋简体"/>
          <w:sz w:val="32"/>
          <w:szCs w:val="32"/>
          <w:lang w:val="en-US" w:eastAsia="zh-CN" w:bidi="ar-SA"/>
        </w:rPr>
        <w:sectPr>
          <w:pgSz w:w="11900" w:h="16840"/>
          <w:pgMar w:top="1361" w:right="1020" w:bottom="1361" w:left="1020" w:header="720" w:footer="720" w:gutter="0"/>
          <w:pgNumType w:start="1"/>
          <w:cols w:space="720" w:num="1"/>
        </w:sectPr>
      </w:pPr>
      <w:r>
        <w:rPr>
          <w:rFonts w:hint="eastAsia" w:ascii="宋体" w:hAnsi="宋体" w:eastAsia="方正仿宋简体" w:cs="方正仿宋简体"/>
          <w:sz w:val="32"/>
          <w:szCs w:val="32"/>
          <w:lang w:val="en-US" w:eastAsia="zh-CN" w:bidi="ar-SA"/>
        </w:rPr>
        <w:t>（10）承办上级党委、人大、政府交办的其他事项。</w:t>
      </w:r>
    </w:p>
    <w:p>
      <w:pPr>
        <w:jc w:val="center"/>
        <w:outlineLvl w:val="1"/>
      </w:pPr>
      <w:bookmarkStart w:id="1" w:name="_Toc_2_2_0000000002"/>
      <w:r>
        <w:rPr>
          <w:rFonts w:hint="eastAsia" w:ascii="黑体" w:hAnsi="黑体" w:eastAsia="黑体" w:cs="黑体"/>
          <w:color w:val="000000"/>
          <w:sz w:val="44"/>
          <w:szCs w:val="44"/>
        </w:rPr>
        <w:t>部门收支预算总表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2874" w:type="dxa"/>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目代  码</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预算收支项目</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本年收入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其中：一般财力</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行政事业性收费</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国有资源（资产）有偿使用收入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政府住房基金收入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上级一般公共预算安排转移支付</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一般债券</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其中：政府性基金收入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专项债券对应项目专项收入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上级政府性基金预算安排转移支付</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其中：国有资本经营收入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上级国有资本经营预算安排转移支付</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其中：事业收入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上级补助收入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附属单位上缴收入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事业单位经营收入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上年结转结余</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财政拨款结转（含上年超收等结余）</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其中：一般公共预算拨款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基金预算拨款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国有资本经营预算拨款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其中：财政专户核拨</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单位资金</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其中：人员经费</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日常公用经费</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rPr>
          <w:rFonts w:hint="eastAsia" w:ascii="黑体" w:hAnsi="黑体" w:eastAsia="黑体" w:cs="黑体"/>
          <w:color w:val="000000"/>
          <w:sz w:val="44"/>
          <w:szCs w:val="44"/>
        </w:rPr>
      </w:pPr>
      <w:bookmarkStart w:id="2" w:name="_Toc_2_2_0000000003"/>
      <w:r>
        <w:rPr>
          <w:rFonts w:hint="eastAsia" w:ascii="黑体" w:hAnsi="黑体" w:eastAsia="黑体" w:cs="黑体"/>
          <w:color w:val="000000"/>
          <w:sz w:val="44"/>
          <w:szCs w:val="44"/>
        </w:rPr>
        <w:t>部门基本支出预算</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8731" w:type="dxa"/>
            <w:gridSpan w:val="7"/>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经济分类科目编码</w:t>
            </w:r>
          </w:p>
        </w:tc>
        <w:tc>
          <w:tcPr>
            <w:tcW w:w="4535"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8731" w:type="dxa"/>
            <w:gridSpan w:val="7"/>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人员经费合计</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833.8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833.8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一、工资福利支出</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716.88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716.88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1、基本工资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182.52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182.52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2、津贴补贴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152.28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152.28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（1）地区附加津贴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83.75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83.75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（2）艰苦边远地区津贴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（3）（特殊）岗位津贴（补贴）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0.53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0.53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1）国家出台与实际天数无关的岗位津贴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2）国家出台按实际天数发放的岗位津贴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（4）规范津贴补贴后仍继续保留的补贴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1）回族补贴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2）职工劳模荣誉津贴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（5）乡镇补贴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67.35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67.35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（6）上述项目之外的津贴补贴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3、奖金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4、社会保障缴费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174.97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174.97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（1）基本养老保险费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66.09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66.09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（2）职业年金缴费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25.99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25.99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（3）基本医疗保险费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（4）大病医疗保险费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（5）公务员医疗补助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37.71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37.71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（6）全额离退休人员医疗保险费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（7）事业单位失业保险费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（8）工伤保险费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1.73</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（9）生育保险费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（10）其他社保缴费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30106</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5、伙食补助费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6、绩效工资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（1）基础绩效工资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49.30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49.30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（2）奖励绩效工资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（3）应纳入绩效工资的津贴补贴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7、绩效奖金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56.4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56.4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（1）基础绩效奖金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35.18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35.18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（2）年度考核奖</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8、自收自支人员支出</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（1）自收自支人员工资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（2）自收自支人员养老保险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（3）自收自支人员失业险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（4）自收自支人员工伤保险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（5）自收自支人员职业年金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（6）自收自支人员医疗保险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（7）自收自支人员生育险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（8）自收自支人员住房公积金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（9）自收自支人员住宅取暖费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（10）自收自支人员基础绩效奖金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（11）自收自支人员年度考核奖</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（12）自收自支人员乡镇补贴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9、招聘人员支出</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61.1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61.1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（1）招聘人员工资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35.26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35.26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（2）招聘人员养老保险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（3）招聘人员失业险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（4）招聘人员工伤保险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（5）招聘人员职业年金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（6）招聘人员医疗保险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（7）招聘人员生育险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（8）招聘人员住房公积金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4.68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4.68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（9）招聘人员住宅取暖费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（10）招聘人员基础绩效奖金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（11）招聘人员年度考核奖</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（12）招聘人员乡镇补贴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10、定额人员支出</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（1）定额人员工资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（2）定额人员保险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11、预留增资</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二、对个人和家庭的补助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116.92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116.92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（3）离休人员特殊补贴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（4）离休人员上述项目之外的补贴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（5）离休人员月度生活补贴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（6）离休人员年度一次性生活补贴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（7）社保机构开支人员单位应负担的离休费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（1）退休金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（2）退休人员补贴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（3）退休人员特殊补贴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（4）退休人员上述项目之外的补贴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（5）退休人员月度生活补贴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（6）退休人员年度一次性生活补贴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（7）社保机构开支人员单位应负担的退休费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3、退职（役）费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（1）退职生活费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（2）退职人员补贴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（3）退职人员特殊补贴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（4）退职人员上述项目之外的补贴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（5）社保机构开支人员单位应负担的退职生活费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4、抚恤金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30305</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5、生活补助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6、医疗费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7、助学金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8、奖励金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（1)独生子女父母奖励</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（2)其他奖励金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9、住房公积金</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58.37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58.37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10、待规范津贴补贴人员提租补贴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（1）在职人员提租补贴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（2）离休人员提租补贴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（3）退休人员提租补贴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（4）退职（役）人员提租补贴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11、购房补贴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12、其他对个人和家庭的补助支出</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37.14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37.14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（1）住宅取暖费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1）在职住宅取暖费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27.88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27.88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2）离休住宅取暖费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3）退休住宅取暖费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4）退职住宅取暖费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日常公用经费合计</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1、基础定额项目</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80.67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80.67</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（1）办公费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30205</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（2）水费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（3）电费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（4）邮电费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1）公务移动通讯费用补贴</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2）其他邮电费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（5）办公取暖费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（6）物业管理费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（7）差旅费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（8）维修（护）费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（9）会议费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（10）培训费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（11）办公设备购置费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3021202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（12）因公出国（境）费用</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（13）公务用车运行维护费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1）燃料费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2）维修费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3）保险费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4）其他交通费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（14）离退休干部经费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0.31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0.31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1）离休干部公用经费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2）离休干部特需费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3）离休干部住宅公用电话费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4）离休人员福利费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5）退休干部公用经费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6）退休干部特需费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7）退休干部住宅公用电话费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8）退休人员福利费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0.31</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9）退职人员福利费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10）离休干部参观休养经费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（15）公车补贴费用</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22.80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22.80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（16）印刷费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（17）咨询费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30204</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（18）手续费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30214</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（19）租赁费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（20）专用材料费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30224</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（21）被装购置费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30225</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（22）专用燃料费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30226</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（23）劳务费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（24）委托业务费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（25）其他业务费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2、按规定比例计提项目</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11.29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11.29</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（1）公务接待费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（2）工会经费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（3）福利费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5.54</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（4）党组织活动经费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3、特殊因素项目</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（1）业务用房运行费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（2）办公用房运行补助</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（3）网络运行维护费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（4）大宗印刷费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（5）专项邮电费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31003</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（6）专项购置费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（7）执法执勤及特种业务车辆运行费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（8）临时办公室经费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（9）中央空调及电梯运行费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535"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（10）不可预见费</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color w:val="000000"/>
          <w:sz w:val="44"/>
          <w:szCs w:val="44"/>
        </w:rPr>
      </w:pPr>
      <w:bookmarkStart w:id="3" w:name="_Toc_2_2_0000000004"/>
      <w:r>
        <w:rPr>
          <w:rFonts w:hint="eastAsia" w:ascii="黑体" w:hAnsi="黑体" w:eastAsia="黑体" w:cs="黑体"/>
          <w:color w:val="000000"/>
          <w:sz w:val="44"/>
          <w:szCs w:val="44"/>
        </w:rPr>
        <w:t>部门项目支出预算</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7313"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1621"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项目承担单位</w:t>
            </w:r>
          </w:p>
        </w:tc>
        <w:tc>
          <w:tcPr>
            <w:tcW w:w="1032"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9751" w:type="dxa"/>
            <w:gridSpan w:val="8"/>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621"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32"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2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32"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特定目标类项目小计</w:t>
            </w:r>
          </w:p>
        </w:tc>
        <w:tc>
          <w:tcPr>
            <w:tcW w:w="162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32"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1、安可计算机购置</w:t>
            </w:r>
          </w:p>
        </w:tc>
        <w:tc>
          <w:tcPr>
            <w:tcW w:w="162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遵化市汤泉满族乡人民政府本级</w:t>
            </w:r>
          </w:p>
        </w:tc>
        <w:tc>
          <w:tcPr>
            <w:tcW w:w="1032"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2、服务群众专项经费</w:t>
            </w:r>
          </w:p>
        </w:tc>
        <w:tc>
          <w:tcPr>
            <w:tcW w:w="162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遵化市汤泉满族乡人民政府本级</w:t>
            </w:r>
          </w:p>
        </w:tc>
        <w:tc>
          <w:tcPr>
            <w:tcW w:w="1032"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50.00</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50.00</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3、社会事务管理</w:t>
            </w:r>
          </w:p>
        </w:tc>
        <w:tc>
          <w:tcPr>
            <w:tcW w:w="162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遵化市汤泉满族乡人民政府本级</w:t>
            </w:r>
          </w:p>
        </w:tc>
        <w:tc>
          <w:tcPr>
            <w:tcW w:w="1032"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30.00</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30.00</w:t>
            </w: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1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color w:val="000000"/>
          <w:sz w:val="44"/>
          <w:szCs w:val="44"/>
        </w:rPr>
      </w:pPr>
      <w:bookmarkStart w:id="4" w:name="_Toc_2_2_0000000005"/>
      <w:r>
        <w:rPr>
          <w:rFonts w:hint="eastAsia" w:ascii="黑体" w:hAnsi="黑体" w:eastAsia="黑体" w:cs="黑体"/>
          <w:color w:val="000000"/>
          <w:sz w:val="44"/>
          <w:szCs w:val="44"/>
        </w:rPr>
        <w:t>部门预算政府经济分类表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4252" w:type="dxa"/>
            <w:gridSpan w:val="3"/>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w:t>
            </w:r>
          </w:p>
        </w:tc>
        <w:tc>
          <w:tcPr>
            <w:tcW w:w="11480" w:type="dxa"/>
            <w:gridSpan w:val="8"/>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501机关工资福利支出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719.69</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719.69</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502机关商品和服务支出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171.96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171.96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503机关资本性支出（一）</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504机关资本性支出（二）</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505对事业单位经常性补助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70.45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70.45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506对事业单位资本性补助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507对企业补助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508对企业资本性支出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509对个人和家庭的补助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43.66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43.66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511债务利息及费用支出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513转移性支出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599其他支出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hint="eastAsia" w:ascii="黑体" w:hAnsi="黑体" w:eastAsia="黑体" w:cs="黑体"/>
          <w:color w:val="000000"/>
          <w:sz w:val="44"/>
          <w:szCs w:val="44"/>
        </w:rPr>
        <w:t>部门“三公”及会议培训经费预算</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4252" w:type="dxa"/>
            <w:gridSpan w:val="3"/>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支出内容</w:t>
            </w:r>
          </w:p>
        </w:tc>
        <w:tc>
          <w:tcPr>
            <w:tcW w:w="11480" w:type="dxa"/>
            <w:gridSpan w:val="8"/>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20.38</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20.38</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19.90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19.90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四、会议费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五、培训费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color w:val="000000"/>
          <w:sz w:val="44"/>
          <w:szCs w:val="44"/>
        </w:rPr>
      </w:pPr>
      <w:bookmarkStart w:id="6" w:name="_Toc_2_2_0000000007"/>
      <w:bookmarkStart w:id="10" w:name="_GoBack"/>
      <w:bookmarkEnd w:id="10"/>
      <w:r>
        <w:rPr>
          <w:rFonts w:hint="eastAsia" w:ascii="黑体" w:hAnsi="黑体" w:eastAsia="黑体" w:cs="黑体"/>
          <w:color w:val="000000"/>
          <w:sz w:val="44"/>
          <w:szCs w:val="44"/>
        </w:rPr>
        <w:t>部门政府采购预算</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8674" w:type="dxa"/>
            <w:gridSpan w:val="9"/>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政府采购项目来源</w:t>
            </w:r>
          </w:p>
        </w:tc>
        <w:tc>
          <w:tcPr>
            <w:tcW w:w="1134"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采购物品名称</w:t>
            </w:r>
          </w:p>
        </w:tc>
        <w:tc>
          <w:tcPr>
            <w:tcW w:w="1276"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政府采购目录序号</w:t>
            </w:r>
          </w:p>
        </w:tc>
        <w:tc>
          <w:tcPr>
            <w:tcW w:w="709"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计量  单位</w:t>
            </w:r>
          </w:p>
        </w:tc>
        <w:tc>
          <w:tcPr>
            <w:tcW w:w="709"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850"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单价</w:t>
            </w:r>
          </w:p>
        </w:tc>
        <w:tc>
          <w:tcPr>
            <w:tcW w:w="7710" w:type="dxa"/>
            <w:gridSpan w:val="8"/>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政府采购金额（当年部门预算安排资金）</w:t>
            </w:r>
          </w:p>
        </w:tc>
        <w:tc>
          <w:tcPr>
            <w:tcW w:w="964"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    资金</w:t>
            </w:r>
          </w:p>
        </w:tc>
        <w:tc>
          <w:tcPr>
            <w:tcW w:w="1134"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850"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    资金</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    款结转</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    转结余</w:t>
            </w:r>
          </w:p>
        </w:tc>
        <w:tc>
          <w:tcPr>
            <w:tcW w:w="964"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850"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遵化市汤泉满族乡人民政府本级小计</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850"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台式计算机</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A02010105</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万元</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850"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0.85</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6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rPr>
          <w:rFonts w:hint="eastAsia" w:ascii="黑体" w:hAnsi="黑体" w:eastAsia="黑体" w:cs="黑体"/>
          <w:color w:val="000000"/>
          <w:sz w:val="44"/>
          <w:szCs w:val="44"/>
        </w:rPr>
      </w:pPr>
      <w:bookmarkStart w:id="7" w:name="_Toc_2_2_0000000008"/>
      <w:r>
        <w:rPr>
          <w:rFonts w:hint="eastAsia" w:ascii="黑体" w:hAnsi="黑体" w:eastAsia="黑体" w:cs="黑体"/>
          <w:color w:val="000000"/>
          <w:sz w:val="44"/>
          <w:szCs w:val="44"/>
        </w:rPr>
        <w:t>部门组织政府非税收入计划</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2154" w:type="dxa"/>
            <w:gridSpan w:val="2"/>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124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收入分类科目编码</w:t>
            </w:r>
          </w:p>
        </w:tc>
        <w:tc>
          <w:tcPr>
            <w:tcW w:w="2324"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收入项目名称</w:t>
            </w:r>
          </w:p>
        </w:tc>
        <w:tc>
          <w:tcPr>
            <w:tcW w:w="1304"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收入类型</w:t>
            </w:r>
          </w:p>
        </w:tc>
        <w:tc>
          <w:tcPr>
            <w:tcW w:w="5386" w:type="dxa"/>
            <w:gridSpan w:val="5"/>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部门组织非税收入计划</w:t>
            </w:r>
          </w:p>
        </w:tc>
        <w:tc>
          <w:tcPr>
            <w:tcW w:w="107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应缴款项</w:t>
            </w:r>
          </w:p>
        </w:tc>
        <w:tc>
          <w:tcPr>
            <w:tcW w:w="107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4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2324"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304"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一般公共预算收入</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政府性基金收入</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国有资本经营预算收入</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财政专户收入</w:t>
            </w:r>
          </w:p>
        </w:tc>
        <w:tc>
          <w:tcPr>
            <w:tcW w:w="107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232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30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20.00</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20.00</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20.00</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遵化市汤泉满族乡人民政府本级</w:t>
            </w:r>
          </w:p>
        </w:tc>
        <w:tc>
          <w:tcPr>
            <w:tcW w:w="124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103050199</w:t>
            </w:r>
          </w:p>
        </w:tc>
        <w:tc>
          <w:tcPr>
            <w:tcW w:w="232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罚没收入</w:t>
            </w:r>
          </w:p>
        </w:tc>
        <w:tc>
          <w:tcPr>
            <w:tcW w:w="130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罚没收入</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20.00</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20.00</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20.00</w:t>
            </w:r>
          </w:p>
        </w:tc>
        <w:tc>
          <w:tcPr>
            <w:tcW w:w="107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color w:val="000000"/>
          <w:sz w:val="32"/>
        </w:rPr>
      </w:pPr>
      <w:bookmarkStart w:id="8" w:name="_Toc_2_2_0000000009"/>
      <w:r>
        <w:rPr>
          <w:rFonts w:hint="eastAsia" w:ascii="黑体" w:hAnsi="黑体" w:eastAsia="黑体" w:cs="黑体"/>
          <w:color w:val="000000"/>
          <w:sz w:val="44"/>
          <w:szCs w:val="44"/>
        </w:rPr>
        <w:t>部门基本情况表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636遵化市汤泉满族乡人民政府</w:t>
            </w:r>
          </w:p>
        </w:tc>
        <w:tc>
          <w:tcPr>
            <w:tcW w:w="4252"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1134"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单位性质</w:t>
            </w:r>
          </w:p>
        </w:tc>
        <w:tc>
          <w:tcPr>
            <w:tcW w:w="1559"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单位规格</w:t>
            </w:r>
          </w:p>
        </w:tc>
        <w:tc>
          <w:tcPr>
            <w:tcW w:w="2353"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经费保障形式</w:t>
            </w:r>
          </w:p>
        </w:tc>
        <w:tc>
          <w:tcPr>
            <w:tcW w:w="709"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车辆实有数</w:t>
            </w:r>
          </w:p>
        </w:tc>
        <w:tc>
          <w:tcPr>
            <w:tcW w:w="1417" w:type="dxa"/>
            <w:gridSpan w:val="2"/>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编制人数</w:t>
            </w:r>
          </w:p>
        </w:tc>
        <w:tc>
          <w:tcPr>
            <w:tcW w:w="1417" w:type="dxa"/>
            <w:gridSpan w:val="2"/>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在职人数</w:t>
            </w:r>
          </w:p>
        </w:tc>
        <w:tc>
          <w:tcPr>
            <w:tcW w:w="2126" w:type="dxa"/>
            <w:gridSpan w:val="3"/>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2353"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离休</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235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47</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遵化市汤泉满族乡人民政府本级</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235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47</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70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jc w:val="center"/>
      </w:pPr>
    </w:p>
    <w:p>
      <w:pPr>
        <w:jc w:val="center"/>
      </w:pPr>
    </w:p>
    <w:p>
      <w:pPr>
        <w:jc w:val="center"/>
      </w:pPr>
    </w:p>
    <w:p>
      <w:pPr>
        <w:spacing w:before="0" w:after="0" w:line="240" w:lineRule="auto"/>
        <w:ind w:firstLine="0"/>
        <w:jc w:val="center"/>
        <w:outlineLvl w:val="0"/>
        <w:rPr>
          <w:rFonts w:hint="eastAsia" w:ascii="黑体" w:hAnsi="黑体" w:eastAsia="黑体" w:cs="黑体"/>
          <w:color w:val="000000"/>
          <w:sz w:val="44"/>
          <w:szCs w:val="44"/>
        </w:rPr>
      </w:pPr>
      <w:r>
        <w:rPr>
          <w:rFonts w:hint="eastAsia" w:ascii="黑体" w:hAnsi="黑体" w:eastAsia="黑体" w:cs="黑体"/>
          <w:color w:val="000000"/>
          <w:sz w:val="44"/>
        </w:rPr>
        <w:t>第</w:t>
      </w:r>
      <w:r>
        <w:rPr>
          <w:rFonts w:hint="eastAsia" w:ascii="黑体" w:hAnsi="黑体" w:eastAsia="黑体" w:cs="黑体"/>
          <w:color w:val="000000"/>
          <w:sz w:val="44"/>
          <w:szCs w:val="44"/>
        </w:rPr>
        <w:t>二部分</w:t>
      </w:r>
    </w:p>
    <w:p>
      <w:pPr>
        <w:spacing w:before="0" w:after="0" w:line="240" w:lineRule="auto"/>
        <w:ind w:firstLine="0"/>
        <w:jc w:val="center"/>
        <w:outlineLvl w:val="0"/>
        <w:rPr>
          <w:rFonts w:hint="eastAsia" w:ascii="黑体" w:hAnsi="黑体" w:eastAsia="黑体" w:cs="黑体"/>
          <w:color w:val="000000"/>
          <w:sz w:val="44"/>
          <w:szCs w:val="44"/>
        </w:rPr>
      </w:pPr>
    </w:p>
    <w:p>
      <w:pPr>
        <w:spacing w:before="0" w:after="0" w:line="240" w:lineRule="auto"/>
        <w:ind w:firstLine="0"/>
        <w:jc w:val="center"/>
        <w:outlineLvl w:val="0"/>
        <w:rPr>
          <w:rFonts w:hint="eastAsia" w:ascii="黑体" w:hAnsi="黑体" w:eastAsia="黑体" w:cs="黑体"/>
          <w:color w:val="000000"/>
          <w:sz w:val="44"/>
          <w:szCs w:val="44"/>
        </w:rPr>
        <w:sectPr>
          <w:pgSz w:w="11900" w:h="16840"/>
          <w:pgMar w:top="1134" w:right="1134" w:bottom="1134" w:left="1134" w:header="720" w:footer="720" w:gutter="0"/>
          <w:cols w:space="720" w:num="1"/>
        </w:sectPr>
      </w:pPr>
      <w:r>
        <w:rPr>
          <w:rFonts w:hint="eastAsia" w:ascii="黑体" w:hAnsi="黑体" w:eastAsia="黑体" w:cs="黑体"/>
          <w:color w:val="000000"/>
          <w:sz w:val="44"/>
          <w:szCs w:val="44"/>
        </w:rPr>
        <w:t>预算单位收支预算情况</w:t>
      </w:r>
    </w:p>
    <w:p>
      <w:pPr>
        <w:jc w:val="center"/>
        <w:outlineLvl w:val="3"/>
        <w:rPr>
          <w:rFonts w:hint="eastAsia" w:ascii="黑体" w:hAnsi="黑体" w:eastAsia="黑体" w:cs="黑体"/>
          <w:color w:val="000000"/>
          <w:sz w:val="44"/>
        </w:rPr>
      </w:pPr>
      <w:bookmarkStart w:id="9" w:name="_Toc_4_4_0000000010"/>
      <w:r>
        <w:rPr>
          <w:rFonts w:hint="eastAsia" w:ascii="黑体" w:hAnsi="黑体" w:eastAsia="黑体" w:cs="黑体"/>
          <w:color w:val="000000"/>
          <w:sz w:val="44"/>
        </w:rPr>
        <w:t>一</w:t>
      </w:r>
      <w:r>
        <w:rPr>
          <w:rFonts w:ascii="方正小标宋_GBK" w:hAnsi="方正小标宋_GBK" w:eastAsia="方正小标宋_GBK" w:cs="方正小标宋_GBK"/>
          <w:color w:val="000000"/>
          <w:sz w:val="44"/>
        </w:rPr>
        <w:t>、</w:t>
      </w:r>
      <w:r>
        <w:rPr>
          <w:rFonts w:hint="eastAsia" w:ascii="黑体" w:hAnsi="黑体" w:eastAsia="黑体" w:cs="黑体"/>
          <w:color w:val="000000"/>
          <w:sz w:val="44"/>
        </w:rPr>
        <w:t>遵化市汤泉满族乡人民政府本级收支预算</w:t>
      </w:r>
      <w:bookmarkEnd w:id="9"/>
    </w:p>
    <w:p>
      <w:pPr>
        <w:jc w:val="center"/>
      </w:pPr>
    </w:p>
    <w:p>
      <w:pPr>
        <w:spacing w:before="0" w:after="0" w:line="240" w:lineRule="auto"/>
        <w:ind w:firstLine="0"/>
        <w:jc w:val="center"/>
        <w:outlineLvl w:val="4"/>
        <w:rPr>
          <w:rFonts w:hint="eastAsia" w:ascii="黑体" w:hAnsi="黑体" w:eastAsia="黑体" w:cs="黑体"/>
          <w:color w:val="000000"/>
          <w:sz w:val="32"/>
        </w:rPr>
      </w:pPr>
      <w:r>
        <w:rPr>
          <w:rFonts w:hint="eastAsia" w:ascii="黑体" w:hAnsi="黑体" w:eastAsia="黑体" w:cs="黑体"/>
          <w:color w:val="000000"/>
          <w:sz w:val="32"/>
        </w:rPr>
        <w:t>收支预算总表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636001遵化市汤泉满族乡人民政府本级</w:t>
            </w:r>
          </w:p>
        </w:tc>
        <w:tc>
          <w:tcPr>
            <w:tcW w:w="2874" w:type="dxa"/>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目代  码</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预算收支项目</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本年收入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其中：一般财力</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行政事业性收费</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国有资源（资产）有偿使用收入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政府住房基金收入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上级一般公共预算安排转移支付</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一般债券</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其中：政府性基金收入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专项债券对应项目专项收入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上级政府性基金预算安排转移支付</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其中：国有资本经营收入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上级国有资本经营预算安排转移支付</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其中：事业收入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上级补助收入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附属单位上缴收入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事业单位经营收入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其他收入</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上年结转结余</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财政拨款结转（含上年超收等结余）</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其中：一般公共预算拨款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基金预算拨款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国有资本经营预算拨款</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其中：财政专户核拨</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单位资金</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其中：人员经费</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日常公用经费</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11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287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rPr>
          <w:rFonts w:hint="eastAsia" w:ascii="黑体" w:hAnsi="黑体" w:eastAsia="黑体" w:cs="黑体"/>
          <w:color w:val="000000"/>
          <w:sz w:val="32"/>
        </w:rPr>
      </w:pPr>
      <w:r>
        <w:rPr>
          <w:rFonts w:hint="eastAsia" w:ascii="黑体" w:hAnsi="黑体" w:eastAsia="黑体" w:cs="黑体"/>
          <w:color w:val="000000"/>
          <w:sz w:val="32"/>
        </w:rPr>
        <w:t>人员经费预算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7"/>
        <w:gridCol w:w="1035"/>
        <w:gridCol w:w="984"/>
        <w:gridCol w:w="3851"/>
        <w:gridCol w:w="1131"/>
        <w:gridCol w:w="1131"/>
        <w:gridCol w:w="1107"/>
        <w:gridCol w:w="1107"/>
        <w:gridCol w:w="1107"/>
        <w:gridCol w:w="1108"/>
        <w:gridCol w:w="1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636001遵化市汤泉满族乡人民政府本级</w:t>
            </w:r>
          </w:p>
        </w:tc>
        <w:tc>
          <w:tcPr>
            <w:tcW w:w="4535" w:type="dxa"/>
            <w:gridSpan w:val="4"/>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90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部门经济分类编码</w:t>
            </w:r>
          </w:p>
        </w:tc>
        <w:tc>
          <w:tcPr>
            <w:tcW w:w="90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政府经济分类编码</w:t>
            </w:r>
          </w:p>
        </w:tc>
        <w:tc>
          <w:tcPr>
            <w:tcW w:w="3969"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7937" w:type="dxa"/>
            <w:gridSpan w:val="7"/>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833.8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833.8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一、工资福利支出</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716.88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716.88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1、基本工资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182.52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182.52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2、津贴补贴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152.28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152.28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（1）地区附加津贴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83.75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83.75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（2）艰苦边远地区津贴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（3）（特殊）岗位津贴（补贴）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0.53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0.53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1）国家出台与实际天数无关的岗位津贴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2）国家出台按实际天数发放的岗位津贴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（4）规范津贴补贴后仍继续保留的补贴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1）回族补贴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2）职工劳模荣誉津贴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（5）乡镇补贴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67.35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67.35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（6）上述项目之外的津贴补贴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3、奖金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4、社会保障缴费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174.97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174.97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（1）基本养老保险费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66.09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66.09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（2）职业年金缴费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25.99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25.99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（3）基本医疗保险费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（4）大病医疗保险费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（5）公务员医疗补助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37.71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37.71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（6）全额离退休人员医疗保险费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（7）事业单位失业保险费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（8）工伤保险费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1.73</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（9）生育保险费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（10）其他社保缴费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30106</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5、伙食补助费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6、绩效工资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（1）基础绩效工资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49.30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49.30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（2）奖励绩效工资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（3）应纳入绩效工资的津贴补贴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7、绩效奖金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56.4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56.4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（1）基础绩效奖金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35.18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35.18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（2）年度考核奖</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8、自收自支人员支出</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（1）自收自支人员工资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（2）自收自支人员养老保险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（3）自收自支人员失业险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（4）自收自支人员工伤保险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（5）自收自支人员职业年金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（6）自收自支人员医疗保险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（7）自收自支人员生育险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（8）自收自支人员住房公积金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（9）自收自支人员住宅取暖费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（10）自收自支人员基础绩效奖金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（11）自收自支人员年度考核奖</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（12）自收自支人员乡镇补贴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9、招聘人员支出</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61.1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61.1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（1）招聘人员工资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35.26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35.26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（2）招聘人员养老保险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（3）招聘人员失业险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（4）招聘人员工伤保险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（5）招聘人员职业年金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（6）招聘人员医疗保险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（7）招聘人员生育险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50103</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（8）招聘人员住房公积金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4.68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4.68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（9）招聘人员住宅取暖费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（10）招聘人员基础绩效奖金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（11）招聘人员年度考核奖</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（12）招聘人员乡镇补贴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10、定额人员支出</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（1）定额人员工资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（2）定额人员保险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11、预留增资</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二、对个人和家庭的补助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116.92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116.92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（3）离休人员特殊补贴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（4）离休人员上述项目之外的补贴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（5）离休人员月度生活补贴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（6）离休人员年度一次性生活补贴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（7）社保机构开支人员单位应负担的离休费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（1）退休金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（2）退休人员补贴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（3）退休人员特殊补贴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（4）退休人员上述项目之外的补贴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（5）退休人员月度生活补贴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12.94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（6）退休人员年度一次性生活补贴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（7）社保机构开支人员单位应负担的退休费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3、退职（役）费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（1）退职生活费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（2）退职人员补贴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（3）退职人员特殊补贴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（4）退职人员上述项目之外的补贴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（5）社保机构开支人员单位应负担的退职生活费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4、抚恤金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30305</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5、生活补助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6、医疗费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7、助学金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8、奖励金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（1)独生子女父母奖励</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（2)其他奖励金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50103</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9、住房公积金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58.37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58.37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10、待规范津贴补贴人员提租补贴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（1）在职人员提租补贴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（2）离休人员提租补贴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（3）退休人员提租补贴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（4）退职（役）人员提租补贴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11、购房补贴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12、其他对个人和家庭的补助支出</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37.14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37.14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（1）住宅取暖费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37.14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37.14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1）在职住宅取暖费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27.88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27.88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2）离休住宅取暖费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3）退休住宅取暖费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4）退职住宅取暖费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黑体" w:hAnsi="黑体" w:eastAsia="黑体" w:cs="黑体"/>
          <w:color w:val="000000"/>
          <w:sz w:val="32"/>
        </w:rPr>
        <w:t>日常公用经费预算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3"/>
        <w:gridCol w:w="1223"/>
        <w:gridCol w:w="942"/>
        <w:gridCol w:w="3828"/>
        <w:gridCol w:w="1124"/>
        <w:gridCol w:w="1124"/>
        <w:gridCol w:w="1102"/>
        <w:gridCol w:w="1102"/>
        <w:gridCol w:w="1102"/>
        <w:gridCol w:w="1103"/>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636001遵化市汤泉满族乡人民政府本级</w:t>
            </w:r>
          </w:p>
        </w:tc>
        <w:tc>
          <w:tcPr>
            <w:tcW w:w="4535" w:type="dxa"/>
            <w:gridSpan w:val="4"/>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90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部门经济分类编码</w:t>
            </w:r>
          </w:p>
        </w:tc>
        <w:tc>
          <w:tcPr>
            <w:tcW w:w="907"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政府经济分类编码</w:t>
            </w:r>
          </w:p>
        </w:tc>
        <w:tc>
          <w:tcPr>
            <w:tcW w:w="3969"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7937" w:type="dxa"/>
            <w:gridSpan w:val="7"/>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1、基础定额项目</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80.67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80.67</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（1）办公费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30205</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（2）水费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（3）电费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（4）邮电费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1）公务移动通讯费用补贴</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2）其他邮电费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（5）办公取暖费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（6）物业管理费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（7）差旅费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50209</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（8）维修（护）费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50202</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（9）会议费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50203</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（10）培训费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（11）办公设备购置费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3021202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（12）因公出国（境）费用</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（13）公务用车运行维护费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1）燃料费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2）维修费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3）保险费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4）其他交通费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（14）离退休干部经费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0.31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0.31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1）离休干部公用经费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2）离休干部特需费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3）离休干部住宅公用电话费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4）离休人员福利费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5）退休干部公用经费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6）退休干部特需费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7）退休干部住宅公用电话费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50299</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8）退休人员福利费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0.31</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9）退职人员福利费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10）离休干部参观休养经费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（15）公车补贴费用</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22.80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22.80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（16）印刷费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（17）咨询费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30204</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（18）手续费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30214</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（19）租赁费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（20）专用材料费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30224</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（21）被装购置费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30225</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（22）专用燃料费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30226</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（23）劳务费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（24）委托业务费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50299</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（25）其他业务费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2、按规定比例计提项目</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11.29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11.29</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50206</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（1）公务接待费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（2）工会经费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（3）福利费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5.54</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（4）党组织活动经费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3、特殊因素项目</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（1）业务用房运行费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（2）办公用房运行补助</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（3）网络运行维护费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（4）大宗印刷费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（5）专项邮电费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31003</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（6）专项购置费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（7）执法执勤及特种业务车辆运行费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（8）临时办公室经费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（9）中央空调及电梯运行费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0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396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（10）不可预见费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color w:val="000000"/>
          <w:sz w:val="32"/>
        </w:rPr>
      </w:pPr>
      <w:r>
        <w:rPr>
          <w:rFonts w:hint="eastAsia" w:ascii="黑体" w:hAnsi="黑体" w:eastAsia="黑体" w:cs="黑体"/>
          <w:color w:val="000000"/>
          <w:sz w:val="32"/>
        </w:rPr>
        <w:t>项目支出预算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54"/>
        <w:gridCol w:w="1339"/>
        <w:gridCol w:w="1352"/>
        <w:gridCol w:w="1353"/>
        <w:gridCol w:w="1353"/>
        <w:gridCol w:w="1353"/>
        <w:gridCol w:w="1353"/>
        <w:gridCol w:w="1353"/>
        <w:gridCol w:w="135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636001遵化市汤泉满族乡人民政府本级</w:t>
            </w:r>
          </w:p>
        </w:tc>
        <w:tc>
          <w:tcPr>
            <w:tcW w:w="7654"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1134"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10205" w:type="dxa"/>
            <w:gridSpan w:val="8"/>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134"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82.55</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服务群众专项经费</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50.00</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50.00</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社会事务管理</w:t>
            </w:r>
          </w:p>
        </w:tc>
        <w:tc>
          <w:tcPr>
            <w:tcW w:w="1134"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30.00</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30.00</w:t>
            </w: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2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黑体" w:hAnsi="黑体" w:eastAsia="黑体" w:cs="黑体"/>
          <w:color w:val="000000"/>
          <w:sz w:val="32"/>
        </w:rPr>
        <w:t>单位预算政府经济分类表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636001遵化市汤泉满族乡人民政府本级</w:t>
            </w:r>
          </w:p>
        </w:tc>
        <w:tc>
          <w:tcPr>
            <w:tcW w:w="4252" w:type="dxa"/>
            <w:gridSpan w:val="3"/>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w:t>
            </w:r>
          </w:p>
        </w:tc>
        <w:tc>
          <w:tcPr>
            <w:tcW w:w="11480" w:type="dxa"/>
            <w:gridSpan w:val="8"/>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1008.31</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501机关工资福利支出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719.69</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719.69</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502机关商品和服务支出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171.96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171.96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503机关资本性支出（一）</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504机关资本性支出（二）</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505对事业单位经常性补助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70.45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70.45</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506对事业单位资本性补助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507对企业补助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508对企业资本性支出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509对个人和家庭的补助</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43.66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43.66</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511债务利息及费用支出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513转移性支出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599其他支出</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color w:val="000000"/>
          <w:sz w:val="32"/>
        </w:rPr>
      </w:pPr>
      <w:r>
        <w:rPr>
          <w:rFonts w:hint="eastAsia" w:ascii="黑体" w:hAnsi="黑体" w:eastAsia="黑体" w:cs="黑体"/>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636001遵化市汤泉满族乡人民政府本级</w:t>
            </w:r>
          </w:p>
        </w:tc>
        <w:tc>
          <w:tcPr>
            <w:tcW w:w="4252" w:type="dxa"/>
            <w:gridSpan w:val="3"/>
            <w:tcBorders>
              <w:top w:val="single" w:color="FFFFFF" w:sz="6" w:space="0"/>
              <w:left w:val="single" w:color="FFFFFF" w:sz="6" w:space="0"/>
              <w:right w:val="single" w:color="FFFFFF" w:sz="6" w:space="0"/>
            </w:tcBorders>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支出内容</w:t>
            </w:r>
          </w:p>
        </w:tc>
        <w:tc>
          <w:tcPr>
            <w:tcW w:w="11480" w:type="dxa"/>
            <w:gridSpan w:val="8"/>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20.38</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20.38</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19.90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19.90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0.70</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四、会议费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五、培训费</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559"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c>
          <w:tcPr>
            <w:tcW w:w="1417" w:type="dxa"/>
            <w:vAlign w:val="center"/>
          </w:tcPr>
          <w:p>
            <w:pPr>
              <w:pStyle w:val="14"/>
              <w:spacing w:before="0" w:after="0"/>
              <w:ind w:firstLine="0"/>
              <w:jc w:val="left"/>
              <w:outlineLvl w:val="9"/>
              <w:rPr>
                <w:rFonts w:hint="eastAsia" w:ascii="方正仿宋简体" w:hAnsi="方正仿宋简体" w:eastAsia="方正仿宋简体" w:cs="方正仿宋简体"/>
                <w:sz w:val="28"/>
                <w:szCs w:val="28"/>
              </w:rPr>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DhlMzc4YzlmMmIyNDFjYzkyOWJmMWZiMWM2OTIifQ=="/>
  </w:docVars>
  <w:rsids>
    <w:rsidRoot w:val="00680A41"/>
    <w:rsid w:val="000155E0"/>
    <w:rsid w:val="00246540"/>
    <w:rsid w:val="0034563D"/>
    <w:rsid w:val="00680A41"/>
    <w:rsid w:val="00AF2D34"/>
    <w:rsid w:val="00D31334"/>
    <w:rsid w:val="0DF900B7"/>
    <w:rsid w:val="2C164CED"/>
    <w:rsid w:val="556B54C8"/>
    <w:rsid w:val="7B405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footer"/>
    <w:basedOn w:val="1"/>
    <w:semiHidden/>
    <w:unhideWhenUsed/>
    <w:qFormat/>
    <w:uiPriority w:val="99"/>
    <w:pPr>
      <w:tabs>
        <w:tab w:val="center" w:pos="4153"/>
        <w:tab w:val="right" w:pos="8306"/>
      </w:tabs>
      <w:snapToGrid w:val="0"/>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qFormat/>
    <w:uiPriority w:val="0"/>
    <w:pPr>
      <w:spacing w:before="12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3">
    <w:name w:val="单元格样式23"/>
    <w:basedOn w:val="1"/>
    <w:qFormat/>
    <w:uiPriority w:val="0"/>
    <w:pPr>
      <w:jc w:val="right"/>
    </w:pPr>
    <w:rPr>
      <w:rFonts w:ascii="方正书宋_GBK" w:hAnsi="方正书宋_GBK" w:eastAsia="方正书宋_GBK" w:cs="方正书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2023-02-28T16:08:35Z</dcterms:created>
  <dcterms:modified xsi:type="dcterms:W3CDTF">2023-02-28T08:08:35Z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2023-02-28T16:08:29Z</dcterms:created>
  <dcterms:modified xsi:type="dcterms:W3CDTF">2023-02-28T08:08:29Z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2023-02-28T16:08:29Z</dcterms:created>
  <dcterms:modified xsi:type="dcterms:W3CDTF">2023-02-28T08:08:28Z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7A9AA1C-5C75-4DE0-A702-90B4B7811BDF}">
  <ds:schemaRefs/>
</ds:datastoreItem>
</file>

<file path=customXml/itemProps2.xml><?xml version="1.0" encoding="utf-8"?>
<ds:datastoreItem xmlns:ds="http://schemas.openxmlformats.org/officeDocument/2006/customXml" ds:itemID="{505830A4-A1BF-4347-8973-008653E9AE90}">
  <ds:schemaRefs/>
</ds:datastoreItem>
</file>

<file path=customXml/itemProps3.xml><?xml version="1.0" encoding="utf-8"?>
<ds:datastoreItem xmlns:ds="http://schemas.openxmlformats.org/officeDocument/2006/customXml" ds:itemID="{4E831ED8-7008-4235-A1F4-2012EC998126}">
  <ds:schemaRefs/>
</ds:datastoreItem>
</file>

<file path=customXml/itemProps4.xml><?xml version="1.0" encoding="utf-8"?>
<ds:datastoreItem xmlns:ds="http://schemas.openxmlformats.org/officeDocument/2006/customXml" ds:itemID="{E16393C7-0BBE-4AA0-B982-3FD461372961}">
  <ds:schemaRefs/>
</ds:datastoreItem>
</file>

<file path=customXml/itemProps5.xml><?xml version="1.0" encoding="utf-8"?>
<ds:datastoreItem xmlns:ds="http://schemas.openxmlformats.org/officeDocument/2006/customXml" ds:itemID="{92DE020B-32C1-4B4F-A41C-1EDCD6DD3F06}">
  <ds:schemaRefs/>
</ds:datastoreItem>
</file>

<file path=customXml/itemProps6.xml><?xml version="1.0" encoding="utf-8"?>
<ds:datastoreItem xmlns:ds="http://schemas.openxmlformats.org/officeDocument/2006/customXml" ds:itemID="{BF5A6516-80B2-482B-8C58-1DCAE491C0B2}">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7659</Words>
  <Characters>10991</Characters>
  <Lines>123</Lines>
  <Paragraphs>34</Paragraphs>
  <TotalTime>48</TotalTime>
  <ScaleCrop>false</ScaleCrop>
  <LinksUpToDate>false</LinksUpToDate>
  <CharactersWithSpaces>11633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2023-02-28T16:08:00Z</dcterms:created>
  <dc:creator>lenovo</dc:creator>
  <cp:lastModifiedBy>lenovo</cp:lastModifiedBy>
  <dcterms:modified xsi:type="dcterms:W3CDTF">2023-04-11T07:08:35Z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2AC75AFB3CE34214AED82C961144914D</vt:lpwstr>
  </property>
</Properties>
</file>