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5C" w:rsidRDefault="003F5A30">
      <w:pPr>
        <w:sectPr w:rsidR="00247E5C">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425"/>
          <w:titlePg/>
          <w:docGrid w:type="lines" w:linePitch="312"/>
        </w:sectPr>
      </w:pPr>
      <w:r>
        <w:rPr>
          <w:noProof/>
        </w:rPr>
        <w:pict>
          <v:shapetype id="_x0000_t202" coordsize="21600,21600" o:spt="202" path="m,l,21600r21600,l21600,xe">
            <v:stroke joinstyle="miter"/>
            <v:path gradientshapeok="t" o:connecttype="rect"/>
          </v:shapetype>
          <v:shape id="文本框 10" o:spid="_x0000_s1033"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E74912" w:rsidRPr="006069EF" w:rsidRDefault="00E74912">
                  <w:pPr>
                    <w:jc w:val="center"/>
                    <w:rPr>
                      <w:rFonts w:ascii="楷体_GB2312" w:eastAsia="楷体_GB2312" w:hAnsi="楷体_GB2312" w:cs="楷体_GB2312"/>
                      <w:color w:val="000000"/>
                      <w:kern w:val="0"/>
                      <w:sz w:val="44"/>
                      <w:szCs w:val="44"/>
                    </w:rPr>
                  </w:pPr>
                  <w:r w:rsidRPr="006069EF">
                    <w:rPr>
                      <w:rFonts w:ascii="楷体_GB2312" w:eastAsia="楷体_GB2312" w:hAnsi="楷体_GB2312" w:cs="楷体_GB2312" w:hint="eastAsia"/>
                      <w:color w:val="000000"/>
                      <w:kern w:val="0"/>
                      <w:sz w:val="44"/>
                      <w:szCs w:val="44"/>
                    </w:rPr>
                    <w:t>二〇二〇年八月</w:t>
                  </w:r>
                </w:p>
              </w:txbxContent>
            </v:textbox>
          </v:shape>
        </w:pict>
      </w:r>
      <w:r>
        <w:rPr>
          <w:noProof/>
        </w:rPr>
        <w:pict>
          <v:oval id="椭圆 8" o:spid="_x0000_s1034"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stroked="f" strokeweight="1pt">
            <v:stroke joinstyle="miter"/>
          </v:oval>
        </w:pict>
      </w:r>
      <w:r>
        <w:rPr>
          <w:noProof/>
        </w:rPr>
        <w:pict>
          <v:rect id="矩形 14" o:spid="_x0000_s1035"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E74912" w:rsidRDefault="00E74912">
                  <w:pPr>
                    <w:spacing w:line="360" w:lineRule="auto"/>
                    <w:jc w:val="center"/>
                    <w:rPr>
                      <w:kern w:val="0"/>
                      <w:sz w:val="28"/>
                      <w:szCs w:val="28"/>
                    </w:rPr>
                  </w:pPr>
                  <w:r w:rsidRPr="006069EF">
                    <w:rPr>
                      <w:rFonts w:ascii="Yu Gothic UI Semibold" w:eastAsia="宋体" w:hAnsi="Yu Gothic UI Semibold"/>
                      <w:color w:val="FFFFFF"/>
                      <w:kern w:val="24"/>
                      <w:sz w:val="72"/>
                      <w:szCs w:val="72"/>
                    </w:rPr>
                    <w:t>2019</w:t>
                  </w:r>
                </w:p>
              </w:txbxContent>
            </v:textbox>
          </v:rect>
        </w:pict>
      </w:r>
      <w:r>
        <w:rPr>
          <w:noProof/>
        </w:rPr>
        <w:pict>
          <v:oval id="椭圆 9" o:spid="_x0000_s1036"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rPr>
          <w:noProof/>
        </w:rPr>
        <w:pict>
          <v:group id="_x0000_s1037" style="position:absolute;left:0;text-align:left;margin-left:1.25pt;margin-top:821.7pt;width:595.25pt;height:21.45pt;z-index:251653120"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3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39"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rPr>
          <w:noProof/>
        </w:rPr>
        <w:pict>
          <v:group id="_x0000_s1040" style="position:absolute;left:0;text-align:left;margin-left:-2.5pt;margin-top:0;width:600.25pt;height:308.5pt;z-index:-251666432"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1"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2"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E74912" w:rsidRPr="006069EF" w:rsidRDefault="00E74912">
                    <w:pPr>
                      <w:jc w:val="left"/>
                      <w:rPr>
                        <w:color w:val="000000"/>
                        <w:kern w:val="0"/>
                        <w:sz w:val="92"/>
                        <w:szCs w:val="92"/>
                      </w:rPr>
                    </w:pPr>
                    <w:r w:rsidRPr="006069EF">
                      <w:rPr>
                        <w:rFonts w:ascii="思源黑体 HW Bold" w:eastAsia="思源黑体 HW Bold" w:hAnsi="思源黑体 HW Bold" w:hint="eastAsia"/>
                        <w:color w:val="000000"/>
                        <w:kern w:val="24"/>
                        <w:sz w:val="92"/>
                        <w:szCs w:val="92"/>
                      </w:rPr>
                      <w:t>部门决算公开文本</w:t>
                    </w:r>
                  </w:p>
                </w:txbxContent>
              </v:textbox>
            </v:shape>
          </v:group>
        </w:pict>
      </w:r>
      <w:r>
        <w:rPr>
          <w:noProof/>
        </w:rPr>
        <w:pict>
          <v:rect id="矩形 11" o:spid="_x0000_s1043"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E74912" w:rsidRDefault="00E74912"/>
              </w:txbxContent>
            </v:textbox>
          </v:rect>
        </w:pict>
      </w:r>
    </w:p>
    <w:p w:rsidR="00247E5C" w:rsidRDefault="00247E5C"/>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rPr>
          <w:rFonts w:ascii="黑体" w:eastAsia="黑体" w:hAnsi="Times New Roman"/>
          <w:sz w:val="48"/>
          <w:szCs w:val="48"/>
        </w:rPr>
      </w:pPr>
      <w:r>
        <w:rPr>
          <w:rFonts w:ascii="黑体" w:eastAsia="黑体" w:hAnsi="Times New Roman"/>
          <w:sz w:val="48"/>
          <w:szCs w:val="48"/>
        </w:rPr>
        <w:br w:type="page"/>
      </w:r>
    </w:p>
    <w:p w:rsidR="00247E5C" w:rsidRDefault="00247E5C">
      <w:pPr>
        <w:tabs>
          <w:tab w:val="left" w:pos="2728"/>
        </w:tabs>
        <w:rPr>
          <w:rFonts w:ascii="黑体" w:eastAsia="黑体" w:hAnsi="Times New Roman"/>
          <w:sz w:val="48"/>
          <w:szCs w:val="48"/>
        </w:rPr>
      </w:pPr>
      <w:r>
        <w:rPr>
          <w:rFonts w:ascii="黑体" w:eastAsia="黑体" w:hAnsi="Times New Roman"/>
          <w:sz w:val="48"/>
          <w:szCs w:val="48"/>
        </w:rPr>
        <w:lastRenderedPageBreak/>
        <w:tab/>
      </w:r>
    </w:p>
    <w:p w:rsidR="00247E5C" w:rsidRDefault="00247E5C">
      <w:pPr>
        <w:rPr>
          <w:rFonts w:ascii="黑体" w:eastAsia="黑体" w:hAnsi="黑体" w:cs="黑体"/>
          <w:sz w:val="56"/>
          <w:szCs w:val="72"/>
        </w:rPr>
      </w:pPr>
    </w:p>
    <w:p w:rsidR="00247E5C" w:rsidRDefault="00247E5C">
      <w:pPr>
        <w:rPr>
          <w:rFonts w:ascii="黑体" w:eastAsia="黑体" w:hAnsi="黑体" w:cs="黑体"/>
          <w:b/>
          <w:bCs/>
          <w:sz w:val="72"/>
          <w:szCs w:val="96"/>
        </w:rPr>
      </w:pPr>
      <w:r>
        <w:rPr>
          <w:rFonts w:ascii="黑体" w:eastAsia="黑体" w:hAnsi="黑体" w:cs="黑体"/>
          <w:b/>
          <w:bCs/>
          <w:sz w:val="72"/>
          <w:szCs w:val="96"/>
        </w:rPr>
        <w:t>2019</w:t>
      </w:r>
      <w:r>
        <w:rPr>
          <w:rFonts w:ascii="黑体" w:eastAsia="黑体" w:hAnsi="黑体" w:cs="黑体" w:hint="eastAsia"/>
          <w:b/>
          <w:bCs/>
          <w:sz w:val="72"/>
          <w:szCs w:val="96"/>
        </w:rPr>
        <w:t>年度部门决算公开文本</w:t>
      </w:r>
    </w:p>
    <w:p w:rsidR="00247E5C" w:rsidRDefault="00247E5C">
      <w:pPr>
        <w:spacing w:line="360" w:lineRule="auto"/>
        <w:jc w:val="center"/>
        <w:rPr>
          <w:rFonts w:ascii="黑体" w:eastAsia="黑体" w:hAnsi="黑体" w:cs="黑体"/>
          <w:sz w:val="56"/>
          <w:szCs w:val="72"/>
        </w:rPr>
      </w:pPr>
    </w:p>
    <w:p w:rsidR="00247E5C" w:rsidRDefault="00247E5C">
      <w:pPr>
        <w:spacing w:line="600" w:lineRule="auto"/>
        <w:jc w:val="center"/>
        <w:rPr>
          <w:rFonts w:ascii="黑体" w:eastAsia="黑体" w:hAnsi="黑体" w:cs="黑体"/>
          <w:sz w:val="56"/>
          <w:szCs w:val="72"/>
        </w:rPr>
      </w:pPr>
    </w:p>
    <w:p w:rsidR="00247E5C" w:rsidRDefault="00247E5C">
      <w:pPr>
        <w:spacing w:line="600" w:lineRule="auto"/>
        <w:jc w:val="center"/>
        <w:rPr>
          <w:rFonts w:ascii="黑体" w:eastAsia="黑体" w:hAnsi="黑体" w:cs="黑体"/>
          <w:sz w:val="56"/>
          <w:szCs w:val="72"/>
        </w:rPr>
      </w:pPr>
    </w:p>
    <w:p w:rsidR="00247E5C" w:rsidRDefault="00247E5C">
      <w:pPr>
        <w:spacing w:line="600" w:lineRule="auto"/>
        <w:jc w:val="center"/>
        <w:rPr>
          <w:rFonts w:ascii="黑体" w:eastAsia="黑体" w:hAnsi="黑体" w:cs="黑体"/>
          <w:sz w:val="56"/>
          <w:szCs w:val="72"/>
        </w:rPr>
      </w:pPr>
    </w:p>
    <w:p w:rsidR="00247E5C" w:rsidRDefault="00247E5C">
      <w:pPr>
        <w:spacing w:line="600" w:lineRule="auto"/>
        <w:jc w:val="center"/>
        <w:rPr>
          <w:rFonts w:ascii="黑体" w:eastAsia="黑体" w:hAnsi="黑体" w:cs="黑体"/>
          <w:sz w:val="56"/>
          <w:szCs w:val="72"/>
        </w:rPr>
      </w:pPr>
    </w:p>
    <w:p w:rsidR="00247E5C" w:rsidRDefault="00247E5C">
      <w:pPr>
        <w:spacing w:line="480" w:lineRule="auto"/>
        <w:jc w:val="center"/>
        <w:rPr>
          <w:rFonts w:ascii="黑体" w:eastAsia="黑体" w:hAnsi="黑体" w:cs="黑体"/>
          <w:sz w:val="56"/>
          <w:szCs w:val="72"/>
        </w:rPr>
      </w:pPr>
    </w:p>
    <w:p w:rsidR="00247E5C" w:rsidRDefault="00247E5C">
      <w:pPr>
        <w:spacing w:line="480" w:lineRule="auto"/>
        <w:jc w:val="center"/>
        <w:rPr>
          <w:rFonts w:ascii="黑体" w:eastAsia="黑体" w:hAnsi="黑体" w:cs="黑体"/>
          <w:sz w:val="56"/>
          <w:szCs w:val="72"/>
        </w:rPr>
      </w:pPr>
    </w:p>
    <w:p w:rsidR="00247E5C" w:rsidRDefault="00247E5C">
      <w:pPr>
        <w:spacing w:line="480" w:lineRule="auto"/>
        <w:jc w:val="center"/>
        <w:rPr>
          <w:rFonts w:ascii="黑体" w:eastAsia="黑体" w:hAnsi="黑体" w:cs="黑体"/>
          <w:sz w:val="56"/>
          <w:szCs w:val="72"/>
        </w:rPr>
      </w:pPr>
    </w:p>
    <w:p w:rsidR="00247E5C" w:rsidRDefault="00247E5C">
      <w:pPr>
        <w:snapToGrid w:val="0"/>
        <w:spacing w:line="480" w:lineRule="auto"/>
        <w:jc w:val="center"/>
        <w:rPr>
          <w:rFonts w:ascii="黑体" w:eastAsia="黑体" w:hAnsi="黑体" w:cs="黑体"/>
          <w:sz w:val="56"/>
          <w:szCs w:val="72"/>
        </w:rPr>
      </w:pPr>
    </w:p>
    <w:p w:rsidR="00247E5C" w:rsidRPr="00E74912" w:rsidRDefault="00E74912">
      <w:pPr>
        <w:snapToGrid w:val="0"/>
        <w:jc w:val="center"/>
        <w:rPr>
          <w:rFonts w:ascii="楷体_GB2312" w:eastAsia="楷体_GB2312" w:hAnsi="楷体_GB2312" w:cs="楷体_GB2312"/>
          <w:color w:val="000000"/>
          <w:kern w:val="0"/>
          <w:sz w:val="44"/>
          <w:szCs w:val="44"/>
        </w:rPr>
      </w:pPr>
      <w:r w:rsidRPr="00E74912">
        <w:rPr>
          <w:rFonts w:ascii="楷体_GB2312" w:eastAsia="楷体_GB2312" w:hAnsi="楷体_GB2312" w:cs="楷体_GB2312" w:hint="eastAsia"/>
          <w:color w:val="000000"/>
          <w:kern w:val="0"/>
          <w:sz w:val="44"/>
          <w:szCs w:val="44"/>
        </w:rPr>
        <w:t>遵化市</w:t>
      </w:r>
      <w:r w:rsidRPr="00E74912">
        <w:rPr>
          <w:rFonts w:ascii="楷体_GB2312" w:eastAsia="楷体_GB2312" w:hAnsi="楷体_GB2312" w:cs="楷体_GB2312"/>
          <w:color w:val="000000"/>
          <w:kern w:val="0"/>
          <w:sz w:val="44"/>
          <w:szCs w:val="44"/>
        </w:rPr>
        <w:t>商务和投资促进局</w:t>
      </w:r>
    </w:p>
    <w:p w:rsidR="00247E5C" w:rsidRDefault="00247E5C">
      <w:pPr>
        <w:snapToGrid w:val="0"/>
        <w:jc w:val="center"/>
        <w:rPr>
          <w:rFonts w:ascii="楷体_GB2312" w:eastAsia="楷体_GB2312" w:hAnsi="楷体_GB2312" w:cs="楷体_GB2312"/>
          <w:color w:val="000000"/>
          <w:kern w:val="0"/>
          <w:sz w:val="44"/>
          <w:szCs w:val="44"/>
        </w:rPr>
        <w:sectPr w:rsidR="00247E5C">
          <w:headerReference w:type="default" r:id="rId13"/>
          <w:headerReference w:type="first" r:id="rId14"/>
          <w:footerReference w:type="first" r:id="rId15"/>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kern w:val="0"/>
          <w:sz w:val="44"/>
          <w:szCs w:val="44"/>
        </w:rPr>
        <w:t>二〇二〇年八月</w:t>
      </w:r>
    </w:p>
    <w:p w:rsidR="00247E5C" w:rsidRDefault="00247E5C">
      <w:pPr>
        <w:widowControl/>
        <w:spacing w:line="600" w:lineRule="exact"/>
        <w:jc w:val="left"/>
        <w:rPr>
          <w:rFonts w:ascii="黑体" w:eastAsia="黑体" w:hAnsi="黑体" w:cs="黑体"/>
          <w:bCs/>
          <w:sz w:val="32"/>
          <w:szCs w:val="32"/>
          <w:highlight w:val="yellow"/>
        </w:rPr>
      </w:pPr>
    </w:p>
    <w:p w:rsidR="00247E5C" w:rsidRDefault="00247E5C">
      <w:pPr>
        <w:tabs>
          <w:tab w:val="left" w:pos="2728"/>
        </w:tabs>
        <w:jc w:val="center"/>
        <w:rPr>
          <w:rFonts w:ascii="黑体" w:eastAsia="黑体" w:hAnsi="Times New Roman"/>
          <w:sz w:val="48"/>
          <w:szCs w:val="48"/>
        </w:rPr>
      </w:pPr>
    </w:p>
    <w:p w:rsidR="00247E5C" w:rsidRDefault="00247E5C">
      <w:pPr>
        <w:tabs>
          <w:tab w:val="left" w:pos="2728"/>
        </w:tabs>
        <w:jc w:val="center"/>
        <w:rPr>
          <w:rFonts w:ascii="黑体" w:eastAsia="黑体" w:hAnsi="Times New Roman"/>
          <w:sz w:val="48"/>
          <w:szCs w:val="48"/>
        </w:rPr>
      </w:pPr>
      <w:r>
        <w:rPr>
          <w:rFonts w:ascii="黑体" w:eastAsia="黑体" w:hAnsi="Times New Roman" w:hint="eastAsia"/>
          <w:sz w:val="48"/>
          <w:szCs w:val="48"/>
        </w:rPr>
        <w:t>目</w:t>
      </w:r>
      <w:r>
        <w:rPr>
          <w:rFonts w:ascii="黑体" w:eastAsia="黑体" w:hAnsi="Times New Roman"/>
          <w:sz w:val="48"/>
          <w:szCs w:val="48"/>
        </w:rPr>
        <w:t xml:space="preserve">    </w:t>
      </w:r>
      <w:r>
        <w:rPr>
          <w:rFonts w:ascii="黑体" w:eastAsia="黑体" w:hAnsi="Times New Roman" w:hint="eastAsia"/>
          <w:sz w:val="48"/>
          <w:szCs w:val="48"/>
        </w:rPr>
        <w:t>录</w:t>
      </w:r>
    </w:p>
    <w:p w:rsidR="00247E5C" w:rsidRDefault="00247E5C" w:rsidP="00140901">
      <w:pPr>
        <w:widowControl/>
        <w:spacing w:after="160" w:line="580" w:lineRule="exact"/>
        <w:ind w:firstLineChars="200" w:firstLine="640"/>
        <w:rPr>
          <w:rFonts w:ascii="Times New Roman" w:eastAsia="黑体" w:hAnsi="Times New Roman"/>
          <w:sz w:val="32"/>
          <w:szCs w:val="32"/>
        </w:rPr>
      </w:pPr>
    </w:p>
    <w:p w:rsidR="00247E5C" w:rsidRDefault="00247E5C" w:rsidP="00140901">
      <w:pPr>
        <w:widowControl/>
        <w:spacing w:after="160" w:line="580" w:lineRule="exact"/>
        <w:ind w:firstLineChars="200" w:firstLine="640"/>
        <w:rPr>
          <w:rFonts w:ascii="Times New Roman" w:eastAsia="仿宋_GB2312" w:hAnsi="Times New Roman"/>
          <w:sz w:val="24"/>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Pr>
          <w:rFonts w:ascii="Times New Roman" w:eastAsia="黑体" w:hAnsi="Times New Roman" w:hint="eastAsia"/>
          <w:sz w:val="32"/>
          <w:szCs w:val="32"/>
        </w:rPr>
        <w:t>部门概况</w:t>
      </w:r>
      <w:bookmarkStart w:id="0" w:name="_GoBack"/>
      <w:bookmarkEnd w:id="0"/>
    </w:p>
    <w:p w:rsidR="00247E5C" w:rsidRDefault="00247E5C" w:rsidP="00140901">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一、部门职责</w:t>
      </w:r>
    </w:p>
    <w:p w:rsidR="00247E5C" w:rsidRDefault="00247E5C" w:rsidP="00140901">
      <w:pPr>
        <w:widowControl/>
        <w:spacing w:after="160" w:line="580" w:lineRule="exact"/>
        <w:ind w:firstLineChars="398" w:firstLine="1274"/>
        <w:rPr>
          <w:rFonts w:ascii="Times New Roman" w:eastAsia="仿宋_GB2312" w:hAnsi="Times New Roman"/>
          <w:sz w:val="32"/>
          <w:szCs w:val="32"/>
        </w:rPr>
      </w:pPr>
      <w:r>
        <w:rPr>
          <w:rFonts w:ascii="Times New Roman" w:eastAsia="仿宋_GB2312" w:hAnsi="Times New Roman" w:hint="eastAsia"/>
          <w:sz w:val="32"/>
          <w:szCs w:val="32"/>
        </w:rPr>
        <w:t>二、机构设置</w:t>
      </w:r>
    </w:p>
    <w:p w:rsidR="00247E5C" w:rsidRDefault="00247E5C" w:rsidP="00140901">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第二部分</w:t>
      </w:r>
      <w:r>
        <w:rPr>
          <w:rFonts w:ascii="Times New Roman" w:eastAsia="黑体" w:hAnsi="Times New Roman"/>
          <w:sz w:val="32"/>
          <w:szCs w:val="32"/>
        </w:rPr>
        <w:t xml:space="preserve">   2019</w:t>
      </w:r>
      <w:r>
        <w:rPr>
          <w:rFonts w:ascii="Times New Roman" w:eastAsia="黑体" w:hAnsi="Times New Roman" w:hint="eastAsia"/>
          <w:sz w:val="32"/>
          <w:szCs w:val="32"/>
        </w:rPr>
        <w:t>年部门决算情况说明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一、收入支出决算总体情况说明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二、收入决算情况说明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三、支出决算情况说明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四、财政拨款收入支出决算总体情况说明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五、一般公共预算</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经费支出决算情况说明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六、预算绩效情况说明</w:t>
      </w:r>
    </w:p>
    <w:p w:rsidR="00247E5C" w:rsidRDefault="00247E5C" w:rsidP="00140901">
      <w:pPr>
        <w:widowControl/>
        <w:spacing w:after="160" w:line="580" w:lineRule="exact"/>
        <w:ind w:left="640"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七、其他重要事项的说明</w:t>
      </w:r>
    </w:p>
    <w:p w:rsidR="00247E5C" w:rsidRDefault="00247E5C" w:rsidP="00140901">
      <w:pPr>
        <w:widowControl/>
        <w:spacing w:after="160"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w:t>
      </w:r>
      <w:r>
        <w:rPr>
          <w:rFonts w:ascii="Times New Roman" w:eastAsia="黑体" w:hAnsi="Times New Roman"/>
          <w:sz w:val="32"/>
          <w:szCs w:val="32"/>
        </w:rPr>
        <w:t xml:space="preserve">  </w:t>
      </w:r>
      <w:r>
        <w:rPr>
          <w:rFonts w:ascii="Times New Roman" w:eastAsia="黑体" w:hAnsi="Times New Roman" w:hint="eastAsia"/>
          <w:sz w:val="32"/>
          <w:szCs w:val="32"/>
        </w:rPr>
        <w:t>名词解释</w:t>
      </w:r>
    </w:p>
    <w:p w:rsidR="00247E5C" w:rsidRDefault="00247E5C" w:rsidP="00140901">
      <w:pPr>
        <w:widowControl/>
        <w:spacing w:after="160" w:line="580" w:lineRule="exact"/>
        <w:ind w:firstLineChars="200" w:firstLine="640"/>
        <w:rPr>
          <w:rFonts w:ascii="Times New Roman" w:eastAsia="仿宋_GB2312" w:hAnsi="Times New Roman"/>
          <w:sz w:val="20"/>
          <w:szCs w:val="32"/>
        </w:rPr>
      </w:pPr>
      <w:r>
        <w:rPr>
          <w:rFonts w:ascii="Times New Roman" w:eastAsia="黑体" w:hAnsi="Times New Roman" w:hint="eastAsia"/>
          <w:sz w:val="32"/>
          <w:szCs w:val="32"/>
        </w:rPr>
        <w:t>第四部分</w:t>
      </w:r>
      <w:r>
        <w:rPr>
          <w:rFonts w:ascii="Times New Roman" w:eastAsia="黑体" w:hAnsi="Times New Roman"/>
          <w:sz w:val="32"/>
          <w:szCs w:val="32"/>
        </w:rPr>
        <w:t xml:space="preserve">  2019</w:t>
      </w:r>
      <w:r>
        <w:rPr>
          <w:rFonts w:ascii="Times New Roman" w:eastAsia="黑体" w:hAnsi="Times New Roman" w:hint="eastAsia"/>
          <w:sz w:val="32"/>
          <w:szCs w:val="32"/>
        </w:rPr>
        <w:t>年度部门决算报表</w:t>
      </w:r>
    </w:p>
    <w:p w:rsidR="00247E5C" w:rsidRDefault="00247E5C" w:rsidP="00140901">
      <w:pPr>
        <w:widowControl/>
        <w:spacing w:after="160" w:line="580" w:lineRule="exact"/>
        <w:ind w:firstLineChars="200" w:firstLine="640"/>
        <w:rPr>
          <w:rFonts w:ascii="Times New Roman" w:eastAsia="黑体" w:hAnsi="Times New Roman"/>
          <w:sz w:val="32"/>
          <w:szCs w:val="32"/>
        </w:rPr>
      </w:pPr>
    </w:p>
    <w:p w:rsidR="00247E5C" w:rsidRDefault="00247E5C" w:rsidP="00140901">
      <w:pPr>
        <w:widowControl/>
        <w:spacing w:line="580" w:lineRule="exact"/>
        <w:ind w:firstLineChars="200" w:firstLine="640"/>
        <w:rPr>
          <w:rFonts w:eastAsia="黑体"/>
          <w:sz w:val="32"/>
          <w:szCs w:val="32"/>
        </w:rPr>
      </w:pPr>
    </w:p>
    <w:p w:rsidR="00247E5C" w:rsidRDefault="00247E5C" w:rsidP="00140901">
      <w:pPr>
        <w:widowControl/>
        <w:spacing w:line="580" w:lineRule="exact"/>
        <w:ind w:firstLineChars="200" w:firstLine="640"/>
        <w:rPr>
          <w:rFonts w:eastAsia="黑体"/>
          <w:sz w:val="32"/>
          <w:szCs w:val="32"/>
        </w:rPr>
      </w:pPr>
    </w:p>
    <w:p w:rsidR="00247E5C" w:rsidRDefault="00247E5C" w:rsidP="00140901">
      <w:pPr>
        <w:widowControl/>
        <w:spacing w:line="580" w:lineRule="exact"/>
        <w:ind w:firstLineChars="200" w:firstLine="640"/>
        <w:rPr>
          <w:rFonts w:eastAsia="黑体"/>
          <w:sz w:val="32"/>
          <w:szCs w:val="32"/>
        </w:rPr>
      </w:pPr>
    </w:p>
    <w:p w:rsidR="00247E5C" w:rsidRDefault="003F5A30">
      <w:r>
        <w:rPr>
          <w:noProof/>
        </w:rPr>
        <w:pict>
          <v:shape id="_x0000_s1053"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type="pattern"/>
            <v:stroke joinstyle="round"/>
            <v:textbox>
              <w:txbxContent>
                <w:p w:rsidR="00E74912" w:rsidRPr="006069EF" w:rsidRDefault="00E74912">
                  <w:pPr>
                    <w:widowControl/>
                    <w:jc w:val="center"/>
                    <w:rPr>
                      <w:rFonts w:ascii="黑体" w:eastAsia="黑体" w:hAnsi="黑体" w:cs="黑体"/>
                      <w:color w:val="000000"/>
                      <w:sz w:val="96"/>
                      <w:szCs w:val="96"/>
                    </w:rPr>
                  </w:pPr>
                  <w:r w:rsidRPr="006069EF">
                    <w:rPr>
                      <w:rFonts w:ascii="黑体" w:eastAsia="黑体" w:hAnsi="黑体" w:cs="黑体" w:hint="eastAsia"/>
                      <w:color w:val="000000"/>
                      <w:sz w:val="96"/>
                      <w:szCs w:val="96"/>
                    </w:rPr>
                    <w:t>第一部分</w:t>
                  </w:r>
                  <w:r w:rsidRPr="006069EF">
                    <w:rPr>
                      <w:rFonts w:ascii="黑体" w:eastAsia="黑体" w:hAnsi="黑体" w:cs="黑体"/>
                      <w:color w:val="000000"/>
                      <w:sz w:val="96"/>
                      <w:szCs w:val="96"/>
                    </w:rPr>
                    <w:t xml:space="preserve">  </w:t>
                  </w:r>
                  <w:r w:rsidRPr="006069EF">
                    <w:rPr>
                      <w:rFonts w:ascii="黑体" w:eastAsia="黑体" w:hAnsi="黑体" w:cs="黑体" w:hint="eastAsia"/>
                      <w:color w:val="000000"/>
                      <w:sz w:val="96"/>
                      <w:szCs w:val="96"/>
                    </w:rPr>
                    <w:t>部门概况</w:t>
                  </w:r>
                </w:p>
              </w:txbxContent>
            </v:textbox>
          </v:shape>
        </w:pict>
      </w:r>
      <w:r w:rsidR="00247E5C">
        <w:br w:type="page"/>
      </w:r>
    </w:p>
    <w:p w:rsidR="00247E5C" w:rsidRDefault="00247E5C" w:rsidP="00140901">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我局主要职责是：</w:t>
      </w:r>
    </w:p>
    <w:p w:rsidR="00E74912" w:rsidRPr="00C41D4B" w:rsidRDefault="00E74912" w:rsidP="00E74912">
      <w:pPr>
        <w:rPr>
          <w:rFonts w:ascii="仿宋_GB2312" w:eastAsia="仿宋_GB2312" w:hAnsi="仿宋"/>
          <w:sz w:val="32"/>
          <w:szCs w:val="32"/>
        </w:rPr>
      </w:pPr>
      <w:r w:rsidRPr="00C41D4B">
        <w:rPr>
          <w:rFonts w:ascii="仿宋_GB2312" w:eastAsia="仿宋_GB2312" w:hAnsi="仿宋" w:hint="eastAsia"/>
          <w:sz w:val="32"/>
          <w:szCs w:val="32"/>
        </w:rPr>
        <w:t xml:space="preserve">    1、贯彻落实国家和省有关内外贸易、国际经济合作发展战略、方针、政策以及相关法律法规；拟订全市国内外贸易发展规划，促进城乡市场发展。</w:t>
      </w:r>
    </w:p>
    <w:p w:rsidR="00E74912" w:rsidRPr="00C41D4B" w:rsidRDefault="00E74912" w:rsidP="00E74912">
      <w:pPr>
        <w:rPr>
          <w:rFonts w:ascii="仿宋_GB2312" w:eastAsia="仿宋_GB2312" w:hAnsi="仿宋"/>
          <w:sz w:val="32"/>
          <w:szCs w:val="32"/>
        </w:rPr>
      </w:pPr>
      <w:r w:rsidRPr="00C41D4B">
        <w:rPr>
          <w:rFonts w:ascii="仿宋_GB2312" w:eastAsia="仿宋_GB2312" w:hAnsi="仿宋" w:hint="eastAsia"/>
          <w:sz w:val="32"/>
          <w:szCs w:val="32"/>
        </w:rPr>
        <w:t xml:space="preserve">    2、负责指导商贸服务业和社区商业发展；推动流通标准化和连锁经营、商业特许经营、物流配送、电子商务等现代流通方式的发展。</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3、承担牵头协调整顿和规范市场秩序工作的责任。</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4、承担组织实施重要消费品市场调控和重要生产资料流通管理的责任；负责对成品油流通进行监督管理；负责全市典当、拍卖等特种商品及行业的监督管理；负责报废汽车回收拆解的组织协调工作。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5、执行国家制定的进出口商品、加工贸易管理办法和进出口商品、技术目录。</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6、拟定和推进全市科技兴贸战略；依法监督技术引进、设备进口、国家限制出口的技术工作。</w:t>
      </w:r>
    </w:p>
    <w:p w:rsidR="00E74912" w:rsidRPr="00C41D4B" w:rsidRDefault="00E74912" w:rsidP="00E74912">
      <w:pPr>
        <w:ind w:left="640"/>
        <w:rPr>
          <w:rFonts w:ascii="仿宋_GB2312" w:eastAsia="仿宋_GB2312" w:hAnsi="仿宋"/>
          <w:sz w:val="32"/>
          <w:szCs w:val="32"/>
        </w:rPr>
      </w:pPr>
      <w:r w:rsidRPr="00C41D4B">
        <w:rPr>
          <w:rFonts w:ascii="仿宋_GB2312" w:eastAsia="仿宋_GB2312" w:hAnsi="仿宋" w:hint="eastAsia"/>
          <w:sz w:val="32"/>
          <w:szCs w:val="32"/>
        </w:rPr>
        <w:t>7、贯彻执行国家促进服务业出口和服务业外包发展的</w:t>
      </w:r>
    </w:p>
    <w:p w:rsidR="00E74912" w:rsidRPr="00C41D4B" w:rsidRDefault="00E74912" w:rsidP="00E74912">
      <w:pPr>
        <w:rPr>
          <w:rFonts w:ascii="仿宋_GB2312" w:eastAsia="仿宋_GB2312" w:hAnsi="仿宋"/>
          <w:sz w:val="32"/>
          <w:szCs w:val="32"/>
        </w:rPr>
      </w:pPr>
      <w:r w:rsidRPr="00C41D4B">
        <w:rPr>
          <w:rFonts w:ascii="仿宋_GB2312" w:eastAsia="仿宋_GB2312" w:hAnsi="仿宋" w:hint="eastAsia"/>
          <w:sz w:val="32"/>
          <w:szCs w:val="32"/>
        </w:rPr>
        <w:t>规划、政策，牵头拟订全市服务贸易发展规划并组织实施。</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8、负责全市对外贸易经济合作工作。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lastRenderedPageBreak/>
        <w:t>9、负责推进我市进出口贸易的标准化建设。</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10、指导协调产业安全应对工作及国外对我市出口商品的反倾销、反补贴、保障措施的应诉工作。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11、贯彻执行国家制定的对香港、澳门特别行政区和台湾地区的经贸规划、政策，组织实施我市对台直接通商工作。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12、依法对经营者集中行为进行反垄断审查，指导企业在国外的反垄断应诉工作。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13、负责组织拟订全市现代物流发展规划；指导物流业的发展；负责全市重点物流项目和重点物流企业的认定工作。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14、指导监督以遵化市名义在境外举办的各种交易会、展览会、展销会等活动。</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15、负责全市商务工作新闻发布会、宣传工作和提供信息咨询服务。</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16、研究拟订全市招商引资的发展战略、政策措施，并组织实施。</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17、研究拟订全市招商引资、利用外资、利用国内资金和经济技术合作、区域协作的工作目标，并组织实施。</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18、统筹全市招商引资和经济协作工作；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19、负责全市招商工作体系、工作机制的建立，对各乡镇、园区招商工作的管理、指导、协调和绩效评估、考核工作。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lastRenderedPageBreak/>
        <w:t>20、负责全市对境内外重要招商项目的谋划、包装、发布、推介工作，建立项目库和客户库；组织招商引资和经济协作重点项目的推介、洽谈和协调工作。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21、负责全市对境内外重要客户的联络拓展、重要团组和客户来访考察、洽谈的组织接待工作；负责全市利用外资、利用国内资金项目洽谈、签约工作的组织、指导、协调；负责签约项目的履约落实；承办市政府招商引资代表团出访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22、组织和促进委托招商、代理招商、中介招商、专业招商、网上招商等多种形式的招商活动。</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23、负责全市外商投资项目的备案、核准和申报、外商投资企业的设立及变更审批和申报工作。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24、负责牵头组织全市外商投资企业联合年检工作；受理外商投资企业投诉。</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25、指导外商投资企业协会、外来投资企业协会和其他相关服务机构的工作。</w:t>
      </w:r>
    </w:p>
    <w:p w:rsidR="00E74912" w:rsidRPr="00C41D4B" w:rsidRDefault="00E74912" w:rsidP="00E74912">
      <w:pPr>
        <w:ind w:firstLineChars="200" w:firstLine="640"/>
        <w:rPr>
          <w:rFonts w:ascii="仿宋_GB2312" w:eastAsia="仿宋_GB2312" w:hAnsi="仿宋"/>
          <w:sz w:val="32"/>
          <w:szCs w:val="32"/>
        </w:rPr>
      </w:pPr>
      <w:r w:rsidRPr="00C41D4B">
        <w:rPr>
          <w:rFonts w:ascii="仿宋_GB2312" w:eastAsia="仿宋_GB2312" w:hAnsi="仿宋" w:hint="eastAsia"/>
          <w:sz w:val="32"/>
          <w:szCs w:val="32"/>
        </w:rPr>
        <w:t>26、负责对全市贯彻落实招商引资、利用外资、利用国内资金的方针、政策情况的监督、检查。</w:t>
      </w:r>
    </w:p>
    <w:p w:rsidR="00247E5C" w:rsidRDefault="00E74912" w:rsidP="00E74912">
      <w:pPr>
        <w:widowControl/>
        <w:spacing w:line="580" w:lineRule="exact"/>
        <w:ind w:firstLineChars="200" w:firstLine="640"/>
        <w:rPr>
          <w:rFonts w:ascii="仿宋_GB2312" w:eastAsia="仿宋_GB2312" w:hAnsi="Calibri" w:cs="ArialUnicodeMS"/>
          <w:kern w:val="0"/>
          <w:sz w:val="32"/>
          <w:szCs w:val="32"/>
        </w:rPr>
      </w:pPr>
      <w:r w:rsidRPr="00C41D4B">
        <w:rPr>
          <w:rFonts w:ascii="仿宋_GB2312" w:eastAsia="仿宋_GB2312" w:hAnsi="仿宋" w:hint="eastAsia"/>
          <w:sz w:val="32"/>
          <w:szCs w:val="32"/>
        </w:rPr>
        <w:t>27、承办市政府交办的其他事项。</w:t>
      </w:r>
    </w:p>
    <w:p w:rsidR="00247E5C" w:rsidRDefault="00247E5C" w:rsidP="00140901">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247E5C" w:rsidRDefault="00247E5C" w:rsidP="00140901">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kern w:val="0"/>
          <w:sz w:val="32"/>
          <w:szCs w:val="32"/>
        </w:rPr>
        <w:t xml:space="preserve">2019 </w:t>
      </w:r>
      <w:r>
        <w:rPr>
          <w:rFonts w:ascii="仿宋_GB2312" w:eastAsia="仿宋_GB2312" w:hAnsi="Calibri" w:cs="ArialUnicodeMS" w:hint="eastAsia"/>
          <w:kern w:val="0"/>
          <w:sz w:val="32"/>
          <w:szCs w:val="32"/>
        </w:rPr>
        <w:t>年度本部门决算汇编范</w:t>
      </w:r>
      <w:r>
        <w:rPr>
          <w:rFonts w:ascii="仿宋_GB2312" w:eastAsia="仿宋_GB2312" w:hAnsi="Calibri" w:cs="ArialUnicodeMS" w:hint="eastAsia"/>
          <w:kern w:val="0"/>
          <w:sz w:val="32"/>
          <w:szCs w:val="32"/>
        </w:rPr>
        <w:lastRenderedPageBreak/>
        <w:t>围的独立核算单位（以下简称“单位”）共</w:t>
      </w:r>
      <w:r w:rsidR="00E74912">
        <w:rPr>
          <w:rFonts w:ascii="仿宋_GB2312" w:eastAsia="仿宋_GB2312" w:hAnsi="Calibri" w:cs="ArialUnicodeMS" w:hint="eastAsia"/>
          <w:kern w:val="0"/>
          <w:sz w:val="32"/>
          <w:szCs w:val="32"/>
        </w:rPr>
        <w:t>1</w:t>
      </w:r>
      <w:r>
        <w:rPr>
          <w:rFonts w:ascii="仿宋_GB2312" w:eastAsia="仿宋_GB2312" w:hAnsi="Calibri" w:cs="ArialUnicodeMS"/>
          <w:kern w:val="0"/>
          <w:sz w:val="32"/>
          <w:szCs w:val="32"/>
        </w:rPr>
        <w:t xml:space="preserve"> </w:t>
      </w:r>
      <w:r>
        <w:rPr>
          <w:rFonts w:ascii="仿宋_GB2312" w:eastAsia="仿宋_GB2312" w:hAnsi="Calibri"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247E5C" w:rsidRPr="006069EF" w:rsidTr="006069EF">
        <w:trPr>
          <w:trHeight w:val="811"/>
          <w:jc w:val="center"/>
        </w:trPr>
        <w:tc>
          <w:tcPr>
            <w:tcW w:w="985" w:type="dxa"/>
            <w:vAlign w:val="center"/>
          </w:tcPr>
          <w:p w:rsidR="00247E5C" w:rsidRPr="006069EF" w:rsidRDefault="00247E5C" w:rsidP="006069EF">
            <w:pPr>
              <w:spacing w:line="560" w:lineRule="exact"/>
              <w:jc w:val="center"/>
              <w:rPr>
                <w:rFonts w:ascii="仿宋_GB2312" w:eastAsia="仿宋_GB2312" w:hAnsi="Calibri" w:cs="ArialUnicodeMS"/>
                <w:b/>
                <w:bCs/>
                <w:kern w:val="0"/>
                <w:sz w:val="28"/>
                <w:szCs w:val="28"/>
              </w:rPr>
            </w:pPr>
            <w:r w:rsidRPr="006069EF">
              <w:rPr>
                <w:rFonts w:ascii="仿宋_GB2312" w:eastAsia="仿宋_GB2312" w:hAnsi="Calibri" w:cs="ArialUnicodeMS" w:hint="eastAsia"/>
                <w:b/>
                <w:bCs/>
                <w:kern w:val="0"/>
                <w:sz w:val="28"/>
                <w:szCs w:val="28"/>
              </w:rPr>
              <w:t>序号</w:t>
            </w:r>
          </w:p>
        </w:tc>
        <w:tc>
          <w:tcPr>
            <w:tcW w:w="3485" w:type="dxa"/>
            <w:vAlign w:val="center"/>
          </w:tcPr>
          <w:p w:rsidR="00247E5C" w:rsidRPr="006069EF" w:rsidRDefault="00247E5C" w:rsidP="006069EF">
            <w:pPr>
              <w:spacing w:line="560" w:lineRule="exact"/>
              <w:jc w:val="center"/>
              <w:rPr>
                <w:rFonts w:ascii="仿宋_GB2312" w:eastAsia="仿宋_GB2312" w:hAnsi="Calibri" w:cs="ArialUnicodeMS"/>
                <w:b/>
                <w:bCs/>
                <w:kern w:val="0"/>
                <w:sz w:val="28"/>
                <w:szCs w:val="28"/>
              </w:rPr>
            </w:pPr>
            <w:r w:rsidRPr="006069EF">
              <w:rPr>
                <w:rFonts w:ascii="仿宋_GB2312" w:eastAsia="仿宋_GB2312" w:hAnsi="Calibri" w:cs="ArialUnicodeMS" w:hint="eastAsia"/>
                <w:b/>
                <w:bCs/>
                <w:kern w:val="0"/>
                <w:sz w:val="28"/>
                <w:szCs w:val="28"/>
              </w:rPr>
              <w:t>单位名称</w:t>
            </w:r>
          </w:p>
        </w:tc>
        <w:tc>
          <w:tcPr>
            <w:tcW w:w="2445" w:type="dxa"/>
            <w:vAlign w:val="center"/>
          </w:tcPr>
          <w:p w:rsidR="00247E5C" w:rsidRPr="006069EF" w:rsidRDefault="00247E5C" w:rsidP="006069EF">
            <w:pPr>
              <w:spacing w:line="560" w:lineRule="exact"/>
              <w:jc w:val="center"/>
              <w:rPr>
                <w:rFonts w:ascii="仿宋_GB2312" w:eastAsia="仿宋_GB2312" w:hAnsi="Calibri" w:cs="ArialUnicodeMS"/>
                <w:b/>
                <w:bCs/>
                <w:kern w:val="0"/>
                <w:sz w:val="28"/>
                <w:szCs w:val="28"/>
              </w:rPr>
            </w:pPr>
            <w:r w:rsidRPr="006069EF">
              <w:rPr>
                <w:rFonts w:ascii="仿宋_GB2312" w:eastAsia="仿宋_GB2312" w:hAnsi="Calibri" w:cs="ArialUnicodeMS" w:hint="eastAsia"/>
                <w:b/>
                <w:bCs/>
                <w:kern w:val="0"/>
                <w:sz w:val="28"/>
                <w:szCs w:val="28"/>
              </w:rPr>
              <w:t>单位基本性质</w:t>
            </w:r>
          </w:p>
        </w:tc>
        <w:tc>
          <w:tcPr>
            <w:tcW w:w="2665" w:type="dxa"/>
            <w:vAlign w:val="center"/>
          </w:tcPr>
          <w:p w:rsidR="00247E5C" w:rsidRPr="006069EF" w:rsidRDefault="00247E5C" w:rsidP="006069EF">
            <w:pPr>
              <w:spacing w:line="560" w:lineRule="exact"/>
              <w:jc w:val="center"/>
              <w:rPr>
                <w:rFonts w:ascii="仿宋_GB2312" w:eastAsia="仿宋_GB2312" w:hAnsi="Calibri" w:cs="ArialUnicodeMS"/>
                <w:b/>
                <w:bCs/>
                <w:kern w:val="0"/>
                <w:sz w:val="28"/>
                <w:szCs w:val="28"/>
              </w:rPr>
            </w:pPr>
            <w:r w:rsidRPr="006069EF">
              <w:rPr>
                <w:rFonts w:ascii="仿宋_GB2312" w:eastAsia="仿宋_GB2312" w:hAnsi="Calibri" w:cs="ArialUnicodeMS" w:hint="eastAsia"/>
                <w:b/>
                <w:bCs/>
                <w:kern w:val="0"/>
                <w:sz w:val="28"/>
                <w:szCs w:val="28"/>
              </w:rPr>
              <w:t>经费形式</w:t>
            </w:r>
          </w:p>
        </w:tc>
      </w:tr>
      <w:tr w:rsidR="00247E5C" w:rsidRPr="006069EF" w:rsidTr="006069EF">
        <w:trPr>
          <w:trHeight w:val="596"/>
          <w:jc w:val="center"/>
        </w:trPr>
        <w:tc>
          <w:tcPr>
            <w:tcW w:w="985" w:type="dxa"/>
          </w:tcPr>
          <w:p w:rsidR="00247E5C" w:rsidRPr="006069EF" w:rsidRDefault="00247E5C" w:rsidP="006069EF">
            <w:pPr>
              <w:spacing w:line="560" w:lineRule="exact"/>
              <w:jc w:val="center"/>
              <w:rPr>
                <w:rFonts w:ascii="仿宋_GB2312" w:eastAsia="仿宋_GB2312" w:hAnsi="Calibri" w:cs="ArialUnicodeMS"/>
                <w:kern w:val="0"/>
                <w:sz w:val="28"/>
                <w:szCs w:val="28"/>
              </w:rPr>
            </w:pPr>
            <w:r w:rsidRPr="006069EF">
              <w:rPr>
                <w:rFonts w:ascii="仿宋_GB2312" w:eastAsia="仿宋_GB2312" w:hAnsi="Calibri" w:cs="ArialUnicodeMS"/>
                <w:kern w:val="0"/>
                <w:sz w:val="28"/>
                <w:szCs w:val="28"/>
              </w:rPr>
              <w:t>1</w:t>
            </w:r>
          </w:p>
        </w:tc>
        <w:tc>
          <w:tcPr>
            <w:tcW w:w="3485" w:type="dxa"/>
          </w:tcPr>
          <w:p w:rsidR="00247E5C" w:rsidRPr="006069EF" w:rsidRDefault="00E74912" w:rsidP="006069EF">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遵化市</w:t>
            </w:r>
            <w:r>
              <w:rPr>
                <w:rFonts w:ascii="仿宋_GB2312" w:eastAsia="仿宋_GB2312" w:hAnsi="Calibri" w:cs="ArialUnicodeMS"/>
                <w:kern w:val="0"/>
                <w:sz w:val="28"/>
                <w:szCs w:val="28"/>
              </w:rPr>
              <w:t>商务和投资促进局</w:t>
            </w:r>
            <w:r w:rsidR="00247E5C" w:rsidRPr="006069EF">
              <w:rPr>
                <w:rFonts w:ascii="仿宋_GB2312" w:eastAsia="仿宋_GB2312" w:hAnsi="Calibri" w:cs="ArialUnicodeMS"/>
                <w:kern w:val="0"/>
                <w:sz w:val="28"/>
                <w:szCs w:val="28"/>
              </w:rPr>
              <w:t>(</w:t>
            </w:r>
            <w:r w:rsidR="00247E5C" w:rsidRPr="006069EF">
              <w:rPr>
                <w:rFonts w:ascii="仿宋_GB2312" w:eastAsia="仿宋_GB2312" w:hAnsi="Calibri" w:cs="ArialUnicodeMS" w:hint="eastAsia"/>
                <w:kern w:val="0"/>
                <w:sz w:val="28"/>
                <w:szCs w:val="28"/>
              </w:rPr>
              <w:t>本级</w:t>
            </w:r>
            <w:r w:rsidR="00247E5C" w:rsidRPr="006069EF">
              <w:rPr>
                <w:rFonts w:ascii="仿宋_GB2312" w:eastAsia="仿宋_GB2312" w:hAnsi="Calibri" w:cs="ArialUnicodeMS"/>
                <w:kern w:val="0"/>
                <w:sz w:val="28"/>
                <w:szCs w:val="28"/>
              </w:rPr>
              <w:t>)</w:t>
            </w:r>
          </w:p>
        </w:tc>
        <w:tc>
          <w:tcPr>
            <w:tcW w:w="2445" w:type="dxa"/>
          </w:tcPr>
          <w:p w:rsidR="00247E5C" w:rsidRPr="006069EF" w:rsidRDefault="00E74912" w:rsidP="006069EF">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行政单位</w:t>
            </w:r>
          </w:p>
        </w:tc>
        <w:tc>
          <w:tcPr>
            <w:tcW w:w="2665" w:type="dxa"/>
          </w:tcPr>
          <w:p w:rsidR="00247E5C" w:rsidRPr="006069EF" w:rsidRDefault="00E74912" w:rsidP="006069EF">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kern w:val="0"/>
                <w:sz w:val="28"/>
                <w:szCs w:val="28"/>
              </w:rPr>
              <w:t>财政拨款</w:t>
            </w:r>
          </w:p>
        </w:tc>
      </w:tr>
      <w:tr w:rsidR="00247E5C" w:rsidRPr="006069EF" w:rsidTr="006069EF">
        <w:trPr>
          <w:trHeight w:val="596"/>
          <w:jc w:val="center"/>
        </w:trPr>
        <w:tc>
          <w:tcPr>
            <w:tcW w:w="985" w:type="dxa"/>
          </w:tcPr>
          <w:p w:rsidR="00247E5C" w:rsidRPr="006069EF" w:rsidRDefault="00247E5C" w:rsidP="006069EF">
            <w:pPr>
              <w:spacing w:line="560" w:lineRule="exact"/>
              <w:jc w:val="center"/>
              <w:rPr>
                <w:rFonts w:ascii="仿宋_GB2312" w:eastAsia="仿宋_GB2312" w:hAnsi="Calibri" w:cs="ArialUnicodeMS"/>
                <w:kern w:val="0"/>
                <w:sz w:val="28"/>
                <w:szCs w:val="28"/>
              </w:rPr>
            </w:pPr>
            <w:r w:rsidRPr="006069EF">
              <w:rPr>
                <w:rFonts w:ascii="仿宋_GB2312" w:eastAsia="仿宋_GB2312" w:hAnsi="Calibri" w:cs="ArialUnicodeMS"/>
                <w:kern w:val="0"/>
                <w:sz w:val="28"/>
                <w:szCs w:val="28"/>
              </w:rPr>
              <w:t>2</w:t>
            </w:r>
          </w:p>
        </w:tc>
        <w:tc>
          <w:tcPr>
            <w:tcW w:w="3485" w:type="dxa"/>
          </w:tcPr>
          <w:p w:rsidR="00247E5C" w:rsidRPr="006069EF" w:rsidRDefault="00247E5C" w:rsidP="006069EF">
            <w:pPr>
              <w:spacing w:line="560" w:lineRule="exact"/>
              <w:rPr>
                <w:rFonts w:ascii="仿宋_GB2312" w:eastAsia="仿宋_GB2312" w:hAnsi="Calibri" w:cs="ArialUnicodeMS"/>
                <w:kern w:val="0"/>
                <w:sz w:val="28"/>
                <w:szCs w:val="28"/>
              </w:rPr>
            </w:pPr>
          </w:p>
        </w:tc>
        <w:tc>
          <w:tcPr>
            <w:tcW w:w="2445" w:type="dxa"/>
          </w:tcPr>
          <w:p w:rsidR="00247E5C" w:rsidRPr="006069EF" w:rsidRDefault="00247E5C" w:rsidP="006069EF">
            <w:pPr>
              <w:spacing w:line="560" w:lineRule="exact"/>
              <w:jc w:val="center"/>
              <w:rPr>
                <w:rFonts w:ascii="仿宋_GB2312" w:eastAsia="仿宋_GB2312" w:hAnsi="Calibri" w:cs="ArialUnicodeMS"/>
                <w:kern w:val="0"/>
                <w:sz w:val="28"/>
                <w:szCs w:val="28"/>
              </w:rPr>
            </w:pPr>
          </w:p>
        </w:tc>
        <w:tc>
          <w:tcPr>
            <w:tcW w:w="2665" w:type="dxa"/>
          </w:tcPr>
          <w:p w:rsidR="00247E5C" w:rsidRPr="006069EF" w:rsidRDefault="00247E5C" w:rsidP="006069EF">
            <w:pPr>
              <w:spacing w:line="560" w:lineRule="exact"/>
              <w:jc w:val="center"/>
              <w:rPr>
                <w:rFonts w:ascii="仿宋_GB2312" w:eastAsia="仿宋_GB2312" w:hAnsi="Calibri" w:cs="ArialUnicodeMS"/>
                <w:kern w:val="0"/>
                <w:sz w:val="28"/>
                <w:szCs w:val="28"/>
              </w:rPr>
            </w:pPr>
          </w:p>
        </w:tc>
      </w:tr>
      <w:tr w:rsidR="00247E5C" w:rsidRPr="006069EF" w:rsidTr="006069EF">
        <w:trPr>
          <w:trHeight w:val="596"/>
          <w:jc w:val="center"/>
        </w:trPr>
        <w:tc>
          <w:tcPr>
            <w:tcW w:w="985" w:type="dxa"/>
          </w:tcPr>
          <w:p w:rsidR="00247E5C" w:rsidRPr="006069EF" w:rsidRDefault="00247E5C" w:rsidP="006069EF">
            <w:pPr>
              <w:spacing w:line="560" w:lineRule="exact"/>
              <w:jc w:val="center"/>
              <w:rPr>
                <w:rFonts w:ascii="仿宋_GB2312" w:eastAsia="仿宋_GB2312" w:hAnsi="Calibri" w:cs="ArialUnicodeMS"/>
                <w:kern w:val="0"/>
                <w:sz w:val="28"/>
                <w:szCs w:val="28"/>
              </w:rPr>
            </w:pPr>
            <w:r w:rsidRPr="006069EF">
              <w:rPr>
                <w:rFonts w:ascii="仿宋_GB2312" w:eastAsia="仿宋_GB2312" w:hAnsi="Calibri" w:cs="ArialUnicodeMS"/>
                <w:kern w:val="0"/>
                <w:sz w:val="28"/>
                <w:szCs w:val="28"/>
              </w:rPr>
              <w:t>3</w:t>
            </w:r>
          </w:p>
        </w:tc>
        <w:tc>
          <w:tcPr>
            <w:tcW w:w="3485" w:type="dxa"/>
          </w:tcPr>
          <w:p w:rsidR="00247E5C" w:rsidRPr="006069EF" w:rsidRDefault="00247E5C" w:rsidP="006069EF">
            <w:pPr>
              <w:spacing w:line="560" w:lineRule="exact"/>
              <w:rPr>
                <w:rFonts w:ascii="仿宋_GB2312" w:eastAsia="仿宋_GB2312" w:hAnsi="Calibri" w:cs="ArialUnicodeMS"/>
                <w:kern w:val="0"/>
                <w:sz w:val="28"/>
                <w:szCs w:val="28"/>
              </w:rPr>
            </w:pPr>
          </w:p>
        </w:tc>
        <w:tc>
          <w:tcPr>
            <w:tcW w:w="2445" w:type="dxa"/>
          </w:tcPr>
          <w:p w:rsidR="00247E5C" w:rsidRPr="006069EF" w:rsidRDefault="00247E5C" w:rsidP="006069EF">
            <w:pPr>
              <w:spacing w:line="560" w:lineRule="exact"/>
              <w:jc w:val="center"/>
              <w:rPr>
                <w:rFonts w:ascii="仿宋_GB2312" w:eastAsia="仿宋_GB2312" w:hAnsi="Calibri" w:cs="ArialUnicodeMS"/>
                <w:kern w:val="0"/>
                <w:sz w:val="28"/>
                <w:szCs w:val="28"/>
              </w:rPr>
            </w:pPr>
          </w:p>
        </w:tc>
        <w:tc>
          <w:tcPr>
            <w:tcW w:w="2665" w:type="dxa"/>
          </w:tcPr>
          <w:p w:rsidR="00247E5C" w:rsidRPr="006069EF" w:rsidRDefault="00247E5C" w:rsidP="006069EF">
            <w:pPr>
              <w:spacing w:line="560" w:lineRule="exact"/>
              <w:jc w:val="center"/>
              <w:rPr>
                <w:rFonts w:ascii="仿宋_GB2312" w:eastAsia="仿宋_GB2312" w:hAnsi="Calibri" w:cs="ArialUnicodeMS"/>
                <w:kern w:val="0"/>
                <w:sz w:val="28"/>
                <w:szCs w:val="28"/>
              </w:rPr>
            </w:pPr>
          </w:p>
        </w:tc>
      </w:tr>
      <w:tr w:rsidR="00247E5C" w:rsidRPr="006069EF" w:rsidTr="006069EF">
        <w:trPr>
          <w:trHeight w:val="606"/>
          <w:jc w:val="center"/>
        </w:trPr>
        <w:tc>
          <w:tcPr>
            <w:tcW w:w="985" w:type="dxa"/>
          </w:tcPr>
          <w:p w:rsidR="00247E5C" w:rsidRPr="006069EF" w:rsidRDefault="00247E5C" w:rsidP="006069EF">
            <w:pPr>
              <w:spacing w:line="560" w:lineRule="exact"/>
              <w:jc w:val="center"/>
              <w:rPr>
                <w:rFonts w:ascii="仿宋_GB2312" w:eastAsia="仿宋_GB2312" w:hAnsi="Calibri" w:cs="ArialUnicodeMS"/>
                <w:kern w:val="0"/>
                <w:sz w:val="28"/>
                <w:szCs w:val="28"/>
              </w:rPr>
            </w:pPr>
            <w:r w:rsidRPr="006069EF">
              <w:rPr>
                <w:rFonts w:ascii="仿宋_GB2312" w:eastAsia="仿宋_GB2312" w:hAnsi="Calibri" w:cs="ArialUnicodeMS" w:hint="eastAsia"/>
                <w:kern w:val="0"/>
                <w:sz w:val="28"/>
                <w:szCs w:val="28"/>
              </w:rPr>
              <w:t>……</w:t>
            </w:r>
          </w:p>
        </w:tc>
        <w:tc>
          <w:tcPr>
            <w:tcW w:w="3485" w:type="dxa"/>
          </w:tcPr>
          <w:p w:rsidR="00247E5C" w:rsidRPr="006069EF" w:rsidRDefault="00247E5C" w:rsidP="006069EF">
            <w:pPr>
              <w:spacing w:line="560" w:lineRule="exact"/>
              <w:rPr>
                <w:rFonts w:ascii="仿宋_GB2312" w:eastAsia="仿宋_GB2312" w:hAnsi="Calibri" w:cs="ArialUnicodeMS"/>
                <w:kern w:val="0"/>
                <w:sz w:val="28"/>
                <w:szCs w:val="28"/>
              </w:rPr>
            </w:pPr>
            <w:r w:rsidRPr="006069EF">
              <w:rPr>
                <w:rFonts w:ascii="仿宋_GB2312" w:eastAsia="仿宋_GB2312" w:hAnsi="Calibri" w:cs="ArialUnicodeMS" w:hint="eastAsia"/>
                <w:kern w:val="0"/>
                <w:sz w:val="28"/>
                <w:szCs w:val="28"/>
              </w:rPr>
              <w:t>……………</w:t>
            </w:r>
          </w:p>
        </w:tc>
        <w:tc>
          <w:tcPr>
            <w:tcW w:w="2445" w:type="dxa"/>
          </w:tcPr>
          <w:p w:rsidR="00247E5C" w:rsidRPr="006069EF" w:rsidRDefault="00247E5C" w:rsidP="006069EF">
            <w:pPr>
              <w:spacing w:line="560" w:lineRule="exact"/>
              <w:jc w:val="center"/>
              <w:rPr>
                <w:rFonts w:ascii="仿宋_GB2312" w:eastAsia="仿宋_GB2312" w:hAnsi="Calibri" w:cs="ArialUnicodeMS"/>
                <w:kern w:val="0"/>
                <w:sz w:val="28"/>
                <w:szCs w:val="28"/>
              </w:rPr>
            </w:pPr>
          </w:p>
        </w:tc>
        <w:tc>
          <w:tcPr>
            <w:tcW w:w="2665" w:type="dxa"/>
          </w:tcPr>
          <w:p w:rsidR="00247E5C" w:rsidRPr="006069EF" w:rsidRDefault="00247E5C" w:rsidP="006069EF">
            <w:pPr>
              <w:spacing w:line="560" w:lineRule="exact"/>
              <w:jc w:val="center"/>
              <w:rPr>
                <w:rFonts w:ascii="仿宋_GB2312" w:eastAsia="仿宋_GB2312" w:hAnsi="Calibri" w:cs="ArialUnicodeMS"/>
                <w:kern w:val="0"/>
                <w:sz w:val="28"/>
                <w:szCs w:val="28"/>
              </w:rPr>
            </w:pPr>
          </w:p>
        </w:tc>
      </w:tr>
    </w:tbl>
    <w:p w:rsidR="00247E5C" w:rsidRDefault="00247E5C" w:rsidP="00140901">
      <w:pPr>
        <w:widowControl/>
        <w:spacing w:after="160" w:line="580" w:lineRule="exact"/>
        <w:ind w:firstLineChars="200" w:firstLine="640"/>
        <w:rPr>
          <w:rFonts w:ascii="Times New Roman" w:eastAsia="黑体" w:hAnsi="Times New Roman"/>
          <w:sz w:val="32"/>
          <w:szCs w:val="32"/>
        </w:rPr>
      </w:pPr>
    </w:p>
    <w:p w:rsidR="00247E5C" w:rsidRDefault="00247E5C" w:rsidP="00140901">
      <w:pPr>
        <w:widowControl/>
        <w:spacing w:after="160" w:line="580" w:lineRule="exact"/>
        <w:ind w:firstLineChars="200" w:firstLine="640"/>
        <w:rPr>
          <w:rFonts w:ascii="Times New Roman" w:eastAsia="黑体" w:hAnsi="Times New Roman"/>
          <w:sz w:val="32"/>
          <w:szCs w:val="32"/>
        </w:rPr>
      </w:pPr>
    </w:p>
    <w:p w:rsidR="00247E5C" w:rsidRDefault="00247E5C" w:rsidP="00140901">
      <w:pPr>
        <w:widowControl/>
        <w:spacing w:after="160" w:line="580" w:lineRule="exact"/>
        <w:ind w:firstLineChars="200" w:firstLine="640"/>
        <w:rPr>
          <w:rFonts w:ascii="Times New Roman" w:eastAsia="黑体" w:hAnsi="Times New Roman"/>
          <w:sz w:val="32"/>
          <w:szCs w:val="32"/>
        </w:rPr>
        <w:sectPr w:rsidR="00247E5C">
          <w:headerReference w:type="default" r:id="rId16"/>
          <w:footerReference w:type="default" r:id="rId17"/>
          <w:headerReference w:type="first" r:id="rId18"/>
          <w:footerReference w:type="first" r:id="rId19"/>
          <w:pgSz w:w="11906" w:h="16838"/>
          <w:pgMar w:top="2041" w:right="1531" w:bottom="2041" w:left="1531" w:header="851" w:footer="992" w:gutter="0"/>
          <w:pgNumType w:fmt="numberInDash" w:start="1"/>
          <w:cols w:space="0"/>
          <w:titlePg/>
          <w:docGrid w:type="lines" w:linePitch="312"/>
        </w:sectPr>
      </w:pPr>
    </w:p>
    <w:p w:rsidR="00247E5C" w:rsidRDefault="00247E5C" w:rsidP="00140901">
      <w:pPr>
        <w:widowControl/>
        <w:spacing w:after="160" w:line="580" w:lineRule="exact"/>
        <w:ind w:firstLineChars="200" w:firstLine="640"/>
        <w:rPr>
          <w:rFonts w:ascii="Times New Roman" w:eastAsia="黑体" w:hAnsi="Times New Roman"/>
          <w:sz w:val="32"/>
          <w:szCs w:val="32"/>
        </w:rPr>
        <w:sectPr w:rsidR="00247E5C">
          <w:type w:val="continuous"/>
          <w:pgSz w:w="11906" w:h="16838"/>
          <w:pgMar w:top="2041" w:right="1531" w:bottom="2041" w:left="1531" w:header="851" w:footer="992" w:gutter="0"/>
          <w:pgNumType w:fmt="numberInDash"/>
          <w:cols w:space="0"/>
          <w:titlePg/>
          <w:docGrid w:type="lines" w:linePitch="312"/>
        </w:sectPr>
      </w:pPr>
    </w:p>
    <w:p w:rsidR="00247E5C" w:rsidRDefault="003F5A30" w:rsidP="00140901">
      <w:pPr>
        <w:widowControl/>
        <w:spacing w:after="160" w:line="580" w:lineRule="exact"/>
        <w:ind w:firstLineChars="200" w:firstLine="420"/>
        <w:rPr>
          <w:rFonts w:ascii="Times New Roman" w:eastAsia="黑体" w:hAnsi="Times New Roman"/>
          <w:sz w:val="32"/>
          <w:szCs w:val="32"/>
        </w:rPr>
        <w:sectPr w:rsidR="00247E5C">
          <w:pgSz w:w="11906" w:h="16838"/>
          <w:pgMar w:top="2041" w:right="1531" w:bottom="2041" w:left="1531" w:header="851" w:footer="992" w:gutter="0"/>
          <w:pgNumType w:fmt="numberInDash"/>
          <w:cols w:space="0"/>
          <w:titlePg/>
          <w:docGrid w:type="lines" w:linePitch="312"/>
        </w:sectPr>
      </w:pPr>
      <w:r w:rsidRPr="003F5A30">
        <w:rPr>
          <w:noProof/>
        </w:rPr>
        <w:lastRenderedPageBreak/>
        <w:pict>
          <v:shape id="_x0000_s1061"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E74912" w:rsidRPr="006069EF" w:rsidRDefault="00E74912">
                  <w:pPr>
                    <w:widowControl/>
                    <w:jc w:val="center"/>
                    <w:rPr>
                      <w:rFonts w:ascii="黑体" w:eastAsia="黑体" w:hAnsi="黑体" w:cs="黑体"/>
                      <w:color w:val="000000"/>
                      <w:sz w:val="96"/>
                      <w:szCs w:val="96"/>
                    </w:rPr>
                  </w:pPr>
                  <w:r w:rsidRPr="006069EF">
                    <w:rPr>
                      <w:rFonts w:ascii="黑体" w:eastAsia="黑体" w:hAnsi="黑体" w:cs="黑体"/>
                      <w:color w:val="000000"/>
                      <w:sz w:val="96"/>
                      <w:szCs w:val="96"/>
                    </w:rPr>
                    <w:t xml:space="preserve"> </w:t>
                  </w:r>
                </w:p>
                <w:p w:rsidR="00E74912" w:rsidRPr="006069EF" w:rsidRDefault="00E74912">
                  <w:pPr>
                    <w:widowControl/>
                    <w:jc w:val="center"/>
                    <w:rPr>
                      <w:rFonts w:ascii="黑体" w:eastAsia="黑体" w:hAnsi="黑体" w:cs="黑体"/>
                      <w:color w:val="000000"/>
                      <w:sz w:val="96"/>
                      <w:szCs w:val="96"/>
                    </w:rPr>
                  </w:pPr>
                </w:p>
              </w:txbxContent>
            </v:textbox>
          </v:shape>
        </w:pict>
      </w:r>
    </w:p>
    <w:p w:rsidR="00247E5C" w:rsidRDefault="00247E5C" w:rsidP="00140901">
      <w:pPr>
        <w:widowControl/>
        <w:spacing w:line="580" w:lineRule="exact"/>
        <w:ind w:firstLineChars="200" w:firstLine="640"/>
        <w:rPr>
          <w:rFonts w:eastAsia="黑体"/>
          <w:sz w:val="32"/>
          <w:szCs w:val="3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3F5A30">
      <w:pPr>
        <w:jc w:val="center"/>
        <w:rPr>
          <w:rFonts w:ascii="黑体" w:eastAsia="黑体" w:hAnsi="黑体" w:cs="黑体"/>
          <w:sz w:val="56"/>
          <w:szCs w:val="72"/>
        </w:rPr>
      </w:pPr>
      <w:r w:rsidRPr="003F5A30">
        <w:rPr>
          <w:noProof/>
        </w:rPr>
        <w:pict>
          <v:shape id="_x0000_s1062"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type="pattern"/>
            <v:stroke joinstyle="round"/>
            <v:textbox>
              <w:txbxContent>
                <w:p w:rsidR="00E74912" w:rsidRPr="006069EF" w:rsidRDefault="00E74912">
                  <w:pPr>
                    <w:widowControl/>
                    <w:jc w:val="center"/>
                    <w:rPr>
                      <w:rFonts w:ascii="黑体" w:eastAsia="黑体" w:hAnsi="黑体" w:cs="黑体"/>
                      <w:color w:val="000000"/>
                      <w:sz w:val="90"/>
                      <w:szCs w:val="90"/>
                    </w:rPr>
                  </w:pPr>
                  <w:r w:rsidRPr="006069EF">
                    <w:rPr>
                      <w:rFonts w:ascii="黑体" w:eastAsia="黑体" w:hAnsi="黑体" w:cs="黑体" w:hint="eastAsia"/>
                      <w:color w:val="000000"/>
                      <w:sz w:val="90"/>
                      <w:szCs w:val="90"/>
                    </w:rPr>
                    <w:t>第二部分</w:t>
                  </w:r>
                  <w:r w:rsidRPr="006069EF">
                    <w:rPr>
                      <w:rFonts w:ascii="黑体" w:eastAsia="黑体" w:hAnsi="黑体" w:cs="黑体"/>
                      <w:color w:val="000000"/>
                      <w:sz w:val="90"/>
                      <w:szCs w:val="90"/>
                    </w:rPr>
                    <w:t xml:space="preserve"> </w:t>
                  </w:r>
                </w:p>
                <w:p w:rsidR="00E74912" w:rsidRPr="006069EF" w:rsidRDefault="00E74912">
                  <w:pPr>
                    <w:widowControl/>
                    <w:jc w:val="center"/>
                    <w:rPr>
                      <w:rFonts w:ascii="黑体" w:eastAsia="黑体" w:hAnsi="黑体" w:cs="黑体"/>
                      <w:color w:val="000000"/>
                      <w:sz w:val="90"/>
                      <w:szCs w:val="90"/>
                    </w:rPr>
                  </w:pPr>
                  <w:r w:rsidRPr="006069EF">
                    <w:rPr>
                      <w:rFonts w:ascii="黑体" w:eastAsia="黑体" w:hAnsi="黑体" w:cs="黑体"/>
                      <w:color w:val="000000"/>
                      <w:sz w:val="90"/>
                      <w:szCs w:val="90"/>
                    </w:rPr>
                    <w:t>2019</w:t>
                  </w:r>
                  <w:r w:rsidRPr="006069EF">
                    <w:rPr>
                      <w:rFonts w:ascii="黑体" w:eastAsia="黑体" w:hAnsi="黑体" w:cs="黑体" w:hint="eastAsia"/>
                      <w:color w:val="000000"/>
                      <w:sz w:val="90"/>
                      <w:szCs w:val="90"/>
                    </w:rPr>
                    <w:t>年部门决算情况说明</w:t>
                  </w:r>
                </w:p>
                <w:p w:rsidR="00E74912" w:rsidRDefault="00E74912"/>
              </w:txbxContent>
            </v:textbox>
          </v:shape>
        </w:pict>
      </w: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rsidP="0014090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hint="eastAsia"/>
          <w:sz w:val="32"/>
          <w:szCs w:val="32"/>
        </w:rPr>
        <w:t>决算总体情况说明</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年度收支总计（含结转和结余）</w:t>
      </w:r>
      <w:r w:rsidR="00E74912">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万元。与</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年度决算相比，收支各增加</w:t>
      </w:r>
      <w:r w:rsidR="00E74912">
        <w:rPr>
          <w:rFonts w:ascii="仿宋_GB2312" w:eastAsia="仿宋_GB2312" w:hAnsi="Times New Roman" w:cs="DengXian-Regular" w:hint="eastAsia"/>
          <w:sz w:val="32"/>
          <w:szCs w:val="32"/>
        </w:rPr>
        <w:t>110.26</w:t>
      </w:r>
      <w:r>
        <w:rPr>
          <w:rFonts w:ascii="仿宋_GB2312" w:eastAsia="仿宋_GB2312" w:hAnsi="Times New Roman" w:cs="DengXian-Regular" w:hint="eastAsia"/>
          <w:sz w:val="32"/>
          <w:szCs w:val="32"/>
        </w:rPr>
        <w:t>万元，增长</w:t>
      </w:r>
      <w:r w:rsidR="00E74912">
        <w:rPr>
          <w:rFonts w:ascii="仿宋_GB2312" w:eastAsia="仿宋_GB2312" w:hAnsi="Times New Roman" w:cs="DengXian-Regular" w:hint="eastAsia"/>
          <w:sz w:val="32"/>
          <w:szCs w:val="32"/>
        </w:rPr>
        <w:t>16.22</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，主要原因是</w:t>
      </w:r>
      <w:r w:rsidR="00E74912" w:rsidRPr="00E74912">
        <w:rPr>
          <w:rFonts w:ascii="仿宋_GB2312" w:eastAsia="仿宋_GB2312" w:hAnsi="Times New Roman" w:cs="DengXian-Regular" w:hint="eastAsia"/>
          <w:sz w:val="32"/>
          <w:szCs w:val="32"/>
        </w:rPr>
        <w:t>招商引资及电商补助项目经费增加</w:t>
      </w:r>
      <w:r w:rsidR="00736A43">
        <w:rPr>
          <w:rFonts w:ascii="仿宋_GB2312" w:eastAsia="仿宋_GB2312" w:hAnsi="Times New Roman" w:cs="DengXian-Regular" w:hint="eastAsia"/>
          <w:sz w:val="32"/>
          <w:szCs w:val="32"/>
        </w:rPr>
        <w:t>。</w:t>
      </w:r>
    </w:p>
    <w:p w:rsidR="00247E5C" w:rsidRDefault="00247E5C" w:rsidP="0014090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二、收入决算情况说明</w:t>
      </w:r>
    </w:p>
    <w:p w:rsidR="00247E5C" w:rsidRDefault="00247E5C" w:rsidP="00E74912">
      <w:pPr>
        <w:adjustRightInd w:val="0"/>
        <w:snapToGrid w:val="0"/>
        <w:spacing w:line="580" w:lineRule="exact"/>
        <w:ind w:firstLineChars="200" w:firstLine="640"/>
        <w:rPr>
          <w:rFonts w:ascii="黑体" w:eastAsia="黑体" w:hAnsi="Calibri"/>
          <w:b/>
          <w:bCs/>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年度本年收入合计</w:t>
      </w:r>
      <w:r w:rsidR="00E74912">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万元，其中：财政拨款收入</w:t>
      </w:r>
      <w:r w:rsidR="00E74912">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万元，占</w:t>
      </w:r>
      <w:r w:rsidR="00E74912">
        <w:rPr>
          <w:rFonts w:ascii="仿宋_GB2312" w:eastAsia="仿宋_GB2312" w:hAnsi="Times New Roman" w:cs="DengXian-Regular" w:hint="eastAsia"/>
          <w:sz w:val="32"/>
          <w:szCs w:val="32"/>
        </w:rPr>
        <w:t>100</w:t>
      </w:r>
      <w:r>
        <w:rPr>
          <w:rFonts w:ascii="仿宋_GB2312" w:eastAsia="仿宋_GB2312" w:hAnsi="Times New Roman" w:cs="DengXian-Regular"/>
          <w:sz w:val="32"/>
          <w:szCs w:val="32"/>
        </w:rPr>
        <w:t>%</w:t>
      </w:r>
    </w:p>
    <w:p w:rsidR="00247E5C" w:rsidRDefault="00247E5C" w:rsidP="0014090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三、支出决算情况说明</w:t>
      </w:r>
    </w:p>
    <w:p w:rsidR="00247E5C" w:rsidRDefault="00247E5C" w:rsidP="00736A43">
      <w:pPr>
        <w:adjustRightInd w:val="0"/>
        <w:snapToGrid w:val="0"/>
        <w:spacing w:line="580" w:lineRule="exact"/>
        <w:ind w:firstLineChars="200" w:firstLine="640"/>
        <w:rPr>
          <w:rFonts w:ascii="黑体" w:eastAsia="黑体" w:hAnsi="Calibri"/>
          <w:b/>
          <w:bCs/>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年度本年支出合计</w:t>
      </w:r>
      <w:r w:rsidR="00E74912">
        <w:rPr>
          <w:rFonts w:ascii="仿宋_GB2312" w:eastAsia="仿宋_GB2312" w:hAnsi="Times New Roman" w:cs="DengXian-Regular" w:hint="eastAsia"/>
          <w:sz w:val="32"/>
          <w:szCs w:val="32"/>
        </w:rPr>
        <w:t>790.25</w:t>
      </w:r>
      <w:r w:rsidRPr="00E74912">
        <w:rPr>
          <w:rFonts w:ascii="仿宋_GB2312" w:eastAsia="仿宋_GB2312" w:hAnsi="Times New Roman" w:cs="DengXian-Regular" w:hint="eastAsia"/>
          <w:sz w:val="32"/>
          <w:szCs w:val="32"/>
        </w:rPr>
        <w:t>万元，其中：基本支出</w:t>
      </w:r>
      <w:r w:rsidR="00E74912">
        <w:rPr>
          <w:rFonts w:ascii="仿宋_GB2312" w:eastAsia="仿宋_GB2312" w:hAnsi="Times New Roman" w:cs="DengXian-Regular" w:hint="eastAsia"/>
          <w:sz w:val="32"/>
          <w:szCs w:val="32"/>
        </w:rPr>
        <w:t>541.94</w:t>
      </w:r>
      <w:r w:rsidRPr="00E74912">
        <w:rPr>
          <w:rFonts w:ascii="仿宋_GB2312" w:eastAsia="仿宋_GB2312" w:hAnsi="Times New Roman" w:cs="DengXian-Regular" w:hint="eastAsia"/>
          <w:sz w:val="32"/>
          <w:szCs w:val="32"/>
        </w:rPr>
        <w:t>万元，占</w:t>
      </w:r>
      <w:r w:rsidR="00E74912">
        <w:rPr>
          <w:rFonts w:ascii="仿宋_GB2312" w:eastAsia="仿宋_GB2312" w:hAnsi="Times New Roman" w:cs="DengXian-Regular" w:hint="eastAsia"/>
          <w:sz w:val="32"/>
          <w:szCs w:val="32"/>
        </w:rPr>
        <w:t>69</w:t>
      </w:r>
      <w:r w:rsidRPr="00E74912">
        <w:rPr>
          <w:rFonts w:ascii="仿宋_GB2312" w:eastAsia="仿宋_GB2312" w:hAnsi="Times New Roman" w:cs="DengXian-Regular"/>
          <w:sz w:val="32"/>
          <w:szCs w:val="32"/>
        </w:rPr>
        <w:t>%</w:t>
      </w:r>
      <w:r w:rsidRPr="00E74912">
        <w:rPr>
          <w:rFonts w:ascii="仿宋_GB2312" w:eastAsia="仿宋_GB2312" w:hAnsi="Times New Roman" w:cs="DengXian-Regular" w:hint="eastAsia"/>
          <w:sz w:val="32"/>
          <w:szCs w:val="32"/>
        </w:rPr>
        <w:t>；项目支出</w:t>
      </w:r>
      <w:r w:rsidR="00E74912">
        <w:rPr>
          <w:rFonts w:ascii="仿宋_GB2312" w:eastAsia="仿宋_GB2312" w:hAnsi="Times New Roman" w:cs="DengXian-Regular" w:hint="eastAsia"/>
          <w:sz w:val="32"/>
          <w:szCs w:val="32"/>
        </w:rPr>
        <w:t>248.31</w:t>
      </w:r>
      <w:r w:rsidRPr="00E74912">
        <w:rPr>
          <w:rFonts w:ascii="仿宋_GB2312" w:eastAsia="仿宋_GB2312" w:hAnsi="Times New Roman" w:cs="DengXian-Regular" w:hint="eastAsia"/>
          <w:sz w:val="32"/>
          <w:szCs w:val="32"/>
        </w:rPr>
        <w:t>万元，占</w:t>
      </w:r>
      <w:r w:rsidR="00E74912">
        <w:rPr>
          <w:rFonts w:ascii="仿宋_GB2312" w:eastAsia="仿宋_GB2312" w:hAnsi="Times New Roman" w:cs="DengXian-Regular" w:hint="eastAsia"/>
          <w:sz w:val="32"/>
          <w:szCs w:val="32"/>
        </w:rPr>
        <w:t>31</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247E5C" w:rsidRDefault="00247E5C" w:rsidP="0014090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四、</w:t>
      </w:r>
      <w:r>
        <w:rPr>
          <w:rFonts w:ascii="黑体" w:eastAsia="黑体" w:hAnsi="Cambria" w:cs="黑体" w:hint="eastAsia"/>
          <w:kern w:val="0"/>
          <w:sz w:val="32"/>
          <w:szCs w:val="32"/>
        </w:rPr>
        <w:t>财政</w:t>
      </w:r>
      <w:r>
        <w:rPr>
          <w:rFonts w:ascii="黑体" w:eastAsia="黑体" w:hAnsi="Calibri" w:hint="eastAsia"/>
          <w:sz w:val="32"/>
          <w:szCs w:val="32"/>
        </w:rPr>
        <w:t>拨款收入支出决算总体情况说明</w:t>
      </w:r>
    </w:p>
    <w:p w:rsidR="00247E5C" w:rsidRDefault="00247E5C" w:rsidP="00140901">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b/>
          <w:bCs/>
          <w:sz w:val="32"/>
          <w:szCs w:val="32"/>
        </w:rPr>
        <w:t xml:space="preserve">2018 </w:t>
      </w:r>
      <w:r>
        <w:rPr>
          <w:rFonts w:ascii="楷体_GB2312" w:eastAsia="楷体_GB2312" w:hAnsi="Times New Roman" w:cs="DengXian-Bold" w:hint="eastAsia"/>
          <w:b/>
          <w:bCs/>
          <w:sz w:val="32"/>
          <w:szCs w:val="32"/>
        </w:rPr>
        <w:t>年度决算对比情况</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年度形成的财政拨款收支均为一般公共预算财政拨款，其中本年收入</w:t>
      </w:r>
      <w:r w:rsidR="00736A43">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年度增加</w:t>
      </w:r>
      <w:r w:rsidR="00736A43">
        <w:rPr>
          <w:rFonts w:ascii="仿宋_GB2312" w:eastAsia="仿宋_GB2312" w:hAnsi="Times New Roman" w:cs="DengXian-Regular" w:hint="eastAsia"/>
          <w:sz w:val="32"/>
          <w:szCs w:val="32"/>
        </w:rPr>
        <w:t>110.26</w:t>
      </w:r>
      <w:r>
        <w:rPr>
          <w:rFonts w:ascii="仿宋_GB2312" w:eastAsia="仿宋_GB2312" w:hAnsi="Times New Roman" w:cs="DengXian-Regular" w:hint="eastAsia"/>
          <w:sz w:val="32"/>
          <w:szCs w:val="32"/>
        </w:rPr>
        <w:t>万元，增长</w:t>
      </w:r>
      <w:r w:rsidR="00736A43">
        <w:rPr>
          <w:rFonts w:ascii="仿宋_GB2312" w:eastAsia="仿宋_GB2312" w:hAnsi="Times New Roman" w:cs="DengXian-Regular" w:hint="eastAsia"/>
          <w:sz w:val="32"/>
          <w:szCs w:val="32"/>
        </w:rPr>
        <w:t>16.22</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w:t>
      </w:r>
      <w:r w:rsidR="00736A43">
        <w:rPr>
          <w:rFonts w:ascii="仿宋_GB2312" w:eastAsia="仿宋_GB2312" w:hAnsi="Times New Roman" w:cs="DengXian-Regular" w:hint="eastAsia"/>
          <w:sz w:val="32"/>
          <w:szCs w:val="32"/>
        </w:rPr>
        <w:t>原因是</w:t>
      </w:r>
      <w:r w:rsidR="00736A43" w:rsidRPr="00E74912">
        <w:rPr>
          <w:rFonts w:ascii="仿宋_GB2312" w:eastAsia="仿宋_GB2312" w:hAnsi="Times New Roman" w:cs="DengXian-Regular" w:hint="eastAsia"/>
          <w:sz w:val="32"/>
          <w:szCs w:val="32"/>
        </w:rPr>
        <w:t>招商引资及电商补助项目经费增加</w:t>
      </w:r>
      <w:r>
        <w:rPr>
          <w:rFonts w:ascii="仿宋_GB2312" w:eastAsia="仿宋_GB2312" w:hAnsi="Times New Roman" w:cs="DengXian-Regular" w:hint="eastAsia"/>
          <w:sz w:val="32"/>
          <w:szCs w:val="32"/>
        </w:rPr>
        <w:t>；本年支出</w:t>
      </w:r>
      <w:r w:rsidR="00736A43">
        <w:rPr>
          <w:rFonts w:ascii="仿宋_GB2312" w:eastAsia="仿宋_GB2312" w:hAnsi="Times New Roman" w:cs="DengXian-Regular" w:hint="eastAsia"/>
          <w:sz w:val="32"/>
          <w:szCs w:val="32"/>
        </w:rPr>
        <w:t>790.25万元</w:t>
      </w:r>
      <w:r w:rsidR="00736A43">
        <w:rPr>
          <w:rFonts w:ascii="仿宋_GB2312" w:eastAsia="仿宋_GB2312" w:hAnsi="Times New Roman" w:cs="DengXian-Regular"/>
          <w:sz w:val="32"/>
          <w:szCs w:val="32"/>
        </w:rPr>
        <w:t>,</w:t>
      </w:r>
      <w:r w:rsidR="00736A43">
        <w:rPr>
          <w:rFonts w:ascii="仿宋_GB2312" w:eastAsia="仿宋_GB2312" w:hAnsi="Times New Roman" w:cs="DengXian-Regular" w:hint="eastAsia"/>
          <w:sz w:val="32"/>
          <w:szCs w:val="32"/>
        </w:rPr>
        <w:t>比</w:t>
      </w:r>
      <w:r w:rsidR="00736A43">
        <w:rPr>
          <w:rFonts w:ascii="仿宋_GB2312" w:eastAsia="仿宋_GB2312" w:hAnsi="Times New Roman" w:cs="DengXian-Regular"/>
          <w:sz w:val="32"/>
          <w:szCs w:val="32"/>
        </w:rPr>
        <w:t>2018</w:t>
      </w:r>
      <w:r w:rsidR="00736A43">
        <w:rPr>
          <w:rFonts w:ascii="仿宋_GB2312" w:eastAsia="仿宋_GB2312" w:hAnsi="Times New Roman" w:cs="DengXian-Regular" w:hint="eastAsia"/>
          <w:sz w:val="32"/>
          <w:szCs w:val="32"/>
        </w:rPr>
        <w:t>年度增加110.26万元，增长16.22</w:t>
      </w:r>
      <w:r w:rsidR="00736A43">
        <w:rPr>
          <w:rFonts w:ascii="仿宋_GB2312" w:eastAsia="仿宋_GB2312" w:hAnsi="Times New Roman" w:cs="DengXian-Regular"/>
          <w:sz w:val="32"/>
          <w:szCs w:val="32"/>
        </w:rPr>
        <w:t>%</w:t>
      </w:r>
      <w:r w:rsidR="00736A43">
        <w:rPr>
          <w:rFonts w:ascii="仿宋_GB2312" w:eastAsia="仿宋_GB2312" w:hAnsi="Times New Roman" w:cs="DengXian-Regular" w:hint="eastAsia"/>
          <w:sz w:val="32"/>
          <w:szCs w:val="32"/>
        </w:rPr>
        <w:t>，主要原因是</w:t>
      </w:r>
      <w:r w:rsidR="00736A43" w:rsidRPr="00E74912">
        <w:rPr>
          <w:rFonts w:ascii="仿宋_GB2312" w:eastAsia="仿宋_GB2312" w:hAnsi="Times New Roman" w:cs="DengXian-Regular" w:hint="eastAsia"/>
          <w:sz w:val="32"/>
          <w:szCs w:val="32"/>
        </w:rPr>
        <w:t>招商引资及电商补助项目经费增加</w:t>
      </w:r>
      <w:r>
        <w:rPr>
          <w:rFonts w:ascii="仿宋_GB2312" w:eastAsia="仿宋_GB2312" w:hAnsi="Times New Roman" w:cs="DengXian-Regular" w:hint="eastAsia"/>
          <w:sz w:val="32"/>
          <w:szCs w:val="32"/>
        </w:rPr>
        <w:t>。</w:t>
      </w:r>
    </w:p>
    <w:p w:rsidR="00247E5C" w:rsidRDefault="00247E5C" w:rsidP="00140901">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247E5C" w:rsidRDefault="00247E5C" w:rsidP="00736A43">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年度一般公共预算财政拨款收入</w:t>
      </w:r>
      <w:r w:rsidR="00736A43">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万元，完成年初预算的</w:t>
      </w:r>
      <w:r w:rsidR="00736A43">
        <w:rPr>
          <w:rFonts w:ascii="仿宋_GB2312" w:eastAsia="仿宋_GB2312" w:hAnsi="Times New Roman" w:cs="DengXian-Regular" w:hint="eastAsia"/>
          <w:sz w:val="32"/>
          <w:szCs w:val="32"/>
        </w:rPr>
        <w:t>100</w:t>
      </w:r>
      <w:r>
        <w:rPr>
          <w:rFonts w:ascii="仿宋_GB2312" w:eastAsia="仿宋_GB2312" w:hAnsi="Times New Roman" w:cs="DengXian-Regular"/>
          <w:sz w:val="32"/>
          <w:szCs w:val="32"/>
        </w:rPr>
        <w:t>%</w:t>
      </w:r>
      <w:r w:rsidR="00736A43">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本年支出</w:t>
      </w:r>
      <w:r w:rsidR="00736A43">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万元，完成年初预算的</w:t>
      </w:r>
      <w:r w:rsidR="00736A43">
        <w:rPr>
          <w:rFonts w:ascii="仿宋_GB2312" w:eastAsia="仿宋_GB2312" w:hAnsi="Times New Roman" w:cs="DengXian-Regular" w:hint="eastAsia"/>
          <w:sz w:val="32"/>
          <w:szCs w:val="32"/>
        </w:rPr>
        <w:t>100</w:t>
      </w:r>
      <w:r>
        <w:rPr>
          <w:rFonts w:ascii="仿宋_GB2312" w:eastAsia="仿宋_GB2312" w:hAnsi="Times New Roman" w:cs="DengXian-Regular"/>
          <w:sz w:val="32"/>
          <w:szCs w:val="32"/>
        </w:rPr>
        <w:t>%</w:t>
      </w:r>
      <w:r w:rsidR="00736A43">
        <w:rPr>
          <w:rFonts w:ascii="仿宋_GB2312" w:eastAsia="仿宋_GB2312" w:hAnsi="Times New Roman" w:cs="DengXian-Regular" w:hint="eastAsia"/>
          <w:sz w:val="32"/>
          <w:szCs w:val="32"/>
        </w:rPr>
        <w:t>。</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247E5C" w:rsidRDefault="00247E5C" w:rsidP="00140901">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年度财政拨款支出</w:t>
      </w:r>
      <w:r w:rsidR="00736A43">
        <w:rPr>
          <w:rFonts w:ascii="仿宋_GB2312" w:eastAsia="仿宋_GB2312" w:hAnsi="Times New Roman" w:cs="DengXian-Regular" w:hint="eastAsia"/>
          <w:sz w:val="32"/>
          <w:szCs w:val="32"/>
        </w:rPr>
        <w:t>790.25</w:t>
      </w:r>
      <w:r>
        <w:rPr>
          <w:rFonts w:ascii="仿宋_GB2312" w:eastAsia="仿宋_GB2312" w:hAnsi="Times New Roman" w:cs="DengXian-Regular" w:hint="eastAsia"/>
          <w:sz w:val="32"/>
          <w:szCs w:val="32"/>
        </w:rPr>
        <w:t>万元，主要用于以下方面</w:t>
      </w:r>
      <w:r w:rsidR="00736A43" w:rsidRPr="00AB3CC1">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一般公共服务（类）支出</w:t>
      </w:r>
      <w:r w:rsidR="00736A43">
        <w:rPr>
          <w:rFonts w:ascii="仿宋_GB2312" w:eastAsia="仿宋_GB2312" w:hAnsi="Times New Roman" w:cs="DengXian-Regular" w:hint="eastAsia"/>
          <w:sz w:val="32"/>
          <w:szCs w:val="32"/>
        </w:rPr>
        <w:t>517</w:t>
      </w:r>
      <w:r>
        <w:rPr>
          <w:rFonts w:ascii="仿宋_GB2312" w:eastAsia="仿宋_GB2312" w:hAnsi="Times New Roman" w:cs="DengXian-Regular" w:hint="eastAsia"/>
          <w:sz w:val="32"/>
          <w:szCs w:val="32"/>
        </w:rPr>
        <w:t>万元，占</w:t>
      </w:r>
      <w:r w:rsidR="00254760">
        <w:rPr>
          <w:rFonts w:ascii="仿宋_GB2312" w:eastAsia="仿宋_GB2312" w:hAnsi="Times New Roman" w:cs="DengXian-Regular" w:hint="eastAsia"/>
          <w:sz w:val="32"/>
          <w:szCs w:val="32"/>
        </w:rPr>
        <w:t>65</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；社会保障和就业（类）支出</w:t>
      </w:r>
      <w:r w:rsidR="00736A43">
        <w:rPr>
          <w:rFonts w:ascii="仿宋_GB2312" w:eastAsia="仿宋_GB2312" w:hAnsi="Times New Roman" w:cs="DengXian-Regular" w:hint="eastAsia"/>
          <w:sz w:val="32"/>
          <w:szCs w:val="32"/>
        </w:rPr>
        <w:t>28.95</w:t>
      </w:r>
      <w:r>
        <w:rPr>
          <w:rFonts w:ascii="仿宋_GB2312" w:eastAsia="仿宋_GB2312" w:hAnsi="Times New Roman" w:cs="DengXian-Regular" w:hint="eastAsia"/>
          <w:sz w:val="32"/>
          <w:szCs w:val="32"/>
        </w:rPr>
        <w:t>万元，</w:t>
      </w:r>
      <w:r w:rsidR="00254760">
        <w:rPr>
          <w:rFonts w:ascii="仿宋_GB2312" w:eastAsia="仿宋_GB2312" w:hAnsi="Times New Roman" w:cs="DengXian-Regular" w:hint="eastAsia"/>
          <w:sz w:val="32"/>
          <w:szCs w:val="32"/>
        </w:rPr>
        <w:t>占4</w:t>
      </w:r>
      <w:r w:rsidR="00736A43">
        <w:rPr>
          <w:rFonts w:ascii="仿宋_GB2312" w:eastAsia="仿宋_GB2312" w:hAnsi="Times New Roman" w:cs="DengXian-Regular"/>
          <w:sz w:val="32"/>
          <w:szCs w:val="32"/>
        </w:rPr>
        <w:t>%</w:t>
      </w:r>
      <w:r w:rsidR="00736A43">
        <w:rPr>
          <w:rFonts w:ascii="仿宋_GB2312" w:eastAsia="仿宋_GB2312" w:hAnsi="Times New Roman" w:cs="DengXian-Regular" w:hint="eastAsia"/>
          <w:sz w:val="32"/>
          <w:szCs w:val="32"/>
        </w:rPr>
        <w:t>；卫生健康（类）支出53.71万元，</w:t>
      </w:r>
      <w:r>
        <w:rPr>
          <w:rFonts w:ascii="仿宋_GB2312" w:eastAsia="仿宋_GB2312" w:hAnsi="Times New Roman" w:cs="DengXian-Regular" w:hint="eastAsia"/>
          <w:sz w:val="32"/>
          <w:szCs w:val="32"/>
        </w:rPr>
        <w:t>占</w:t>
      </w:r>
      <w:r w:rsidR="00254760">
        <w:rPr>
          <w:rFonts w:ascii="仿宋_GB2312" w:eastAsia="仿宋_GB2312" w:hAnsi="Times New Roman" w:cs="DengXian-Regular" w:hint="eastAsia"/>
          <w:sz w:val="32"/>
          <w:szCs w:val="32"/>
        </w:rPr>
        <w:t>7</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；住房保障（类）支出</w:t>
      </w:r>
      <w:r w:rsidR="00254760">
        <w:rPr>
          <w:rFonts w:ascii="仿宋_GB2312" w:eastAsia="仿宋_GB2312" w:hAnsi="Times New Roman" w:cs="DengXian-Regular" w:hint="eastAsia"/>
          <w:sz w:val="32"/>
          <w:szCs w:val="32"/>
        </w:rPr>
        <w:t>40.58</w:t>
      </w:r>
      <w:r>
        <w:rPr>
          <w:rFonts w:ascii="仿宋_GB2312" w:eastAsia="仿宋_GB2312" w:hAnsi="Times New Roman" w:cs="DengXian-Regular" w:hint="eastAsia"/>
          <w:sz w:val="32"/>
          <w:szCs w:val="32"/>
        </w:rPr>
        <w:t>万元，占</w:t>
      </w:r>
      <w:r w:rsidR="00254760">
        <w:rPr>
          <w:rFonts w:ascii="仿宋_GB2312" w:eastAsia="仿宋_GB2312" w:hAnsi="Times New Roman" w:cs="DengXian-Regular" w:hint="eastAsia"/>
          <w:sz w:val="32"/>
          <w:szCs w:val="32"/>
        </w:rPr>
        <w:t>5</w:t>
      </w:r>
      <w:r>
        <w:rPr>
          <w:rFonts w:ascii="仿宋_GB2312" w:eastAsia="仿宋_GB2312" w:hAnsi="Times New Roman" w:cs="DengXian-Regular"/>
          <w:sz w:val="32"/>
          <w:szCs w:val="32"/>
        </w:rPr>
        <w:t>%;</w:t>
      </w:r>
      <w:r w:rsidR="00254760">
        <w:rPr>
          <w:rFonts w:ascii="仿宋_GB2312" w:eastAsia="仿宋_GB2312" w:hAnsi="Times New Roman" w:cs="DengXian-Regular" w:hint="eastAsia"/>
          <w:sz w:val="32"/>
          <w:szCs w:val="32"/>
        </w:rPr>
        <w:t>商品和服务（类）支出150万元，占19</w:t>
      </w:r>
      <w:r w:rsidR="00254760">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w:t>
      </w:r>
    </w:p>
    <w:p w:rsidR="00247E5C" w:rsidRDefault="00247E5C" w:rsidP="00140901">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sz w:val="32"/>
          <w:szCs w:val="32"/>
        </w:rPr>
        <w:t xml:space="preserve">2019 </w:t>
      </w:r>
      <w:r>
        <w:rPr>
          <w:rFonts w:ascii="仿宋_GB2312" w:eastAsia="仿宋_GB2312" w:hAnsi="Times New Roman" w:cs="DengXian-Regular" w:hint="eastAsia"/>
          <w:sz w:val="32"/>
          <w:szCs w:val="32"/>
        </w:rPr>
        <w:t>年度财政拨款基本支出</w:t>
      </w:r>
      <w:r w:rsidR="00254760">
        <w:rPr>
          <w:rFonts w:ascii="仿宋_GB2312" w:eastAsia="仿宋_GB2312" w:hAnsi="Times New Roman" w:cs="DengXian-Regular" w:hint="eastAsia"/>
          <w:sz w:val="32"/>
          <w:szCs w:val="32"/>
        </w:rPr>
        <w:t>541.94</w:t>
      </w:r>
      <w:r>
        <w:rPr>
          <w:rFonts w:ascii="仿宋_GB2312" w:eastAsia="仿宋_GB2312" w:hAnsi="Times New Roman" w:cs="DengXian-Regular" w:hint="eastAsia"/>
          <w:sz w:val="32"/>
          <w:szCs w:val="32"/>
        </w:rPr>
        <w:t>万元，其中：人员经费</w:t>
      </w:r>
      <w:r>
        <w:rPr>
          <w:rFonts w:ascii="仿宋_GB2312" w:eastAsia="仿宋_GB2312" w:hAnsi="Times New Roman" w:cs="DengXian-Regular"/>
          <w:sz w:val="32"/>
          <w:szCs w:val="32"/>
        </w:rPr>
        <w:t xml:space="preserve"> </w:t>
      </w:r>
      <w:r w:rsidR="00254760">
        <w:rPr>
          <w:rFonts w:ascii="仿宋_GB2312" w:eastAsia="仿宋_GB2312" w:hAnsi="Times New Roman" w:cs="DengXian-Regular" w:hint="eastAsia"/>
          <w:sz w:val="32"/>
          <w:szCs w:val="32"/>
        </w:rPr>
        <w:t>513.7</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sidR="00254760">
        <w:rPr>
          <w:rFonts w:ascii="仿宋_GB2312" w:eastAsia="仿宋_GB2312" w:hAnsi="Times New Roman" w:cs="DengXian-Regular" w:hint="eastAsia"/>
          <w:sz w:val="32"/>
          <w:szCs w:val="32"/>
        </w:rPr>
        <w:t>28.23</w:t>
      </w:r>
      <w:r>
        <w:rPr>
          <w:rFonts w:ascii="仿宋_GB2312" w:eastAsia="仿宋_GB2312" w:hAnsi="Times New Roman"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247E5C" w:rsidRDefault="00247E5C" w:rsidP="0014090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五、一般公共预算“三公”</w:t>
      </w:r>
      <w:r>
        <w:rPr>
          <w:rFonts w:ascii="黑体" w:eastAsia="黑体" w:hAnsi="Calibri"/>
          <w:sz w:val="32"/>
          <w:szCs w:val="32"/>
        </w:rPr>
        <w:t xml:space="preserve"> </w:t>
      </w:r>
      <w:r>
        <w:rPr>
          <w:rFonts w:ascii="黑体" w:eastAsia="黑体" w:hAnsi="Calibri" w:hint="eastAsia"/>
          <w:sz w:val="32"/>
          <w:szCs w:val="32"/>
        </w:rPr>
        <w:t>经费支出决算情况说明</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年度“三公”经费支出共计</w:t>
      </w:r>
      <w:r w:rsidR="00254760">
        <w:rPr>
          <w:rFonts w:ascii="仿宋_GB2312" w:eastAsia="仿宋_GB2312" w:hAnsi="Times New Roman" w:cs="DengXian-Regular" w:hint="eastAsia"/>
          <w:sz w:val="32"/>
          <w:szCs w:val="32"/>
        </w:rPr>
        <w:t>5.64</w:t>
      </w:r>
      <w:r>
        <w:rPr>
          <w:rFonts w:ascii="仿宋_GB2312" w:eastAsia="仿宋_GB2312" w:hAnsi="Times New Roman" w:cs="DengXian-Regular" w:hint="eastAsia"/>
          <w:sz w:val="32"/>
          <w:szCs w:val="32"/>
        </w:rPr>
        <w:t>万元，完成预算的</w:t>
      </w:r>
      <w:r w:rsidR="00254760">
        <w:rPr>
          <w:rFonts w:ascii="仿宋_GB2312" w:eastAsia="仿宋_GB2312" w:hAnsi="Times New Roman" w:cs="DengXian-Regular" w:hint="eastAsia"/>
          <w:sz w:val="32"/>
          <w:szCs w:val="32"/>
        </w:rPr>
        <w:t>91</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较预算</w:t>
      </w:r>
      <w:r w:rsidR="00254760">
        <w:rPr>
          <w:rFonts w:ascii="仿宋_GB2312" w:eastAsia="仿宋_GB2312" w:hAnsi="Times New Roman" w:cs="DengXian-Regular" w:hint="eastAsia"/>
          <w:sz w:val="32"/>
          <w:szCs w:val="32"/>
        </w:rPr>
        <w:t>减少0.51</w:t>
      </w:r>
      <w:r>
        <w:rPr>
          <w:rFonts w:ascii="仿宋_GB2312" w:eastAsia="仿宋_GB2312" w:hAnsi="Times New Roman" w:cs="DengXian-Regular" w:hint="eastAsia"/>
          <w:sz w:val="32"/>
          <w:szCs w:val="32"/>
        </w:rPr>
        <w:t>万元，</w:t>
      </w:r>
      <w:r w:rsidR="00254760">
        <w:rPr>
          <w:rFonts w:ascii="仿宋_GB2312" w:eastAsia="仿宋_GB2312" w:hAnsi="Times New Roman" w:cs="DengXian-Regular" w:hint="eastAsia"/>
          <w:sz w:val="32"/>
          <w:szCs w:val="32"/>
        </w:rPr>
        <w:t>降低9</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254760">
        <w:rPr>
          <w:rFonts w:ascii="仿宋_GB2312" w:eastAsia="仿宋_GB2312" w:hAnsi="Times New Roman" w:cs="DengXian-Regular" w:hint="eastAsia"/>
          <w:sz w:val="32"/>
          <w:szCs w:val="32"/>
        </w:rPr>
        <w:t>本年度厉行节俭，节约开支</w:t>
      </w:r>
      <w:r>
        <w:rPr>
          <w:rFonts w:ascii="仿宋_GB2312" w:eastAsia="仿宋_GB2312" w:hAnsi="Times New Roman" w:cs="DengXian-Regular" w:hint="eastAsia"/>
          <w:sz w:val="32"/>
          <w:szCs w:val="32"/>
        </w:rPr>
        <w:t>；较</w:t>
      </w:r>
      <w:r>
        <w:rPr>
          <w:rFonts w:ascii="仿宋_GB2312" w:eastAsia="仿宋_GB2312" w:hAnsi="Times New Roman" w:cs="DengXian-Regular"/>
          <w:sz w:val="32"/>
          <w:szCs w:val="32"/>
        </w:rPr>
        <w:t>2018</w:t>
      </w:r>
      <w:r>
        <w:rPr>
          <w:rFonts w:ascii="仿宋_GB2312" w:eastAsia="仿宋_GB2312" w:hAnsi="Times New Roman" w:cs="DengXian-Regular" w:hint="eastAsia"/>
          <w:sz w:val="32"/>
          <w:szCs w:val="32"/>
        </w:rPr>
        <w:t>年度增加</w:t>
      </w:r>
      <w:r w:rsidR="00254760">
        <w:rPr>
          <w:rFonts w:ascii="仿宋_GB2312" w:eastAsia="仿宋_GB2312" w:hAnsi="Times New Roman" w:cs="DengXian-Regular" w:hint="eastAsia"/>
          <w:sz w:val="32"/>
          <w:szCs w:val="32"/>
        </w:rPr>
        <w:t>0.615</w:t>
      </w:r>
      <w:r>
        <w:rPr>
          <w:rFonts w:ascii="仿宋_GB2312" w:eastAsia="仿宋_GB2312" w:hAnsi="Times New Roman" w:cs="DengXian-Regular" w:hint="eastAsia"/>
          <w:sz w:val="32"/>
          <w:szCs w:val="32"/>
        </w:rPr>
        <w:t>万元，增长</w:t>
      </w:r>
      <w:r w:rsidR="00254760">
        <w:rPr>
          <w:rFonts w:ascii="仿宋_GB2312" w:eastAsia="仿宋_GB2312" w:hAnsi="Times New Roman" w:cs="DengXian-Regular" w:hint="eastAsia"/>
          <w:sz w:val="32"/>
          <w:szCs w:val="32"/>
        </w:rPr>
        <w:t>10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254760" w:rsidRPr="007F523C">
        <w:rPr>
          <w:rFonts w:ascii="仿宋_GB2312" w:eastAsia="仿宋_GB2312" w:hAnsi="仿宋" w:hint="eastAsia"/>
          <w:sz w:val="32"/>
          <w:szCs w:val="32"/>
        </w:rPr>
        <w:t>201</w:t>
      </w:r>
      <w:r w:rsidR="00254760">
        <w:rPr>
          <w:rFonts w:ascii="仿宋_GB2312" w:eastAsia="仿宋_GB2312" w:hAnsi="仿宋" w:hint="eastAsia"/>
          <w:sz w:val="32"/>
          <w:szCs w:val="32"/>
        </w:rPr>
        <w:t>9</w:t>
      </w:r>
      <w:r w:rsidR="00254760" w:rsidRPr="007F523C">
        <w:rPr>
          <w:rFonts w:ascii="仿宋_GB2312" w:eastAsia="仿宋_GB2312" w:hAnsi="仿宋" w:hint="eastAsia"/>
          <w:sz w:val="32"/>
          <w:szCs w:val="32"/>
        </w:rPr>
        <w:t>年公车运行维护费</w:t>
      </w:r>
      <w:r w:rsidR="00254760">
        <w:rPr>
          <w:rFonts w:ascii="仿宋_GB2312" w:eastAsia="仿宋_GB2312" w:hAnsi="仿宋" w:hint="eastAsia"/>
          <w:sz w:val="32"/>
          <w:szCs w:val="32"/>
        </w:rPr>
        <w:t>比2018年增加支出了部分保险</w:t>
      </w:r>
      <w:r>
        <w:rPr>
          <w:rFonts w:ascii="仿宋_GB2312" w:eastAsia="仿宋_GB2312" w:hAnsi="Times New Roman" w:cs="DengXian-Regular" w:hint="eastAsia"/>
          <w:sz w:val="32"/>
          <w:szCs w:val="32"/>
        </w:rPr>
        <w:t>。具体情况如下：</w:t>
      </w:r>
    </w:p>
    <w:p w:rsidR="00247E5C" w:rsidRDefault="00247E5C" w:rsidP="00140901">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sidR="00254760">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p>
    <w:p w:rsidR="00247E5C" w:rsidRDefault="00247E5C" w:rsidP="00140901">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sidR="00254760">
        <w:rPr>
          <w:rFonts w:ascii="楷体_GB2312" w:eastAsia="楷体_GB2312" w:hAnsi="Times New Roman" w:cs="DengXian-Bold" w:hint="eastAsia"/>
          <w:b/>
          <w:bCs/>
          <w:sz w:val="32"/>
          <w:szCs w:val="32"/>
        </w:rPr>
        <w:t>5.64</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年度公务用车购置及运行维护费较预算减少</w:t>
      </w:r>
      <w:r w:rsidR="00254760">
        <w:rPr>
          <w:rFonts w:ascii="仿宋_GB2312" w:eastAsia="仿宋_GB2312" w:hAnsi="Times New Roman" w:cs="DengXian-Regular" w:hint="eastAsia"/>
          <w:sz w:val="32"/>
          <w:szCs w:val="32"/>
        </w:rPr>
        <w:t>0.51</w:t>
      </w:r>
      <w:r>
        <w:rPr>
          <w:rFonts w:ascii="仿宋_GB2312" w:eastAsia="仿宋_GB2312" w:hAnsi="Times New Roman" w:cs="DengXian-Regular" w:hint="eastAsia"/>
          <w:sz w:val="32"/>
          <w:szCs w:val="32"/>
        </w:rPr>
        <w:t>万元，降低</w:t>
      </w:r>
      <w:r w:rsidR="00254760">
        <w:rPr>
          <w:rFonts w:ascii="仿宋_GB2312" w:eastAsia="仿宋_GB2312" w:hAnsi="Times New Roman" w:cs="DengXian-Regular" w:hint="eastAsia"/>
          <w:sz w:val="32"/>
          <w:szCs w:val="32"/>
        </w:rPr>
        <w:t>9</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254760">
        <w:rPr>
          <w:rFonts w:ascii="仿宋_GB2312" w:eastAsia="仿宋_GB2312" w:hAnsi="Times New Roman" w:cs="DengXian-Regular" w:hint="eastAsia"/>
          <w:sz w:val="32"/>
          <w:szCs w:val="32"/>
        </w:rPr>
        <w:t>减少</w:t>
      </w:r>
      <w:r w:rsidR="00254760">
        <w:rPr>
          <w:rFonts w:ascii="仿宋_GB2312" w:eastAsia="仿宋_GB2312" w:hAnsi="Times New Roman" w:cs="DengXian-Regular"/>
          <w:sz w:val="32"/>
          <w:szCs w:val="32"/>
        </w:rPr>
        <w:t>燃油使用</w:t>
      </w:r>
      <w:r>
        <w:rPr>
          <w:rFonts w:ascii="仿宋_GB2312" w:eastAsia="仿宋_GB2312" w:hAnsi="Times New Roman" w:cs="DengXian-Regular" w:hint="eastAsia"/>
          <w:sz w:val="32"/>
          <w:szCs w:val="32"/>
        </w:rPr>
        <w:t>；较上年</w:t>
      </w:r>
      <w:r w:rsidR="00254760">
        <w:rPr>
          <w:rFonts w:ascii="仿宋_GB2312" w:eastAsia="仿宋_GB2312" w:hAnsi="Times New Roman" w:cs="DengXian-Regular" w:hint="eastAsia"/>
          <w:sz w:val="32"/>
          <w:szCs w:val="32"/>
        </w:rPr>
        <w:t>增加</w:t>
      </w:r>
      <w:r w:rsidR="00AB3CC1">
        <w:rPr>
          <w:rFonts w:ascii="仿宋_GB2312" w:eastAsia="仿宋_GB2312" w:hAnsi="Times New Roman" w:cs="DengXian-Regular" w:hint="eastAsia"/>
          <w:sz w:val="32"/>
          <w:szCs w:val="32"/>
        </w:rPr>
        <w:t>0.615</w:t>
      </w:r>
      <w:r>
        <w:rPr>
          <w:rFonts w:ascii="仿宋_GB2312" w:eastAsia="仿宋_GB2312" w:hAnsi="Times New Roman" w:cs="DengXian-Regular" w:hint="eastAsia"/>
          <w:sz w:val="32"/>
          <w:szCs w:val="32"/>
        </w:rPr>
        <w:t>万元，</w:t>
      </w:r>
      <w:r w:rsidR="00AB3CC1">
        <w:rPr>
          <w:rFonts w:ascii="仿宋_GB2312" w:eastAsia="仿宋_GB2312" w:hAnsi="Times New Roman" w:cs="DengXian-Regular" w:hint="eastAsia"/>
          <w:sz w:val="32"/>
          <w:szCs w:val="32"/>
        </w:rPr>
        <w:t>增加10</w:t>
      </w:r>
      <w:r>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AB3CC1" w:rsidRPr="007F523C">
        <w:rPr>
          <w:rFonts w:ascii="仿宋_GB2312" w:eastAsia="仿宋_GB2312" w:hAnsi="仿宋" w:hint="eastAsia"/>
          <w:sz w:val="32"/>
          <w:szCs w:val="32"/>
        </w:rPr>
        <w:t>201</w:t>
      </w:r>
      <w:r w:rsidR="00AB3CC1">
        <w:rPr>
          <w:rFonts w:ascii="仿宋_GB2312" w:eastAsia="仿宋_GB2312" w:hAnsi="仿宋" w:hint="eastAsia"/>
          <w:sz w:val="32"/>
          <w:szCs w:val="32"/>
        </w:rPr>
        <w:t>9</w:t>
      </w:r>
      <w:r w:rsidR="00AB3CC1" w:rsidRPr="007F523C">
        <w:rPr>
          <w:rFonts w:ascii="仿宋_GB2312" w:eastAsia="仿宋_GB2312" w:hAnsi="仿宋" w:hint="eastAsia"/>
          <w:sz w:val="32"/>
          <w:szCs w:val="32"/>
        </w:rPr>
        <w:t>年公车运行维护费</w:t>
      </w:r>
      <w:r w:rsidR="00AB3CC1">
        <w:rPr>
          <w:rFonts w:ascii="仿宋_GB2312" w:eastAsia="仿宋_GB2312" w:hAnsi="仿宋" w:hint="eastAsia"/>
          <w:sz w:val="32"/>
          <w:szCs w:val="32"/>
        </w:rPr>
        <w:t>比2018年增加支出了部分保险</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247E5C" w:rsidRDefault="00247E5C" w:rsidP="00140901">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w:t>
      </w:r>
      <w:r w:rsidR="00AB3CC1" w:rsidRPr="00AB3CC1">
        <w:rPr>
          <w:rFonts w:ascii="仿宋_GB2312" w:eastAsia="仿宋_GB2312" w:hAnsi="Times New Roman" w:cs="DengXian-Regular" w:hint="eastAsia"/>
          <w:color w:val="000000"/>
          <w:sz w:val="32"/>
          <w:szCs w:val="32"/>
        </w:rPr>
        <w:t>“未发生“公务用车购置”经费支出”。</w:t>
      </w:r>
    </w:p>
    <w:p w:rsidR="00247E5C" w:rsidRDefault="00247E5C" w:rsidP="00140901">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sidR="00AB3CC1">
        <w:rPr>
          <w:rFonts w:ascii="仿宋_GB2312" w:eastAsia="仿宋_GB2312" w:hAnsi="Times New Roman" w:cs="DengXian-Regular" w:hint="eastAsia"/>
          <w:sz w:val="32"/>
          <w:szCs w:val="32"/>
        </w:rPr>
        <w:t>算减少0.51万元，降低9</w:t>
      </w:r>
      <w:r w:rsidR="00AB3CC1">
        <w:rPr>
          <w:rFonts w:ascii="仿宋_GB2312" w:eastAsia="仿宋_GB2312" w:hAnsi="Times New Roman" w:cs="DengXian-Regular"/>
          <w:sz w:val="32"/>
          <w:szCs w:val="32"/>
        </w:rPr>
        <w:t>%,</w:t>
      </w:r>
      <w:r w:rsidR="00AB3CC1">
        <w:rPr>
          <w:rFonts w:ascii="仿宋_GB2312" w:eastAsia="仿宋_GB2312" w:hAnsi="Times New Roman" w:cs="DengXian-Regular" w:hint="eastAsia"/>
          <w:sz w:val="32"/>
          <w:szCs w:val="32"/>
        </w:rPr>
        <w:t>主要是减少</w:t>
      </w:r>
      <w:r w:rsidR="00AB3CC1">
        <w:rPr>
          <w:rFonts w:ascii="仿宋_GB2312" w:eastAsia="仿宋_GB2312" w:hAnsi="Times New Roman" w:cs="DengXian-Regular"/>
          <w:sz w:val="32"/>
          <w:szCs w:val="32"/>
        </w:rPr>
        <w:t>燃油使用</w:t>
      </w:r>
      <w:r w:rsidR="00AB3CC1">
        <w:rPr>
          <w:rFonts w:ascii="仿宋_GB2312" w:eastAsia="仿宋_GB2312" w:hAnsi="Times New Roman" w:cs="DengXian-Regular" w:hint="eastAsia"/>
          <w:sz w:val="32"/>
          <w:szCs w:val="32"/>
        </w:rPr>
        <w:t>；较上年增加0.615万元，增加10</w:t>
      </w:r>
      <w:r w:rsidR="00AB3CC1">
        <w:rPr>
          <w:rFonts w:ascii="仿宋_GB2312" w:eastAsia="仿宋_GB2312" w:hAnsi="Times New Roman" w:cs="DengXian-Regular"/>
          <w:sz w:val="32"/>
          <w:szCs w:val="32"/>
        </w:rPr>
        <w:t>%,</w:t>
      </w:r>
      <w:r w:rsidR="00AB3CC1">
        <w:rPr>
          <w:rFonts w:ascii="仿宋_GB2312" w:eastAsia="仿宋_GB2312" w:hAnsi="Times New Roman" w:cs="DengXian-Regular" w:hint="eastAsia"/>
          <w:sz w:val="32"/>
          <w:szCs w:val="32"/>
        </w:rPr>
        <w:t>主要是</w:t>
      </w:r>
      <w:r w:rsidR="00AB3CC1" w:rsidRPr="007F523C">
        <w:rPr>
          <w:rFonts w:ascii="仿宋_GB2312" w:eastAsia="仿宋_GB2312" w:hAnsi="仿宋" w:hint="eastAsia"/>
          <w:sz w:val="32"/>
          <w:szCs w:val="32"/>
        </w:rPr>
        <w:t>201</w:t>
      </w:r>
      <w:r w:rsidR="00AB3CC1">
        <w:rPr>
          <w:rFonts w:ascii="仿宋_GB2312" w:eastAsia="仿宋_GB2312" w:hAnsi="仿宋" w:hint="eastAsia"/>
          <w:sz w:val="32"/>
          <w:szCs w:val="32"/>
        </w:rPr>
        <w:t>9</w:t>
      </w:r>
      <w:r w:rsidR="00AB3CC1" w:rsidRPr="007F523C">
        <w:rPr>
          <w:rFonts w:ascii="仿宋_GB2312" w:eastAsia="仿宋_GB2312" w:hAnsi="仿宋" w:hint="eastAsia"/>
          <w:sz w:val="32"/>
          <w:szCs w:val="32"/>
        </w:rPr>
        <w:t>年公车运行维护费</w:t>
      </w:r>
      <w:r w:rsidR="00AB3CC1">
        <w:rPr>
          <w:rFonts w:ascii="仿宋_GB2312" w:eastAsia="仿宋_GB2312" w:hAnsi="仿宋" w:hint="eastAsia"/>
          <w:sz w:val="32"/>
          <w:szCs w:val="32"/>
        </w:rPr>
        <w:t>比2018年增加支出了部分保险</w:t>
      </w:r>
      <w:r w:rsidR="00AB3CC1">
        <w:rPr>
          <w:rFonts w:ascii="仿宋_GB2312" w:eastAsia="仿宋_GB2312" w:hAnsi="Times New Roman" w:cs="DengXian-Regular" w:hint="eastAsia"/>
          <w:sz w:val="32"/>
          <w:szCs w:val="32"/>
        </w:rPr>
        <w:t>。</w:t>
      </w:r>
    </w:p>
    <w:p w:rsidR="00247E5C" w:rsidRDefault="00247E5C" w:rsidP="00140901">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w:t>
      </w:r>
      <w:r w:rsidR="00AB3CC1">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sidR="00AB3CC1">
        <w:rPr>
          <w:rFonts w:ascii="仿宋_GB2312" w:eastAsia="仿宋_GB2312" w:hAnsi="Times New Roman" w:cs="DengXian-Regular" w:hint="eastAsia"/>
          <w:sz w:val="32"/>
          <w:szCs w:val="32"/>
        </w:rPr>
        <w:t>本部门</w:t>
      </w:r>
      <w:r w:rsidR="00AB3CC1">
        <w:rPr>
          <w:rFonts w:ascii="仿宋_GB2312" w:eastAsia="仿宋_GB2312" w:hAnsi="Times New Roman" w:cs="DengXian-Regular"/>
          <w:sz w:val="32"/>
          <w:szCs w:val="32"/>
        </w:rPr>
        <w:t>2019</w:t>
      </w:r>
      <w:r w:rsidR="00AB3CC1">
        <w:rPr>
          <w:rFonts w:ascii="仿宋_GB2312" w:eastAsia="仿宋_GB2312" w:hAnsi="Times New Roman" w:cs="DengXian-Regular" w:hint="eastAsia"/>
          <w:sz w:val="32"/>
          <w:szCs w:val="32"/>
        </w:rPr>
        <w:t>年度</w:t>
      </w:r>
      <w:r w:rsidR="00AB3CC1" w:rsidRPr="00AB3CC1">
        <w:rPr>
          <w:rFonts w:ascii="仿宋_GB2312" w:eastAsia="仿宋_GB2312" w:hAnsi="Times New Roman" w:cs="DengXian-Regular" w:hint="eastAsia"/>
          <w:color w:val="000000"/>
          <w:sz w:val="32"/>
          <w:szCs w:val="32"/>
        </w:rPr>
        <w:t>“未发生“</w:t>
      </w:r>
      <w:r>
        <w:rPr>
          <w:rFonts w:ascii="仿宋_GB2312" w:eastAsia="仿宋_GB2312" w:hAnsi="Times New Roman" w:cs="DengXian-Regular" w:hint="eastAsia"/>
          <w:sz w:val="32"/>
          <w:szCs w:val="32"/>
        </w:rPr>
        <w:t>公务接待</w:t>
      </w:r>
      <w:r w:rsidR="00AB3CC1">
        <w:rPr>
          <w:rFonts w:ascii="仿宋_GB2312" w:eastAsia="仿宋_GB2312" w:hAnsi="Times New Roman" w:cs="DengXian-Regular" w:hint="eastAsia"/>
          <w:sz w:val="32"/>
          <w:szCs w:val="32"/>
        </w:rPr>
        <w:t>”经费支出。</w:t>
      </w:r>
    </w:p>
    <w:p w:rsidR="00247E5C" w:rsidRDefault="00247E5C" w:rsidP="00140901">
      <w:pPr>
        <w:adjustRightInd w:val="0"/>
        <w:snapToGrid w:val="0"/>
        <w:spacing w:line="580" w:lineRule="exact"/>
        <w:ind w:firstLineChars="200" w:firstLine="640"/>
        <w:rPr>
          <w:rFonts w:ascii="黑体" w:eastAsia="黑体" w:hAnsi="Times New Roman"/>
          <w:sz w:val="32"/>
          <w:szCs w:val="40"/>
        </w:rPr>
      </w:pPr>
      <w:r>
        <w:rPr>
          <w:rFonts w:ascii="黑体" w:eastAsia="黑体" w:hAnsi="Times New Roman" w:hint="eastAsia"/>
          <w:sz w:val="32"/>
          <w:szCs w:val="40"/>
        </w:rPr>
        <w:t>六、预算绩效情况说明</w:t>
      </w:r>
    </w:p>
    <w:p w:rsidR="00247E5C" w:rsidRDefault="00247E5C" w:rsidP="00140901">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1. </w:t>
      </w:r>
      <w:r>
        <w:rPr>
          <w:rFonts w:ascii="仿宋_GB2312" w:eastAsia="仿宋_GB2312" w:hAnsi="仿宋_GB2312" w:cs="仿宋_GB2312" w:hint="eastAsia"/>
          <w:b/>
          <w:bCs/>
          <w:sz w:val="32"/>
          <w:szCs w:val="32"/>
        </w:rPr>
        <w:t>预算绩效管理工作开展情况。</w:t>
      </w:r>
    </w:p>
    <w:p w:rsidR="00247E5C" w:rsidRDefault="00247E5C" w:rsidP="0014090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根据预算绩效管理要求，本部门组织对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年度一般公共预算项目支出全面开展绩效自评，其中，一级项目</w:t>
      </w:r>
      <w:r w:rsidR="00AB3CC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个，二级项目</w:t>
      </w:r>
      <w:r w:rsidR="00AB3CC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个，共涉及资金</w:t>
      </w:r>
      <w:r w:rsidR="00AB3CC1">
        <w:rPr>
          <w:rFonts w:ascii="仿宋_GB2312" w:eastAsia="仿宋_GB2312" w:hAnsi="仿宋_GB2312" w:cs="仿宋_GB2312" w:hint="eastAsia"/>
          <w:sz w:val="32"/>
          <w:szCs w:val="32"/>
        </w:rPr>
        <w:t>248.31</w:t>
      </w:r>
      <w:r>
        <w:rPr>
          <w:rFonts w:ascii="仿宋_GB2312" w:eastAsia="仿宋_GB2312" w:hAnsi="仿宋_GB2312" w:cs="仿宋_GB2312" w:hint="eastAsia"/>
          <w:sz w:val="32"/>
          <w:szCs w:val="32"/>
        </w:rPr>
        <w:t>万元，占一般公共预算项目支出总额的</w:t>
      </w:r>
      <w:r w:rsidR="00AB3CC1">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。组织对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w:t>
      </w:r>
      <w:r w:rsidR="00AB3CC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sidR="00AB3CC1">
        <w:rPr>
          <w:rFonts w:ascii="仿宋_GB2312" w:eastAsia="仿宋_GB2312" w:hAnsi="仿宋_GB2312" w:cs="仿宋_GB2312" w:hint="eastAsia"/>
          <w:sz w:val="32"/>
          <w:szCs w:val="32"/>
        </w:rPr>
        <w:t>电子商务</w:t>
      </w:r>
      <w:r w:rsidR="00AB3CC1">
        <w:rPr>
          <w:rFonts w:ascii="仿宋_GB2312" w:eastAsia="仿宋_GB2312" w:hAnsi="仿宋_GB2312" w:cs="仿宋_GB2312"/>
          <w:sz w:val="32"/>
          <w:szCs w:val="32"/>
        </w:rPr>
        <w:t>示范</w:t>
      </w:r>
      <w:r>
        <w:rPr>
          <w:rFonts w:ascii="仿宋_GB2312" w:eastAsia="仿宋_GB2312" w:hAnsi="仿宋_GB2312" w:cs="仿宋_GB2312" w:hint="eastAsia"/>
          <w:sz w:val="32"/>
          <w:szCs w:val="32"/>
        </w:rPr>
        <w:t>”“</w:t>
      </w:r>
      <w:r w:rsidR="00AB3CC1">
        <w:rPr>
          <w:rFonts w:ascii="仿宋_GB2312" w:eastAsia="仿宋_GB2312" w:hAnsi="仿宋_GB2312" w:cs="仿宋_GB2312" w:hint="eastAsia"/>
          <w:sz w:val="32"/>
          <w:szCs w:val="32"/>
        </w:rPr>
        <w:t>执法检查</w:t>
      </w:r>
      <w:r w:rsidR="00AB3CC1">
        <w:rPr>
          <w:rFonts w:ascii="仿宋_GB2312" w:eastAsia="仿宋_GB2312" w:hAnsi="仿宋_GB2312" w:cs="仿宋_GB2312"/>
          <w:sz w:val="32"/>
          <w:szCs w:val="32"/>
        </w:rPr>
        <w:t>专项经费</w:t>
      </w:r>
      <w:r>
        <w:rPr>
          <w:rFonts w:ascii="仿宋_GB2312" w:eastAsia="仿宋_GB2312" w:hAnsi="仿宋_GB2312" w:cs="仿宋_GB2312" w:hint="eastAsia"/>
          <w:sz w:val="32"/>
          <w:szCs w:val="32"/>
        </w:rPr>
        <w:t>”等</w:t>
      </w:r>
      <w:r w:rsidR="00AB3CC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个项目开展了部门评价，涉及一般公共预算支出</w:t>
      </w:r>
      <w:r w:rsidR="00AB3CC1">
        <w:rPr>
          <w:rFonts w:ascii="仿宋_GB2312" w:eastAsia="仿宋_GB2312" w:hAnsi="仿宋_GB2312" w:cs="仿宋_GB2312" w:hint="eastAsia"/>
          <w:sz w:val="32"/>
          <w:szCs w:val="32"/>
        </w:rPr>
        <w:t>248.31</w:t>
      </w:r>
      <w:r>
        <w:rPr>
          <w:rFonts w:ascii="仿宋_GB2312" w:eastAsia="仿宋_GB2312" w:hAnsi="仿宋_GB2312" w:cs="仿宋_GB2312" w:hint="eastAsia"/>
          <w:sz w:val="32"/>
          <w:szCs w:val="32"/>
        </w:rPr>
        <w:t>万元。其中，对</w:t>
      </w:r>
      <w:r w:rsidR="00AB3CC1">
        <w:rPr>
          <w:rFonts w:ascii="仿宋_GB2312" w:eastAsia="仿宋_GB2312" w:hAnsi="仿宋_GB2312" w:cs="仿宋_GB2312" w:hint="eastAsia"/>
          <w:sz w:val="32"/>
          <w:szCs w:val="32"/>
        </w:rPr>
        <w:t>“电子商务</w:t>
      </w:r>
      <w:r w:rsidR="00AB3CC1">
        <w:rPr>
          <w:rFonts w:ascii="仿宋_GB2312" w:eastAsia="仿宋_GB2312" w:hAnsi="仿宋_GB2312" w:cs="仿宋_GB2312"/>
          <w:sz w:val="32"/>
          <w:szCs w:val="32"/>
        </w:rPr>
        <w:t>示范</w:t>
      </w:r>
      <w:r w:rsidR="00AB3CC1">
        <w:rPr>
          <w:rFonts w:ascii="仿宋_GB2312" w:eastAsia="仿宋_GB2312" w:hAnsi="仿宋_GB2312" w:cs="仿宋_GB2312" w:hint="eastAsia"/>
          <w:sz w:val="32"/>
          <w:szCs w:val="32"/>
        </w:rPr>
        <w:t>”“执法检查</w:t>
      </w:r>
      <w:r w:rsidR="00AB3CC1">
        <w:rPr>
          <w:rFonts w:ascii="仿宋_GB2312" w:eastAsia="仿宋_GB2312" w:hAnsi="仿宋_GB2312" w:cs="仿宋_GB2312"/>
          <w:sz w:val="32"/>
          <w:szCs w:val="32"/>
        </w:rPr>
        <w:t>专项经费</w:t>
      </w:r>
      <w:r w:rsidR="00AB3CC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等项目</w:t>
      </w:r>
      <w:r w:rsidR="00AB3CC1">
        <w:rPr>
          <w:rFonts w:ascii="仿宋_GB2312" w:eastAsia="仿宋_GB2312" w:hAnsi="仿宋_GB2312" w:cs="仿宋_GB2312" w:hint="eastAsia"/>
          <w:sz w:val="32"/>
          <w:szCs w:val="32"/>
        </w:rPr>
        <w:t>进行了自查，</w:t>
      </w:r>
      <w:r>
        <w:rPr>
          <w:rFonts w:ascii="仿宋_GB2312" w:eastAsia="仿宋_GB2312" w:hAnsi="仿宋_GB2312" w:cs="仿宋_GB2312" w:hint="eastAsia"/>
          <w:sz w:val="32"/>
          <w:szCs w:val="32"/>
        </w:rPr>
        <w:t>开展绩效评价。从评价情况来看，</w:t>
      </w:r>
      <w:r w:rsidR="00AB3CC1">
        <w:rPr>
          <w:rFonts w:ascii="仿宋_GB2312" w:eastAsia="仿宋_GB2312" w:hAnsi="仿宋_GB2312" w:cs="仿宋_GB2312" w:hint="eastAsia"/>
          <w:sz w:val="32"/>
          <w:szCs w:val="32"/>
        </w:rPr>
        <w:t>项目运行效果良好，达到了预期效益</w:t>
      </w:r>
      <w:r>
        <w:rPr>
          <w:rFonts w:ascii="仿宋_GB2312" w:eastAsia="仿宋_GB2312" w:hAnsi="仿宋_GB2312" w:cs="仿宋_GB2312" w:hint="eastAsia"/>
          <w:sz w:val="32"/>
          <w:szCs w:val="32"/>
        </w:rPr>
        <w:t>。</w:t>
      </w:r>
    </w:p>
    <w:p w:rsidR="00247E5C" w:rsidRDefault="00247E5C" w:rsidP="00140901">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b/>
          <w:bCs/>
          <w:sz w:val="32"/>
          <w:szCs w:val="32"/>
        </w:rPr>
        <w:t xml:space="preserve">2. </w:t>
      </w:r>
      <w:r>
        <w:rPr>
          <w:rFonts w:ascii="仿宋_GB2312" w:eastAsia="仿宋_GB2312" w:hAnsi="仿宋_GB2312" w:cs="仿宋_GB2312" w:hint="eastAsia"/>
          <w:b/>
          <w:bCs/>
          <w:sz w:val="32"/>
          <w:szCs w:val="32"/>
        </w:rPr>
        <w:t>部门决算中项目绩效自评结果。</w:t>
      </w:r>
    </w:p>
    <w:p w:rsidR="00247E5C" w:rsidRDefault="00247E5C" w:rsidP="0014090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Pr>
          <w:rFonts w:ascii="仿宋_GB2312" w:eastAsia="仿宋_GB2312" w:hAnsi="仿宋_GB2312" w:cs="仿宋_GB2312"/>
          <w:sz w:val="32"/>
          <w:szCs w:val="32"/>
        </w:rPr>
        <w:t xml:space="preserve"> </w:t>
      </w:r>
      <w:r w:rsidR="00AB3CC1">
        <w:rPr>
          <w:rFonts w:ascii="仿宋_GB2312" w:eastAsia="仿宋_GB2312" w:hAnsi="仿宋_GB2312" w:cs="仿宋_GB2312" w:hint="eastAsia"/>
          <w:sz w:val="32"/>
          <w:szCs w:val="32"/>
        </w:rPr>
        <w:t>“</w:t>
      </w:r>
      <w:r w:rsidR="008B0F9F">
        <w:rPr>
          <w:rFonts w:ascii="仿宋_GB2312" w:eastAsia="仿宋_GB2312" w:hAnsi="仿宋_GB2312" w:cs="仿宋_GB2312" w:hint="eastAsia"/>
          <w:sz w:val="32"/>
          <w:szCs w:val="32"/>
        </w:rPr>
        <w:t>办公用房租赁</w:t>
      </w:r>
      <w:r w:rsidR="00AB3CC1">
        <w:rPr>
          <w:rFonts w:ascii="仿宋_GB2312" w:eastAsia="仿宋_GB2312" w:hAnsi="仿宋_GB2312" w:cs="仿宋_GB2312" w:hint="eastAsia"/>
          <w:sz w:val="32"/>
          <w:szCs w:val="32"/>
        </w:rPr>
        <w:t>”“执法检查</w:t>
      </w:r>
      <w:r w:rsidR="00AB3CC1">
        <w:rPr>
          <w:rFonts w:ascii="仿宋_GB2312" w:eastAsia="仿宋_GB2312" w:hAnsi="仿宋_GB2312" w:cs="仿宋_GB2312"/>
          <w:sz w:val="32"/>
          <w:szCs w:val="32"/>
        </w:rPr>
        <w:t>专项经费</w:t>
      </w:r>
      <w:r w:rsidR="00AB3CC1">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sidR="008B0F9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个项目绩效自评结果。</w:t>
      </w:r>
    </w:p>
    <w:p w:rsidR="00247E5C" w:rsidRDefault="008B0F9F" w:rsidP="00140901">
      <w:pPr>
        <w:numPr>
          <w:ilvl w:val="0"/>
          <w:numId w:val="4"/>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办公用房租赁</w:t>
      </w:r>
      <w:r w:rsidR="00247E5C">
        <w:rPr>
          <w:rFonts w:ascii="仿宋_GB2312" w:eastAsia="仿宋_GB2312" w:hAnsi="仿宋_GB2312" w:cs="仿宋_GB2312" w:hint="eastAsia"/>
          <w:sz w:val="32"/>
          <w:szCs w:val="32"/>
        </w:rPr>
        <w:t>项目自评综述：根据年初设定的绩效目标，</w:t>
      </w:r>
      <w:r w:rsidR="00475C4C">
        <w:rPr>
          <w:rFonts w:ascii="仿宋_GB2312" w:eastAsia="仿宋_GB2312" w:hAnsi="仿宋_GB2312" w:cs="仿宋_GB2312" w:hint="eastAsia"/>
          <w:sz w:val="32"/>
          <w:szCs w:val="32"/>
        </w:rPr>
        <w:t>办公用房租赁项目</w:t>
      </w:r>
      <w:r w:rsidR="00247E5C">
        <w:rPr>
          <w:rFonts w:ascii="仿宋_GB2312" w:eastAsia="仿宋_GB2312" w:hAnsi="仿宋_GB2312" w:cs="仿宋_GB2312" w:hint="eastAsia"/>
          <w:sz w:val="32"/>
          <w:szCs w:val="32"/>
        </w:rPr>
        <w:t>绩效自评得分为</w:t>
      </w:r>
      <w:r>
        <w:rPr>
          <w:rFonts w:ascii="仿宋_GB2312" w:eastAsia="仿宋_GB2312" w:hAnsi="仿宋_GB2312" w:cs="仿宋_GB2312" w:hint="eastAsia"/>
          <w:sz w:val="32"/>
          <w:szCs w:val="32"/>
        </w:rPr>
        <w:t>100</w:t>
      </w:r>
      <w:r w:rsidR="00247E5C">
        <w:rPr>
          <w:rFonts w:ascii="仿宋_GB2312" w:eastAsia="仿宋_GB2312" w:hAnsi="仿宋_GB2312" w:cs="仿宋_GB2312" w:hint="eastAsia"/>
          <w:sz w:val="32"/>
          <w:szCs w:val="32"/>
        </w:rPr>
        <w:t>分（绩效自评表附后）。全年预算数为</w:t>
      </w:r>
      <w:r w:rsidR="00475C4C">
        <w:rPr>
          <w:rFonts w:ascii="仿宋_GB2312" w:eastAsia="仿宋_GB2312" w:hAnsi="仿宋_GB2312" w:cs="仿宋_GB2312" w:hint="eastAsia"/>
          <w:sz w:val="32"/>
          <w:szCs w:val="32"/>
        </w:rPr>
        <w:t>25</w:t>
      </w:r>
      <w:r w:rsidR="00247E5C">
        <w:rPr>
          <w:rFonts w:ascii="仿宋_GB2312" w:eastAsia="仿宋_GB2312" w:hAnsi="仿宋_GB2312" w:cs="仿宋_GB2312" w:hint="eastAsia"/>
          <w:sz w:val="32"/>
          <w:szCs w:val="32"/>
        </w:rPr>
        <w:t>万元，执行数为</w:t>
      </w:r>
      <w:r w:rsidR="00475C4C">
        <w:rPr>
          <w:rFonts w:ascii="仿宋_GB2312" w:eastAsia="仿宋_GB2312" w:hAnsi="仿宋_GB2312" w:cs="仿宋_GB2312" w:hint="eastAsia"/>
          <w:sz w:val="32"/>
          <w:szCs w:val="32"/>
        </w:rPr>
        <w:t>25</w:t>
      </w:r>
      <w:r w:rsidR="00247E5C">
        <w:rPr>
          <w:rFonts w:ascii="仿宋_GB2312" w:eastAsia="仿宋_GB2312" w:hAnsi="仿宋_GB2312" w:cs="仿宋_GB2312" w:hint="eastAsia"/>
          <w:sz w:val="32"/>
          <w:szCs w:val="32"/>
        </w:rPr>
        <w:t>万元，完成预算的</w:t>
      </w:r>
      <w:r w:rsidR="00475C4C">
        <w:rPr>
          <w:rFonts w:ascii="仿宋_GB2312" w:eastAsia="仿宋_GB2312" w:hAnsi="仿宋_GB2312" w:cs="仿宋_GB2312" w:hint="eastAsia"/>
          <w:sz w:val="32"/>
          <w:szCs w:val="32"/>
        </w:rPr>
        <w:t>100%</w:t>
      </w:r>
      <w:r w:rsidR="00247E5C">
        <w:rPr>
          <w:rFonts w:ascii="仿宋_GB2312" w:eastAsia="仿宋_GB2312" w:hAnsi="仿宋_GB2312" w:cs="仿宋_GB2312" w:hint="eastAsia"/>
          <w:sz w:val="32"/>
          <w:szCs w:val="32"/>
        </w:rPr>
        <w:t>。</w:t>
      </w:r>
      <w:r w:rsidR="00475C4C" w:rsidRPr="00475C4C">
        <w:rPr>
          <w:rFonts w:ascii="仿宋_GB2312" w:eastAsia="仿宋_GB2312" w:hAnsi="仿宋_GB2312" w:cs="仿宋_GB2312" w:hint="eastAsia"/>
          <w:sz w:val="32"/>
          <w:szCs w:val="32"/>
        </w:rPr>
        <w:t>该项目目标明确，项目资金申报、批复程序符合相关管理办法，项目实施过程有专人负责，组织机构健全。资金管理方面，财务方面制度健全，对项目做了合理、规范的预算安排，项目资金合理合规，无截留、挤占现象，实际资金支出到位占实际要求的100%，发放过程中做到了及时、足额拨付，保证了项目有效实施。</w:t>
      </w:r>
    </w:p>
    <w:p w:rsidR="00247E5C" w:rsidRDefault="00475C4C" w:rsidP="00475C4C">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475C4C">
        <w:rPr>
          <w:rFonts w:ascii="仿宋_GB2312" w:eastAsia="仿宋_GB2312" w:hAnsi="仿宋_GB2312" w:cs="仿宋_GB2312" w:hint="eastAsia"/>
          <w:sz w:val="32"/>
          <w:szCs w:val="32"/>
        </w:rPr>
        <w:t>参加上级组织国内展会专项经费项目</w:t>
      </w:r>
      <w:r w:rsidR="00247E5C">
        <w:rPr>
          <w:rFonts w:ascii="仿宋_GB2312" w:eastAsia="仿宋_GB2312" w:hAnsi="仿宋_GB2312" w:cs="仿宋_GB2312" w:hint="eastAsia"/>
          <w:sz w:val="32"/>
          <w:szCs w:val="32"/>
        </w:rPr>
        <w:t>绩效自评综述：</w:t>
      </w:r>
      <w:r>
        <w:rPr>
          <w:rFonts w:ascii="仿宋_GB2312" w:eastAsia="仿宋_GB2312" w:hAnsi="仿宋_GB2312" w:cs="仿宋_GB2312" w:hint="eastAsia"/>
          <w:sz w:val="32"/>
          <w:szCs w:val="32"/>
        </w:rPr>
        <w:t>根据年初设定的绩效目标，</w:t>
      </w:r>
      <w:r w:rsidRPr="00475C4C">
        <w:rPr>
          <w:rFonts w:ascii="仿宋_GB2312" w:eastAsia="仿宋_GB2312" w:hAnsi="仿宋_GB2312" w:cs="仿宋_GB2312" w:hint="eastAsia"/>
          <w:sz w:val="32"/>
          <w:szCs w:val="32"/>
        </w:rPr>
        <w:t>参加上级组织国内展会专项经费项目</w:t>
      </w:r>
      <w:r>
        <w:rPr>
          <w:rFonts w:ascii="仿宋_GB2312" w:eastAsia="仿宋_GB2312" w:hAnsi="仿宋_GB2312" w:cs="仿宋_GB2312" w:hint="eastAsia"/>
          <w:sz w:val="32"/>
          <w:szCs w:val="32"/>
        </w:rPr>
        <w:t>绩效自评得分为100分（绩效自评表附后）。全年预算数为20</w:t>
      </w:r>
      <w:r>
        <w:rPr>
          <w:rFonts w:ascii="仿宋_GB2312" w:eastAsia="仿宋_GB2312" w:hAnsi="仿宋_GB2312" w:cs="仿宋_GB2312" w:hint="eastAsia"/>
          <w:sz w:val="32"/>
          <w:szCs w:val="32"/>
        </w:rPr>
        <w:lastRenderedPageBreak/>
        <w:t>万元，执行数为9.07万元，完成预算的45%。</w:t>
      </w:r>
      <w:r w:rsidRPr="00475C4C">
        <w:rPr>
          <w:rFonts w:ascii="仿宋_GB2312" w:eastAsia="仿宋_GB2312" w:hAnsi="仿宋_GB2312" w:cs="仿宋_GB2312" w:hint="eastAsia"/>
          <w:sz w:val="32"/>
          <w:szCs w:val="32"/>
        </w:rPr>
        <w:t>该项目目标明确，项目资金申报、批复程序符合相关管理办法，项目实施过程有专人负责，组织机构健全。组织企业走出去开拓市场：组织企业报名参加125届春季广交会、高交会、中日采购对接会等大型活动，宣传推介企业产品优势，与日本、韩国、东南亚、中东以及欧美国等20个国家、地区签署订单。主要绩效表现为：1、参展企业普遍提升自身企业品牌影响力。2、有效的帮助企业提升产品形象，扩大外贸出口量。</w:t>
      </w:r>
    </w:p>
    <w:p w:rsidR="00CB2FB8" w:rsidRDefault="00475C4C" w:rsidP="00CB2F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B2FB8" w:rsidRPr="00CB2FB8">
        <w:rPr>
          <w:rFonts w:ascii="仿宋_GB2312" w:eastAsia="仿宋_GB2312" w:hAnsi="仿宋_GB2312" w:cs="仿宋_GB2312" w:hint="eastAsia"/>
          <w:sz w:val="32"/>
          <w:szCs w:val="32"/>
        </w:rPr>
        <w:t>执法检查专项经费项目</w:t>
      </w:r>
      <w:r>
        <w:rPr>
          <w:rFonts w:ascii="仿宋_GB2312" w:eastAsia="仿宋_GB2312" w:hAnsi="仿宋_GB2312" w:cs="仿宋_GB2312" w:hint="eastAsia"/>
          <w:sz w:val="32"/>
          <w:szCs w:val="32"/>
        </w:rPr>
        <w:t>绩效自评综述：根据年初设定的绩效目标，</w:t>
      </w:r>
      <w:r w:rsidR="00CB2FB8" w:rsidRPr="00CB2FB8">
        <w:rPr>
          <w:rFonts w:ascii="仿宋_GB2312" w:eastAsia="仿宋_GB2312" w:hAnsi="仿宋_GB2312" w:cs="仿宋_GB2312" w:hint="eastAsia"/>
          <w:sz w:val="32"/>
          <w:szCs w:val="32"/>
        </w:rPr>
        <w:t>执法检查专项经费项目</w:t>
      </w:r>
      <w:r>
        <w:rPr>
          <w:rFonts w:ascii="仿宋_GB2312" w:eastAsia="仿宋_GB2312" w:hAnsi="仿宋_GB2312" w:cs="仿宋_GB2312" w:hint="eastAsia"/>
          <w:sz w:val="32"/>
          <w:szCs w:val="32"/>
        </w:rPr>
        <w:t>绩效自评得分为100分。</w:t>
      </w:r>
      <w:r w:rsidR="00CB2FB8">
        <w:rPr>
          <w:rFonts w:ascii="仿宋_GB2312" w:eastAsia="仿宋_GB2312" w:hAnsi="仿宋_GB2312" w:cs="仿宋_GB2312" w:hint="eastAsia"/>
          <w:sz w:val="32"/>
          <w:szCs w:val="32"/>
        </w:rPr>
        <w:t>全年预算数为10万元，执行数为7.05万元，完成预算的70%。</w:t>
      </w:r>
      <w:r w:rsidR="00CB2FB8" w:rsidRPr="00CB2FB8">
        <w:rPr>
          <w:rFonts w:ascii="仿宋_GB2312" w:eastAsia="仿宋_GB2312" w:hAnsi="仿宋_GB2312" w:cs="仿宋_GB2312" w:hint="eastAsia"/>
          <w:sz w:val="32"/>
          <w:szCs w:val="32"/>
        </w:rPr>
        <w:t>2019年度，全市现有132家加油站，其中：建成区38家。对成品油市场的管理，我局重</w:t>
      </w:r>
      <w:r w:rsidR="004C27C7">
        <w:rPr>
          <w:rFonts w:ascii="仿宋_GB2312" w:eastAsia="仿宋_GB2312" w:hAnsi="仿宋_GB2312" w:cs="仿宋_GB2312" w:hint="eastAsia"/>
          <w:sz w:val="32"/>
          <w:szCs w:val="32"/>
        </w:rPr>
        <w:t>点放在了加油站依法经营监管上，健全完善了加油站“购、销、存”台账</w:t>
      </w:r>
      <w:r w:rsidR="00CB2FB8" w:rsidRPr="00CB2FB8">
        <w:rPr>
          <w:rFonts w:ascii="仿宋_GB2312" w:eastAsia="仿宋_GB2312" w:hAnsi="仿宋_GB2312" w:cs="仿宋_GB2312" w:hint="eastAsia"/>
          <w:sz w:val="32"/>
          <w:szCs w:val="32"/>
        </w:rPr>
        <w:t>制度，实行责任分级、事故追究、公平竞争、消费者监督的网络体系；完善了油品销售和车用尿素销售不定期抽查、巡查制度，建立了来源可追溯、去向能查明、违法受追究的监控体系；依法查处具备成品油零售经营资格</w:t>
      </w:r>
      <w:r w:rsidR="009E5E77">
        <w:rPr>
          <w:rFonts w:ascii="仿宋_GB2312" w:eastAsia="仿宋_GB2312" w:hAnsi="仿宋_GB2312" w:cs="仿宋_GB2312" w:hint="eastAsia"/>
          <w:sz w:val="32"/>
          <w:szCs w:val="32"/>
        </w:rPr>
        <w:t>企业的违法行为，对无证经营者进行甄别并协调有关部门依法取缔。截至</w:t>
      </w:r>
      <w:r w:rsidR="00CB2FB8" w:rsidRPr="00CB2FB8">
        <w:rPr>
          <w:rFonts w:ascii="仿宋_GB2312" w:eastAsia="仿宋_GB2312" w:hAnsi="仿宋_GB2312" w:cs="仿宋_GB2312" w:hint="eastAsia"/>
          <w:sz w:val="32"/>
          <w:szCs w:val="32"/>
        </w:rPr>
        <w:t>目前，我局已累计开展日常检查活动</w:t>
      </w:r>
      <w:r w:rsidR="00CB2FB8" w:rsidRPr="00CB2FB8">
        <w:rPr>
          <w:rFonts w:ascii="仿宋_GB2312" w:eastAsia="仿宋_GB2312" w:hAnsi="仿宋_GB2312" w:cs="仿宋_GB2312"/>
          <w:sz w:val="32"/>
          <w:szCs w:val="32"/>
        </w:rPr>
        <w:t>2</w:t>
      </w:r>
      <w:r w:rsidR="00CB2FB8" w:rsidRPr="00CB2FB8">
        <w:rPr>
          <w:rFonts w:ascii="仿宋_GB2312" w:eastAsia="仿宋_GB2312" w:hAnsi="仿宋_GB2312" w:cs="仿宋_GB2312" w:hint="eastAsia"/>
          <w:sz w:val="32"/>
          <w:szCs w:val="32"/>
        </w:rPr>
        <w:t>53余次，柴油和车用尿素票据质量抽检合格率达到98％以上，成品油市场经营秩序日趋优化。主要绩效表现为：1、全年各项工作圆满完成。2、执法效果显著。</w:t>
      </w:r>
    </w:p>
    <w:p w:rsidR="00CB2FB8" w:rsidRPr="00CB2FB8" w:rsidRDefault="00CB2FB8" w:rsidP="00CB2FB8">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sidRPr="00CB2FB8">
        <w:rPr>
          <w:rFonts w:ascii="仿宋_GB2312" w:eastAsia="仿宋_GB2312" w:hAnsi="仿宋_GB2312" w:cs="仿宋_GB2312" w:hint="eastAsia"/>
          <w:sz w:val="32"/>
          <w:szCs w:val="32"/>
        </w:rPr>
        <w:t>招商经费项目</w:t>
      </w:r>
      <w:r>
        <w:rPr>
          <w:rFonts w:ascii="仿宋_GB2312" w:eastAsia="仿宋_GB2312" w:hAnsi="仿宋_GB2312" w:cs="仿宋_GB2312" w:hint="eastAsia"/>
          <w:sz w:val="32"/>
          <w:szCs w:val="32"/>
        </w:rPr>
        <w:t>绩效自评综述：根据年初设定的绩效目标，</w:t>
      </w:r>
      <w:r w:rsidRPr="00CB2FB8">
        <w:rPr>
          <w:rFonts w:ascii="仿宋_GB2312" w:eastAsia="仿宋_GB2312" w:hAnsi="仿宋_GB2312" w:cs="仿宋_GB2312" w:hint="eastAsia"/>
          <w:sz w:val="32"/>
          <w:szCs w:val="32"/>
        </w:rPr>
        <w:t>招商经费项目</w:t>
      </w:r>
      <w:r>
        <w:rPr>
          <w:rFonts w:ascii="仿宋_GB2312" w:eastAsia="仿宋_GB2312" w:hAnsi="仿宋_GB2312" w:cs="仿宋_GB2312" w:hint="eastAsia"/>
          <w:sz w:val="32"/>
          <w:szCs w:val="32"/>
        </w:rPr>
        <w:t>绩效自评得分为100分。全年预算数为100万元，执行数为57.18万元，完成预算的57%。</w:t>
      </w:r>
      <w:r w:rsidRPr="00CB2FB8">
        <w:rPr>
          <w:rFonts w:ascii="仿宋_GB2312" w:eastAsia="仿宋_GB2312" w:hAnsi="仿宋_GB2312" w:cs="仿宋_GB2312" w:hint="eastAsia"/>
          <w:sz w:val="32"/>
          <w:szCs w:val="32"/>
        </w:rPr>
        <w:t>2019年度以来，我局先后对接洽谈了</w:t>
      </w:r>
      <w:r w:rsidRPr="00CB2FB8">
        <w:rPr>
          <w:rFonts w:ascii="仿宋_GB2312" w:eastAsia="仿宋_GB2312" w:hAnsi="仿宋_GB2312" w:cs="仿宋_GB2312"/>
          <w:sz w:val="32"/>
          <w:szCs w:val="32"/>
        </w:rPr>
        <w:t>100</w:t>
      </w:r>
      <w:r w:rsidRPr="00CB2FB8">
        <w:rPr>
          <w:rFonts w:ascii="仿宋_GB2312" w:eastAsia="仿宋_GB2312" w:hAnsi="仿宋_GB2312" w:cs="仿宋_GB2312" w:hint="eastAsia"/>
          <w:sz w:val="32"/>
          <w:szCs w:val="32"/>
        </w:rPr>
        <w:t>多次，重点对接了唐山爱信佳工汽车零部件有限公司汽车零部件基地、天山</w:t>
      </w:r>
      <w:r w:rsidRPr="00CB2FB8">
        <w:rPr>
          <w:rFonts w:ascii="仿宋_GB2312" w:eastAsia="仿宋_GB2312" w:hAnsi="仿宋_GB2312" w:cs="仿宋_GB2312"/>
          <w:sz w:val="32"/>
          <w:szCs w:val="32"/>
        </w:rPr>
        <w:t>海世界室内大型恒温水上娱乐</w:t>
      </w:r>
      <w:r w:rsidRPr="00CB2FB8">
        <w:rPr>
          <w:rFonts w:ascii="仿宋_GB2312" w:eastAsia="仿宋_GB2312" w:hAnsi="仿宋_GB2312" w:cs="仿宋_GB2312" w:hint="eastAsia"/>
          <w:sz w:val="32"/>
          <w:szCs w:val="32"/>
        </w:rPr>
        <w:t>、总部基地控股集团微型总部基地、福建圣农集团与美客多集团合作建设大型白羽鸡全生产链、应急电源装备制造等项目。设立了全市招商引资工作台账，协调承担招商引资任务的单位推进招商引资工作，按月督办55个单位招商引资工作并列入台账。逐月审核汇总各单位招商引资工作情况，形成报表按月上报市政府，为市领导掌握全市招商引资情况，指导招商引资工作提供准确依据。截止到目前，全市纳入招商引资工作台账管理的在谈项目信息269个，其中：第一产业29个，第二产业109个，第三产业131个。在谈项目中，正在重点推进的项目47个，意向投资总额248.406亿元，其中：第一产业2个，意向投资金额1.6亿元；第二产业22个，意向投资金额41.656亿元；第三产业23个，意向投资205.15亿元；已签约项目106个，总投资357.3亿元，其中第一产业10个，第二产业58个，第三产业38个。主要绩效表现为：1、全年各项工作圆满完成。2、招商引资效果显著，引进了一批大项目，好项目。</w:t>
      </w:r>
    </w:p>
    <w:p w:rsidR="00247E5C" w:rsidRDefault="00247E5C" w:rsidP="00140901">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lastRenderedPageBreak/>
        <w:t>七、其他重要事项的说明</w:t>
      </w:r>
    </w:p>
    <w:p w:rsidR="00247E5C" w:rsidRDefault="00247E5C" w:rsidP="0014090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sidR="00CB2FB8">
        <w:rPr>
          <w:rFonts w:ascii="仿宋_GB2312" w:eastAsia="仿宋_GB2312" w:hAnsi="Times New Roman" w:cs="DengXian-Regular" w:hint="eastAsia"/>
          <w:sz w:val="32"/>
          <w:szCs w:val="32"/>
        </w:rPr>
        <w:t>属于行政和事业混编并行，</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w:t>
      </w:r>
      <w:r w:rsidR="00CB2FB8">
        <w:rPr>
          <w:rFonts w:ascii="仿宋_GB2312" w:eastAsia="仿宋_GB2312" w:hAnsi="Times New Roman" w:cs="DengXian-Regular" w:hint="eastAsia"/>
          <w:sz w:val="32"/>
          <w:szCs w:val="32"/>
        </w:rPr>
        <w:t>无</w:t>
      </w:r>
      <w:r>
        <w:rPr>
          <w:rFonts w:ascii="仿宋_GB2312" w:eastAsia="仿宋_GB2312" w:hAnsi="Times New Roman" w:cs="DengXian-Regular" w:hint="eastAsia"/>
          <w:sz w:val="32"/>
          <w:szCs w:val="32"/>
        </w:rPr>
        <w:t>机关运行经费。</w:t>
      </w:r>
    </w:p>
    <w:p w:rsidR="00247E5C" w:rsidRDefault="00247E5C" w:rsidP="0014090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247E5C" w:rsidRDefault="00247E5C" w:rsidP="00140901">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年度政府采购支出总额</w:t>
      </w:r>
      <w:r w:rsidR="00DA1B34">
        <w:rPr>
          <w:rFonts w:ascii="仿宋_GB2312" w:eastAsia="仿宋_GB2312" w:hAnsi="Times New Roman" w:cs="DengXian-Regular" w:hint="eastAsia"/>
          <w:sz w:val="32"/>
          <w:szCs w:val="32"/>
        </w:rPr>
        <w:t>10.723</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sidR="00DA1B34">
        <w:rPr>
          <w:rFonts w:ascii="仿宋_GB2312" w:eastAsia="仿宋_GB2312" w:hAnsi="仿宋_GB2312" w:cs="仿宋_GB2312" w:hint="eastAsia"/>
          <w:color w:val="000000"/>
          <w:kern w:val="0"/>
          <w:sz w:val="32"/>
          <w:szCs w:val="32"/>
        </w:rPr>
        <w:t>10.723万元</w:t>
      </w:r>
      <w:r>
        <w:rPr>
          <w:rFonts w:ascii="仿宋_GB2312" w:eastAsia="仿宋_GB2312" w:hAnsi="仿宋_GB2312" w:cs="仿宋_GB2312" w:hint="eastAsia"/>
          <w:color w:val="000000"/>
          <w:kern w:val="0"/>
          <w:sz w:val="32"/>
          <w:szCs w:val="32"/>
        </w:rPr>
        <w:t>，占政府采购支出总额的</w:t>
      </w:r>
      <w:r w:rsidR="00DA1B34">
        <w:rPr>
          <w:rFonts w:ascii="仿宋_GB2312" w:eastAsia="仿宋_GB2312" w:hAnsi="仿宋_GB2312" w:cs="仿宋_GB2312" w:hint="eastAsia"/>
          <w:color w:val="000000"/>
          <w:kern w:val="0"/>
          <w:sz w:val="32"/>
          <w:szCs w:val="32"/>
        </w:rPr>
        <w:t>100</w:t>
      </w:r>
      <w:r>
        <w:rPr>
          <w:rFonts w:ascii="仿宋_GB2312" w:eastAsia="仿宋_GB2312" w:hAnsi="仿宋_GB2312" w:cs="仿宋_GB2312"/>
          <w:color w:val="000000"/>
          <w:kern w:val="0"/>
          <w:sz w:val="32"/>
          <w:szCs w:val="32"/>
        </w:rPr>
        <w:t>%</w:t>
      </w:r>
      <w:r w:rsidR="00DA1B34">
        <w:rPr>
          <w:rFonts w:ascii="仿宋_GB2312" w:eastAsia="仿宋_GB2312" w:hAnsi="仿宋_GB2312" w:cs="仿宋_GB2312"/>
          <w:color w:val="000000"/>
          <w:kern w:val="0"/>
          <w:sz w:val="32"/>
          <w:szCs w:val="32"/>
        </w:rPr>
        <w:t xml:space="preserve"> </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247E5C" w:rsidRDefault="00247E5C" w:rsidP="0014090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247E5C" w:rsidRDefault="00247E5C" w:rsidP="0014090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sz w:val="32"/>
          <w:szCs w:val="32"/>
        </w:rPr>
        <w:t>31</w:t>
      </w:r>
      <w:r>
        <w:rPr>
          <w:rFonts w:ascii="仿宋_GB2312" w:eastAsia="仿宋_GB2312" w:hAnsi="Times New Roman" w:cs="DengXian-Regular" w:hint="eastAsia"/>
          <w:sz w:val="32"/>
          <w:szCs w:val="32"/>
        </w:rPr>
        <w:t>日，本部门共有车辆</w:t>
      </w:r>
      <w:r w:rsidR="00DA1B34">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辆，</w:t>
      </w:r>
      <w:r w:rsidR="00DA1B34">
        <w:rPr>
          <w:rFonts w:ascii="仿宋_GB2312" w:eastAsia="仿宋_GB2312" w:hAnsi="Times New Roman" w:cs="DengXian-Regular" w:hint="eastAsia"/>
          <w:sz w:val="32"/>
          <w:szCs w:val="32"/>
        </w:rPr>
        <w:t>与</w:t>
      </w:r>
      <w:r>
        <w:rPr>
          <w:rFonts w:ascii="仿宋_GB2312" w:eastAsia="仿宋_GB2312" w:hAnsi="Times New Roman" w:cs="DengXian-Regular" w:hint="eastAsia"/>
          <w:sz w:val="32"/>
          <w:szCs w:val="32"/>
        </w:rPr>
        <w:t>上年</w:t>
      </w:r>
      <w:r w:rsidR="00DA1B34">
        <w:rPr>
          <w:rFonts w:ascii="仿宋_GB2312" w:eastAsia="仿宋_GB2312" w:hAnsi="Times New Roman" w:cs="DengXian-Regular" w:hint="eastAsia"/>
          <w:sz w:val="32"/>
          <w:szCs w:val="32"/>
        </w:rPr>
        <w:t>相比无增减</w:t>
      </w:r>
      <w:r>
        <w:rPr>
          <w:rFonts w:ascii="仿宋_GB2312" w:eastAsia="仿宋_GB2312" w:hAnsi="Times New Roman" w:cs="DengXian-Regular" w:hint="eastAsia"/>
          <w:sz w:val="32"/>
          <w:szCs w:val="32"/>
        </w:rPr>
        <w:t>。其中，机要通信用车</w:t>
      </w:r>
      <w:r w:rsidR="00DA1B34">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辆，应急保障用车</w:t>
      </w:r>
      <w:r w:rsidR="00DA1B34">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辆，执法执勤用车</w:t>
      </w:r>
      <w:r w:rsidR="00DA1B34">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w:t>
      </w:r>
      <w:r w:rsidR="00DA1B34">
        <w:rPr>
          <w:rFonts w:ascii="仿宋_GB2312" w:eastAsia="仿宋_GB2312" w:hAnsi="Times New Roman" w:cs="DengXian-Regular" w:hint="eastAsia"/>
          <w:sz w:val="32"/>
          <w:szCs w:val="32"/>
        </w:rPr>
        <w:t>。</w:t>
      </w:r>
    </w:p>
    <w:p w:rsidR="00247E5C" w:rsidRDefault="00247E5C" w:rsidP="00140901">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w:t>
      </w:r>
      <w:r w:rsidR="00DA1B34">
        <w:rPr>
          <w:rFonts w:ascii="仿宋_GB2312" w:eastAsia="仿宋_GB2312" w:hAnsi="Times New Roman" w:cs="DengXian-Regular" w:hint="eastAsia"/>
          <w:sz w:val="32"/>
          <w:szCs w:val="32"/>
        </w:rPr>
        <w:t>无</w:t>
      </w:r>
      <w:r>
        <w:rPr>
          <w:rFonts w:ascii="仿宋_GB2312" w:eastAsia="仿宋_GB2312" w:hAnsi="Times New Roman" w:cs="DengXian-Regular" w:hint="eastAsia"/>
          <w:sz w:val="32"/>
          <w:szCs w:val="32"/>
        </w:rPr>
        <w:t>价值</w:t>
      </w:r>
      <w:r>
        <w:rPr>
          <w:rFonts w:ascii="仿宋_GB2312" w:eastAsia="仿宋_GB2312" w:hAnsi="TimesNewRomanPSMT" w:cs="TimesNewRomanPSMT"/>
          <w:sz w:val="32"/>
          <w:szCs w:val="32"/>
        </w:rPr>
        <w:t>50</w:t>
      </w:r>
      <w:r>
        <w:rPr>
          <w:rFonts w:ascii="仿宋_GB2312" w:eastAsia="仿宋_GB2312" w:hAnsi="Times New Roman" w:cs="DengXian-Regular" w:hint="eastAsia"/>
          <w:sz w:val="32"/>
          <w:szCs w:val="32"/>
        </w:rPr>
        <w:t>万元以上通用设备。</w:t>
      </w:r>
    </w:p>
    <w:p w:rsidR="00247E5C" w:rsidRDefault="00247E5C" w:rsidP="0014090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DA1B34" w:rsidRPr="00DA1B34" w:rsidRDefault="00DA1B34" w:rsidP="00DA1B34">
      <w:pPr>
        <w:adjustRightInd w:val="0"/>
        <w:snapToGrid w:val="0"/>
        <w:spacing w:line="580" w:lineRule="exact"/>
        <w:ind w:firstLineChars="200" w:firstLine="640"/>
        <w:rPr>
          <w:rFonts w:ascii="仿宋_GB2312" w:eastAsia="仿宋_GB2312" w:hAnsi="仿宋_GB2312" w:cs="仿宋_GB2312"/>
          <w:sz w:val="32"/>
          <w:szCs w:val="32"/>
        </w:rPr>
      </w:pPr>
      <w:r w:rsidRPr="00DA1B34">
        <w:rPr>
          <w:rFonts w:ascii="仿宋_GB2312" w:eastAsia="仿宋_GB2312" w:hAnsi="仿宋_GB2312" w:cs="仿宋_GB2312"/>
          <w:sz w:val="32"/>
          <w:szCs w:val="32"/>
        </w:rPr>
        <w:t xml:space="preserve">1. </w:t>
      </w:r>
      <w:r w:rsidRPr="00DA1B34">
        <w:rPr>
          <w:rFonts w:ascii="仿宋_GB2312" w:eastAsia="仿宋_GB2312" w:hAnsi="仿宋_GB2312" w:cs="仿宋_GB2312" w:hint="eastAsia"/>
          <w:sz w:val="32"/>
          <w:szCs w:val="32"/>
        </w:rPr>
        <w:t>本部门</w:t>
      </w:r>
      <w:r w:rsidRPr="00DA1B34">
        <w:rPr>
          <w:rFonts w:ascii="仿宋_GB2312" w:eastAsia="仿宋_GB2312" w:hAnsi="仿宋_GB2312" w:cs="仿宋_GB2312"/>
          <w:sz w:val="32"/>
          <w:szCs w:val="32"/>
        </w:rPr>
        <w:t>2019</w:t>
      </w:r>
      <w:r w:rsidRPr="00DA1B34">
        <w:rPr>
          <w:rFonts w:ascii="仿宋_GB2312" w:eastAsia="仿宋_GB2312" w:hAnsi="仿宋_GB2312" w:cs="仿宋_GB2312" w:hint="eastAsia"/>
          <w:sz w:val="32"/>
          <w:szCs w:val="32"/>
        </w:rPr>
        <w:t>年度国有资本经营预算财政拨款无收支及结转结余情况，故国有资本经营预算财政拨款支出决算表以空表列示。</w:t>
      </w:r>
    </w:p>
    <w:p w:rsidR="00247E5C" w:rsidRPr="00DA1B34" w:rsidRDefault="00DA1B34" w:rsidP="00DA1B34">
      <w:pPr>
        <w:widowControl/>
        <w:spacing w:line="580" w:lineRule="exact"/>
        <w:ind w:firstLineChars="200" w:firstLine="640"/>
        <w:jc w:val="left"/>
        <w:rPr>
          <w:rFonts w:ascii="仿宋_GB2312" w:eastAsia="仿宋_GB2312" w:hAnsi="仿宋_GB2312" w:cs="仿宋_GB2312"/>
          <w:sz w:val="32"/>
          <w:szCs w:val="32"/>
        </w:rPr>
        <w:sectPr w:rsidR="00247E5C" w:rsidRPr="00DA1B34">
          <w:type w:val="continuous"/>
          <w:pgSz w:w="11906" w:h="16838"/>
          <w:pgMar w:top="2098" w:right="1474" w:bottom="1984" w:left="1588" w:header="851" w:footer="992" w:gutter="0"/>
          <w:pgNumType w:fmt="numberInDash"/>
          <w:cols w:space="0"/>
          <w:docGrid w:type="lines" w:linePitch="312"/>
        </w:sectPr>
      </w:pPr>
      <w:r w:rsidRPr="00DA1B34">
        <w:rPr>
          <w:rFonts w:ascii="仿宋_GB2312" w:eastAsia="仿宋_GB2312" w:hAnsi="仿宋_GB2312" w:cs="仿宋_GB2312"/>
          <w:sz w:val="32"/>
          <w:szCs w:val="32"/>
        </w:rPr>
        <w:t xml:space="preserve">2. </w:t>
      </w:r>
      <w:r w:rsidRPr="00DA1B34">
        <w:rPr>
          <w:rFonts w:ascii="仿宋_GB2312" w:eastAsia="仿宋_GB2312" w:hAnsi="仿宋_GB2312" w:cs="仿宋_GB2312" w:hint="eastAsia"/>
          <w:sz w:val="32"/>
          <w:szCs w:val="32"/>
        </w:rPr>
        <w:t>由于决算公开表格中金额数值应当保留两位小数，公开数据为四舍五入计算结果，个别数据合计项与分项之和存在小数点后差额，特此说明。</w:t>
      </w:r>
    </w:p>
    <w:p w:rsidR="00247E5C" w:rsidRPr="00DA1B34" w:rsidRDefault="00247E5C">
      <w:pPr>
        <w:jc w:val="center"/>
        <w:rPr>
          <w:rFonts w:ascii="仿宋_GB2312" w:eastAsia="仿宋_GB2312" w:hAnsi="仿宋_GB2312" w:cs="仿宋_GB2312"/>
          <w:sz w:val="32"/>
          <w:szCs w:val="32"/>
        </w:rPr>
      </w:pPr>
    </w:p>
    <w:p w:rsidR="00247E5C" w:rsidRPr="00DA1B34" w:rsidRDefault="00247E5C">
      <w:pPr>
        <w:jc w:val="center"/>
        <w:rPr>
          <w:rFonts w:ascii="仿宋_GB2312" w:eastAsia="仿宋_GB2312" w:hAnsi="仿宋_GB2312" w:cs="仿宋_GB2312"/>
          <w:sz w:val="32"/>
          <w:szCs w:val="32"/>
        </w:rPr>
        <w:sectPr w:rsidR="00247E5C" w:rsidRPr="00DA1B34">
          <w:type w:val="continuous"/>
          <w:pgSz w:w="11906" w:h="16838"/>
          <w:pgMar w:top="2041" w:right="1531" w:bottom="2041" w:left="1531" w:header="851" w:footer="992" w:gutter="0"/>
          <w:pgNumType w:fmt="numberInDash"/>
          <w:cols w:space="0"/>
          <w:titlePg/>
          <w:docGrid w:type="lines" w:linePitch="312"/>
        </w:sectPr>
      </w:pPr>
    </w:p>
    <w:p w:rsidR="00247E5C" w:rsidRDefault="00247E5C">
      <w:pPr>
        <w:rPr>
          <w:rFonts w:ascii="黑体" w:eastAsia="黑体" w:hAnsi="黑体" w:cs="黑体"/>
          <w:sz w:val="56"/>
          <w:szCs w:val="72"/>
        </w:rPr>
        <w:sectPr w:rsidR="00247E5C">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247E5C" w:rsidRDefault="00247E5C">
      <w:pP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247E5C">
      <w:pPr>
        <w:jc w:val="center"/>
        <w:rPr>
          <w:rFonts w:ascii="黑体" w:eastAsia="黑体" w:hAnsi="黑体" w:cs="黑体"/>
          <w:sz w:val="56"/>
          <w:szCs w:val="72"/>
        </w:rPr>
      </w:pPr>
    </w:p>
    <w:p w:rsidR="00247E5C" w:rsidRDefault="003F5A30">
      <w:pPr>
        <w:jc w:val="center"/>
        <w:rPr>
          <w:sz w:val="72"/>
        </w:rPr>
      </w:pPr>
      <w:r w:rsidRPr="003F5A30">
        <w:rPr>
          <w:noProof/>
        </w:rPr>
        <w:pict>
          <v:shape id="_x0000_s1088"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type="pattern"/>
            <v:stroke joinstyle="round"/>
            <v:textbox>
              <w:txbxContent>
                <w:p w:rsidR="00E74912" w:rsidRDefault="00E74912">
                  <w:pPr>
                    <w:widowControl/>
                    <w:jc w:val="center"/>
                  </w:pPr>
                  <w:r w:rsidRPr="006069EF">
                    <w:rPr>
                      <w:rFonts w:ascii="黑体" w:eastAsia="黑体" w:hAnsi="黑体" w:cs="黑体" w:hint="eastAsia"/>
                      <w:color w:val="000000"/>
                      <w:sz w:val="90"/>
                      <w:szCs w:val="90"/>
                    </w:rPr>
                    <w:t>第三部分</w:t>
                  </w:r>
                  <w:r w:rsidRPr="006069EF">
                    <w:rPr>
                      <w:rFonts w:ascii="黑体" w:eastAsia="黑体" w:hAnsi="黑体" w:cs="黑体"/>
                      <w:color w:val="000000"/>
                      <w:sz w:val="90"/>
                      <w:szCs w:val="90"/>
                    </w:rPr>
                    <w:t xml:space="preserve"> </w:t>
                  </w:r>
                  <w:r w:rsidRPr="006069EF">
                    <w:rPr>
                      <w:rFonts w:ascii="黑体" w:eastAsia="黑体" w:hAnsi="黑体" w:cs="黑体" w:hint="eastAsia"/>
                      <w:color w:val="000000"/>
                      <w:sz w:val="90"/>
                      <w:szCs w:val="90"/>
                    </w:rPr>
                    <w:t>相关名词解释</w:t>
                  </w:r>
                </w:p>
              </w:txbxContent>
            </v:textbox>
          </v:shape>
        </w:pict>
      </w:r>
    </w:p>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Pr>
        <w:tabs>
          <w:tab w:val="left" w:pos="886"/>
        </w:tabs>
        <w:jc w:val="left"/>
        <w:sectPr w:rsidR="00247E5C">
          <w:headerReference w:type="first" r:id="rId20"/>
          <w:pgSz w:w="11906" w:h="16838"/>
          <w:pgMar w:top="2041" w:right="1531" w:bottom="2041" w:left="1531" w:header="851" w:footer="992" w:gutter="0"/>
          <w:pgNumType w:fmt="numberInDash"/>
          <w:cols w:space="0"/>
          <w:titlePg/>
          <w:docGrid w:type="lines" w:linePitch="312"/>
        </w:sectPr>
      </w:pPr>
    </w:p>
    <w:p w:rsidR="00247E5C" w:rsidRDefault="00247E5C">
      <w:pPr>
        <w:rPr>
          <w:rFonts w:ascii="仿宋_GB2312" w:eastAsia="仿宋_GB2312" w:hAnsi="宋体" w:cs="ArialUnicodeMS"/>
          <w:sz w:val="32"/>
          <w:szCs w:val="32"/>
          <w:highlight w:val="yellow"/>
        </w:rPr>
      </w:pPr>
      <w:r>
        <w:rPr>
          <w:rFonts w:ascii="仿宋_GB2312" w:eastAsia="仿宋_GB2312" w:hAnsi="宋体" w:cs="ArialUnicodeMS"/>
          <w:sz w:val="32"/>
          <w:szCs w:val="32"/>
          <w:highlight w:val="yellow"/>
        </w:rPr>
        <w:lastRenderedPageBreak/>
        <w:br w:type="page"/>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247E5C" w:rsidRDefault="00247E5C" w:rsidP="00140901">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247E5C" w:rsidRDefault="00247E5C" w:rsidP="00140901">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247E5C" w:rsidRDefault="00247E5C" w:rsidP="00140901">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247E5C" w:rsidRDefault="00247E5C">
      <w:pPr>
        <w:tabs>
          <w:tab w:val="left" w:pos="235"/>
        </w:tabs>
        <w:jc w:val="left"/>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 w:rsidR="00247E5C" w:rsidRDefault="00247E5C">
      <w:pPr>
        <w:jc w:val="left"/>
        <w:sectPr w:rsidR="00247E5C">
          <w:headerReference w:type="default" r:id="rId21"/>
          <w:type w:val="continuous"/>
          <w:pgSz w:w="11906" w:h="16838"/>
          <w:pgMar w:top="2098" w:right="1474" w:bottom="1985" w:left="1588" w:header="851" w:footer="992" w:gutter="0"/>
          <w:pgNumType w:fmt="numberInDash"/>
          <w:cols w:space="425"/>
          <w:docGrid w:type="lines" w:linePitch="312"/>
        </w:sectPr>
      </w:pPr>
    </w:p>
    <w:p w:rsidR="00DA1B34" w:rsidRDefault="00DA1B34">
      <w:pPr>
        <w:tabs>
          <w:tab w:val="left" w:pos="235"/>
        </w:tabs>
        <w:jc w:val="left"/>
      </w:pPr>
    </w:p>
    <w:p w:rsidR="00247E5C" w:rsidRDefault="003F5A30">
      <w:pPr>
        <w:tabs>
          <w:tab w:val="left" w:pos="235"/>
        </w:tabs>
        <w:jc w:val="left"/>
        <w:sectPr w:rsidR="00247E5C">
          <w:pgSz w:w="11906" w:h="16838"/>
          <w:pgMar w:top="2098" w:right="1474" w:bottom="1985" w:left="1588" w:header="851" w:footer="992" w:gutter="0"/>
          <w:pgNumType w:fmt="numberInDash"/>
          <w:cols w:space="425"/>
          <w:docGrid w:type="lines" w:linePitch="312"/>
        </w:sectPr>
      </w:pPr>
      <w:r>
        <w:rPr>
          <w:noProof/>
        </w:rPr>
        <w:pict>
          <v:shape id="_x0000_s1089" type="#_x0000_t202" style="position:absolute;margin-left:-82.05pt;margin-top:135.85pt;width:613.65pt;height:263.1pt;z-index:-251665408;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type="pattern"/>
            <v:stroke joinstyle="round"/>
            <v:textbox style="mso-next-textbox:#_x0000_s1089">
              <w:txbxContent>
                <w:p w:rsidR="00E74912" w:rsidRPr="006069EF" w:rsidRDefault="00E74912">
                  <w:pPr>
                    <w:widowControl/>
                    <w:jc w:val="center"/>
                    <w:rPr>
                      <w:rFonts w:ascii="黑体" w:eastAsia="黑体" w:hAnsi="黑体" w:cs="黑体"/>
                      <w:color w:val="000000"/>
                      <w:sz w:val="90"/>
                      <w:szCs w:val="90"/>
                    </w:rPr>
                  </w:pPr>
                  <w:r w:rsidRPr="006069EF">
                    <w:rPr>
                      <w:rFonts w:ascii="黑体" w:eastAsia="黑体" w:hAnsi="黑体" w:cs="黑体" w:hint="eastAsia"/>
                      <w:color w:val="000000"/>
                      <w:sz w:val="90"/>
                      <w:szCs w:val="90"/>
                    </w:rPr>
                    <w:t>第四部分</w:t>
                  </w:r>
                  <w:r w:rsidRPr="006069EF">
                    <w:rPr>
                      <w:rFonts w:ascii="黑体" w:eastAsia="黑体" w:hAnsi="黑体" w:cs="黑体"/>
                      <w:color w:val="000000"/>
                      <w:sz w:val="90"/>
                      <w:szCs w:val="90"/>
                    </w:rPr>
                    <w:t xml:space="preserve"> </w:t>
                  </w:r>
                </w:p>
                <w:p w:rsidR="00E74912" w:rsidRDefault="00E74912">
                  <w:pPr>
                    <w:widowControl/>
                    <w:jc w:val="center"/>
                  </w:pPr>
                  <w:r w:rsidRPr="006069EF">
                    <w:rPr>
                      <w:rFonts w:ascii="黑体" w:eastAsia="黑体" w:hAnsi="黑体" w:cs="黑体"/>
                      <w:color w:val="000000"/>
                      <w:sz w:val="90"/>
                      <w:szCs w:val="90"/>
                    </w:rPr>
                    <w:t>2019</w:t>
                  </w:r>
                  <w:r w:rsidRPr="006069EF">
                    <w:rPr>
                      <w:rFonts w:ascii="黑体" w:eastAsia="黑体" w:hAnsi="黑体" w:cs="黑体" w:hint="eastAsia"/>
                      <w:color w:val="000000"/>
                      <w:sz w:val="90"/>
                      <w:szCs w:val="90"/>
                    </w:rPr>
                    <w:t>年度部门决算报表</w:t>
                  </w:r>
                </w:p>
              </w:txbxContent>
            </v:textbox>
          </v:shape>
        </w:pict>
      </w:r>
    </w:p>
    <w:p w:rsidR="00247E5C" w:rsidRPr="00DA1B34" w:rsidRDefault="00247E5C">
      <w:pPr>
        <w:tabs>
          <w:tab w:val="left" w:pos="886"/>
        </w:tabs>
        <w:jc w:val="left"/>
      </w:pPr>
    </w:p>
    <w:p w:rsidR="00247E5C" w:rsidRDefault="00247E5C">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0A0"/>
      </w:tblPr>
      <w:tblGrid>
        <w:gridCol w:w="3236"/>
        <w:gridCol w:w="731"/>
        <w:gridCol w:w="691"/>
        <w:gridCol w:w="3474"/>
        <w:gridCol w:w="541"/>
        <w:gridCol w:w="844"/>
      </w:tblGrid>
      <w:tr w:rsidR="00247E5C" w:rsidRPr="006069EF">
        <w:trPr>
          <w:trHeight w:val="489"/>
          <w:jc w:val="center"/>
        </w:trPr>
        <w:tc>
          <w:tcPr>
            <w:tcW w:w="9517" w:type="dxa"/>
            <w:gridSpan w:val="6"/>
            <w:tcBorders>
              <w:top w:val="nil"/>
              <w:left w:val="nil"/>
              <w:bottom w:val="nil"/>
              <w:right w:val="nil"/>
            </w:tcBorders>
            <w:noWrap/>
            <w:tcMar>
              <w:top w:w="15" w:type="dxa"/>
              <w:left w:w="15" w:type="dxa"/>
              <w:right w:w="15" w:type="dxa"/>
            </w:tcMar>
            <w:vAlign w:val="bottom"/>
          </w:tcPr>
          <w:p w:rsidR="00247E5C" w:rsidRDefault="00247E5C">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247E5C" w:rsidRPr="006069EF">
        <w:trPr>
          <w:trHeight w:val="205"/>
          <w:jc w:val="center"/>
        </w:trPr>
        <w:tc>
          <w:tcPr>
            <w:tcW w:w="3236" w:type="dxa"/>
            <w:tcBorders>
              <w:top w:val="nil"/>
              <w:left w:val="nil"/>
              <w:bottom w:val="nil"/>
              <w:right w:val="nil"/>
            </w:tcBorders>
            <w:noWrap/>
            <w:tcMar>
              <w:top w:w="15" w:type="dxa"/>
              <w:left w:w="15" w:type="dxa"/>
              <w:right w:w="15" w:type="dxa"/>
            </w:tcMar>
            <w:vAlign w:val="bottom"/>
          </w:tcPr>
          <w:p w:rsidR="00247E5C" w:rsidRPr="006069EF" w:rsidRDefault="00247E5C">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247E5C" w:rsidRPr="006069EF" w:rsidRDefault="00247E5C">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247E5C" w:rsidRPr="006069EF" w:rsidRDefault="00247E5C">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247E5C" w:rsidRDefault="00247E5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w:t>
            </w:r>
            <w:r>
              <w:rPr>
                <w:rFonts w:ascii="宋体" w:eastAsia="宋体" w:hAnsi="宋体" w:cs="宋体"/>
                <w:color w:val="000000"/>
                <w:kern w:val="0"/>
                <w:sz w:val="20"/>
                <w:szCs w:val="20"/>
              </w:rPr>
              <w:t>01</w:t>
            </w:r>
            <w:r>
              <w:rPr>
                <w:rFonts w:ascii="宋体" w:eastAsia="宋体" w:hAnsi="宋体" w:cs="宋体" w:hint="eastAsia"/>
                <w:color w:val="000000"/>
                <w:kern w:val="0"/>
                <w:sz w:val="20"/>
                <w:szCs w:val="20"/>
              </w:rPr>
              <w:t>表</w:t>
            </w:r>
          </w:p>
        </w:tc>
      </w:tr>
      <w:tr w:rsidR="00247E5C" w:rsidRPr="006069EF">
        <w:trPr>
          <w:trHeight w:val="421"/>
          <w:jc w:val="center"/>
        </w:trPr>
        <w:tc>
          <w:tcPr>
            <w:tcW w:w="3236" w:type="dxa"/>
            <w:tcBorders>
              <w:top w:val="nil"/>
              <w:left w:val="nil"/>
              <w:bottom w:val="nil"/>
              <w:right w:val="nil"/>
            </w:tcBorders>
            <w:noWrap/>
            <w:tcMar>
              <w:top w:w="15" w:type="dxa"/>
              <w:left w:w="15" w:type="dxa"/>
              <w:right w:w="15" w:type="dxa"/>
            </w:tcMar>
            <w:vAlign w:val="bottom"/>
          </w:tcPr>
          <w:p w:rsidR="00247E5C" w:rsidRDefault="00247E5C">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31" w:type="dxa"/>
            <w:tcBorders>
              <w:top w:val="nil"/>
              <w:left w:val="nil"/>
              <w:bottom w:val="nil"/>
              <w:right w:val="nil"/>
            </w:tcBorders>
            <w:noWrap/>
            <w:tcMar>
              <w:top w:w="15" w:type="dxa"/>
              <w:left w:w="15" w:type="dxa"/>
              <w:right w:w="15" w:type="dxa"/>
            </w:tcMar>
            <w:vAlign w:val="bottom"/>
          </w:tcPr>
          <w:p w:rsidR="00247E5C" w:rsidRPr="006069EF" w:rsidRDefault="00247E5C">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247E5C" w:rsidRPr="006069EF" w:rsidRDefault="00247E5C">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247E5C" w:rsidRDefault="00247E5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247E5C" w:rsidRPr="006069EF">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247E5C" w:rsidRPr="006069EF">
        <w:trPr>
          <w:trHeight w:val="770"/>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790.25</w:t>
            </w:r>
            <w:r w:rsidR="00247E5C">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617</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182"/>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28.96</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53.70</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150</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40.58</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790.25</w:t>
            </w:r>
            <w:r w:rsidR="00247E5C">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790.25</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247E5C" w:rsidRPr="006069EF">
        <w:trPr>
          <w:trHeight w:val="213"/>
          <w:jc w:val="center"/>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790.25</w:t>
            </w:r>
            <w:r w:rsidR="00247E5C">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247E5C">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247E5C" w:rsidRDefault="00DA1B3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790.25</w:t>
            </w:r>
            <w:r w:rsidR="00247E5C">
              <w:rPr>
                <w:rFonts w:ascii="宋体" w:eastAsia="宋体" w:hAnsi="宋体" w:cs="宋体" w:hint="eastAsia"/>
                <w:color w:val="000000"/>
                <w:kern w:val="0"/>
                <w:sz w:val="22"/>
              </w:rPr>
              <w:t xml:space="preserve">　</w:t>
            </w:r>
          </w:p>
        </w:tc>
      </w:tr>
      <w:tr w:rsidR="00247E5C" w:rsidRPr="006069EF">
        <w:trPr>
          <w:trHeight w:val="213"/>
          <w:jc w:val="center"/>
        </w:trPr>
        <w:tc>
          <w:tcPr>
            <w:tcW w:w="9517" w:type="dxa"/>
            <w:gridSpan w:val="6"/>
            <w:tcBorders>
              <w:top w:val="nil"/>
              <w:left w:val="nil"/>
              <w:bottom w:val="nil"/>
              <w:right w:val="nil"/>
            </w:tcBorders>
            <w:noWrap/>
            <w:tcMar>
              <w:top w:w="15" w:type="dxa"/>
              <w:left w:w="15" w:type="dxa"/>
              <w:right w:w="15" w:type="dxa"/>
            </w:tcMar>
            <w:vAlign w:val="center"/>
          </w:tcPr>
          <w:p w:rsidR="00247E5C" w:rsidRDefault="00247E5C">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247E5C" w:rsidRDefault="00247E5C">
            <w:pPr>
              <w:widowControl/>
              <w:jc w:val="left"/>
              <w:textAlignment w:val="center"/>
              <w:rPr>
                <w:rFonts w:ascii="宋体" w:eastAsia="宋体" w:hAnsi="宋体" w:cs="宋体"/>
                <w:color w:val="000000"/>
                <w:kern w:val="0"/>
                <w:sz w:val="22"/>
              </w:rPr>
            </w:pPr>
          </w:p>
          <w:p w:rsidR="00247E5C" w:rsidRDefault="00247E5C">
            <w:pPr>
              <w:widowControl/>
              <w:jc w:val="left"/>
              <w:textAlignment w:val="center"/>
              <w:rPr>
                <w:rFonts w:ascii="宋体" w:eastAsia="宋体" w:hAnsi="宋体" w:cs="宋体"/>
                <w:color w:val="000000"/>
                <w:kern w:val="0"/>
                <w:sz w:val="22"/>
              </w:rPr>
            </w:pPr>
          </w:p>
        </w:tc>
      </w:tr>
    </w:tbl>
    <w:tbl>
      <w:tblPr>
        <w:tblW w:w="5000" w:type="pct"/>
        <w:tblLook w:val="04A0"/>
      </w:tblPr>
      <w:tblGrid>
        <w:gridCol w:w="216"/>
        <w:gridCol w:w="216"/>
        <w:gridCol w:w="216"/>
        <w:gridCol w:w="216"/>
        <w:gridCol w:w="216"/>
        <w:gridCol w:w="216"/>
        <w:gridCol w:w="844"/>
        <w:gridCol w:w="976"/>
        <w:gridCol w:w="790"/>
        <w:gridCol w:w="457"/>
        <w:gridCol w:w="456"/>
        <w:gridCol w:w="492"/>
        <w:gridCol w:w="493"/>
        <w:gridCol w:w="407"/>
        <w:gridCol w:w="251"/>
        <w:gridCol w:w="342"/>
        <w:gridCol w:w="488"/>
        <w:gridCol w:w="216"/>
        <w:gridCol w:w="640"/>
        <w:gridCol w:w="407"/>
        <w:gridCol w:w="733"/>
      </w:tblGrid>
      <w:tr w:rsidR="0078275D" w:rsidRPr="0078275D" w:rsidTr="0078275D">
        <w:trPr>
          <w:gridAfter w:val="2"/>
          <w:wAfter w:w="594" w:type="pct"/>
          <w:trHeight w:val="390"/>
        </w:trPr>
        <w:tc>
          <w:tcPr>
            <w:tcW w:w="213"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0"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07"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100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90"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78"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515"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center"/>
              <w:rPr>
                <w:rFonts w:ascii="宋体" w:eastAsia="宋体" w:hAnsi="宋体" w:cs="Arial"/>
                <w:color w:val="000000"/>
                <w:kern w:val="0"/>
                <w:sz w:val="30"/>
                <w:szCs w:val="30"/>
              </w:rPr>
            </w:pPr>
            <w:r w:rsidRPr="0078275D">
              <w:rPr>
                <w:rFonts w:ascii="宋体" w:eastAsia="宋体" w:hAnsi="宋体" w:cs="Arial" w:hint="eastAsia"/>
                <w:color w:val="000000"/>
                <w:kern w:val="0"/>
                <w:sz w:val="30"/>
                <w:szCs w:val="30"/>
              </w:rPr>
              <w:t>收入决算表</w:t>
            </w:r>
          </w:p>
        </w:tc>
        <w:tc>
          <w:tcPr>
            <w:tcW w:w="214"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2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99"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49"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r>
      <w:tr w:rsidR="0078275D" w:rsidRPr="0078275D" w:rsidTr="0078275D">
        <w:trPr>
          <w:gridAfter w:val="2"/>
          <w:wAfter w:w="594" w:type="pct"/>
          <w:trHeight w:val="255"/>
        </w:trPr>
        <w:tc>
          <w:tcPr>
            <w:tcW w:w="213"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0"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07"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100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90"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78"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515"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4"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2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99"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49"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公开02表</w:t>
            </w:r>
          </w:p>
        </w:tc>
      </w:tr>
      <w:tr w:rsidR="0078275D" w:rsidRPr="0078275D" w:rsidTr="0078275D">
        <w:trPr>
          <w:gridAfter w:val="2"/>
          <w:wAfter w:w="594" w:type="pct"/>
          <w:trHeight w:val="255"/>
        </w:trPr>
        <w:tc>
          <w:tcPr>
            <w:tcW w:w="2126" w:type="pct"/>
            <w:gridSpan w:val="9"/>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部门：遵化市商务和投资促进局</w:t>
            </w:r>
          </w:p>
        </w:tc>
        <w:tc>
          <w:tcPr>
            <w:tcW w:w="478"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515"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4"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2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99"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49"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金额单位：元</w:t>
            </w:r>
          </w:p>
        </w:tc>
      </w:tr>
      <w:tr w:rsidR="0078275D" w:rsidRPr="0078275D" w:rsidTr="0078275D">
        <w:trPr>
          <w:gridAfter w:val="2"/>
          <w:wAfter w:w="594" w:type="pct"/>
          <w:trHeight w:val="308"/>
        </w:trPr>
        <w:tc>
          <w:tcPr>
            <w:tcW w:w="1636" w:type="pct"/>
            <w:gridSpan w:val="8"/>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w:t>
            </w:r>
          </w:p>
        </w:tc>
        <w:tc>
          <w:tcPr>
            <w:tcW w:w="490"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本年收入合计</w:t>
            </w:r>
          </w:p>
        </w:tc>
        <w:tc>
          <w:tcPr>
            <w:tcW w:w="478"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财政拨款收入</w:t>
            </w:r>
          </w:p>
        </w:tc>
        <w:tc>
          <w:tcPr>
            <w:tcW w:w="515"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上级补助收入</w:t>
            </w:r>
          </w:p>
        </w:tc>
        <w:tc>
          <w:tcPr>
            <w:tcW w:w="214"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事业收入</w:t>
            </w:r>
          </w:p>
        </w:tc>
        <w:tc>
          <w:tcPr>
            <w:tcW w:w="326"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经营收入</w:t>
            </w:r>
          </w:p>
        </w:tc>
        <w:tc>
          <w:tcPr>
            <w:tcW w:w="299"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附属单位上缴收入</w:t>
            </w:r>
          </w:p>
        </w:tc>
        <w:tc>
          <w:tcPr>
            <w:tcW w:w="449"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其他收入</w:t>
            </w:r>
          </w:p>
        </w:tc>
      </w:tr>
      <w:tr w:rsidR="0078275D" w:rsidRPr="0078275D" w:rsidTr="0078275D">
        <w:trPr>
          <w:gridAfter w:val="2"/>
          <w:wAfter w:w="594" w:type="pct"/>
          <w:trHeight w:val="312"/>
        </w:trPr>
        <w:tc>
          <w:tcPr>
            <w:tcW w:w="630" w:type="pct"/>
            <w:gridSpan w:val="6"/>
            <w:vMerge w:val="restar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功能分类科目编码</w:t>
            </w:r>
          </w:p>
        </w:tc>
        <w:tc>
          <w:tcPr>
            <w:tcW w:w="1006" w:type="pct"/>
            <w:gridSpan w:val="2"/>
            <w:vMerge w:val="restart"/>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科目名称</w:t>
            </w:r>
          </w:p>
        </w:tc>
        <w:tc>
          <w:tcPr>
            <w:tcW w:w="49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78"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515"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14"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26"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99"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49"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gridAfter w:val="2"/>
          <w:wAfter w:w="594" w:type="pct"/>
          <w:trHeight w:val="312"/>
        </w:trPr>
        <w:tc>
          <w:tcPr>
            <w:tcW w:w="630" w:type="pct"/>
            <w:gridSpan w:val="6"/>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1006" w:type="pct"/>
            <w:gridSpan w:val="2"/>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9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78"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515"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14"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26"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99"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49"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gridAfter w:val="2"/>
          <w:wAfter w:w="594" w:type="pct"/>
          <w:trHeight w:val="312"/>
        </w:trPr>
        <w:tc>
          <w:tcPr>
            <w:tcW w:w="630" w:type="pct"/>
            <w:gridSpan w:val="6"/>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1006" w:type="pct"/>
            <w:gridSpan w:val="2"/>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9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78"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515"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14"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26"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99"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49"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gridAfter w:val="2"/>
          <w:wAfter w:w="594" w:type="pct"/>
          <w:trHeight w:val="308"/>
        </w:trPr>
        <w:tc>
          <w:tcPr>
            <w:tcW w:w="1636" w:type="pct"/>
            <w:gridSpan w:val="8"/>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栏次</w:t>
            </w:r>
          </w:p>
        </w:tc>
        <w:tc>
          <w:tcPr>
            <w:tcW w:w="490"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p>
        </w:tc>
        <w:tc>
          <w:tcPr>
            <w:tcW w:w="478" w:type="pct"/>
            <w:gridSpan w:val="2"/>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w:t>
            </w:r>
          </w:p>
        </w:tc>
        <w:tc>
          <w:tcPr>
            <w:tcW w:w="515" w:type="pct"/>
            <w:gridSpan w:val="2"/>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w:t>
            </w:r>
          </w:p>
        </w:tc>
        <w:tc>
          <w:tcPr>
            <w:tcW w:w="214"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w:t>
            </w:r>
          </w:p>
        </w:tc>
        <w:tc>
          <w:tcPr>
            <w:tcW w:w="326" w:type="pct"/>
            <w:gridSpan w:val="2"/>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w:t>
            </w:r>
          </w:p>
        </w:tc>
        <w:tc>
          <w:tcPr>
            <w:tcW w:w="299"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6</w:t>
            </w:r>
          </w:p>
        </w:tc>
        <w:tc>
          <w:tcPr>
            <w:tcW w:w="449" w:type="pct"/>
            <w:gridSpan w:val="2"/>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7</w:t>
            </w:r>
          </w:p>
        </w:tc>
      </w:tr>
      <w:tr w:rsidR="0078275D" w:rsidRPr="0078275D" w:rsidTr="0078275D">
        <w:trPr>
          <w:gridAfter w:val="2"/>
          <w:wAfter w:w="594" w:type="pct"/>
          <w:trHeight w:val="308"/>
        </w:trPr>
        <w:tc>
          <w:tcPr>
            <w:tcW w:w="1636" w:type="pct"/>
            <w:gridSpan w:val="8"/>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合计</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7,902,521.94</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7,902,521.94</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一般公共服务支出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商贸事务</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2011301</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行政运行</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2011302</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一般行政管理事务</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411,244.00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411,244.00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2011308</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招商引资</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571,863.00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571,863.00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社会保障和就业</w:t>
            </w:r>
            <w:r w:rsidRPr="0078275D">
              <w:rPr>
                <w:rFonts w:ascii="宋体" w:eastAsia="宋体" w:hAnsi="宋体" w:cs="Arial" w:hint="eastAsia"/>
                <w:color w:val="000000"/>
                <w:kern w:val="0"/>
                <w:sz w:val="22"/>
              </w:rPr>
              <w:lastRenderedPageBreak/>
              <w:t>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289,5</w:t>
            </w:r>
            <w:r w:rsidRPr="0078275D">
              <w:rPr>
                <w:rFonts w:ascii="宋体" w:eastAsia="宋体" w:hAnsi="宋体" w:cs="Arial" w:hint="eastAsia"/>
                <w:color w:val="000000"/>
                <w:kern w:val="0"/>
                <w:sz w:val="22"/>
              </w:rPr>
              <w:lastRenderedPageBreak/>
              <w:t>81.40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289,58</w:t>
            </w:r>
            <w:r w:rsidRPr="0078275D">
              <w:rPr>
                <w:rFonts w:ascii="宋体" w:eastAsia="宋体" w:hAnsi="宋体" w:cs="Arial" w:hint="eastAsia"/>
                <w:color w:val="000000"/>
                <w:kern w:val="0"/>
                <w:sz w:val="22"/>
              </w:rPr>
              <w:lastRenderedPageBreak/>
              <w:t>1.40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w:t>
            </w:r>
            <w:r w:rsidRPr="0078275D">
              <w:rPr>
                <w:rFonts w:ascii="宋体" w:eastAsia="宋体" w:hAnsi="宋体" w:cs="Arial" w:hint="eastAsia"/>
                <w:color w:val="000000"/>
                <w:kern w:val="0"/>
                <w:sz w:val="22"/>
              </w:rPr>
              <w:lastRenderedPageBreak/>
              <w:t>.00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w:t>
            </w:r>
            <w:r w:rsidRPr="0078275D">
              <w:rPr>
                <w:rFonts w:ascii="宋体" w:eastAsia="宋体" w:hAnsi="宋体" w:cs="Arial" w:hint="eastAsia"/>
                <w:color w:val="000000"/>
                <w:kern w:val="0"/>
                <w:sz w:val="22"/>
              </w:rPr>
              <w:lastRenderedPageBreak/>
              <w:t>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w:t>
            </w:r>
            <w:r w:rsidRPr="0078275D">
              <w:rPr>
                <w:rFonts w:ascii="宋体" w:eastAsia="宋体" w:hAnsi="宋体" w:cs="Arial" w:hint="eastAsia"/>
                <w:color w:val="000000"/>
                <w:kern w:val="0"/>
                <w:sz w:val="22"/>
              </w:rPr>
              <w:lastRenderedPageBreak/>
              <w:t>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20805</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行政事业单位离退休</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2080505</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机关事业单位基本养老保险缴费支出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卫生健康支出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21011</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行政事业单位医疗</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2101101</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行政单位医疗</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商业服务业等支出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21602</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商业流通事务</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2160299</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其他商业流通事务支出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住房保障支出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22102</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住房改革支出</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After w:val="2"/>
          <w:wAfter w:w="594" w:type="pct"/>
          <w:trHeight w:val="308"/>
        </w:trPr>
        <w:tc>
          <w:tcPr>
            <w:tcW w:w="630"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2210201</w:t>
            </w:r>
          </w:p>
        </w:tc>
        <w:tc>
          <w:tcPr>
            <w:tcW w:w="100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住房公积金</w:t>
            </w:r>
          </w:p>
        </w:tc>
        <w:tc>
          <w:tcPr>
            <w:tcW w:w="49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w:t>
            </w:r>
            <w:r w:rsidRPr="0078275D">
              <w:rPr>
                <w:rFonts w:ascii="宋体" w:eastAsia="宋体" w:hAnsi="宋体" w:cs="Arial" w:hint="eastAsia"/>
                <w:color w:val="000000"/>
                <w:kern w:val="0"/>
                <w:sz w:val="22"/>
              </w:rPr>
              <w:lastRenderedPageBreak/>
              <w:t>55.00</w:t>
            </w:r>
          </w:p>
        </w:tc>
        <w:tc>
          <w:tcPr>
            <w:tcW w:w="478"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405,85</w:t>
            </w:r>
            <w:r w:rsidRPr="0078275D">
              <w:rPr>
                <w:rFonts w:ascii="宋体" w:eastAsia="宋体" w:hAnsi="宋体" w:cs="Arial" w:hint="eastAsia"/>
                <w:color w:val="000000"/>
                <w:kern w:val="0"/>
                <w:sz w:val="22"/>
              </w:rPr>
              <w:lastRenderedPageBreak/>
              <w:t>5.00</w:t>
            </w:r>
          </w:p>
        </w:tc>
        <w:tc>
          <w:tcPr>
            <w:tcW w:w="515"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w:t>
            </w:r>
            <w:r w:rsidRPr="0078275D">
              <w:rPr>
                <w:rFonts w:ascii="宋体" w:eastAsia="宋体" w:hAnsi="宋体" w:cs="Arial" w:hint="eastAsia"/>
                <w:color w:val="000000"/>
                <w:kern w:val="0"/>
                <w:sz w:val="22"/>
              </w:rPr>
              <w:lastRenderedPageBreak/>
              <w:t>.00</w:t>
            </w:r>
          </w:p>
        </w:tc>
        <w:tc>
          <w:tcPr>
            <w:tcW w:w="32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w:t>
            </w:r>
            <w:r w:rsidRPr="0078275D">
              <w:rPr>
                <w:rFonts w:ascii="宋体" w:eastAsia="宋体" w:hAnsi="宋体" w:cs="Arial" w:hint="eastAsia"/>
                <w:color w:val="000000"/>
                <w:kern w:val="0"/>
                <w:sz w:val="22"/>
              </w:rPr>
              <w:lastRenderedPageBreak/>
              <w:t>0</w:t>
            </w:r>
          </w:p>
        </w:tc>
        <w:tc>
          <w:tcPr>
            <w:tcW w:w="299"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w:t>
            </w:r>
            <w:r w:rsidRPr="0078275D">
              <w:rPr>
                <w:rFonts w:ascii="宋体" w:eastAsia="宋体" w:hAnsi="宋体" w:cs="Arial" w:hint="eastAsia"/>
                <w:color w:val="000000"/>
                <w:kern w:val="0"/>
                <w:sz w:val="22"/>
              </w:rPr>
              <w:lastRenderedPageBreak/>
              <w:t>00</w:t>
            </w:r>
          </w:p>
        </w:tc>
        <w:tc>
          <w:tcPr>
            <w:tcW w:w="449"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0.00</w:t>
            </w:r>
          </w:p>
        </w:tc>
      </w:tr>
      <w:tr w:rsidR="0078275D" w:rsidRPr="0078275D" w:rsidTr="0078275D">
        <w:trPr>
          <w:gridAfter w:val="2"/>
          <w:wAfter w:w="594" w:type="pct"/>
          <w:trHeight w:val="308"/>
        </w:trPr>
        <w:tc>
          <w:tcPr>
            <w:tcW w:w="4406" w:type="pct"/>
            <w:gridSpan w:val="19"/>
            <w:tcBorders>
              <w:top w:val="nil"/>
              <w:left w:val="nil"/>
              <w:bottom w:val="nil"/>
              <w:right w:val="nil"/>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注：本表反映部门本年度取得的各项收入情况。</w:t>
            </w:r>
          </w:p>
        </w:tc>
      </w:tr>
      <w:tr w:rsidR="0078275D" w:rsidRPr="0078275D" w:rsidTr="0078275D">
        <w:trPr>
          <w:gridBefore w:val="1"/>
          <w:wBefore w:w="107" w:type="pct"/>
          <w:trHeight w:val="390"/>
        </w:trPr>
        <w:tc>
          <w:tcPr>
            <w:tcW w:w="212"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08"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60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1232"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9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619"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center"/>
              <w:rPr>
                <w:rFonts w:ascii="宋体" w:eastAsia="宋体" w:hAnsi="宋体" w:cs="Arial"/>
                <w:color w:val="000000"/>
                <w:kern w:val="0"/>
                <w:sz w:val="30"/>
                <w:szCs w:val="30"/>
              </w:rPr>
            </w:pPr>
            <w:r w:rsidRPr="0078275D">
              <w:rPr>
                <w:rFonts w:ascii="宋体" w:eastAsia="宋体" w:hAnsi="宋体" w:cs="Arial" w:hint="eastAsia"/>
                <w:color w:val="000000"/>
                <w:kern w:val="0"/>
                <w:sz w:val="30"/>
                <w:szCs w:val="30"/>
              </w:rPr>
              <w:t>支出决算表</w:t>
            </w:r>
          </w:p>
        </w:tc>
        <w:tc>
          <w:tcPr>
            <w:tcW w:w="546"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80"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4"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80"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r>
      <w:tr w:rsidR="0078275D" w:rsidRPr="0078275D" w:rsidTr="0078275D">
        <w:trPr>
          <w:gridBefore w:val="1"/>
          <w:wBefore w:w="107" w:type="pct"/>
          <w:trHeight w:val="255"/>
        </w:trPr>
        <w:tc>
          <w:tcPr>
            <w:tcW w:w="212"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08"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60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1232"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9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619"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546"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80"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4"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80" w:type="pct"/>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公开03表</w:t>
            </w:r>
          </w:p>
        </w:tc>
      </w:tr>
      <w:tr w:rsidR="0078275D" w:rsidRPr="0078275D" w:rsidTr="0078275D">
        <w:trPr>
          <w:gridBefore w:val="1"/>
          <w:wBefore w:w="107" w:type="pct"/>
          <w:trHeight w:val="255"/>
        </w:trPr>
        <w:tc>
          <w:tcPr>
            <w:tcW w:w="2258" w:type="pct"/>
            <w:gridSpan w:val="9"/>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部门：遵化市商务和投资促进局</w:t>
            </w:r>
          </w:p>
        </w:tc>
        <w:tc>
          <w:tcPr>
            <w:tcW w:w="496"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619"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546" w:type="pct"/>
            <w:gridSpan w:val="3"/>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80"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214"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380" w:type="pct"/>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金额单位：元</w:t>
            </w:r>
          </w:p>
        </w:tc>
      </w:tr>
      <w:tr w:rsidR="0078275D" w:rsidRPr="0078275D" w:rsidTr="0078275D">
        <w:trPr>
          <w:gridBefore w:val="1"/>
          <w:wBefore w:w="107" w:type="pct"/>
          <w:trHeight w:val="308"/>
        </w:trPr>
        <w:tc>
          <w:tcPr>
            <w:tcW w:w="2258" w:type="pct"/>
            <w:gridSpan w:val="9"/>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w:t>
            </w:r>
          </w:p>
        </w:tc>
        <w:tc>
          <w:tcPr>
            <w:tcW w:w="496"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本年支出合计</w:t>
            </w:r>
          </w:p>
        </w:tc>
        <w:tc>
          <w:tcPr>
            <w:tcW w:w="619" w:type="pct"/>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基本支出</w:t>
            </w:r>
          </w:p>
        </w:tc>
        <w:tc>
          <w:tcPr>
            <w:tcW w:w="546" w:type="pct"/>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项目支出</w:t>
            </w:r>
          </w:p>
        </w:tc>
        <w:tc>
          <w:tcPr>
            <w:tcW w:w="380"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上缴上级支出</w:t>
            </w:r>
          </w:p>
        </w:tc>
        <w:tc>
          <w:tcPr>
            <w:tcW w:w="214"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经营支出</w:t>
            </w:r>
          </w:p>
        </w:tc>
        <w:tc>
          <w:tcPr>
            <w:tcW w:w="380"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对附属单位补助支出</w:t>
            </w:r>
          </w:p>
        </w:tc>
      </w:tr>
      <w:tr w:rsidR="0078275D" w:rsidRPr="0078275D" w:rsidTr="0078275D">
        <w:trPr>
          <w:gridBefore w:val="1"/>
          <w:wBefore w:w="107" w:type="pct"/>
          <w:trHeight w:val="312"/>
        </w:trPr>
        <w:tc>
          <w:tcPr>
            <w:tcW w:w="1026" w:type="pct"/>
            <w:gridSpan w:val="6"/>
            <w:vMerge w:val="restar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功能分类科目编码</w:t>
            </w:r>
          </w:p>
        </w:tc>
        <w:tc>
          <w:tcPr>
            <w:tcW w:w="1232" w:type="pct"/>
            <w:gridSpan w:val="3"/>
            <w:vMerge w:val="restart"/>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科目名称</w:t>
            </w:r>
          </w:p>
        </w:tc>
        <w:tc>
          <w:tcPr>
            <w:tcW w:w="496"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619" w:type="pct"/>
            <w:gridSpan w:val="3"/>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546" w:type="pct"/>
            <w:gridSpan w:val="3"/>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8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14"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8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gridBefore w:val="1"/>
          <w:wBefore w:w="107" w:type="pct"/>
          <w:trHeight w:val="312"/>
        </w:trPr>
        <w:tc>
          <w:tcPr>
            <w:tcW w:w="1026" w:type="pct"/>
            <w:gridSpan w:val="6"/>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1232" w:type="pct"/>
            <w:gridSpan w:val="3"/>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96"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619" w:type="pct"/>
            <w:gridSpan w:val="3"/>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546" w:type="pct"/>
            <w:gridSpan w:val="3"/>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8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14"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8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gridBefore w:val="1"/>
          <w:wBefore w:w="107" w:type="pct"/>
          <w:trHeight w:val="312"/>
        </w:trPr>
        <w:tc>
          <w:tcPr>
            <w:tcW w:w="1026" w:type="pct"/>
            <w:gridSpan w:val="6"/>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1232" w:type="pct"/>
            <w:gridSpan w:val="3"/>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96" w:type="pct"/>
            <w:gridSpan w:val="2"/>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619" w:type="pct"/>
            <w:gridSpan w:val="3"/>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546" w:type="pct"/>
            <w:gridSpan w:val="3"/>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8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214"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380" w:type="pct"/>
            <w:vMerge/>
            <w:tcBorders>
              <w:top w:val="single" w:sz="4" w:space="0" w:color="000000"/>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gridBefore w:val="1"/>
          <w:wBefore w:w="107" w:type="pct"/>
          <w:trHeight w:val="308"/>
        </w:trPr>
        <w:tc>
          <w:tcPr>
            <w:tcW w:w="2258" w:type="pct"/>
            <w:gridSpan w:val="9"/>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栏次</w:t>
            </w:r>
          </w:p>
        </w:tc>
        <w:tc>
          <w:tcPr>
            <w:tcW w:w="496" w:type="pct"/>
            <w:gridSpan w:val="2"/>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p>
        </w:tc>
        <w:tc>
          <w:tcPr>
            <w:tcW w:w="619" w:type="pct"/>
            <w:gridSpan w:val="3"/>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w:t>
            </w:r>
          </w:p>
        </w:tc>
        <w:tc>
          <w:tcPr>
            <w:tcW w:w="546" w:type="pct"/>
            <w:gridSpan w:val="3"/>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w:t>
            </w:r>
          </w:p>
        </w:tc>
        <w:tc>
          <w:tcPr>
            <w:tcW w:w="380"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w:t>
            </w:r>
          </w:p>
        </w:tc>
        <w:tc>
          <w:tcPr>
            <w:tcW w:w="214"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w:t>
            </w:r>
          </w:p>
        </w:tc>
        <w:tc>
          <w:tcPr>
            <w:tcW w:w="380"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6</w:t>
            </w:r>
          </w:p>
        </w:tc>
      </w:tr>
      <w:tr w:rsidR="0078275D" w:rsidRPr="0078275D" w:rsidTr="0078275D">
        <w:trPr>
          <w:gridBefore w:val="1"/>
          <w:wBefore w:w="107" w:type="pct"/>
          <w:trHeight w:val="308"/>
        </w:trPr>
        <w:tc>
          <w:tcPr>
            <w:tcW w:w="2258" w:type="pct"/>
            <w:gridSpan w:val="9"/>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合计</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7,902,521.94</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5,419,414.94</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2,483,107.00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一般公共服务支出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983,107.00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商贸事务</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983,107.00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2011301</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行政运行</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2011302</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一般行政管理事务</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411,244.00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411,244.00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2011308</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招商引资</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571,863.00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571,863.00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208</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社会保障和就业支出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20805</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行政事业单位离退休</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2080505</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机关事业单位基本养老保险缴费支出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卫生健康支出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21011</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行政事业单位医疗</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2101101</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行政单位医疗</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商业服务业等支出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21602</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商业流通事务</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2160299</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其他商业流通事务支出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住房保障支出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22102</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住房改革支出</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1026" w:type="pct"/>
            <w:gridSpan w:val="6"/>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2210201</w:t>
            </w:r>
          </w:p>
        </w:tc>
        <w:tc>
          <w:tcPr>
            <w:tcW w:w="1232"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住房公积金</w:t>
            </w:r>
          </w:p>
        </w:tc>
        <w:tc>
          <w:tcPr>
            <w:tcW w:w="496" w:type="pct"/>
            <w:gridSpan w:val="2"/>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619"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546" w:type="pct"/>
            <w:gridSpan w:val="3"/>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214"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380"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gridBefore w:val="1"/>
          <w:wBefore w:w="107" w:type="pct"/>
          <w:trHeight w:val="308"/>
        </w:trPr>
        <w:tc>
          <w:tcPr>
            <w:tcW w:w="4893" w:type="pct"/>
            <w:gridSpan w:val="20"/>
            <w:tcBorders>
              <w:top w:val="nil"/>
              <w:left w:val="nil"/>
              <w:bottom w:val="nil"/>
              <w:right w:val="nil"/>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注：本表反映部门本年度各项支出情况。</w:t>
            </w:r>
          </w:p>
        </w:tc>
      </w:tr>
    </w:tbl>
    <w:p w:rsidR="0078275D" w:rsidRPr="0078275D" w:rsidRDefault="0078275D"/>
    <w:tbl>
      <w:tblPr>
        <w:tblW w:w="0" w:type="auto"/>
        <w:tblInd w:w="89" w:type="dxa"/>
        <w:tblLook w:val="04A0"/>
      </w:tblPr>
      <w:tblGrid>
        <w:gridCol w:w="1988"/>
        <w:gridCol w:w="352"/>
        <w:gridCol w:w="1034"/>
        <w:gridCol w:w="2446"/>
        <w:gridCol w:w="352"/>
        <w:gridCol w:w="1034"/>
        <w:gridCol w:w="1034"/>
        <w:gridCol w:w="959"/>
      </w:tblGrid>
      <w:tr w:rsidR="0078275D" w:rsidRPr="0078275D" w:rsidTr="0078275D">
        <w:trPr>
          <w:trHeight w:val="390"/>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center"/>
              <w:rPr>
                <w:rFonts w:ascii="宋体" w:eastAsia="宋体" w:hAnsi="宋体" w:cs="Arial"/>
                <w:color w:val="000000"/>
                <w:kern w:val="0"/>
                <w:sz w:val="30"/>
                <w:szCs w:val="30"/>
              </w:rPr>
            </w:pPr>
            <w:r w:rsidRPr="0078275D">
              <w:rPr>
                <w:rFonts w:ascii="宋体" w:eastAsia="宋体" w:hAnsi="宋体" w:cs="Arial" w:hint="eastAsia"/>
                <w:color w:val="000000"/>
                <w:kern w:val="0"/>
                <w:sz w:val="30"/>
                <w:szCs w:val="30"/>
              </w:rPr>
              <w:t>财政拨款收入支出决算总表</w:t>
            </w: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r>
      <w:tr w:rsidR="0078275D" w:rsidRPr="0078275D" w:rsidTr="0078275D">
        <w:trPr>
          <w:trHeight w:val="255"/>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公开04表</w:t>
            </w:r>
          </w:p>
        </w:tc>
      </w:tr>
      <w:tr w:rsidR="0078275D" w:rsidRPr="0078275D" w:rsidTr="0078275D">
        <w:trPr>
          <w:trHeight w:val="255"/>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部门：遵化市商务和投资促进局</w:t>
            </w: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金额单位：元</w:t>
            </w:r>
          </w:p>
        </w:tc>
      </w:tr>
      <w:tr w:rsidR="0078275D" w:rsidRPr="0078275D" w:rsidTr="0078275D">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收     入</w:t>
            </w:r>
          </w:p>
        </w:tc>
        <w:tc>
          <w:tcPr>
            <w:tcW w:w="0" w:type="auto"/>
            <w:gridSpan w:val="5"/>
            <w:tcBorders>
              <w:top w:val="single" w:sz="4" w:space="0" w:color="000000"/>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支     出</w:t>
            </w:r>
          </w:p>
        </w:tc>
      </w:tr>
      <w:tr w:rsidR="0078275D" w:rsidRPr="0078275D" w:rsidTr="0078275D">
        <w:trPr>
          <w:trHeight w:val="312"/>
        </w:trPr>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行次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金额</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行次</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合计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一般公共预算财政拨款</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政府性基金预算财政拨款</w:t>
            </w:r>
          </w:p>
        </w:tc>
      </w:tr>
      <w:tr w:rsidR="0078275D" w:rsidRPr="0078275D" w:rsidTr="0078275D">
        <w:trPr>
          <w:trHeight w:val="615"/>
        </w:trPr>
        <w:tc>
          <w:tcPr>
            <w:tcW w:w="0" w:type="auto"/>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一、一般公共预算财政拨款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一、一般公共服务支出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二、外交支出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三、国防支出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四、公共安全支出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五、教育支出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六、科学技术支出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7</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七、文化旅游体育与传媒支出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八、社会保障和就业支出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9</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九、卫生健康支出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十、节能环保支出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十一、城乡社区支出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r w:rsidRPr="0078275D">
              <w:rPr>
                <w:rFonts w:ascii="宋体" w:eastAsia="宋体" w:hAnsi="宋体" w:cs="Arial" w:hint="eastAsia"/>
                <w:color w:val="000000"/>
                <w:kern w:val="0"/>
                <w:sz w:val="22"/>
              </w:rPr>
              <w:lastRenderedPageBreak/>
              <w:t>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十二、农林水支出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w:t>
            </w:r>
            <w:r w:rsidRPr="0078275D">
              <w:rPr>
                <w:rFonts w:ascii="宋体" w:eastAsia="宋体" w:hAnsi="宋体" w:cs="Arial" w:hint="eastAsia"/>
                <w:color w:val="000000"/>
                <w:kern w:val="0"/>
                <w:sz w:val="22"/>
              </w:rPr>
              <w:lastRenderedPageBreak/>
              <w:t>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十三、交通运输支出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十四、资源勘探信息等支出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十五、商业服务业等支出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十六、金融支出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十七、援助其他地区支出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十八、自然资源海洋气象等支出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十九、住房保障支出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二十、粮油物资储备支出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二十一、灾害防治及应急管理支出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二十二、其他支出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二十四、债务付息支出</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b/>
                <w:bCs/>
                <w:color w:val="000000"/>
                <w:kern w:val="0"/>
                <w:sz w:val="22"/>
              </w:rPr>
            </w:pPr>
            <w:r w:rsidRPr="0078275D">
              <w:rPr>
                <w:rFonts w:ascii="宋体" w:eastAsia="宋体" w:hAnsi="宋体" w:cs="Arial" w:hint="eastAsia"/>
                <w:b/>
                <w:bCs/>
                <w:color w:val="000000"/>
                <w:kern w:val="0"/>
                <w:sz w:val="22"/>
              </w:rPr>
              <w:t>本年收入合计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b/>
                <w:bCs/>
                <w:color w:val="000000"/>
                <w:kern w:val="0"/>
                <w:sz w:val="22"/>
              </w:rPr>
            </w:pPr>
            <w:r w:rsidRPr="0078275D">
              <w:rPr>
                <w:rFonts w:ascii="宋体" w:eastAsia="宋体" w:hAnsi="宋体" w:cs="Arial" w:hint="eastAsia"/>
                <w:b/>
                <w:bCs/>
                <w:color w:val="000000"/>
                <w:kern w:val="0"/>
                <w:sz w:val="22"/>
              </w:rPr>
              <w:t>本年支出合计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年初财政拨款结转和结余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年末财政拨款结转和结余</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一、一般公共预算财政拨款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二、政府性基金预算财政拨款</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b/>
                <w:bCs/>
                <w:color w:val="000000"/>
                <w:kern w:val="0"/>
                <w:sz w:val="22"/>
              </w:rPr>
            </w:pPr>
            <w:r w:rsidRPr="0078275D">
              <w:rPr>
                <w:rFonts w:ascii="宋体" w:eastAsia="宋体" w:hAnsi="宋体" w:cs="Arial" w:hint="eastAsia"/>
                <w:b/>
                <w:bCs/>
                <w:color w:val="000000"/>
                <w:kern w:val="0"/>
                <w:sz w:val="22"/>
              </w:rPr>
              <w:t>总计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b/>
                <w:bCs/>
                <w:color w:val="000000"/>
                <w:kern w:val="0"/>
                <w:sz w:val="22"/>
              </w:rPr>
            </w:pPr>
            <w:r w:rsidRPr="0078275D">
              <w:rPr>
                <w:rFonts w:ascii="宋体" w:eastAsia="宋体" w:hAnsi="宋体" w:cs="Arial" w:hint="eastAsia"/>
                <w:b/>
                <w:bCs/>
                <w:color w:val="000000"/>
                <w:kern w:val="0"/>
                <w:sz w:val="22"/>
              </w:rPr>
              <w:t>总计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7,902,521.94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8"/>
            <w:tcBorders>
              <w:top w:val="nil"/>
              <w:left w:val="nil"/>
              <w:bottom w:val="nil"/>
              <w:right w:val="nil"/>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注：本表反映部门本年度一般公共预算财政拨款和政府性基金预算财政拨款的总收支和年末结转结余情况。</w:t>
            </w:r>
          </w:p>
        </w:tc>
      </w:tr>
    </w:tbl>
    <w:p w:rsidR="0078275D" w:rsidRPr="0078275D" w:rsidRDefault="0078275D"/>
    <w:p w:rsidR="0078275D" w:rsidRDefault="0078275D"/>
    <w:p w:rsidR="0078275D" w:rsidRDefault="0078275D"/>
    <w:p w:rsidR="0078275D" w:rsidRDefault="0078275D"/>
    <w:p w:rsidR="0078275D" w:rsidRDefault="0078275D"/>
    <w:p w:rsidR="0078275D" w:rsidRDefault="0078275D"/>
    <w:tbl>
      <w:tblPr>
        <w:tblW w:w="0" w:type="auto"/>
        <w:tblInd w:w="89" w:type="dxa"/>
        <w:tblLook w:val="04A0"/>
      </w:tblPr>
      <w:tblGrid>
        <w:gridCol w:w="315"/>
        <w:gridCol w:w="290"/>
        <w:gridCol w:w="274"/>
        <w:gridCol w:w="2774"/>
        <w:gridCol w:w="3294"/>
        <w:gridCol w:w="1126"/>
        <w:gridCol w:w="1126"/>
      </w:tblGrid>
      <w:tr w:rsidR="0078275D" w:rsidRPr="0078275D" w:rsidTr="0078275D">
        <w:trPr>
          <w:trHeight w:val="390"/>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center"/>
              <w:rPr>
                <w:rFonts w:ascii="宋体" w:eastAsia="宋体" w:hAnsi="宋体" w:cs="Arial"/>
                <w:color w:val="000000"/>
                <w:kern w:val="0"/>
                <w:sz w:val="30"/>
                <w:szCs w:val="30"/>
              </w:rPr>
            </w:pPr>
            <w:r w:rsidRPr="0078275D">
              <w:rPr>
                <w:rFonts w:ascii="宋体" w:eastAsia="宋体" w:hAnsi="宋体" w:cs="Arial" w:hint="eastAsia"/>
                <w:color w:val="000000"/>
                <w:kern w:val="0"/>
                <w:sz w:val="30"/>
                <w:szCs w:val="30"/>
              </w:rPr>
              <w:t>一般公共预算财政拨款支出决算表</w:t>
            </w: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r>
      <w:tr w:rsidR="0078275D" w:rsidRPr="0078275D" w:rsidTr="0078275D">
        <w:trPr>
          <w:trHeight w:val="255"/>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公开05表</w:t>
            </w:r>
          </w:p>
        </w:tc>
      </w:tr>
      <w:tr w:rsidR="0078275D" w:rsidRPr="0078275D" w:rsidTr="0078275D">
        <w:trPr>
          <w:trHeight w:val="255"/>
        </w:trPr>
        <w:tc>
          <w:tcPr>
            <w:tcW w:w="0" w:type="auto"/>
            <w:gridSpan w:val="4"/>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部门：遵化市商务和投资促进局</w:t>
            </w: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金额单位：元</w:t>
            </w:r>
          </w:p>
        </w:tc>
      </w:tr>
      <w:tr w:rsidR="0078275D" w:rsidRPr="0078275D" w:rsidTr="0078275D">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w:t>
            </w:r>
          </w:p>
        </w:tc>
        <w:tc>
          <w:tcPr>
            <w:tcW w:w="0" w:type="auto"/>
            <w:gridSpan w:val="3"/>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本年支出</w:t>
            </w:r>
          </w:p>
        </w:tc>
      </w:tr>
      <w:tr w:rsidR="0078275D" w:rsidRPr="0078275D" w:rsidTr="0078275D">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小计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项目支出</w:t>
            </w:r>
          </w:p>
        </w:tc>
      </w:tr>
      <w:tr w:rsidR="0078275D" w:rsidRPr="0078275D" w:rsidTr="0078275D">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w:t>
            </w:r>
          </w:p>
        </w:tc>
      </w:tr>
      <w:tr w:rsidR="0078275D" w:rsidRPr="0078275D" w:rsidTr="0078275D">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7,902,521.94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5,419,414.94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b/>
                <w:bCs/>
                <w:color w:val="000000"/>
                <w:kern w:val="0"/>
                <w:sz w:val="22"/>
              </w:rPr>
            </w:pPr>
            <w:r w:rsidRPr="0078275D">
              <w:rPr>
                <w:rFonts w:ascii="宋体" w:eastAsia="宋体" w:hAnsi="宋体" w:cs="Arial" w:hint="eastAsia"/>
                <w:b/>
                <w:bCs/>
                <w:color w:val="000000"/>
                <w:kern w:val="0"/>
                <w:sz w:val="22"/>
              </w:rPr>
              <w:t>2,483,107.00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983,107.00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商贸事务</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5,170,010.74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983,107.00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4,186,903.74</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411,244.00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411,244.00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2011308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招商引资</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571,863.00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571,863.00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289,581.40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537,074.80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商业服务业等支出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21602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商业流通事务</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2160299</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其他商业流通事务支出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w:t>
            </w:r>
            <w:r w:rsidRPr="0078275D">
              <w:rPr>
                <w:rFonts w:ascii="宋体" w:eastAsia="宋体" w:hAnsi="宋体" w:cs="Arial" w:hint="eastAsia"/>
                <w:color w:val="000000"/>
                <w:kern w:val="0"/>
                <w:sz w:val="22"/>
              </w:rPr>
              <w:lastRenderedPageBreak/>
              <w:t>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22102</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gridSpan w:val="7"/>
            <w:tcBorders>
              <w:top w:val="nil"/>
              <w:left w:val="nil"/>
              <w:bottom w:val="nil"/>
              <w:right w:val="nil"/>
            </w:tcBorders>
            <w:shd w:val="clear" w:color="auto" w:fill="auto"/>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注：本表反映部门本年度一般公共预算财政拨款支出情况。</w:t>
            </w:r>
          </w:p>
        </w:tc>
      </w:tr>
    </w:tbl>
    <w:p w:rsidR="0078275D" w:rsidRPr="0078275D" w:rsidRDefault="0078275D"/>
    <w:tbl>
      <w:tblPr>
        <w:tblW w:w="0" w:type="auto"/>
        <w:tblInd w:w="89" w:type="dxa"/>
        <w:tblLook w:val="04A0"/>
      </w:tblPr>
      <w:tblGrid>
        <w:gridCol w:w="440"/>
        <w:gridCol w:w="1564"/>
        <w:gridCol w:w="755"/>
        <w:gridCol w:w="441"/>
        <w:gridCol w:w="2301"/>
        <w:gridCol w:w="666"/>
        <w:gridCol w:w="441"/>
        <w:gridCol w:w="1925"/>
        <w:gridCol w:w="666"/>
      </w:tblGrid>
      <w:tr w:rsidR="0078275D" w:rsidRPr="0078275D" w:rsidTr="0078275D">
        <w:trPr>
          <w:trHeight w:val="390"/>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center"/>
              <w:rPr>
                <w:rFonts w:ascii="宋体" w:eastAsia="宋体" w:hAnsi="宋体" w:cs="Arial"/>
                <w:color w:val="000000"/>
                <w:kern w:val="0"/>
                <w:sz w:val="30"/>
                <w:szCs w:val="30"/>
              </w:rPr>
            </w:pPr>
            <w:r w:rsidRPr="0078275D">
              <w:rPr>
                <w:rFonts w:ascii="宋体" w:eastAsia="宋体" w:hAnsi="宋体" w:cs="Arial" w:hint="eastAsia"/>
                <w:color w:val="000000"/>
                <w:kern w:val="0"/>
                <w:sz w:val="30"/>
                <w:szCs w:val="30"/>
              </w:rPr>
              <w:t>一般公共预算财政拨款基本支出决算表</w:t>
            </w: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r>
      <w:tr w:rsidR="0078275D" w:rsidRPr="0078275D" w:rsidTr="0078275D">
        <w:trPr>
          <w:trHeight w:val="255"/>
        </w:trPr>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18"/>
                <w:szCs w:val="18"/>
              </w:rPr>
            </w:pPr>
            <w:r w:rsidRPr="0078275D">
              <w:rPr>
                <w:rFonts w:ascii="宋体" w:eastAsia="宋体" w:hAnsi="宋体" w:cs="Arial" w:hint="eastAsia"/>
                <w:color w:val="000000"/>
                <w:kern w:val="0"/>
                <w:sz w:val="18"/>
                <w:szCs w:val="18"/>
              </w:rPr>
              <w:t>公开06表</w:t>
            </w:r>
          </w:p>
        </w:tc>
      </w:tr>
      <w:tr w:rsidR="0078275D" w:rsidRPr="0078275D" w:rsidTr="0078275D">
        <w:trPr>
          <w:trHeight w:val="255"/>
        </w:trPr>
        <w:tc>
          <w:tcPr>
            <w:tcW w:w="0" w:type="auto"/>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部门：遵化市商务和投资促进局</w:t>
            </w: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0" w:type="auto"/>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18"/>
                <w:szCs w:val="18"/>
              </w:rPr>
            </w:pPr>
            <w:r w:rsidRPr="0078275D">
              <w:rPr>
                <w:rFonts w:ascii="宋体" w:eastAsia="宋体" w:hAnsi="宋体" w:cs="Arial" w:hint="eastAsia"/>
                <w:color w:val="000000"/>
                <w:kern w:val="0"/>
                <w:sz w:val="18"/>
                <w:szCs w:val="18"/>
              </w:rPr>
              <w:t>金额单位：元</w:t>
            </w:r>
          </w:p>
        </w:tc>
      </w:tr>
      <w:tr w:rsidR="0078275D" w:rsidRPr="0078275D" w:rsidTr="0078275D">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人员经费</w:t>
            </w:r>
          </w:p>
        </w:tc>
        <w:tc>
          <w:tcPr>
            <w:tcW w:w="0" w:type="auto"/>
            <w:gridSpan w:val="6"/>
            <w:tcBorders>
              <w:top w:val="single" w:sz="4" w:space="0" w:color="000000"/>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公用经费</w:t>
            </w:r>
          </w:p>
        </w:tc>
      </w:tr>
      <w:tr w:rsidR="0078275D" w:rsidRPr="0078275D" w:rsidTr="0078275D">
        <w:trPr>
          <w:trHeight w:val="312"/>
        </w:trPr>
        <w:tc>
          <w:tcPr>
            <w:tcW w:w="0" w:type="auto"/>
            <w:vMerge w:val="restar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决算数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决算数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科目编码</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决算数</w:t>
            </w:r>
          </w:p>
        </w:tc>
      </w:tr>
      <w:tr w:rsidR="0078275D" w:rsidRPr="0078275D" w:rsidTr="0078275D">
        <w:trPr>
          <w:trHeight w:val="312"/>
        </w:trPr>
        <w:tc>
          <w:tcPr>
            <w:tcW w:w="0" w:type="auto"/>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0" w:type="auto"/>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工资福利支出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5,109,325.64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商品和服务支出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282,333.30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债务利息及费用支出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30101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基本工资</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1,824,892.70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办公费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15,000.00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30701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国内债务付息</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30102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津贴补贴</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1,257,377.00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印刷费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30702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国外债务付息</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30103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奖金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43,310.00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咨询费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30106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伙食补助费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手续费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房屋建筑物购建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30107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绩效工资</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356,016.00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30205</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水费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办公设备购置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3010</w:t>
            </w:r>
            <w:r w:rsidRPr="0078275D">
              <w:rPr>
                <w:rFonts w:ascii="宋体" w:eastAsia="宋体" w:hAnsi="宋体" w:cs="Arial" w:hint="eastAsia"/>
                <w:color w:val="000000"/>
                <w:kern w:val="0"/>
                <w:sz w:val="22"/>
              </w:rPr>
              <w:lastRenderedPageBreak/>
              <w:t>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 xml:space="preserve">  机关事业单位基本养老保</w:t>
            </w:r>
            <w:r w:rsidRPr="0078275D">
              <w:rPr>
                <w:rFonts w:ascii="宋体" w:eastAsia="宋体" w:hAnsi="宋体" w:cs="Arial" w:hint="eastAsia"/>
                <w:color w:val="000000"/>
                <w:kern w:val="0"/>
                <w:sz w:val="22"/>
              </w:rPr>
              <w:lastRenderedPageBreak/>
              <w:t>险缴费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513,704.</w:t>
            </w:r>
            <w:r w:rsidRPr="0078275D">
              <w:rPr>
                <w:rFonts w:ascii="宋体" w:eastAsia="宋体" w:hAnsi="宋体" w:cs="Arial" w:hint="eastAsia"/>
                <w:color w:val="000000"/>
                <w:kern w:val="0"/>
                <w:sz w:val="22"/>
              </w:rPr>
              <w:lastRenderedPageBreak/>
              <w:t>04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3020</w:t>
            </w:r>
            <w:r w:rsidRPr="0078275D">
              <w:rPr>
                <w:rFonts w:ascii="宋体" w:eastAsia="宋体" w:hAnsi="宋体" w:cs="Arial" w:hint="eastAsia"/>
                <w:color w:val="000000"/>
                <w:kern w:val="0"/>
                <w:sz w:val="22"/>
              </w:rPr>
              <w:lastRenderedPageBreak/>
              <w:t>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 xml:space="preserve">  电费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10,000.0</w:t>
            </w:r>
            <w:r w:rsidRPr="0078275D">
              <w:rPr>
                <w:rFonts w:ascii="宋体" w:eastAsia="宋体" w:hAnsi="宋体" w:cs="Arial" w:hint="eastAsia"/>
                <w:color w:val="000000"/>
                <w:kern w:val="0"/>
                <w:sz w:val="22"/>
              </w:rPr>
              <w:lastRenderedPageBreak/>
              <w:t>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3100</w:t>
            </w:r>
            <w:r w:rsidRPr="0078275D">
              <w:rPr>
                <w:rFonts w:ascii="宋体" w:eastAsia="宋体" w:hAnsi="宋体" w:cs="Arial" w:hint="eastAsia"/>
                <w:color w:val="000000"/>
                <w:kern w:val="0"/>
                <w:sz w:val="22"/>
              </w:rPr>
              <w:lastRenderedPageBreak/>
              <w:t>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 xml:space="preserve">  专用设备购置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30109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职业年金缴费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邮电费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16,000.00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31005</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基础设施建设</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30110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职工基本医疗保险缴费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272,674.80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取暖费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23,962.50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大型修缮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30111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公务员医疗补助缴费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264,400.00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30209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物业管理费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信息网络及软件购置更新</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30112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其他社会保障缴费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26,346.10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差旅费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2,099.00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物资储备</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30113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405,855.00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因公出国（境）费用</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31009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土地补偿</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30114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医疗费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维修（护）费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31010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安置补助</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30199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其他工资福利支出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144,750.00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租赁费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31011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地上附着物和青苗补偿</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对个人和家庭的补助</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27,756.00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30215</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会议费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31012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拆迁补偿</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离休费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培训费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31013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公务用车购置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退休费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公务接待费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31019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其他交通工具购置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30303</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退职（役）费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30218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专用材料费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31021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文物和陈列品购置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抚恤金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23,976.00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30224</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被装购置费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31022</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无形资产购置</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30305</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生活补助</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30225</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专用燃料费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31099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其他资本性支出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救济费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30226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劳务费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399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lastRenderedPageBreak/>
              <w:t>30307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医疗费补助</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30227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委托业务费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39906</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赠与</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助学金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30228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工会经费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39,700.00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39907</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国家赔偿费用支出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30309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奖励金</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2,760.00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30229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福利费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32,900.00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39908</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30310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个人农业生产补贴</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30231</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公务用车运行维护费</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56,421.80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39999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30399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其他对个人和家庭的补助</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1,020.00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30239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其他交通费用</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86,250.00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30240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税金及附加费用</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r>
      <w:tr w:rsidR="0078275D" w:rsidRPr="0078275D" w:rsidTr="0078275D">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30299</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其他商品和服务支出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 xml:space="preserve">　</w:t>
            </w:r>
          </w:p>
        </w:tc>
      </w:tr>
      <w:tr w:rsidR="0078275D" w:rsidRPr="0078275D" w:rsidTr="0078275D">
        <w:trPr>
          <w:trHeight w:val="308"/>
        </w:trPr>
        <w:tc>
          <w:tcPr>
            <w:tcW w:w="0" w:type="auto"/>
            <w:gridSpan w:val="2"/>
            <w:tcBorders>
              <w:top w:val="nil"/>
              <w:left w:val="single" w:sz="4" w:space="0" w:color="000000"/>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人员经费合计</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5,137,081.64</w:t>
            </w:r>
          </w:p>
        </w:tc>
        <w:tc>
          <w:tcPr>
            <w:tcW w:w="0" w:type="auto"/>
            <w:gridSpan w:val="5"/>
            <w:tcBorders>
              <w:top w:val="nil"/>
              <w:left w:val="nil"/>
              <w:bottom w:val="single" w:sz="4" w:space="0" w:color="000000"/>
              <w:right w:val="single" w:sz="4" w:space="0" w:color="000000"/>
            </w:tcBorders>
            <w:shd w:val="clear" w:color="FFFFFF" w:fill="C0C0C0"/>
            <w:noWrap/>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公用经费合计</w:t>
            </w:r>
          </w:p>
        </w:tc>
        <w:tc>
          <w:tcPr>
            <w:tcW w:w="0" w:type="auto"/>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282,333.30</w:t>
            </w:r>
          </w:p>
        </w:tc>
      </w:tr>
      <w:tr w:rsidR="0078275D" w:rsidRPr="0078275D" w:rsidTr="0078275D">
        <w:trPr>
          <w:trHeight w:val="308"/>
        </w:trPr>
        <w:tc>
          <w:tcPr>
            <w:tcW w:w="0" w:type="auto"/>
            <w:gridSpan w:val="9"/>
            <w:tcBorders>
              <w:top w:val="nil"/>
              <w:left w:val="nil"/>
              <w:bottom w:val="nil"/>
              <w:right w:val="nil"/>
            </w:tcBorders>
            <w:shd w:val="clear" w:color="auto" w:fill="auto"/>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注：本表反映部门本年度一般公共预算财政拨款基本支出明细情况。</w:t>
            </w:r>
          </w:p>
        </w:tc>
      </w:tr>
    </w:tbl>
    <w:p w:rsidR="0078275D" w:rsidRPr="0078275D" w:rsidRDefault="0078275D"/>
    <w:p w:rsidR="0078275D" w:rsidRDefault="0078275D"/>
    <w:tbl>
      <w:tblPr>
        <w:tblW w:w="5000" w:type="pct"/>
        <w:tblLook w:val="04A0"/>
      </w:tblPr>
      <w:tblGrid>
        <w:gridCol w:w="658"/>
        <w:gridCol w:w="659"/>
        <w:gridCol w:w="556"/>
        <w:gridCol w:w="367"/>
        <w:gridCol w:w="556"/>
        <w:gridCol w:w="3387"/>
        <w:gridCol w:w="556"/>
        <w:gridCol w:w="442"/>
        <w:gridCol w:w="556"/>
        <w:gridCol w:w="367"/>
        <w:gridCol w:w="556"/>
        <w:gridCol w:w="628"/>
      </w:tblGrid>
      <w:tr w:rsidR="0078275D" w:rsidRPr="0078275D" w:rsidTr="0078275D">
        <w:trPr>
          <w:trHeight w:val="540"/>
        </w:trPr>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Default="0078275D" w:rsidP="0078275D">
            <w:pPr>
              <w:widowControl/>
              <w:jc w:val="left"/>
              <w:rPr>
                <w:rFonts w:ascii="Arial" w:eastAsia="宋体" w:hAnsi="Arial" w:cs="Arial"/>
                <w:color w:val="000000"/>
                <w:kern w:val="0"/>
                <w:sz w:val="20"/>
                <w:szCs w:val="20"/>
              </w:rPr>
            </w:pPr>
          </w:p>
          <w:p w:rsidR="0078275D" w:rsidRDefault="0078275D" w:rsidP="0078275D">
            <w:pPr>
              <w:widowControl/>
              <w:jc w:val="left"/>
              <w:rPr>
                <w:rFonts w:ascii="Arial" w:eastAsia="宋体" w:hAnsi="Arial" w:cs="Arial"/>
                <w:color w:val="000000"/>
                <w:kern w:val="0"/>
                <w:sz w:val="20"/>
                <w:szCs w:val="20"/>
              </w:rPr>
            </w:pPr>
          </w:p>
          <w:p w:rsidR="0078275D" w:rsidRDefault="0078275D" w:rsidP="0078275D">
            <w:pPr>
              <w:widowControl/>
              <w:jc w:val="left"/>
              <w:rPr>
                <w:rFonts w:ascii="Arial" w:eastAsia="宋体" w:hAnsi="Arial" w:cs="Arial"/>
                <w:color w:val="000000"/>
                <w:kern w:val="0"/>
                <w:sz w:val="20"/>
                <w:szCs w:val="20"/>
              </w:rPr>
            </w:pPr>
          </w:p>
          <w:p w:rsidR="0078275D" w:rsidRDefault="0078275D" w:rsidP="0078275D">
            <w:pPr>
              <w:widowControl/>
              <w:jc w:val="left"/>
              <w:rPr>
                <w:rFonts w:ascii="Arial" w:eastAsia="宋体" w:hAnsi="Arial" w:cs="Arial"/>
                <w:color w:val="000000"/>
                <w:kern w:val="0"/>
                <w:sz w:val="20"/>
                <w:szCs w:val="20"/>
              </w:rPr>
            </w:pPr>
          </w:p>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Default="0078275D" w:rsidP="0078275D">
            <w:pPr>
              <w:widowControl/>
              <w:jc w:val="center"/>
              <w:rPr>
                <w:rFonts w:ascii="宋体" w:eastAsia="宋体" w:hAnsi="宋体" w:cs="Arial"/>
                <w:color w:val="000000"/>
                <w:kern w:val="0"/>
                <w:sz w:val="44"/>
                <w:szCs w:val="44"/>
              </w:rPr>
            </w:pPr>
          </w:p>
          <w:p w:rsidR="0078275D" w:rsidRPr="0078275D" w:rsidRDefault="0078275D" w:rsidP="0078275D">
            <w:pPr>
              <w:widowControl/>
              <w:jc w:val="center"/>
              <w:rPr>
                <w:rFonts w:ascii="宋体" w:eastAsia="宋体" w:hAnsi="宋体" w:cs="Arial"/>
                <w:color w:val="000000"/>
                <w:kern w:val="0"/>
                <w:sz w:val="44"/>
                <w:szCs w:val="44"/>
              </w:rPr>
            </w:pPr>
            <w:r w:rsidRPr="0078275D">
              <w:rPr>
                <w:rFonts w:ascii="宋体" w:eastAsia="宋体" w:hAnsi="宋体" w:cs="Arial" w:hint="eastAsia"/>
                <w:color w:val="000000"/>
                <w:kern w:val="0"/>
                <w:sz w:val="44"/>
                <w:szCs w:val="44"/>
              </w:rPr>
              <w:t>一般公共预算财政拨款“三公”经费支出决算表</w:t>
            </w: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r>
      <w:tr w:rsidR="0078275D" w:rsidRPr="0078275D" w:rsidTr="0078275D">
        <w:trPr>
          <w:trHeight w:val="255"/>
        </w:trPr>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公开07表</w:t>
            </w:r>
          </w:p>
        </w:tc>
      </w:tr>
      <w:tr w:rsidR="0078275D" w:rsidRPr="0078275D" w:rsidTr="0078275D">
        <w:trPr>
          <w:trHeight w:val="255"/>
        </w:trPr>
        <w:tc>
          <w:tcPr>
            <w:tcW w:w="833" w:type="pct"/>
            <w:gridSpan w:val="2"/>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部门：遵化市商务和投资促进局</w:t>
            </w: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left"/>
              <w:rPr>
                <w:rFonts w:ascii="Arial" w:eastAsia="宋体" w:hAnsi="Arial" w:cs="Arial"/>
                <w:color w:val="000000"/>
                <w:kern w:val="0"/>
                <w:sz w:val="20"/>
                <w:szCs w:val="20"/>
              </w:rPr>
            </w:pPr>
          </w:p>
        </w:tc>
        <w:tc>
          <w:tcPr>
            <w:tcW w:w="417" w:type="pct"/>
            <w:tcBorders>
              <w:top w:val="nil"/>
              <w:left w:val="nil"/>
              <w:bottom w:val="nil"/>
              <w:right w:val="nil"/>
            </w:tcBorders>
            <w:shd w:val="clear" w:color="auto" w:fill="auto"/>
            <w:noWrap/>
            <w:vAlign w:val="bottom"/>
            <w:hideMark/>
          </w:tcPr>
          <w:p w:rsidR="0078275D" w:rsidRPr="0078275D" w:rsidRDefault="0078275D" w:rsidP="0078275D">
            <w:pPr>
              <w:widowControl/>
              <w:jc w:val="right"/>
              <w:rPr>
                <w:rFonts w:ascii="宋体" w:eastAsia="宋体" w:hAnsi="宋体" w:cs="Arial"/>
                <w:color w:val="000000"/>
                <w:kern w:val="0"/>
                <w:sz w:val="20"/>
                <w:szCs w:val="20"/>
              </w:rPr>
            </w:pPr>
            <w:r w:rsidRPr="0078275D">
              <w:rPr>
                <w:rFonts w:ascii="宋体" w:eastAsia="宋体" w:hAnsi="宋体" w:cs="Arial" w:hint="eastAsia"/>
                <w:color w:val="000000"/>
                <w:kern w:val="0"/>
                <w:sz w:val="20"/>
                <w:szCs w:val="20"/>
              </w:rPr>
              <w:t>金额单位：元</w:t>
            </w:r>
          </w:p>
        </w:tc>
      </w:tr>
      <w:tr w:rsidR="0078275D" w:rsidRPr="0078275D" w:rsidTr="0078275D">
        <w:trPr>
          <w:trHeight w:val="308"/>
        </w:trPr>
        <w:tc>
          <w:tcPr>
            <w:tcW w:w="2500" w:type="pct"/>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预算数</w:t>
            </w:r>
          </w:p>
        </w:tc>
        <w:tc>
          <w:tcPr>
            <w:tcW w:w="2500" w:type="pct"/>
            <w:gridSpan w:val="6"/>
            <w:tcBorders>
              <w:top w:val="single" w:sz="4" w:space="0" w:color="000000"/>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决算数</w:t>
            </w:r>
          </w:p>
        </w:tc>
      </w:tr>
      <w:tr w:rsidR="0078275D" w:rsidRPr="0078275D" w:rsidTr="0078275D">
        <w:trPr>
          <w:trHeight w:val="308"/>
        </w:trPr>
        <w:tc>
          <w:tcPr>
            <w:tcW w:w="417" w:type="pct"/>
            <w:vMerge w:val="restar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合计</w:t>
            </w:r>
          </w:p>
        </w:tc>
        <w:tc>
          <w:tcPr>
            <w:tcW w:w="417" w:type="pct"/>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因公出国（境）费</w:t>
            </w:r>
          </w:p>
        </w:tc>
        <w:tc>
          <w:tcPr>
            <w:tcW w:w="1250" w:type="pct"/>
            <w:gridSpan w:val="3"/>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公务用车购置及运行费</w:t>
            </w:r>
          </w:p>
        </w:tc>
        <w:tc>
          <w:tcPr>
            <w:tcW w:w="417" w:type="pct"/>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公务接待费</w:t>
            </w:r>
          </w:p>
        </w:tc>
        <w:tc>
          <w:tcPr>
            <w:tcW w:w="417" w:type="pct"/>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合计</w:t>
            </w:r>
          </w:p>
        </w:tc>
        <w:tc>
          <w:tcPr>
            <w:tcW w:w="417" w:type="pct"/>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因公出国（境）费</w:t>
            </w:r>
          </w:p>
        </w:tc>
        <w:tc>
          <w:tcPr>
            <w:tcW w:w="1250" w:type="pct"/>
            <w:gridSpan w:val="3"/>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公务用车购置及运行费</w:t>
            </w:r>
          </w:p>
        </w:tc>
        <w:tc>
          <w:tcPr>
            <w:tcW w:w="417" w:type="pct"/>
            <w:vMerge w:val="restar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公务接待费</w:t>
            </w:r>
          </w:p>
        </w:tc>
      </w:tr>
      <w:tr w:rsidR="0078275D" w:rsidRPr="0078275D" w:rsidTr="0078275D">
        <w:trPr>
          <w:trHeight w:val="615"/>
        </w:trPr>
        <w:tc>
          <w:tcPr>
            <w:tcW w:w="417" w:type="pct"/>
            <w:vMerge/>
            <w:tcBorders>
              <w:top w:val="nil"/>
              <w:left w:val="single" w:sz="4" w:space="0" w:color="000000"/>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17" w:type="pct"/>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小计</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公务用车购置费</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公务用车运行费</w:t>
            </w:r>
          </w:p>
        </w:tc>
        <w:tc>
          <w:tcPr>
            <w:tcW w:w="417" w:type="pct"/>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17" w:type="pct"/>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17" w:type="pct"/>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小计</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公务用车购置费</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公务用车运行费</w:t>
            </w:r>
          </w:p>
        </w:tc>
        <w:tc>
          <w:tcPr>
            <w:tcW w:w="417" w:type="pct"/>
            <w:vMerge/>
            <w:tcBorders>
              <w:top w:val="nil"/>
              <w:left w:val="nil"/>
              <w:bottom w:val="single" w:sz="4" w:space="0" w:color="000000"/>
              <w:right w:val="single" w:sz="4" w:space="0" w:color="000000"/>
            </w:tcBorders>
            <w:vAlign w:val="center"/>
            <w:hideMark/>
          </w:tcPr>
          <w:p w:rsidR="0078275D" w:rsidRPr="0078275D" w:rsidRDefault="0078275D" w:rsidP="0078275D">
            <w:pPr>
              <w:widowControl/>
              <w:jc w:val="left"/>
              <w:rPr>
                <w:rFonts w:ascii="宋体" w:eastAsia="宋体" w:hAnsi="宋体" w:cs="Arial"/>
                <w:color w:val="000000"/>
                <w:kern w:val="0"/>
                <w:sz w:val="22"/>
              </w:rPr>
            </w:pPr>
          </w:p>
        </w:tc>
      </w:tr>
      <w:tr w:rsidR="0078275D" w:rsidRPr="0078275D" w:rsidTr="0078275D">
        <w:trPr>
          <w:trHeight w:val="308"/>
        </w:trPr>
        <w:tc>
          <w:tcPr>
            <w:tcW w:w="417" w:type="pct"/>
            <w:tcBorders>
              <w:top w:val="nil"/>
              <w:left w:val="single" w:sz="4" w:space="0" w:color="000000"/>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2</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3</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4</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5</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6</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7</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8</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9</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10</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11</w:t>
            </w:r>
          </w:p>
        </w:tc>
        <w:tc>
          <w:tcPr>
            <w:tcW w:w="417" w:type="pct"/>
            <w:tcBorders>
              <w:top w:val="nil"/>
              <w:left w:val="nil"/>
              <w:bottom w:val="single" w:sz="4" w:space="0" w:color="000000"/>
              <w:right w:val="single" w:sz="4" w:space="0" w:color="000000"/>
            </w:tcBorders>
            <w:shd w:val="clear" w:color="FFFFFF" w:fill="C0C0C0"/>
            <w:vAlign w:val="center"/>
            <w:hideMark/>
          </w:tcPr>
          <w:p w:rsidR="0078275D" w:rsidRPr="0078275D" w:rsidRDefault="0078275D" w:rsidP="0078275D">
            <w:pPr>
              <w:widowControl/>
              <w:jc w:val="center"/>
              <w:rPr>
                <w:rFonts w:ascii="宋体" w:eastAsia="宋体" w:hAnsi="宋体" w:cs="Arial"/>
                <w:color w:val="000000"/>
                <w:kern w:val="0"/>
                <w:sz w:val="22"/>
              </w:rPr>
            </w:pPr>
            <w:r w:rsidRPr="0078275D">
              <w:rPr>
                <w:rFonts w:ascii="宋体" w:eastAsia="宋体" w:hAnsi="宋体" w:cs="Arial" w:hint="eastAsia"/>
                <w:color w:val="000000"/>
                <w:kern w:val="0"/>
                <w:sz w:val="22"/>
              </w:rPr>
              <w:t>12</w:t>
            </w:r>
          </w:p>
        </w:tc>
      </w:tr>
      <w:tr w:rsidR="0078275D" w:rsidRPr="0078275D" w:rsidTr="0078275D">
        <w:trPr>
          <w:trHeight w:val="308"/>
        </w:trPr>
        <w:tc>
          <w:tcPr>
            <w:tcW w:w="417" w:type="pct"/>
            <w:tcBorders>
              <w:top w:val="nil"/>
              <w:left w:val="single" w:sz="4" w:space="0" w:color="000000"/>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61,500.10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61,500.00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61,500.00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0.10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56,421.80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56,421.80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56,421.80</w:t>
            </w:r>
          </w:p>
        </w:tc>
        <w:tc>
          <w:tcPr>
            <w:tcW w:w="417" w:type="pct"/>
            <w:tcBorders>
              <w:top w:val="nil"/>
              <w:left w:val="nil"/>
              <w:bottom w:val="single" w:sz="4" w:space="0" w:color="000000"/>
              <w:right w:val="single" w:sz="4" w:space="0" w:color="000000"/>
            </w:tcBorders>
            <w:shd w:val="clear" w:color="auto" w:fill="auto"/>
            <w:noWrap/>
            <w:vAlign w:val="center"/>
            <w:hideMark/>
          </w:tcPr>
          <w:p w:rsidR="0078275D" w:rsidRPr="0078275D" w:rsidRDefault="0078275D" w:rsidP="0078275D">
            <w:pPr>
              <w:widowControl/>
              <w:jc w:val="right"/>
              <w:rPr>
                <w:rFonts w:ascii="宋体" w:eastAsia="宋体" w:hAnsi="宋体" w:cs="Arial"/>
                <w:color w:val="000000"/>
                <w:kern w:val="0"/>
                <w:sz w:val="22"/>
              </w:rPr>
            </w:pPr>
            <w:r w:rsidRPr="0078275D">
              <w:rPr>
                <w:rFonts w:ascii="宋体" w:eastAsia="宋体" w:hAnsi="宋体" w:cs="Arial" w:hint="eastAsia"/>
                <w:color w:val="000000"/>
                <w:kern w:val="0"/>
                <w:sz w:val="22"/>
              </w:rPr>
              <w:t>0.00</w:t>
            </w:r>
          </w:p>
        </w:tc>
      </w:tr>
      <w:tr w:rsidR="0078275D" w:rsidRPr="0078275D" w:rsidTr="0078275D">
        <w:trPr>
          <w:trHeight w:val="615"/>
        </w:trPr>
        <w:tc>
          <w:tcPr>
            <w:tcW w:w="5000" w:type="pct"/>
            <w:gridSpan w:val="12"/>
            <w:tcBorders>
              <w:top w:val="nil"/>
              <w:left w:val="nil"/>
              <w:bottom w:val="nil"/>
              <w:right w:val="nil"/>
            </w:tcBorders>
            <w:shd w:val="clear" w:color="auto" w:fill="auto"/>
            <w:vAlign w:val="center"/>
            <w:hideMark/>
          </w:tcPr>
          <w:p w:rsidR="0078275D" w:rsidRPr="0078275D" w:rsidRDefault="0078275D" w:rsidP="0078275D">
            <w:pPr>
              <w:widowControl/>
              <w:jc w:val="left"/>
              <w:rPr>
                <w:rFonts w:ascii="宋体" w:eastAsia="宋体" w:hAnsi="宋体" w:cs="Arial"/>
                <w:color w:val="000000"/>
                <w:kern w:val="0"/>
                <w:sz w:val="22"/>
              </w:rPr>
            </w:pPr>
            <w:r w:rsidRPr="0078275D">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78275D" w:rsidRPr="0078275D" w:rsidRDefault="0078275D"/>
    <w:p w:rsidR="0078275D" w:rsidRDefault="0078275D"/>
    <w:p w:rsidR="0078275D" w:rsidRDefault="0078275D"/>
    <w:p w:rsidR="0078275D" w:rsidRDefault="0078275D"/>
    <w:p w:rsidR="0078275D" w:rsidRDefault="0078275D"/>
    <w:p w:rsidR="0078275D" w:rsidRDefault="0078275D"/>
    <w:p w:rsidR="0078275D" w:rsidRDefault="0078275D"/>
    <w:p w:rsidR="0078275D" w:rsidRDefault="0078275D"/>
    <w:p w:rsidR="0078275D" w:rsidRDefault="0078275D"/>
    <w:p w:rsidR="0078275D" w:rsidRDefault="0078275D"/>
    <w:p w:rsidR="00247E5C" w:rsidRDefault="003F5A30">
      <w:r>
        <w:rPr>
          <w:noProof/>
        </w:rPr>
        <w:lastRenderedPageBreak/>
        <w:pict>
          <v:rect id="_x0000_s1105" style="position:absolute;left:0;text-align:left;margin-left:-70.5pt;margin-top:-85.25pt;width:595.1pt;height:841.15pt;z-index:25166540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247E5C" w:rsidSect="00A30E36">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DD" w:rsidRDefault="007E6DDD" w:rsidP="00A30E36">
      <w:r>
        <w:separator/>
      </w:r>
    </w:p>
  </w:endnote>
  <w:endnote w:type="continuationSeparator" w:id="1">
    <w:p w:rsidR="007E6DDD" w:rsidRDefault="007E6DDD" w:rsidP="00A30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Yu Gothic UI Semibold">
    <w:panose1 w:val="020B0700000000000000"/>
    <w:charset w:val="80"/>
    <w:family w:val="swiss"/>
    <w:pitch w:val="variable"/>
    <w:sig w:usb0="E00002FF" w:usb1="2AC7FDFF" w:usb2="00000016" w:usb3="00000000" w:csb0="0002009F" w:csb1="00000000"/>
  </w:font>
  <w:font w:name="思源黑体 HW Bold">
    <w:altName w:val="黑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C7" w:rsidRDefault="004C27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C7" w:rsidRDefault="004C27C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C7" w:rsidRDefault="004C27C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DD" w:rsidRDefault="007E6DDD" w:rsidP="00A30E36">
      <w:r>
        <w:separator/>
      </w:r>
    </w:p>
  </w:footnote>
  <w:footnote w:type="continuationSeparator" w:id="1">
    <w:p w:rsidR="007E6DDD" w:rsidRDefault="007E6DDD" w:rsidP="00A3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C7" w:rsidRDefault="004C27C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7C7" w:rsidRDefault="004C27C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12" w:rsidRDefault="00E74912">
    <w:pPr>
      <w:pStyle w:val="a5"/>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cs="Times New Roman" w:hint="eastAsia"/>
      </w:rPr>
    </w:lvl>
  </w:abstractNum>
  <w:abstractNum w:abstractNumId="1">
    <w:nsid w:val="59950409"/>
    <w:multiLevelType w:val="singleLevel"/>
    <w:tmpl w:val="59950409"/>
    <w:lvl w:ilvl="0">
      <w:start w:val="1"/>
      <w:numFmt w:val="decimal"/>
      <w:suff w:val="space"/>
      <w:lvlText w:val="%1."/>
      <w:lvlJc w:val="left"/>
      <w:rPr>
        <w:rFonts w:cs="Times New Roman"/>
      </w:rPr>
    </w:lvl>
  </w:abstractNum>
  <w:abstractNum w:abstractNumId="2">
    <w:nsid w:val="5F222FFA"/>
    <w:multiLevelType w:val="singleLevel"/>
    <w:tmpl w:val="5F222FFA"/>
    <w:lvl w:ilvl="0">
      <w:start w:val="1"/>
      <w:numFmt w:val="decimal"/>
      <w:suff w:val="nothing"/>
      <w:lvlText w:val="（%1）"/>
      <w:lvlJc w:val="left"/>
      <w:rPr>
        <w:rFonts w:cs="Times New Roman"/>
      </w:rPr>
    </w:lvl>
  </w:abstractNum>
  <w:abstractNum w:abstractNumId="3">
    <w:nsid w:val="78C1413D"/>
    <w:multiLevelType w:val="singleLevel"/>
    <w:tmpl w:val="78C1413D"/>
    <w:lvl w:ilvl="0">
      <w:start w:val="1"/>
      <w:numFmt w:val="decimal"/>
      <w:suff w:val="space"/>
      <w:lvlText w:val="%1."/>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6AAF1C96"/>
    <w:rsid w:val="0007063E"/>
    <w:rsid w:val="00073392"/>
    <w:rsid w:val="00073F4E"/>
    <w:rsid w:val="00086C89"/>
    <w:rsid w:val="000A39FB"/>
    <w:rsid w:val="00117746"/>
    <w:rsid w:val="00140901"/>
    <w:rsid w:val="00163F95"/>
    <w:rsid w:val="00167EA4"/>
    <w:rsid w:val="00180A9A"/>
    <w:rsid w:val="001829C0"/>
    <w:rsid w:val="00184809"/>
    <w:rsid w:val="00192112"/>
    <w:rsid w:val="001B0127"/>
    <w:rsid w:val="001C12D5"/>
    <w:rsid w:val="001C69F7"/>
    <w:rsid w:val="00247E5C"/>
    <w:rsid w:val="00254760"/>
    <w:rsid w:val="002650EC"/>
    <w:rsid w:val="002A6C46"/>
    <w:rsid w:val="002C19B5"/>
    <w:rsid w:val="002D1854"/>
    <w:rsid w:val="003A4EE8"/>
    <w:rsid w:val="003F5A30"/>
    <w:rsid w:val="00442CC2"/>
    <w:rsid w:val="00446244"/>
    <w:rsid w:val="00473C20"/>
    <w:rsid w:val="00475C4C"/>
    <w:rsid w:val="004C27C7"/>
    <w:rsid w:val="004D61CB"/>
    <w:rsid w:val="004E3F79"/>
    <w:rsid w:val="005011D6"/>
    <w:rsid w:val="00503F2E"/>
    <w:rsid w:val="005338F2"/>
    <w:rsid w:val="00552226"/>
    <w:rsid w:val="00566120"/>
    <w:rsid w:val="00582E6D"/>
    <w:rsid w:val="005954D5"/>
    <w:rsid w:val="005A53FA"/>
    <w:rsid w:val="005D1293"/>
    <w:rsid w:val="006069EF"/>
    <w:rsid w:val="00644D5F"/>
    <w:rsid w:val="006727AD"/>
    <w:rsid w:val="00691425"/>
    <w:rsid w:val="006A516E"/>
    <w:rsid w:val="006B0830"/>
    <w:rsid w:val="00716E2B"/>
    <w:rsid w:val="00736A43"/>
    <w:rsid w:val="00770F18"/>
    <w:rsid w:val="00773B74"/>
    <w:rsid w:val="0078275D"/>
    <w:rsid w:val="0078290C"/>
    <w:rsid w:val="007A7966"/>
    <w:rsid w:val="007C06CA"/>
    <w:rsid w:val="007E6DDD"/>
    <w:rsid w:val="008163FB"/>
    <w:rsid w:val="0082605B"/>
    <w:rsid w:val="00855C36"/>
    <w:rsid w:val="00857DBE"/>
    <w:rsid w:val="008701BC"/>
    <w:rsid w:val="00883D92"/>
    <w:rsid w:val="008A5362"/>
    <w:rsid w:val="008B0F9F"/>
    <w:rsid w:val="008F21F1"/>
    <w:rsid w:val="008F221B"/>
    <w:rsid w:val="008F5A2D"/>
    <w:rsid w:val="00921602"/>
    <w:rsid w:val="00957EA1"/>
    <w:rsid w:val="00966E5B"/>
    <w:rsid w:val="009B4EF0"/>
    <w:rsid w:val="009D271F"/>
    <w:rsid w:val="009E5E77"/>
    <w:rsid w:val="00A30E36"/>
    <w:rsid w:val="00A60ED0"/>
    <w:rsid w:val="00A929C2"/>
    <w:rsid w:val="00AB3CC1"/>
    <w:rsid w:val="00AD097F"/>
    <w:rsid w:val="00B844F4"/>
    <w:rsid w:val="00BA06A1"/>
    <w:rsid w:val="00BA770A"/>
    <w:rsid w:val="00C054DE"/>
    <w:rsid w:val="00C45032"/>
    <w:rsid w:val="00C679A9"/>
    <w:rsid w:val="00C7541C"/>
    <w:rsid w:val="00CB2FB8"/>
    <w:rsid w:val="00CC0FAA"/>
    <w:rsid w:val="00CD0736"/>
    <w:rsid w:val="00D1570F"/>
    <w:rsid w:val="00D32830"/>
    <w:rsid w:val="00DA1B34"/>
    <w:rsid w:val="00DB7153"/>
    <w:rsid w:val="00DB7F05"/>
    <w:rsid w:val="00E028C3"/>
    <w:rsid w:val="00E14F77"/>
    <w:rsid w:val="00E3076B"/>
    <w:rsid w:val="00E36978"/>
    <w:rsid w:val="00E74912"/>
    <w:rsid w:val="00E82A1E"/>
    <w:rsid w:val="00EC06F4"/>
    <w:rsid w:val="00EE4E36"/>
    <w:rsid w:val="00EF3CAD"/>
    <w:rsid w:val="00F665F4"/>
    <w:rsid w:val="00FD225F"/>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E36"/>
    <w:pPr>
      <w:widowControl w:val="0"/>
      <w:jc w:val="both"/>
    </w:pPr>
    <w:rPr>
      <w:rFonts w:ascii="等线" w:eastAsia="等线" w:hAnsi="等线"/>
    </w:rPr>
  </w:style>
  <w:style w:type="paragraph" w:styleId="1">
    <w:name w:val="heading 1"/>
    <w:basedOn w:val="a"/>
    <w:next w:val="a"/>
    <w:link w:val="1Char"/>
    <w:uiPriority w:val="99"/>
    <w:qFormat/>
    <w:rsid w:val="00A30E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0F55"/>
    <w:rPr>
      <w:rFonts w:ascii="等线" w:eastAsia="等线" w:hAnsi="等线"/>
      <w:b/>
      <w:bCs/>
      <w:kern w:val="44"/>
      <w:sz w:val="44"/>
      <w:szCs w:val="44"/>
    </w:rPr>
  </w:style>
  <w:style w:type="paragraph" w:styleId="a3">
    <w:name w:val="Body Text"/>
    <w:basedOn w:val="a"/>
    <w:link w:val="Char"/>
    <w:uiPriority w:val="99"/>
    <w:rsid w:val="00A30E36"/>
    <w:rPr>
      <w:rFonts w:ascii="仿宋_GB2312" w:eastAsia="仿宋_GB2312" w:hAnsi="仿宋_GB2312" w:cs="仿宋_GB2312"/>
      <w:sz w:val="32"/>
      <w:szCs w:val="32"/>
      <w:lang w:val="zh-CN"/>
    </w:rPr>
  </w:style>
  <w:style w:type="character" w:customStyle="1" w:styleId="Char">
    <w:name w:val="正文文本 Char"/>
    <w:basedOn w:val="a0"/>
    <w:link w:val="a3"/>
    <w:uiPriority w:val="99"/>
    <w:semiHidden/>
    <w:rsid w:val="00730F55"/>
    <w:rPr>
      <w:rFonts w:ascii="等线" w:eastAsia="等线" w:hAnsi="等线"/>
    </w:rPr>
  </w:style>
  <w:style w:type="paragraph" w:styleId="a4">
    <w:name w:val="footer"/>
    <w:basedOn w:val="a"/>
    <w:link w:val="Char0"/>
    <w:uiPriority w:val="99"/>
    <w:rsid w:val="00A30E3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30E36"/>
    <w:rPr>
      <w:rFonts w:cs="Times New Roman"/>
      <w:sz w:val="18"/>
      <w:szCs w:val="18"/>
    </w:rPr>
  </w:style>
  <w:style w:type="paragraph" w:styleId="a5">
    <w:name w:val="header"/>
    <w:basedOn w:val="a"/>
    <w:link w:val="Char1"/>
    <w:uiPriority w:val="99"/>
    <w:rsid w:val="00A30E3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A30E36"/>
    <w:rPr>
      <w:rFonts w:ascii="等线" w:eastAsia="等线" w:hAnsi="等线" w:cs="Times New Roman"/>
      <w:sz w:val="18"/>
      <w:szCs w:val="18"/>
    </w:rPr>
  </w:style>
  <w:style w:type="table" w:styleId="a6">
    <w:name w:val="Table Grid"/>
    <w:basedOn w:val="a1"/>
    <w:uiPriority w:val="99"/>
    <w:rsid w:val="00A30E36"/>
    <w:rPr>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A30E36"/>
    <w:pPr>
      <w:spacing w:before="2"/>
      <w:ind w:left="119" w:right="434" w:firstLine="643"/>
    </w:pPr>
    <w:rPr>
      <w:rFonts w:ascii="仿宋_GB2312" w:eastAsia="仿宋_GB2312" w:hAnsi="仿宋_GB2312" w:cs="仿宋_GB2312"/>
      <w:lang w:val="zh-CN"/>
    </w:rPr>
  </w:style>
  <w:style w:type="paragraph" w:styleId="a7">
    <w:name w:val="Balloon Text"/>
    <w:basedOn w:val="a"/>
    <w:link w:val="Char2"/>
    <w:uiPriority w:val="99"/>
    <w:semiHidden/>
    <w:unhideWhenUsed/>
    <w:rsid w:val="00E74912"/>
    <w:rPr>
      <w:sz w:val="18"/>
      <w:szCs w:val="18"/>
    </w:rPr>
  </w:style>
  <w:style w:type="character" w:customStyle="1" w:styleId="Char2">
    <w:name w:val="批注框文本 Char"/>
    <w:basedOn w:val="a0"/>
    <w:link w:val="a7"/>
    <w:uiPriority w:val="99"/>
    <w:semiHidden/>
    <w:rsid w:val="00E74912"/>
    <w:rPr>
      <w:rFonts w:ascii="等线" w:eastAsia="等线" w:hAnsi="等线"/>
      <w:sz w:val="18"/>
      <w:szCs w:val="18"/>
    </w:rPr>
  </w:style>
</w:styles>
</file>

<file path=word/webSettings.xml><?xml version="1.0" encoding="utf-8"?>
<w:webSettings xmlns:r="http://schemas.openxmlformats.org/officeDocument/2006/relationships" xmlns:w="http://schemas.openxmlformats.org/wordprocessingml/2006/main">
  <w:divs>
    <w:div w:id="165247256">
      <w:bodyDiv w:val="1"/>
      <w:marLeft w:val="0"/>
      <w:marRight w:val="0"/>
      <w:marTop w:val="0"/>
      <w:marBottom w:val="0"/>
      <w:divBdr>
        <w:top w:val="none" w:sz="0" w:space="0" w:color="auto"/>
        <w:left w:val="none" w:sz="0" w:space="0" w:color="auto"/>
        <w:bottom w:val="none" w:sz="0" w:space="0" w:color="auto"/>
        <w:right w:val="none" w:sz="0" w:space="0" w:color="auto"/>
      </w:divBdr>
    </w:div>
    <w:div w:id="535628542">
      <w:bodyDiv w:val="1"/>
      <w:marLeft w:val="0"/>
      <w:marRight w:val="0"/>
      <w:marTop w:val="0"/>
      <w:marBottom w:val="0"/>
      <w:divBdr>
        <w:top w:val="none" w:sz="0" w:space="0" w:color="auto"/>
        <w:left w:val="none" w:sz="0" w:space="0" w:color="auto"/>
        <w:bottom w:val="none" w:sz="0" w:space="0" w:color="auto"/>
        <w:right w:val="none" w:sz="0" w:space="0" w:color="auto"/>
      </w:divBdr>
    </w:div>
    <w:div w:id="811411098">
      <w:bodyDiv w:val="1"/>
      <w:marLeft w:val="0"/>
      <w:marRight w:val="0"/>
      <w:marTop w:val="0"/>
      <w:marBottom w:val="0"/>
      <w:divBdr>
        <w:top w:val="none" w:sz="0" w:space="0" w:color="auto"/>
        <w:left w:val="none" w:sz="0" w:space="0" w:color="auto"/>
        <w:bottom w:val="none" w:sz="0" w:space="0" w:color="auto"/>
        <w:right w:val="none" w:sz="0" w:space="0" w:color="auto"/>
      </w:divBdr>
    </w:div>
    <w:div w:id="1003358345">
      <w:bodyDiv w:val="1"/>
      <w:marLeft w:val="0"/>
      <w:marRight w:val="0"/>
      <w:marTop w:val="0"/>
      <w:marBottom w:val="0"/>
      <w:divBdr>
        <w:top w:val="none" w:sz="0" w:space="0" w:color="auto"/>
        <w:left w:val="none" w:sz="0" w:space="0" w:color="auto"/>
        <w:bottom w:val="none" w:sz="0" w:space="0" w:color="auto"/>
        <w:right w:val="none" w:sz="0" w:space="0" w:color="auto"/>
      </w:divBdr>
    </w:div>
    <w:div w:id="1100679993">
      <w:bodyDiv w:val="1"/>
      <w:marLeft w:val="0"/>
      <w:marRight w:val="0"/>
      <w:marTop w:val="0"/>
      <w:marBottom w:val="0"/>
      <w:divBdr>
        <w:top w:val="none" w:sz="0" w:space="0" w:color="auto"/>
        <w:left w:val="none" w:sz="0" w:space="0" w:color="auto"/>
        <w:bottom w:val="none" w:sz="0" w:space="0" w:color="auto"/>
        <w:right w:val="none" w:sz="0" w:space="0" w:color="auto"/>
      </w:divBdr>
    </w:div>
    <w:div w:id="1510563322">
      <w:bodyDiv w:val="1"/>
      <w:marLeft w:val="0"/>
      <w:marRight w:val="0"/>
      <w:marTop w:val="0"/>
      <w:marBottom w:val="0"/>
      <w:divBdr>
        <w:top w:val="none" w:sz="0" w:space="0" w:color="auto"/>
        <w:left w:val="none" w:sz="0" w:space="0" w:color="auto"/>
        <w:bottom w:val="none" w:sz="0" w:space="0" w:color="auto"/>
        <w:right w:val="none" w:sz="0" w:space="0" w:color="auto"/>
      </w:divBdr>
    </w:div>
    <w:div w:id="1739740450">
      <w:bodyDiv w:val="1"/>
      <w:marLeft w:val="0"/>
      <w:marRight w:val="0"/>
      <w:marTop w:val="0"/>
      <w:marBottom w:val="0"/>
      <w:divBdr>
        <w:top w:val="none" w:sz="0" w:space="0" w:color="auto"/>
        <w:left w:val="none" w:sz="0" w:space="0" w:color="auto"/>
        <w:bottom w:val="none" w:sz="0" w:space="0" w:color="auto"/>
        <w:right w:val="none" w:sz="0" w:space="0" w:color="auto"/>
      </w:divBdr>
    </w:div>
    <w:div w:id="1910574533">
      <w:bodyDiv w:val="1"/>
      <w:marLeft w:val="0"/>
      <w:marRight w:val="0"/>
      <w:marTop w:val="0"/>
      <w:marBottom w:val="0"/>
      <w:divBdr>
        <w:top w:val="none" w:sz="0" w:space="0" w:color="auto"/>
        <w:left w:val="none" w:sz="0" w:space="0" w:color="auto"/>
        <w:bottom w:val="none" w:sz="0" w:space="0" w:color="auto"/>
        <w:right w:val="none" w:sz="0" w:space="0" w:color="auto"/>
      </w:divBdr>
    </w:div>
    <w:div w:id="2052223298">
      <w:bodyDiv w:val="1"/>
      <w:marLeft w:val="0"/>
      <w:marRight w:val="0"/>
      <w:marTop w:val="0"/>
      <w:marBottom w:val="0"/>
      <w:divBdr>
        <w:top w:val="none" w:sz="0" w:space="0" w:color="auto"/>
        <w:left w:val="none" w:sz="0" w:space="0" w:color="auto"/>
        <w:bottom w:val="none" w:sz="0" w:space="0" w:color="auto"/>
        <w:right w:val="none" w:sz="0" w:space="0" w:color="auto"/>
      </w:divBdr>
    </w:div>
    <w:div w:id="2053190421">
      <w:bodyDiv w:val="1"/>
      <w:marLeft w:val="0"/>
      <w:marRight w:val="0"/>
      <w:marTop w:val="0"/>
      <w:marBottom w:val="0"/>
      <w:divBdr>
        <w:top w:val="none" w:sz="0" w:space="0" w:color="auto"/>
        <w:left w:val="none" w:sz="0" w:space="0" w:color="auto"/>
        <w:bottom w:val="none" w:sz="0" w:space="0" w:color="auto"/>
        <w:right w:val="none" w:sz="0" w:space="0" w:color="auto"/>
      </w:divBdr>
    </w:div>
    <w:div w:id="2107921006">
      <w:bodyDiv w:val="1"/>
      <w:marLeft w:val="0"/>
      <w:marRight w:val="0"/>
      <w:marTop w:val="0"/>
      <w:marBottom w:val="0"/>
      <w:divBdr>
        <w:top w:val="none" w:sz="0" w:space="0" w:color="auto"/>
        <w:left w:val="none" w:sz="0" w:space="0" w:color="auto"/>
        <w:bottom w:val="none" w:sz="0" w:space="0" w:color="auto"/>
        <w:right w:val="none" w:sz="0" w:space="0" w:color="auto"/>
      </w:divBdr>
    </w:div>
    <w:div w:id="21216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简约文档封面模板</Template>
  <TotalTime>2</TotalTime>
  <Pages>35</Pages>
  <Words>2220</Words>
  <Characters>12654</Characters>
  <Application>Microsoft Office Word</Application>
  <DocSecurity>0</DocSecurity>
  <Lines>105</Lines>
  <Paragraphs>29</Paragraphs>
  <ScaleCrop>false</ScaleCrop>
  <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dell</cp:lastModifiedBy>
  <cp:revision>3</cp:revision>
  <cp:lastPrinted>2020-07-30T02:37:00Z</cp:lastPrinted>
  <dcterms:created xsi:type="dcterms:W3CDTF">2024-08-23T02:10:00Z</dcterms:created>
  <dcterms:modified xsi:type="dcterms:W3CDTF">2024-08-23T02:12:00Z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