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hAnsi="宋体"/>
          <w:b/>
          <w:bCs/>
          <w:color w:val="auto"/>
          <w:sz w:val="36"/>
          <w:szCs w:val="44"/>
        </w:rPr>
      </w:pPr>
    </w:p>
    <w:p>
      <w:pPr>
        <w:pStyle w:val="2"/>
        <w:ind w:left="400" w:firstLine="723"/>
        <w:rPr>
          <w:rFonts w:hAnsi="宋体"/>
          <w:b/>
          <w:bCs/>
          <w:color w:val="auto"/>
          <w:sz w:val="36"/>
          <w:szCs w:val="44"/>
        </w:rPr>
      </w:pPr>
    </w:p>
    <w:p>
      <w:pPr>
        <w:rPr>
          <w:color w:val="auto"/>
        </w:rPr>
      </w:pPr>
    </w:p>
    <w:p>
      <w:pPr>
        <w:jc w:val="center"/>
        <w:textAlignment w:val="baseline"/>
        <w:rPr>
          <w:rFonts w:hAnsi="宋体"/>
          <w:b/>
          <w:bCs/>
          <w:color w:val="auto"/>
          <w:sz w:val="36"/>
          <w:szCs w:val="44"/>
        </w:rPr>
      </w:pPr>
    </w:p>
    <w:p>
      <w:pPr>
        <w:jc w:val="center"/>
        <w:textAlignment w:val="baseline"/>
        <w:rPr>
          <w:rFonts w:hAnsi="宋体"/>
          <w:b/>
          <w:bCs/>
          <w:color w:val="auto"/>
          <w:sz w:val="36"/>
          <w:szCs w:val="44"/>
        </w:rPr>
      </w:pPr>
      <w:r>
        <w:rPr>
          <w:color w:val="auto"/>
          <w:sz w:val="36"/>
        </w:rPr>
        <mc:AlternateContent>
          <mc:Choice Requires="wps">
            <w:drawing>
              <wp:anchor distT="0" distB="0" distL="114300" distR="114300" simplePos="0" relativeHeight="251659264" behindDoc="0" locked="0" layoutInCell="1" allowOverlap="1">
                <wp:simplePos x="0" y="0"/>
                <wp:positionH relativeFrom="column">
                  <wp:posOffset>2199005</wp:posOffset>
                </wp:positionH>
                <wp:positionV relativeFrom="paragraph">
                  <wp:posOffset>57150</wp:posOffset>
                </wp:positionV>
                <wp:extent cx="3620135" cy="16687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620135" cy="16687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after="48" w:afterLines="20" w:line="520" w:lineRule="exact"/>
                              <w:jc w:val="center"/>
                              <w:rPr>
                                <w:rFonts w:hint="default" w:ascii="方正小标宋简体" w:hAnsi="方正小标宋简体" w:eastAsia="方正小标宋简体" w:cs="方正小标宋简体"/>
                                <w:bCs/>
                                <w:sz w:val="32"/>
                                <w:szCs w:val="32"/>
                                <w:lang w:val="en-US" w:eastAsia="zh-CN"/>
                              </w:rPr>
                            </w:pPr>
                            <w:r>
                              <w:rPr>
                                <w:rFonts w:hint="eastAsia" w:ascii="方正小标宋简体" w:hAnsi="方正小标宋简体" w:eastAsia="方正小标宋简体" w:cs="方正小标宋简体"/>
                                <w:bCs/>
                                <w:sz w:val="32"/>
                                <w:szCs w:val="32"/>
                              </w:rPr>
                              <w:t>遵化市</w:t>
                            </w:r>
                            <w:r>
                              <w:rPr>
                                <w:rFonts w:hint="eastAsia" w:ascii="方正小标宋简体" w:hAnsi="方正小标宋简体" w:eastAsia="方正小标宋简体" w:cs="方正小标宋简体"/>
                                <w:bCs/>
                                <w:sz w:val="32"/>
                                <w:szCs w:val="32"/>
                                <w:lang w:val="en-US" w:eastAsia="zh-CN"/>
                              </w:rPr>
                              <w:t>环境卫生管理中心2022年</w:t>
                            </w:r>
                          </w:p>
                          <w:p>
                            <w:pPr>
                              <w:spacing w:after="48" w:afterLines="20" w:line="520" w:lineRule="exact"/>
                              <w:jc w:val="center"/>
                              <w:rPr>
                                <w:rFonts w:hint="eastAsia" w:ascii="方正小标宋简体" w:hAnsi="方正小标宋简体" w:eastAsia="方正小标宋简体" w:cs="方正小标宋简体"/>
                                <w:bCs/>
                                <w:sz w:val="32"/>
                                <w:szCs w:val="32"/>
                                <w:lang w:val="en-US" w:eastAsia="zh-CN"/>
                              </w:rPr>
                            </w:pPr>
                            <w:r>
                              <w:rPr>
                                <w:rFonts w:hint="eastAsia" w:ascii="方正小标宋简体" w:hAnsi="方正小标宋简体" w:eastAsia="方正小标宋简体" w:cs="方正小标宋简体"/>
                                <w:bCs/>
                                <w:sz w:val="32"/>
                                <w:szCs w:val="32"/>
                              </w:rPr>
                              <w:t>城区环卫设施零星修缮工程费用</w:t>
                            </w:r>
                            <w:r>
                              <w:rPr>
                                <w:rFonts w:hint="eastAsia" w:ascii="方正小标宋简体" w:hAnsi="方正小标宋简体" w:eastAsia="方正小标宋简体" w:cs="方正小标宋简体"/>
                                <w:bCs/>
                                <w:sz w:val="32"/>
                                <w:szCs w:val="32"/>
                                <w:lang w:val="en-US" w:eastAsia="zh-CN"/>
                              </w:rPr>
                              <w:t>项目</w:t>
                            </w:r>
                          </w:p>
                          <w:p>
                            <w:pPr>
                              <w:spacing w:after="48" w:afterLines="20" w:line="52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绩效评价报告</w:t>
                            </w:r>
                          </w:p>
                          <w:p>
                            <w:pPr>
                              <w:spacing w:line="500" w:lineRule="exact"/>
                              <w:jc w:val="both"/>
                              <w:rPr>
                                <w:rFonts w:asciiTheme="majorEastAsia" w:hAnsiTheme="majorEastAsia" w:eastAsiaTheme="majorEastAsia"/>
                                <w:b/>
                                <w:sz w:val="32"/>
                                <w:szCs w:val="32"/>
                                <w:highlight w:val="yellow"/>
                              </w:rPr>
                            </w:pPr>
                            <w:r>
                              <w:rPr>
                                <w:rFonts w:hint="eastAsia" w:cs="新宋体" w:asciiTheme="majorEastAsia" w:hAnsiTheme="majorEastAsia" w:eastAsiaTheme="majorEastAsia"/>
                                <w:b/>
                                <w:bCs/>
                                <w:sz w:val="21"/>
                                <w:szCs w:val="21"/>
                              </w:rPr>
                              <w:t xml:space="preserve">    </w:t>
                            </w:r>
                            <w:r>
                              <w:rPr>
                                <w:rFonts w:hint="eastAsia" w:cs="新宋体" w:asciiTheme="majorEastAsia" w:hAnsiTheme="majorEastAsia" w:eastAsiaTheme="majorEastAsia"/>
                                <w:b/>
                                <w:bCs/>
                                <w:sz w:val="21"/>
                                <w:szCs w:val="21"/>
                                <w:highlight w:val="none"/>
                              </w:rPr>
                              <w:t xml:space="preserve">   </w:t>
                            </w:r>
                            <w:r>
                              <w:rPr>
                                <w:rFonts w:hint="eastAsia" w:cs="新宋体" w:asciiTheme="majorEastAsia" w:hAnsiTheme="majorEastAsia" w:eastAsiaTheme="majorEastAsia"/>
                                <w:b/>
                                <w:bCs/>
                                <w:sz w:val="21"/>
                                <w:szCs w:val="21"/>
                                <w:highlight w:val="none"/>
                                <w:lang w:val="en-US" w:eastAsia="zh-CN"/>
                              </w:rPr>
                              <w:t xml:space="preserve">   </w:t>
                            </w:r>
                            <w:r>
                              <w:rPr>
                                <w:rFonts w:hint="eastAsia" w:hAnsi="宋体" w:cs="宋体"/>
                                <w:b/>
                                <w:bCs/>
                                <w:sz w:val="24"/>
                                <w:szCs w:val="24"/>
                                <w:highlight w:val="none"/>
                              </w:rPr>
                              <w:t>新正绩效（2023）第114</w:t>
                            </w:r>
                            <w:r>
                              <w:rPr>
                                <w:rFonts w:hint="eastAsia" w:hAnsi="宋体" w:cs="宋体"/>
                                <w:b/>
                                <w:bCs/>
                                <w:sz w:val="24"/>
                                <w:szCs w:val="24"/>
                                <w:highlight w:val="none"/>
                                <w:lang w:val="en-US" w:eastAsia="zh-CN"/>
                              </w:rPr>
                              <w:t>4</w:t>
                            </w:r>
                            <w:r>
                              <w:rPr>
                                <w:rFonts w:hint="eastAsia" w:hAnsi="宋体" w:cs="宋体"/>
                                <w:b/>
                                <w:bCs/>
                                <w:sz w:val="24"/>
                                <w:szCs w:val="24"/>
                                <w:highlight w:val="none"/>
                              </w:rPr>
                              <w:t>号</w:t>
                            </w:r>
                          </w:p>
                          <w:p>
                            <w:pPr>
                              <w:jc w:val="center"/>
                              <w:rPr>
                                <w:rFonts w:asciiTheme="majorEastAsia" w:hAnsiTheme="majorEastAsia" w:eastAsiaTheme="majorEastAsia"/>
                                <w:b/>
                                <w:sz w:val="32"/>
                                <w:szCs w:val="32"/>
                                <w:highlight w:val="yellow"/>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3.15pt;margin-top:4.5pt;height:131.4pt;width:285.05pt;z-index:251659264;mso-width-relative:page;mso-height-relative:page;" filled="f" stroked="f" coordsize="21600,21600" o:gfxdata="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K5dNsAAAAJAQAADwAAAAAAAAABACAAAAAiAAAA&#10;ZHJzL2Rvd25yZXYueG1sUEsBAhQAFAAAAAgAh07iQNuucKQ9AgAAZwQAAA4AAAAAAAAAAQAgAAAA&#10;KgEAAGRycy9lMm9Eb2MueG1sUEsFBgAAAAAGAAYAWQEAANkFAAAAAA==&#10;">
                <v:fill on="f" focussize="0,0"/>
                <v:stroke on="f" weight="0.5pt"/>
                <v:imagedata o:title=""/>
                <o:lock v:ext="edit" aspectratio="f"/>
                <v:textbox>
                  <w:txbxContent>
                    <w:p>
                      <w:pPr>
                        <w:spacing w:after="48" w:afterLines="20" w:line="520" w:lineRule="exact"/>
                        <w:jc w:val="center"/>
                        <w:rPr>
                          <w:rFonts w:hint="default" w:ascii="方正小标宋简体" w:hAnsi="方正小标宋简体" w:eastAsia="方正小标宋简体" w:cs="方正小标宋简体"/>
                          <w:bCs/>
                          <w:sz w:val="32"/>
                          <w:szCs w:val="32"/>
                          <w:lang w:val="en-US" w:eastAsia="zh-CN"/>
                        </w:rPr>
                      </w:pPr>
                      <w:r>
                        <w:rPr>
                          <w:rFonts w:hint="eastAsia" w:ascii="方正小标宋简体" w:hAnsi="方正小标宋简体" w:eastAsia="方正小标宋简体" w:cs="方正小标宋简体"/>
                          <w:bCs/>
                          <w:sz w:val="32"/>
                          <w:szCs w:val="32"/>
                        </w:rPr>
                        <w:t>遵化市</w:t>
                      </w:r>
                      <w:r>
                        <w:rPr>
                          <w:rFonts w:hint="eastAsia" w:ascii="方正小标宋简体" w:hAnsi="方正小标宋简体" w:eastAsia="方正小标宋简体" w:cs="方正小标宋简体"/>
                          <w:bCs/>
                          <w:sz w:val="32"/>
                          <w:szCs w:val="32"/>
                          <w:lang w:val="en-US" w:eastAsia="zh-CN"/>
                        </w:rPr>
                        <w:t>环境卫生管理中心2022年</w:t>
                      </w:r>
                    </w:p>
                    <w:p>
                      <w:pPr>
                        <w:spacing w:after="48" w:afterLines="20" w:line="520" w:lineRule="exact"/>
                        <w:jc w:val="center"/>
                        <w:rPr>
                          <w:rFonts w:hint="eastAsia" w:ascii="方正小标宋简体" w:hAnsi="方正小标宋简体" w:eastAsia="方正小标宋简体" w:cs="方正小标宋简体"/>
                          <w:bCs/>
                          <w:sz w:val="32"/>
                          <w:szCs w:val="32"/>
                          <w:lang w:val="en-US" w:eastAsia="zh-CN"/>
                        </w:rPr>
                      </w:pPr>
                      <w:r>
                        <w:rPr>
                          <w:rFonts w:hint="eastAsia" w:ascii="方正小标宋简体" w:hAnsi="方正小标宋简体" w:eastAsia="方正小标宋简体" w:cs="方正小标宋简体"/>
                          <w:bCs/>
                          <w:sz w:val="32"/>
                          <w:szCs w:val="32"/>
                        </w:rPr>
                        <w:t>城区环卫设施零星修缮工程费用</w:t>
                      </w:r>
                      <w:r>
                        <w:rPr>
                          <w:rFonts w:hint="eastAsia" w:ascii="方正小标宋简体" w:hAnsi="方正小标宋简体" w:eastAsia="方正小标宋简体" w:cs="方正小标宋简体"/>
                          <w:bCs/>
                          <w:sz w:val="32"/>
                          <w:szCs w:val="32"/>
                          <w:lang w:val="en-US" w:eastAsia="zh-CN"/>
                        </w:rPr>
                        <w:t>项目</w:t>
                      </w:r>
                    </w:p>
                    <w:p>
                      <w:pPr>
                        <w:spacing w:after="48" w:afterLines="20" w:line="52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绩效评价报告</w:t>
                      </w:r>
                    </w:p>
                    <w:p>
                      <w:pPr>
                        <w:spacing w:line="500" w:lineRule="exact"/>
                        <w:jc w:val="both"/>
                        <w:rPr>
                          <w:rFonts w:asciiTheme="majorEastAsia" w:hAnsiTheme="majorEastAsia" w:eastAsiaTheme="majorEastAsia"/>
                          <w:b/>
                          <w:sz w:val="32"/>
                          <w:szCs w:val="32"/>
                          <w:highlight w:val="yellow"/>
                        </w:rPr>
                      </w:pPr>
                      <w:r>
                        <w:rPr>
                          <w:rFonts w:hint="eastAsia" w:cs="新宋体" w:asciiTheme="majorEastAsia" w:hAnsiTheme="majorEastAsia" w:eastAsiaTheme="majorEastAsia"/>
                          <w:b/>
                          <w:bCs/>
                          <w:sz w:val="21"/>
                          <w:szCs w:val="21"/>
                        </w:rPr>
                        <w:t xml:space="preserve">    </w:t>
                      </w:r>
                      <w:r>
                        <w:rPr>
                          <w:rFonts w:hint="eastAsia" w:cs="新宋体" w:asciiTheme="majorEastAsia" w:hAnsiTheme="majorEastAsia" w:eastAsiaTheme="majorEastAsia"/>
                          <w:b/>
                          <w:bCs/>
                          <w:sz w:val="21"/>
                          <w:szCs w:val="21"/>
                          <w:highlight w:val="none"/>
                        </w:rPr>
                        <w:t xml:space="preserve">   </w:t>
                      </w:r>
                      <w:r>
                        <w:rPr>
                          <w:rFonts w:hint="eastAsia" w:cs="新宋体" w:asciiTheme="majorEastAsia" w:hAnsiTheme="majorEastAsia" w:eastAsiaTheme="majorEastAsia"/>
                          <w:b/>
                          <w:bCs/>
                          <w:sz w:val="21"/>
                          <w:szCs w:val="21"/>
                          <w:highlight w:val="none"/>
                          <w:lang w:val="en-US" w:eastAsia="zh-CN"/>
                        </w:rPr>
                        <w:t xml:space="preserve">   </w:t>
                      </w:r>
                      <w:r>
                        <w:rPr>
                          <w:rFonts w:hint="eastAsia" w:hAnsi="宋体" w:cs="宋体"/>
                          <w:b/>
                          <w:bCs/>
                          <w:sz w:val="24"/>
                          <w:szCs w:val="24"/>
                          <w:highlight w:val="none"/>
                        </w:rPr>
                        <w:t>新正绩效（2023）第114</w:t>
                      </w:r>
                      <w:r>
                        <w:rPr>
                          <w:rFonts w:hint="eastAsia" w:hAnsi="宋体" w:cs="宋体"/>
                          <w:b/>
                          <w:bCs/>
                          <w:sz w:val="24"/>
                          <w:szCs w:val="24"/>
                          <w:highlight w:val="none"/>
                          <w:lang w:val="en-US" w:eastAsia="zh-CN"/>
                        </w:rPr>
                        <w:t>4</w:t>
                      </w:r>
                      <w:r>
                        <w:rPr>
                          <w:rFonts w:hint="eastAsia" w:hAnsi="宋体" w:cs="宋体"/>
                          <w:b/>
                          <w:bCs/>
                          <w:sz w:val="24"/>
                          <w:szCs w:val="24"/>
                          <w:highlight w:val="none"/>
                        </w:rPr>
                        <w:t>号</w:t>
                      </w:r>
                    </w:p>
                    <w:p>
                      <w:pPr>
                        <w:jc w:val="center"/>
                        <w:rPr>
                          <w:rFonts w:asciiTheme="majorEastAsia" w:hAnsiTheme="majorEastAsia" w:eastAsiaTheme="majorEastAsia"/>
                          <w:b/>
                          <w:sz w:val="32"/>
                          <w:szCs w:val="32"/>
                          <w:highlight w:val="yellow"/>
                        </w:rPr>
                      </w:pPr>
                    </w:p>
                    <w:p/>
                  </w:txbxContent>
                </v:textbox>
              </v:shape>
            </w:pict>
          </mc:Fallback>
        </mc:AlternateContent>
      </w:r>
    </w:p>
    <w:p>
      <w:pPr>
        <w:jc w:val="center"/>
        <w:textAlignment w:val="baseline"/>
        <w:rPr>
          <w:rFonts w:hAnsi="宋体"/>
          <w:b/>
          <w:bCs/>
          <w:color w:val="auto"/>
          <w:sz w:val="24"/>
          <w:szCs w:val="24"/>
        </w:rPr>
      </w:pPr>
    </w:p>
    <w:p>
      <w:pPr>
        <w:jc w:val="center"/>
        <w:textAlignment w:val="baseline"/>
        <w:rPr>
          <w:rFonts w:hAnsi="宋体"/>
          <w:b/>
          <w:bCs/>
          <w:color w:val="auto"/>
          <w:sz w:val="24"/>
          <w:szCs w:val="24"/>
        </w:rPr>
      </w:pPr>
    </w:p>
    <w:p>
      <w:pPr>
        <w:jc w:val="center"/>
        <w:rPr>
          <w:rFonts w:asciiTheme="majorEastAsia" w:hAnsiTheme="majorEastAsia" w:eastAsiaTheme="majorEastAsia"/>
          <w:b/>
          <w:color w:val="auto"/>
          <w:sz w:val="32"/>
          <w:szCs w:val="32"/>
        </w:rPr>
      </w:pPr>
    </w:p>
    <w:p>
      <w:pPr>
        <w:spacing w:line="660" w:lineRule="exact"/>
        <w:ind w:firstLine="883" w:firstLineChars="200"/>
        <w:rPr>
          <w:rFonts w:ascii="新宋体" w:hAnsi="新宋体" w:eastAsia="新宋体" w:cs="黑体"/>
          <w:b/>
          <w:color w:val="auto"/>
          <w:sz w:val="44"/>
          <w:szCs w:val="44"/>
        </w:rPr>
      </w:pPr>
    </w:p>
    <w:p>
      <w:pPr>
        <w:textAlignment w:val="baseline"/>
        <w:rPr>
          <w:rFonts w:ascii="Times New Roman" w:eastAsia="黑体"/>
          <w:b/>
          <w:color w:val="auto"/>
          <w:szCs w:val="32"/>
        </w:rPr>
      </w:pPr>
    </w:p>
    <w:p>
      <w:pPr>
        <w:textAlignment w:val="baseline"/>
        <w:rPr>
          <w:rFonts w:hAnsi="宋体"/>
          <w:color w:val="auto"/>
          <w:szCs w:val="32"/>
        </w:rPr>
      </w:pPr>
    </w:p>
    <w:p>
      <w:pPr>
        <w:textAlignment w:val="baseline"/>
        <w:rPr>
          <w:rFonts w:hAnsi="宋体"/>
          <w:color w:val="auto"/>
          <w:szCs w:val="32"/>
        </w:rPr>
      </w:pPr>
    </w:p>
    <w:p>
      <w:pPr>
        <w:textAlignment w:val="baseline"/>
        <w:rPr>
          <w:rFonts w:hAnsi="宋体"/>
          <w:color w:val="auto"/>
          <w:szCs w:val="32"/>
        </w:rPr>
      </w:pPr>
    </w:p>
    <w:p>
      <w:pPr>
        <w:spacing w:line="276" w:lineRule="auto"/>
        <w:textAlignment w:val="baseline"/>
        <w:rPr>
          <w:rFonts w:ascii="仿宋" w:hAnsi="仿宋" w:eastAsia="仿宋"/>
          <w:color w:val="auto"/>
          <w:sz w:val="32"/>
          <w:szCs w:val="32"/>
        </w:rPr>
      </w:pPr>
    </w:p>
    <w:p>
      <w:pPr>
        <w:spacing w:line="276" w:lineRule="auto"/>
        <w:textAlignment w:val="baseline"/>
        <w:rPr>
          <w:rFonts w:ascii="仿宋" w:hAnsi="仿宋" w:eastAsia="仿宋"/>
          <w:color w:val="auto"/>
          <w:sz w:val="32"/>
          <w:szCs w:val="32"/>
        </w:rPr>
      </w:pPr>
    </w:p>
    <w:p>
      <w:pPr>
        <w:pStyle w:val="2"/>
        <w:rPr>
          <w:rFonts w:ascii="仿宋" w:hAnsi="仿宋" w:eastAsia="仿宋"/>
          <w:color w:val="auto"/>
          <w:sz w:val="32"/>
          <w:szCs w:val="32"/>
        </w:rPr>
      </w:pPr>
    </w:p>
    <w:p>
      <w:pPr>
        <w:rPr>
          <w:rFonts w:ascii="仿宋" w:hAnsi="仿宋" w:eastAsia="仿宋"/>
          <w:color w:val="auto"/>
          <w:sz w:val="32"/>
          <w:szCs w:val="32"/>
        </w:rPr>
      </w:pPr>
    </w:p>
    <w:p>
      <w:pPr>
        <w:pStyle w:val="2"/>
        <w:rPr>
          <w:rFonts w:ascii="仿宋" w:hAnsi="仿宋" w:eastAsia="仿宋"/>
          <w:color w:val="auto"/>
          <w:sz w:val="32"/>
          <w:szCs w:val="32"/>
        </w:rPr>
      </w:pPr>
    </w:p>
    <w:p>
      <w:pPr>
        <w:rPr>
          <w:rFonts w:ascii="仿宋" w:hAnsi="仿宋" w:eastAsia="仿宋"/>
          <w:color w:val="auto"/>
          <w:sz w:val="32"/>
          <w:szCs w:val="32"/>
        </w:rPr>
      </w:pPr>
    </w:p>
    <w:p>
      <w:pPr>
        <w:pStyle w:val="2"/>
        <w:rPr>
          <w:color w:val="auto"/>
        </w:rPr>
      </w:pPr>
    </w:p>
    <w:p>
      <w:pPr>
        <w:spacing w:line="276" w:lineRule="auto"/>
        <w:textAlignment w:val="baseline"/>
        <w:rPr>
          <w:rFonts w:ascii="仿宋" w:hAnsi="仿宋" w:eastAsia="仿宋"/>
          <w:color w:val="auto"/>
          <w:sz w:val="32"/>
          <w:szCs w:val="32"/>
        </w:rPr>
      </w:pPr>
    </w:p>
    <w:p>
      <w:pPr>
        <w:spacing w:line="276" w:lineRule="auto"/>
        <w:textAlignment w:val="baseline"/>
        <w:rPr>
          <w:rFonts w:ascii="仿宋" w:hAnsi="仿宋" w:eastAsia="仿宋"/>
          <w:color w:val="auto"/>
          <w:sz w:val="32"/>
          <w:szCs w:val="32"/>
        </w:rPr>
      </w:pPr>
    </w:p>
    <w:p>
      <w:pPr>
        <w:spacing w:line="360" w:lineRule="auto"/>
        <w:textAlignment w:val="baseline"/>
        <w:rPr>
          <w:rFonts w:hint="default" w:ascii="仿宋" w:hAnsi="仿宋" w:eastAsia="仿宋"/>
          <w:color w:val="auto"/>
          <w:sz w:val="30"/>
          <w:szCs w:val="30"/>
          <w:lang w:val="en-US" w:eastAsia="zh-CN"/>
        </w:rPr>
      </w:pPr>
      <w:r>
        <w:rPr>
          <w:rFonts w:hint="eastAsia" w:ascii="仿宋" w:hAnsi="仿宋" w:eastAsia="仿宋"/>
          <w:b/>
          <w:bCs/>
          <w:color w:val="auto"/>
          <w:sz w:val="30"/>
          <w:szCs w:val="30"/>
        </w:rPr>
        <w:t>委 托 方：</w:t>
      </w:r>
      <w:r>
        <w:rPr>
          <w:rFonts w:hint="eastAsia" w:ascii="仿宋" w:hAnsi="仿宋" w:eastAsia="仿宋"/>
          <w:color w:val="auto"/>
          <w:sz w:val="30"/>
          <w:szCs w:val="30"/>
        </w:rPr>
        <w:t>遵化市</w:t>
      </w:r>
      <w:r>
        <w:rPr>
          <w:rFonts w:hint="eastAsia" w:ascii="仿宋" w:hAnsi="仿宋" w:eastAsia="仿宋"/>
          <w:color w:val="auto"/>
          <w:sz w:val="30"/>
          <w:szCs w:val="30"/>
          <w:lang w:val="en-US" w:eastAsia="zh-CN"/>
        </w:rPr>
        <w:t>财政局</w:t>
      </w:r>
    </w:p>
    <w:p>
      <w:pPr>
        <w:spacing w:line="360" w:lineRule="auto"/>
        <w:textAlignment w:val="baseline"/>
        <w:rPr>
          <w:rFonts w:ascii="仿宋" w:hAnsi="仿宋" w:eastAsia="仿宋"/>
          <w:color w:val="auto"/>
          <w:sz w:val="30"/>
          <w:szCs w:val="30"/>
        </w:rPr>
      </w:pPr>
      <w:r>
        <w:rPr>
          <w:rFonts w:hint="eastAsia" w:ascii="仿宋" w:hAnsi="仿宋" w:eastAsia="仿宋"/>
          <w:b/>
          <w:bCs/>
          <w:color w:val="auto"/>
          <w:sz w:val="30"/>
          <w:szCs w:val="30"/>
        </w:rPr>
        <w:t>项目名称：</w:t>
      </w:r>
      <w:r>
        <w:rPr>
          <w:rFonts w:hint="eastAsia" w:ascii="仿宋" w:hAnsi="仿宋" w:eastAsia="仿宋"/>
          <w:color w:val="auto"/>
          <w:sz w:val="30"/>
          <w:szCs w:val="30"/>
          <w:lang w:val="en-US" w:eastAsia="zh-CN"/>
        </w:rPr>
        <w:t>2022年</w:t>
      </w:r>
      <w:r>
        <w:rPr>
          <w:rFonts w:hint="eastAsia" w:ascii="仿宋" w:hAnsi="仿宋" w:eastAsia="仿宋"/>
          <w:color w:val="auto"/>
          <w:sz w:val="30"/>
          <w:szCs w:val="30"/>
        </w:rPr>
        <w:t>城区环卫设施零星修缮工程费用</w:t>
      </w:r>
    </w:p>
    <w:p>
      <w:pPr>
        <w:spacing w:line="360" w:lineRule="auto"/>
        <w:textAlignment w:val="baseline"/>
        <w:rPr>
          <w:rFonts w:ascii="仿宋" w:hAnsi="仿宋" w:eastAsia="仿宋"/>
          <w:color w:val="auto"/>
          <w:sz w:val="30"/>
          <w:szCs w:val="30"/>
        </w:rPr>
      </w:pPr>
      <w:r>
        <w:rPr>
          <w:rFonts w:hint="eastAsia" w:ascii="仿宋" w:hAnsi="仿宋" w:eastAsia="仿宋"/>
          <w:b/>
          <w:bCs/>
          <w:color w:val="auto"/>
          <w:sz w:val="30"/>
          <w:szCs w:val="30"/>
        </w:rPr>
        <w:t>项目单位：</w:t>
      </w:r>
      <w:r>
        <w:rPr>
          <w:rFonts w:hint="eastAsia" w:ascii="仿宋" w:hAnsi="仿宋" w:eastAsia="仿宋"/>
          <w:color w:val="auto"/>
          <w:sz w:val="30"/>
          <w:szCs w:val="30"/>
        </w:rPr>
        <w:t>遵化市环境卫生管理中心</w:t>
      </w:r>
    </w:p>
    <w:p>
      <w:pPr>
        <w:spacing w:line="360" w:lineRule="auto"/>
        <w:textAlignment w:val="baseline"/>
        <w:rPr>
          <w:rFonts w:ascii="仿宋" w:hAnsi="仿宋" w:eastAsia="仿宋"/>
          <w:color w:val="auto"/>
          <w:sz w:val="30"/>
          <w:szCs w:val="30"/>
        </w:rPr>
      </w:pPr>
      <w:r>
        <w:rPr>
          <w:rFonts w:hint="eastAsia" w:ascii="仿宋" w:hAnsi="仿宋" w:eastAsia="仿宋"/>
          <w:b/>
          <w:bCs/>
          <w:color w:val="auto"/>
          <w:sz w:val="30"/>
          <w:szCs w:val="30"/>
        </w:rPr>
        <w:t>评价机构：</w:t>
      </w:r>
      <w:r>
        <w:rPr>
          <w:rFonts w:hint="eastAsia" w:ascii="仿宋" w:hAnsi="仿宋" w:eastAsia="仿宋"/>
          <w:color w:val="auto"/>
          <w:sz w:val="30"/>
          <w:szCs w:val="30"/>
        </w:rPr>
        <w:t>唐山市新正会计师事务所（普通合伙）</w:t>
      </w:r>
    </w:p>
    <w:p>
      <w:pPr>
        <w:spacing w:line="360" w:lineRule="auto"/>
        <w:rPr>
          <w:rFonts w:ascii="仿宋" w:hAnsi="仿宋" w:eastAsia="仿宋" w:cs="仿宋"/>
          <w:color w:val="auto"/>
          <w:sz w:val="30"/>
          <w:szCs w:val="30"/>
        </w:rPr>
      </w:pPr>
      <w:r>
        <w:rPr>
          <w:rFonts w:hint="eastAsia" w:ascii="仿宋" w:hAnsi="仿宋" w:eastAsia="仿宋"/>
          <w:b/>
          <w:bCs/>
          <w:color w:val="auto"/>
          <w:sz w:val="30"/>
          <w:szCs w:val="30"/>
          <w:highlight w:val="none"/>
        </w:rPr>
        <w:t>报告日期：</w:t>
      </w:r>
      <w:r>
        <w:rPr>
          <w:rFonts w:hint="eastAsia" w:ascii="仿宋" w:hAnsi="仿宋" w:eastAsia="仿宋" w:cs="仿宋"/>
          <w:color w:val="auto"/>
          <w:sz w:val="30"/>
          <w:szCs w:val="30"/>
          <w:highlight w:val="none"/>
        </w:rPr>
        <w:t>二〇二三年</w:t>
      </w:r>
      <w:r>
        <w:rPr>
          <w:rFonts w:hint="eastAsia" w:ascii="仿宋" w:hAnsi="仿宋" w:eastAsia="仿宋" w:cs="仿宋"/>
          <w:color w:val="auto"/>
          <w:sz w:val="30"/>
          <w:szCs w:val="30"/>
          <w:highlight w:val="none"/>
          <w:lang w:val="en-US" w:eastAsia="zh-CN"/>
        </w:rPr>
        <w:t>七</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三十一</w:t>
      </w:r>
      <w:r>
        <w:rPr>
          <w:rFonts w:hint="eastAsia" w:ascii="仿宋" w:hAnsi="仿宋" w:eastAsia="仿宋" w:cs="仿宋"/>
          <w:color w:val="auto"/>
          <w:sz w:val="30"/>
          <w:szCs w:val="30"/>
          <w:highlight w:val="none"/>
        </w:rPr>
        <w:t>日</w:t>
      </w:r>
      <w:r>
        <w:rPr>
          <w:rFonts w:ascii="仿宋" w:hAnsi="仿宋" w:eastAsia="仿宋" w:cs="仿宋"/>
          <w:color w:val="auto"/>
          <w:sz w:val="30"/>
          <w:szCs w:val="30"/>
        </w:rPr>
        <w:br w:type="page"/>
      </w:r>
    </w:p>
    <w:p>
      <w:pPr>
        <w:pStyle w:val="38"/>
        <w:bidi w:val="0"/>
        <w:rPr>
          <w:rFonts w:hint="default"/>
          <w:lang w:val="en-US" w:eastAsia="zh-CN"/>
        </w:rPr>
      </w:pPr>
      <w:r>
        <w:rPr>
          <w:rFonts w:hint="eastAsia"/>
        </w:rPr>
        <w:t>遵化市环境卫生管理中心</w:t>
      </w:r>
      <w:r>
        <w:rPr>
          <w:rFonts w:hint="eastAsia"/>
          <w:lang w:val="en-US" w:eastAsia="zh-CN"/>
        </w:rPr>
        <w:t>2022年</w:t>
      </w:r>
    </w:p>
    <w:p>
      <w:pPr>
        <w:pStyle w:val="38"/>
        <w:bidi w:val="0"/>
        <w:rPr>
          <w:rFonts w:hint="eastAsia"/>
        </w:rPr>
      </w:pPr>
      <w:bookmarkStart w:id="0" w:name="_Toc57373820"/>
      <w:r>
        <w:rPr>
          <w:rFonts w:hint="eastAsia"/>
        </w:rPr>
        <w:t>城区环卫设施零星修缮工程费用</w:t>
      </w:r>
    </w:p>
    <w:p>
      <w:pPr>
        <w:pStyle w:val="38"/>
        <w:bidi w:val="0"/>
      </w:pPr>
      <w:r>
        <w:rPr>
          <w:rFonts w:hint="eastAsia"/>
        </w:rPr>
        <w:t>绩效评价报告</w:t>
      </w:r>
      <w:bookmarkEnd w:id="0"/>
    </w:p>
    <w:p>
      <w:pPr>
        <w:jc w:val="center"/>
        <w:rPr>
          <w:rFonts w:asciiTheme="majorEastAsia" w:hAnsiTheme="majorEastAsia" w:eastAsiaTheme="majorEastAsia"/>
          <w:b/>
          <w:color w:val="auto"/>
          <w:sz w:val="36"/>
          <w:szCs w:val="36"/>
        </w:rPr>
      </w:pPr>
    </w:p>
    <w:p>
      <w:pPr>
        <w:spacing w:line="360" w:lineRule="auto"/>
        <w:textAlignment w:val="baseline"/>
        <w:rPr>
          <w:rFonts w:ascii="仿宋" w:hAnsi="仿宋" w:eastAsia="仿宋" w:cs="仿宋_GB2312"/>
          <w:b/>
          <w:color w:val="auto"/>
          <w:sz w:val="30"/>
          <w:szCs w:val="30"/>
        </w:rPr>
      </w:pPr>
      <w:bookmarkStart w:id="1" w:name="_Toc29302675"/>
      <w:r>
        <w:rPr>
          <w:rFonts w:hint="eastAsia" w:ascii="仿宋" w:hAnsi="仿宋" w:eastAsia="仿宋" w:cs="仿宋_GB2312"/>
          <w:b/>
          <w:color w:val="auto"/>
          <w:sz w:val="30"/>
          <w:szCs w:val="30"/>
          <w:lang w:val="en-US" w:eastAsia="zh-CN"/>
        </w:rPr>
        <w:t>遵化市</w:t>
      </w:r>
      <w:r>
        <w:rPr>
          <w:rFonts w:hint="eastAsia" w:ascii="仿宋" w:hAnsi="仿宋" w:eastAsia="仿宋" w:cs="仿宋_GB2312"/>
          <w:b/>
          <w:color w:val="auto"/>
          <w:sz w:val="30"/>
          <w:szCs w:val="30"/>
        </w:rPr>
        <w:t>财政局：</w:t>
      </w:r>
      <w:bookmarkEnd w:id="1"/>
    </w:p>
    <w:p>
      <w:pPr>
        <w:pStyle w:val="41"/>
        <w:bidi w:val="0"/>
        <w:rPr>
          <w:rFonts w:ascii="仿宋" w:hAnsi="仿宋" w:eastAsia="仿宋" w:cs="仿宋_GB2312"/>
          <w:color w:val="auto"/>
          <w:szCs w:val="30"/>
          <w:highlight w:val="none"/>
          <w:lang w:val="zh-CN" w:bidi="zh-CN"/>
        </w:rPr>
      </w:pPr>
      <w:r>
        <w:rPr>
          <w:rFonts w:hint="eastAsia"/>
          <w:lang w:val="zh-CN"/>
        </w:rPr>
        <w:t>为了解遵化市环境卫生管理中心</w:t>
      </w:r>
      <w:r>
        <w:rPr>
          <w:rFonts w:hint="eastAsia"/>
          <w:lang w:val="en-US"/>
        </w:rPr>
        <w:t>2022年</w:t>
      </w:r>
      <w:r>
        <w:rPr>
          <w:rFonts w:hint="eastAsia"/>
          <w:lang w:val="zh-CN"/>
        </w:rPr>
        <w:t>城区环卫设施零星修缮工程费用项目</w:t>
      </w:r>
      <w:r>
        <w:rPr>
          <w:rFonts w:hint="eastAsia"/>
          <w:lang w:val="en-US"/>
        </w:rPr>
        <w:t>资金</w:t>
      </w:r>
      <w:r>
        <w:rPr>
          <w:rFonts w:hint="eastAsia"/>
          <w:lang w:val="zh-CN"/>
        </w:rPr>
        <w:t>使用情况，加强财政支出绩效管理，建立科学、规范的财政支出绩效评价体系，提高财政资金使用效益，我们接受贵单位委托，对遵化市环境卫生管理中心</w:t>
      </w:r>
      <w:r>
        <w:rPr>
          <w:rFonts w:hint="eastAsia"/>
          <w:lang w:val="en-US"/>
        </w:rPr>
        <w:t>2022年</w:t>
      </w:r>
      <w:r>
        <w:rPr>
          <w:rFonts w:hint="eastAsia"/>
          <w:lang w:val="zh-CN"/>
        </w:rPr>
        <w:t>城区环卫设施零星修缮工程费用项目进行绩效评价。在绩效评价过程中，我们结合项目的实际情况，实施了包括询问查证、实地查看等我们认为必要的程序。经评价，该项目综合绩效评价得分</w:t>
      </w:r>
      <w:r>
        <w:rPr>
          <w:rFonts w:hint="eastAsia"/>
          <w:lang w:val="en-US"/>
        </w:rPr>
        <w:t>81.76</w:t>
      </w:r>
      <w:r>
        <w:rPr>
          <w:rFonts w:hint="eastAsia"/>
          <w:lang w:val="zh-CN"/>
        </w:rPr>
        <w:t>分，评价等级为“</w:t>
      </w:r>
      <w:r>
        <w:rPr>
          <w:rFonts w:hint="eastAsia"/>
          <w:lang w:val="en-US"/>
        </w:rPr>
        <w:t>良</w:t>
      </w:r>
      <w:r>
        <w:rPr>
          <w:rFonts w:hint="eastAsia"/>
          <w:lang w:val="zh-CN"/>
        </w:rPr>
        <w:t>”。</w:t>
      </w:r>
    </w:p>
    <w:p>
      <w:pPr>
        <w:pStyle w:val="2"/>
        <w:ind w:left="400" w:firstLine="600"/>
        <w:rPr>
          <w:rFonts w:ascii="仿宋" w:hAnsi="仿宋" w:eastAsia="仿宋" w:cs="仿宋_GB2312"/>
          <w:color w:val="auto"/>
          <w:sz w:val="30"/>
          <w:szCs w:val="30"/>
          <w:lang w:val="zh-CN" w:bidi="zh-CN"/>
        </w:rPr>
      </w:pPr>
    </w:p>
    <w:p>
      <w:pPr>
        <w:rPr>
          <w:rFonts w:ascii="仿宋" w:hAnsi="仿宋" w:eastAsia="仿宋" w:cs="仿宋_GB2312"/>
          <w:color w:val="auto"/>
          <w:sz w:val="30"/>
          <w:szCs w:val="30"/>
          <w:lang w:val="zh-CN" w:bidi="zh-CN"/>
        </w:rPr>
      </w:pPr>
    </w:p>
    <w:p>
      <w:pPr>
        <w:pStyle w:val="2"/>
        <w:rPr>
          <w:rFonts w:ascii="仿宋" w:hAnsi="仿宋" w:eastAsia="仿宋" w:cs="仿宋_GB2312"/>
          <w:color w:val="auto"/>
          <w:sz w:val="30"/>
          <w:szCs w:val="30"/>
          <w:lang w:val="zh-CN" w:bidi="zh-CN"/>
        </w:rPr>
      </w:pPr>
    </w:p>
    <w:p>
      <w:pPr>
        <w:rPr>
          <w:rFonts w:ascii="仿宋" w:hAnsi="仿宋" w:eastAsia="仿宋" w:cs="仿宋_GB2312"/>
          <w:color w:val="auto"/>
          <w:sz w:val="30"/>
          <w:szCs w:val="30"/>
          <w:lang w:val="zh-CN" w:bidi="zh-CN"/>
        </w:rPr>
      </w:pPr>
    </w:p>
    <w:p>
      <w:pPr>
        <w:pStyle w:val="2"/>
        <w:rPr>
          <w:rFonts w:ascii="仿宋" w:hAnsi="仿宋" w:eastAsia="仿宋" w:cs="仿宋_GB2312"/>
          <w:color w:val="auto"/>
          <w:sz w:val="30"/>
          <w:szCs w:val="30"/>
          <w:lang w:val="zh-CN" w:bidi="zh-CN"/>
        </w:rPr>
      </w:pPr>
    </w:p>
    <w:p>
      <w:pPr>
        <w:rPr>
          <w:color w:val="auto"/>
          <w:lang w:val="zh-CN"/>
        </w:rPr>
      </w:pPr>
    </w:p>
    <w:p>
      <w:pPr>
        <w:rPr>
          <w:color w:val="auto"/>
          <w:lang w:val="zh-CN"/>
        </w:rPr>
      </w:pPr>
    </w:p>
    <w:tbl>
      <w:tblPr>
        <w:tblStyle w:val="19"/>
        <w:tblW w:w="5000" w:type="pct"/>
        <w:tblInd w:w="0" w:type="dxa"/>
        <w:tblLayout w:type="autofit"/>
        <w:tblCellMar>
          <w:top w:w="0" w:type="dxa"/>
          <w:left w:w="108" w:type="dxa"/>
          <w:bottom w:w="0" w:type="dxa"/>
          <w:right w:w="108" w:type="dxa"/>
        </w:tblCellMar>
      </w:tblPr>
      <w:tblGrid>
        <w:gridCol w:w="9061"/>
      </w:tblGrid>
      <w:tr>
        <w:tblPrEx>
          <w:tblCellMar>
            <w:top w:w="0" w:type="dxa"/>
            <w:left w:w="108" w:type="dxa"/>
            <w:bottom w:w="0" w:type="dxa"/>
            <w:right w:w="108" w:type="dxa"/>
          </w:tblCellMar>
        </w:tblPrEx>
        <w:trPr>
          <w:trHeight w:val="680" w:hRule="atLeast"/>
        </w:trPr>
        <w:tc>
          <w:tcPr>
            <w:tcW w:w="5000" w:type="pct"/>
            <w:vAlign w:val="center"/>
          </w:tcPr>
          <w:p>
            <w:pPr>
              <w:tabs>
                <w:tab w:val="left" w:pos="574"/>
              </w:tabs>
              <w:autoSpaceDE/>
              <w:autoSpaceDN/>
              <w:adjustRightInd/>
              <w:spacing w:line="400" w:lineRule="exact"/>
              <w:jc w:val="center"/>
              <w:rPr>
                <w:rFonts w:ascii="仿宋" w:hAnsi="仿宋" w:eastAsia="仿宋" w:cs="仿宋"/>
                <w:b/>
                <w:color w:val="auto"/>
                <w:kern w:val="2"/>
                <w:sz w:val="30"/>
                <w:szCs w:val="30"/>
              </w:rPr>
            </w:pPr>
            <w:r>
              <w:rPr>
                <w:rFonts w:hint="eastAsia" w:ascii="仿宋" w:hAnsi="仿宋" w:eastAsia="仿宋" w:cs="仿宋"/>
                <w:b/>
                <w:color w:val="auto"/>
                <w:kern w:val="2"/>
                <w:sz w:val="30"/>
                <w:szCs w:val="30"/>
              </w:rPr>
              <w:t xml:space="preserve">                  报告主评人：</w:t>
            </w:r>
          </w:p>
        </w:tc>
      </w:tr>
      <w:tr>
        <w:tblPrEx>
          <w:tblCellMar>
            <w:top w:w="0" w:type="dxa"/>
            <w:left w:w="108" w:type="dxa"/>
            <w:bottom w:w="0" w:type="dxa"/>
            <w:right w:w="108" w:type="dxa"/>
          </w:tblCellMar>
        </w:tblPrEx>
        <w:trPr>
          <w:trHeight w:val="680" w:hRule="atLeast"/>
        </w:trPr>
        <w:tc>
          <w:tcPr>
            <w:tcW w:w="5000" w:type="pct"/>
            <w:vAlign w:val="center"/>
          </w:tcPr>
          <w:p>
            <w:pPr>
              <w:tabs>
                <w:tab w:val="left" w:pos="574"/>
              </w:tabs>
              <w:autoSpaceDE/>
              <w:autoSpaceDN/>
              <w:adjustRightInd/>
              <w:spacing w:line="400" w:lineRule="exact"/>
              <w:jc w:val="right"/>
              <w:rPr>
                <w:rFonts w:ascii="仿宋" w:hAnsi="仿宋" w:eastAsia="仿宋" w:cs="仿宋"/>
                <w:b/>
                <w:color w:val="auto"/>
                <w:kern w:val="2"/>
                <w:sz w:val="30"/>
                <w:szCs w:val="30"/>
              </w:rPr>
            </w:pPr>
            <w:r>
              <w:rPr>
                <w:rFonts w:hint="eastAsia" w:ascii="仿宋" w:hAnsi="仿宋" w:eastAsia="仿宋" w:cs="仿宋"/>
                <w:b/>
                <w:color w:val="auto"/>
                <w:kern w:val="2"/>
                <w:sz w:val="30"/>
                <w:szCs w:val="30"/>
              </w:rPr>
              <w:t>唐山市新正会计师事务所（普通合伙）</w:t>
            </w:r>
          </w:p>
        </w:tc>
      </w:tr>
      <w:tr>
        <w:tblPrEx>
          <w:tblCellMar>
            <w:top w:w="0" w:type="dxa"/>
            <w:left w:w="108" w:type="dxa"/>
            <w:bottom w:w="0" w:type="dxa"/>
            <w:right w:w="108" w:type="dxa"/>
          </w:tblCellMar>
        </w:tblPrEx>
        <w:trPr>
          <w:trHeight w:val="680" w:hRule="atLeast"/>
        </w:trPr>
        <w:tc>
          <w:tcPr>
            <w:tcW w:w="5000" w:type="pct"/>
            <w:vAlign w:val="center"/>
          </w:tcPr>
          <w:p>
            <w:pPr>
              <w:tabs>
                <w:tab w:val="left" w:pos="574"/>
              </w:tabs>
              <w:autoSpaceDE/>
              <w:autoSpaceDN/>
              <w:adjustRightInd/>
              <w:spacing w:line="400" w:lineRule="exact"/>
              <w:jc w:val="center"/>
              <w:rPr>
                <w:rFonts w:ascii="仿宋" w:hAnsi="仿宋" w:eastAsia="仿宋" w:cs="仿宋"/>
                <w:b/>
                <w:color w:val="auto"/>
                <w:kern w:val="2"/>
                <w:sz w:val="30"/>
                <w:szCs w:val="30"/>
              </w:rPr>
            </w:pPr>
            <w:r>
              <w:rPr>
                <w:rFonts w:hint="eastAsia" w:ascii="仿宋" w:hAnsi="仿宋" w:eastAsia="仿宋" w:cs="仿宋"/>
                <w:b/>
                <w:color w:val="auto"/>
                <w:sz w:val="30"/>
                <w:szCs w:val="30"/>
              </w:rPr>
              <w:t xml:space="preserve">                </w:t>
            </w:r>
            <w:r>
              <w:rPr>
                <w:rFonts w:hint="eastAsia" w:ascii="仿宋" w:hAnsi="仿宋" w:eastAsia="仿宋" w:cs="仿宋"/>
                <w:b/>
                <w:color w:val="auto"/>
                <w:sz w:val="30"/>
                <w:szCs w:val="30"/>
                <w:highlight w:val="none"/>
              </w:rPr>
              <w:t xml:space="preserve">   二〇二三年</w:t>
            </w:r>
            <w:r>
              <w:rPr>
                <w:rFonts w:hint="eastAsia" w:ascii="仿宋" w:hAnsi="仿宋" w:eastAsia="仿宋" w:cs="仿宋"/>
                <w:b/>
                <w:color w:val="auto"/>
                <w:sz w:val="30"/>
                <w:szCs w:val="30"/>
                <w:highlight w:val="none"/>
                <w:lang w:val="en-US" w:eastAsia="zh-CN"/>
              </w:rPr>
              <w:t>七</w:t>
            </w:r>
            <w:r>
              <w:rPr>
                <w:rFonts w:hint="eastAsia" w:ascii="仿宋" w:hAnsi="仿宋" w:eastAsia="仿宋" w:cs="仿宋"/>
                <w:b/>
                <w:color w:val="auto"/>
                <w:sz w:val="30"/>
                <w:szCs w:val="30"/>
                <w:highlight w:val="none"/>
              </w:rPr>
              <w:t>月三十一日</w:t>
            </w:r>
          </w:p>
        </w:tc>
      </w:tr>
    </w:tbl>
    <w:p>
      <w:pPr>
        <w:spacing w:after="48" w:afterLines="20" w:line="520" w:lineRule="exact"/>
        <w:textAlignment w:val="baseline"/>
        <w:rPr>
          <w:rFonts w:ascii="仿宋" w:hAnsi="仿宋" w:eastAsia="仿宋" w:cs="仿宋"/>
          <w:color w:val="auto"/>
          <w:sz w:val="30"/>
          <w:szCs w:val="30"/>
        </w:rPr>
      </w:pPr>
      <w:r>
        <w:rPr>
          <w:rFonts w:ascii="仿宋" w:hAnsi="仿宋" w:eastAsia="仿宋" w:cs="仿宋"/>
          <w:color w:val="auto"/>
          <w:sz w:val="30"/>
          <w:szCs w:val="30"/>
        </w:rPr>
        <w:br w:type="page"/>
      </w:r>
    </w:p>
    <w:sdt>
      <w:sdtPr>
        <w:rPr>
          <w:rFonts w:hint="eastAsia" w:ascii="方正小标宋简体" w:hAnsi="方正小标宋简体" w:eastAsia="方正小标宋简体" w:cs="方正小标宋简体"/>
          <w:bCs/>
          <w:color w:val="auto"/>
          <w:sz w:val="44"/>
          <w:szCs w:val="44"/>
        </w:rPr>
        <w:id w:val="1136294287"/>
        <w:docPartObj>
          <w:docPartGallery w:val="Table of Contents"/>
          <w:docPartUnique/>
        </w:docPartObj>
      </w:sdtPr>
      <w:sdtEndPr>
        <w:rPr>
          <w:rFonts w:hint="eastAsia" w:ascii="方正小标宋简体" w:hAnsi="方正小标宋简体" w:eastAsia="方正小标宋简体" w:cs="方正小标宋简体"/>
          <w:bCs/>
          <w:color w:val="auto"/>
          <w:sz w:val="32"/>
          <w:szCs w:val="32"/>
        </w:rPr>
      </w:sdtEndPr>
      <w:sdtContent>
        <w:sdt>
          <w:sdtPr>
            <w:rPr>
              <w:rFonts w:hint="eastAsia" w:ascii="方正小标宋简体" w:hAnsi="方正小标宋简体" w:eastAsia="方正小标宋简体" w:cs="方正小标宋简体"/>
              <w:bCs/>
              <w:color w:val="auto"/>
              <w:sz w:val="44"/>
              <w:szCs w:val="44"/>
            </w:rPr>
            <w:id w:val="147478054"/>
            <w:docPartObj>
              <w:docPartGallery w:val="Table of Contents"/>
              <w:docPartUnique/>
            </w:docPartObj>
          </w:sdtPr>
          <w:sdtEndPr>
            <w:rPr>
              <w:rFonts w:hint="eastAsia" w:ascii="方正小标宋简体" w:hAnsi="方正小标宋简体" w:eastAsia="方正小标宋简体" w:cs="方正小标宋简体"/>
              <w:bCs/>
              <w:color w:val="auto"/>
              <w:sz w:val="32"/>
              <w:szCs w:val="32"/>
            </w:rPr>
          </w:sdtEndPr>
          <w:sdtContent>
            <w:p>
              <w:pPr>
                <w:spacing w:after="48" w:afterLines="20" w:line="52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目    录</w:t>
              </w:r>
            </w:p>
            <w:p>
              <w:pPr>
                <w:jc w:val="center"/>
                <w:rPr>
                  <w:b/>
                  <w:bCs/>
                  <w:color w:val="auto"/>
                  <w:sz w:val="44"/>
                  <w:szCs w:val="44"/>
                </w:rPr>
              </w:pPr>
            </w:p>
            <w:p>
              <w:pPr>
                <w:pStyle w:val="15"/>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sz w:val="28"/>
                  <w:szCs w:val="28"/>
                </w:rPr>
              </w:pPr>
              <w:r>
                <w:rPr>
                  <w:rFonts w:hAnsi="宋体"/>
                  <w:b/>
                  <w:bCs/>
                  <w:color w:val="auto"/>
                  <w:sz w:val="36"/>
                  <w:szCs w:val="44"/>
                </w:rPr>
                <w:fldChar w:fldCharType="begin"/>
              </w:r>
              <w:r>
                <w:rPr>
                  <w:rFonts w:hAnsi="宋体"/>
                  <w:b/>
                  <w:bCs/>
                  <w:color w:val="auto"/>
                  <w:sz w:val="36"/>
                  <w:szCs w:val="44"/>
                </w:rPr>
                <w:instrText xml:space="preserve">TOC \o "1-2" \h \u </w:instrText>
              </w:r>
              <w:r>
                <w:rPr>
                  <w:rFonts w:hAnsi="宋体"/>
                  <w:b/>
                  <w:bCs/>
                  <w:color w:val="auto"/>
                  <w:sz w:val="36"/>
                  <w:szCs w:val="44"/>
                </w:rPr>
                <w:fldChar w:fldCharType="separate"/>
              </w:r>
              <w:r>
                <w:rPr>
                  <w:rFonts w:hAnsi="宋体"/>
                  <w:bCs/>
                  <w:color w:val="auto"/>
                  <w:sz w:val="28"/>
                  <w:szCs w:val="28"/>
                </w:rPr>
                <w:fldChar w:fldCharType="begin"/>
              </w:r>
              <w:r>
                <w:rPr>
                  <w:rFonts w:hAnsi="宋体"/>
                  <w:bCs/>
                  <w:sz w:val="28"/>
                  <w:szCs w:val="28"/>
                </w:rPr>
                <w:instrText xml:space="preserve"> HYPERLINK \l _Toc1221 </w:instrText>
              </w:r>
              <w:r>
                <w:rPr>
                  <w:rFonts w:hAnsi="宋体"/>
                  <w:bCs/>
                  <w:sz w:val="28"/>
                  <w:szCs w:val="28"/>
                </w:rPr>
                <w:fldChar w:fldCharType="separate"/>
              </w:r>
              <w:r>
                <w:rPr>
                  <w:rFonts w:hint="eastAsia" w:ascii="黑体" w:hAnsi="黑体" w:eastAsia="黑体" w:cs="黑体"/>
                  <w:bCs/>
                  <w:sz w:val="28"/>
                  <w:szCs w:val="28"/>
                </w:rPr>
                <w:t>一</w:t>
              </w:r>
              <w:r>
                <w:rPr>
                  <w:rFonts w:hint="eastAsia" w:ascii="黑体" w:hAnsi="黑体" w:eastAsia="黑体" w:cs="黑体"/>
                  <w:bCs/>
                  <w:sz w:val="28"/>
                  <w:szCs w:val="28"/>
                  <w:lang w:eastAsia="zh-CN"/>
                </w:rPr>
                <w:t>、</w:t>
              </w:r>
              <w:r>
                <w:rPr>
                  <w:rFonts w:hint="eastAsia" w:ascii="黑体" w:hAnsi="黑体" w:eastAsia="黑体" w:cs="黑体"/>
                  <w:bCs/>
                  <w:sz w:val="28"/>
                  <w:szCs w:val="28"/>
                </w:rPr>
                <w:t>项目基本情况</w:t>
              </w:r>
              <w:r>
                <w:rPr>
                  <w:sz w:val="28"/>
                  <w:szCs w:val="28"/>
                </w:rPr>
                <w:tab/>
              </w:r>
              <w:r>
                <w:rPr>
                  <w:sz w:val="28"/>
                  <w:szCs w:val="28"/>
                </w:rPr>
                <w:fldChar w:fldCharType="begin"/>
              </w:r>
              <w:r>
                <w:rPr>
                  <w:sz w:val="28"/>
                  <w:szCs w:val="28"/>
                </w:rPr>
                <w:instrText xml:space="preserve"> PAGEREF _Toc1221 \h </w:instrText>
              </w:r>
              <w:r>
                <w:rPr>
                  <w:sz w:val="28"/>
                  <w:szCs w:val="28"/>
                </w:rPr>
                <w:fldChar w:fldCharType="separate"/>
              </w:r>
              <w:r>
                <w:rPr>
                  <w:sz w:val="28"/>
                  <w:szCs w:val="28"/>
                </w:rPr>
                <w:t>1</w:t>
              </w:r>
              <w:r>
                <w:rPr>
                  <w:sz w:val="28"/>
                  <w:szCs w:val="28"/>
                </w:rPr>
                <w:fldChar w:fldCharType="end"/>
              </w:r>
              <w:r>
                <w:rPr>
                  <w:rFonts w:hAnsi="宋体"/>
                  <w:bCs/>
                  <w:color w:val="auto"/>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sz w:val="28"/>
                  <w:szCs w:val="28"/>
                </w:rPr>
              </w:pPr>
              <w:r>
                <w:rPr>
                  <w:rFonts w:hAnsi="宋体"/>
                  <w:bCs/>
                  <w:color w:val="auto"/>
                  <w:sz w:val="28"/>
                  <w:szCs w:val="28"/>
                </w:rPr>
                <w:fldChar w:fldCharType="begin"/>
              </w:r>
              <w:r>
                <w:rPr>
                  <w:rFonts w:hAnsi="宋体"/>
                  <w:bCs/>
                  <w:sz w:val="28"/>
                  <w:szCs w:val="28"/>
                </w:rPr>
                <w:instrText xml:space="preserve"> HYPERLINK \l _Toc16670 </w:instrText>
              </w:r>
              <w:r>
                <w:rPr>
                  <w:rFonts w:hAnsi="宋体"/>
                  <w:bCs/>
                  <w:sz w:val="28"/>
                  <w:szCs w:val="28"/>
                </w:rPr>
                <w:fldChar w:fldCharType="separate"/>
              </w:r>
              <w:r>
                <w:rPr>
                  <w:rFonts w:hint="eastAsia" w:ascii="华文楷体" w:hAnsi="华文楷体" w:eastAsia="华文楷体" w:cs="华文楷体"/>
                  <w:bCs/>
                  <w:sz w:val="28"/>
                  <w:szCs w:val="28"/>
                </w:rPr>
                <w:t>（一）项目概况</w:t>
              </w:r>
              <w:r>
                <w:rPr>
                  <w:sz w:val="28"/>
                  <w:szCs w:val="28"/>
                </w:rPr>
                <w:tab/>
              </w:r>
              <w:r>
                <w:rPr>
                  <w:sz w:val="28"/>
                  <w:szCs w:val="28"/>
                </w:rPr>
                <w:fldChar w:fldCharType="begin"/>
              </w:r>
              <w:r>
                <w:rPr>
                  <w:sz w:val="28"/>
                  <w:szCs w:val="28"/>
                </w:rPr>
                <w:instrText xml:space="preserve"> PAGEREF _Toc16670 \h </w:instrText>
              </w:r>
              <w:r>
                <w:rPr>
                  <w:sz w:val="28"/>
                  <w:szCs w:val="28"/>
                </w:rPr>
                <w:fldChar w:fldCharType="separate"/>
              </w:r>
              <w:r>
                <w:rPr>
                  <w:sz w:val="28"/>
                  <w:szCs w:val="28"/>
                </w:rPr>
                <w:t>1</w:t>
              </w:r>
              <w:r>
                <w:rPr>
                  <w:sz w:val="28"/>
                  <w:szCs w:val="28"/>
                </w:rPr>
                <w:fldChar w:fldCharType="end"/>
              </w:r>
              <w:r>
                <w:rPr>
                  <w:rFonts w:hAnsi="宋体"/>
                  <w:bCs/>
                  <w:color w:val="auto"/>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sz w:val="28"/>
                  <w:szCs w:val="28"/>
                </w:rPr>
              </w:pPr>
              <w:r>
                <w:rPr>
                  <w:rFonts w:hAnsi="宋体"/>
                  <w:bCs/>
                  <w:color w:val="auto"/>
                  <w:sz w:val="28"/>
                  <w:szCs w:val="28"/>
                </w:rPr>
                <w:fldChar w:fldCharType="begin"/>
              </w:r>
              <w:r>
                <w:rPr>
                  <w:rFonts w:hAnsi="宋体"/>
                  <w:bCs/>
                  <w:sz w:val="28"/>
                  <w:szCs w:val="28"/>
                </w:rPr>
                <w:instrText xml:space="preserve"> HYPERLINK \l _Toc18795 </w:instrText>
              </w:r>
              <w:r>
                <w:rPr>
                  <w:rFonts w:hAnsi="宋体"/>
                  <w:bCs/>
                  <w:sz w:val="28"/>
                  <w:szCs w:val="28"/>
                </w:rPr>
                <w:fldChar w:fldCharType="separate"/>
              </w:r>
              <w:r>
                <w:rPr>
                  <w:rFonts w:hint="eastAsia" w:ascii="华文楷体" w:hAnsi="华文楷体" w:eastAsia="华文楷体" w:cs="华文楷体"/>
                  <w:bCs/>
                  <w:sz w:val="28"/>
                  <w:szCs w:val="28"/>
                </w:rPr>
                <w:t>（二）项目绩效目标</w:t>
              </w:r>
              <w:r>
                <w:rPr>
                  <w:sz w:val="28"/>
                  <w:szCs w:val="28"/>
                </w:rPr>
                <w:tab/>
              </w:r>
              <w:r>
                <w:rPr>
                  <w:sz w:val="28"/>
                  <w:szCs w:val="28"/>
                </w:rPr>
                <w:fldChar w:fldCharType="begin"/>
              </w:r>
              <w:r>
                <w:rPr>
                  <w:sz w:val="28"/>
                  <w:szCs w:val="28"/>
                </w:rPr>
                <w:instrText xml:space="preserve"> PAGEREF _Toc18795 \h </w:instrText>
              </w:r>
              <w:r>
                <w:rPr>
                  <w:sz w:val="28"/>
                  <w:szCs w:val="28"/>
                </w:rPr>
                <w:fldChar w:fldCharType="separate"/>
              </w:r>
              <w:r>
                <w:rPr>
                  <w:sz w:val="28"/>
                  <w:szCs w:val="28"/>
                </w:rPr>
                <w:t>1</w:t>
              </w:r>
              <w:r>
                <w:rPr>
                  <w:sz w:val="28"/>
                  <w:szCs w:val="28"/>
                </w:rPr>
                <w:fldChar w:fldCharType="end"/>
              </w:r>
              <w:r>
                <w:rPr>
                  <w:rFonts w:hAnsi="宋体"/>
                  <w:bCs/>
                  <w:color w:val="auto"/>
                  <w:sz w:val="28"/>
                  <w:szCs w:val="28"/>
                </w:rPr>
                <w:fldChar w:fldCharType="end"/>
              </w:r>
            </w:p>
            <w:p>
              <w:pPr>
                <w:pStyle w:val="15"/>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sz w:val="28"/>
                  <w:szCs w:val="28"/>
                </w:rPr>
              </w:pPr>
              <w:r>
                <w:rPr>
                  <w:rFonts w:hAnsi="宋体"/>
                  <w:bCs/>
                  <w:color w:val="auto"/>
                  <w:sz w:val="28"/>
                  <w:szCs w:val="28"/>
                </w:rPr>
                <w:fldChar w:fldCharType="begin"/>
              </w:r>
              <w:r>
                <w:rPr>
                  <w:rFonts w:hAnsi="宋体"/>
                  <w:bCs/>
                  <w:sz w:val="28"/>
                  <w:szCs w:val="28"/>
                </w:rPr>
                <w:instrText xml:space="preserve"> HYPERLINK \l _Toc29352 </w:instrText>
              </w:r>
              <w:r>
                <w:rPr>
                  <w:rFonts w:hAnsi="宋体"/>
                  <w:bCs/>
                  <w:sz w:val="28"/>
                  <w:szCs w:val="28"/>
                </w:rPr>
                <w:fldChar w:fldCharType="separate"/>
              </w:r>
              <w:r>
                <w:rPr>
                  <w:rFonts w:hint="eastAsia" w:ascii="黑体" w:hAnsi="黑体" w:eastAsia="黑体" w:cs="黑体"/>
                  <w:bCs/>
                  <w:sz w:val="28"/>
                  <w:szCs w:val="28"/>
                </w:rPr>
                <w:t>二</w:t>
              </w:r>
              <w:r>
                <w:rPr>
                  <w:rFonts w:hint="eastAsia" w:ascii="黑体" w:hAnsi="黑体" w:eastAsia="黑体" w:cs="黑体"/>
                  <w:bCs/>
                  <w:sz w:val="28"/>
                  <w:szCs w:val="28"/>
                  <w:lang w:eastAsia="zh-CN"/>
                </w:rPr>
                <w:t>、</w:t>
              </w:r>
              <w:r>
                <w:rPr>
                  <w:rFonts w:hint="eastAsia" w:ascii="黑体" w:hAnsi="黑体" w:eastAsia="黑体" w:cs="黑体"/>
                  <w:bCs/>
                  <w:sz w:val="28"/>
                  <w:szCs w:val="28"/>
                </w:rPr>
                <w:t>项目实施情况</w:t>
              </w:r>
              <w:r>
                <w:rPr>
                  <w:sz w:val="28"/>
                  <w:szCs w:val="28"/>
                </w:rPr>
                <w:tab/>
              </w:r>
              <w:r>
                <w:rPr>
                  <w:sz w:val="28"/>
                  <w:szCs w:val="28"/>
                </w:rPr>
                <w:fldChar w:fldCharType="begin"/>
              </w:r>
              <w:r>
                <w:rPr>
                  <w:sz w:val="28"/>
                  <w:szCs w:val="28"/>
                </w:rPr>
                <w:instrText xml:space="preserve"> PAGEREF _Toc29352 \h </w:instrText>
              </w:r>
              <w:r>
                <w:rPr>
                  <w:sz w:val="28"/>
                  <w:szCs w:val="28"/>
                </w:rPr>
                <w:fldChar w:fldCharType="separate"/>
              </w:r>
              <w:r>
                <w:rPr>
                  <w:sz w:val="28"/>
                  <w:szCs w:val="28"/>
                </w:rPr>
                <w:t>1</w:t>
              </w:r>
              <w:r>
                <w:rPr>
                  <w:sz w:val="28"/>
                  <w:szCs w:val="28"/>
                </w:rPr>
                <w:fldChar w:fldCharType="end"/>
              </w:r>
              <w:r>
                <w:rPr>
                  <w:rFonts w:hAnsi="宋体"/>
                  <w:bCs/>
                  <w:color w:val="auto"/>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sz w:val="28"/>
                  <w:szCs w:val="28"/>
                </w:rPr>
              </w:pPr>
              <w:r>
                <w:rPr>
                  <w:rFonts w:hAnsi="宋体"/>
                  <w:bCs/>
                  <w:color w:val="auto"/>
                  <w:sz w:val="28"/>
                  <w:szCs w:val="28"/>
                </w:rPr>
                <w:fldChar w:fldCharType="begin"/>
              </w:r>
              <w:r>
                <w:rPr>
                  <w:rFonts w:hAnsi="宋体"/>
                  <w:bCs/>
                  <w:sz w:val="28"/>
                  <w:szCs w:val="28"/>
                </w:rPr>
                <w:instrText xml:space="preserve"> HYPERLINK \l _Toc498 </w:instrText>
              </w:r>
              <w:r>
                <w:rPr>
                  <w:rFonts w:hAnsi="宋体"/>
                  <w:bCs/>
                  <w:sz w:val="28"/>
                  <w:szCs w:val="28"/>
                </w:rPr>
                <w:fldChar w:fldCharType="separate"/>
              </w:r>
              <w:r>
                <w:rPr>
                  <w:rFonts w:hint="eastAsia" w:ascii="华文楷体" w:hAnsi="华文楷体" w:eastAsia="华文楷体" w:cs="华文楷体"/>
                  <w:bCs/>
                  <w:sz w:val="28"/>
                  <w:szCs w:val="28"/>
                </w:rPr>
                <w:t>（一）项目资金</w:t>
              </w:r>
              <w:r>
                <w:rPr>
                  <w:rFonts w:hint="eastAsia" w:ascii="华文楷体" w:hAnsi="华文楷体" w:eastAsia="华文楷体" w:cs="华文楷体"/>
                  <w:bCs/>
                  <w:sz w:val="28"/>
                  <w:szCs w:val="28"/>
                  <w:lang w:val="en-US" w:eastAsia="zh-CN"/>
                </w:rPr>
                <w:t>到位、</w:t>
              </w:r>
              <w:r>
                <w:rPr>
                  <w:rFonts w:hint="eastAsia" w:ascii="华文楷体" w:hAnsi="华文楷体" w:eastAsia="华文楷体" w:cs="华文楷体"/>
                  <w:bCs/>
                  <w:sz w:val="28"/>
                  <w:szCs w:val="28"/>
                </w:rPr>
                <w:t>使用及管理情况</w:t>
              </w:r>
              <w:r>
                <w:rPr>
                  <w:sz w:val="28"/>
                  <w:szCs w:val="28"/>
                </w:rPr>
                <w:tab/>
              </w:r>
              <w:r>
                <w:rPr>
                  <w:sz w:val="28"/>
                  <w:szCs w:val="28"/>
                </w:rPr>
                <w:fldChar w:fldCharType="begin"/>
              </w:r>
              <w:r>
                <w:rPr>
                  <w:sz w:val="28"/>
                  <w:szCs w:val="28"/>
                </w:rPr>
                <w:instrText xml:space="preserve"> PAGEREF _Toc498 \h </w:instrText>
              </w:r>
              <w:r>
                <w:rPr>
                  <w:sz w:val="28"/>
                  <w:szCs w:val="28"/>
                </w:rPr>
                <w:fldChar w:fldCharType="separate"/>
              </w:r>
              <w:r>
                <w:rPr>
                  <w:sz w:val="28"/>
                  <w:szCs w:val="28"/>
                </w:rPr>
                <w:t>2</w:t>
              </w:r>
              <w:r>
                <w:rPr>
                  <w:sz w:val="28"/>
                  <w:szCs w:val="28"/>
                </w:rPr>
                <w:fldChar w:fldCharType="end"/>
              </w:r>
              <w:r>
                <w:rPr>
                  <w:rFonts w:hAnsi="宋体"/>
                  <w:bCs/>
                  <w:color w:val="auto"/>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sz w:val="28"/>
                  <w:szCs w:val="28"/>
                </w:rPr>
              </w:pPr>
              <w:r>
                <w:rPr>
                  <w:rFonts w:hAnsi="宋体"/>
                  <w:bCs/>
                  <w:color w:val="auto"/>
                  <w:sz w:val="28"/>
                  <w:szCs w:val="28"/>
                </w:rPr>
                <w:fldChar w:fldCharType="begin"/>
              </w:r>
              <w:r>
                <w:rPr>
                  <w:rFonts w:hAnsi="宋体"/>
                  <w:bCs/>
                  <w:sz w:val="28"/>
                  <w:szCs w:val="28"/>
                </w:rPr>
                <w:instrText xml:space="preserve"> HYPERLINK \l _Toc32455 </w:instrText>
              </w:r>
              <w:r>
                <w:rPr>
                  <w:rFonts w:hAnsi="宋体"/>
                  <w:bCs/>
                  <w:sz w:val="28"/>
                  <w:szCs w:val="28"/>
                </w:rPr>
                <w:fldChar w:fldCharType="separate"/>
              </w:r>
              <w:r>
                <w:rPr>
                  <w:rFonts w:hint="eastAsia" w:ascii="华文楷体" w:hAnsi="华文楷体" w:eastAsia="华文楷体" w:cs="华文楷体"/>
                  <w:bCs/>
                  <w:sz w:val="28"/>
                  <w:szCs w:val="28"/>
                </w:rPr>
                <w:t>（二）项目组织实施管理情况</w:t>
              </w:r>
              <w:r>
                <w:rPr>
                  <w:sz w:val="28"/>
                  <w:szCs w:val="28"/>
                </w:rPr>
                <w:tab/>
              </w:r>
              <w:r>
                <w:rPr>
                  <w:sz w:val="28"/>
                  <w:szCs w:val="28"/>
                </w:rPr>
                <w:fldChar w:fldCharType="begin"/>
              </w:r>
              <w:r>
                <w:rPr>
                  <w:sz w:val="28"/>
                  <w:szCs w:val="28"/>
                </w:rPr>
                <w:instrText xml:space="preserve"> PAGEREF _Toc32455 \h </w:instrText>
              </w:r>
              <w:r>
                <w:rPr>
                  <w:sz w:val="28"/>
                  <w:szCs w:val="28"/>
                </w:rPr>
                <w:fldChar w:fldCharType="separate"/>
              </w:r>
              <w:r>
                <w:rPr>
                  <w:sz w:val="28"/>
                  <w:szCs w:val="28"/>
                </w:rPr>
                <w:t>3</w:t>
              </w:r>
              <w:r>
                <w:rPr>
                  <w:sz w:val="28"/>
                  <w:szCs w:val="28"/>
                </w:rPr>
                <w:fldChar w:fldCharType="end"/>
              </w:r>
              <w:r>
                <w:rPr>
                  <w:rFonts w:hAnsi="宋体"/>
                  <w:bCs/>
                  <w:color w:val="auto"/>
                  <w:sz w:val="28"/>
                  <w:szCs w:val="28"/>
                </w:rPr>
                <w:fldChar w:fldCharType="end"/>
              </w:r>
            </w:p>
            <w:p>
              <w:pPr>
                <w:pStyle w:val="15"/>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sz w:val="28"/>
                  <w:szCs w:val="28"/>
                </w:rPr>
              </w:pPr>
              <w:r>
                <w:rPr>
                  <w:rFonts w:hAnsi="宋体"/>
                  <w:bCs/>
                  <w:color w:val="auto"/>
                  <w:sz w:val="28"/>
                  <w:szCs w:val="28"/>
                </w:rPr>
                <w:fldChar w:fldCharType="begin"/>
              </w:r>
              <w:r>
                <w:rPr>
                  <w:rFonts w:hAnsi="宋体"/>
                  <w:bCs/>
                  <w:sz w:val="28"/>
                  <w:szCs w:val="28"/>
                </w:rPr>
                <w:instrText xml:space="preserve"> HYPERLINK \l _Toc25887 </w:instrText>
              </w:r>
              <w:r>
                <w:rPr>
                  <w:rFonts w:hAnsi="宋体"/>
                  <w:bCs/>
                  <w:sz w:val="28"/>
                  <w:szCs w:val="28"/>
                </w:rPr>
                <w:fldChar w:fldCharType="separate"/>
              </w:r>
              <w:r>
                <w:rPr>
                  <w:rFonts w:hint="eastAsia" w:ascii="黑体" w:hAnsi="黑体" w:eastAsia="黑体" w:cs="黑体"/>
                  <w:bCs/>
                  <w:sz w:val="28"/>
                  <w:szCs w:val="28"/>
                </w:rPr>
                <w:t>三</w:t>
              </w:r>
              <w:r>
                <w:rPr>
                  <w:rFonts w:hint="eastAsia" w:ascii="黑体" w:hAnsi="黑体" w:eastAsia="黑体" w:cs="黑体"/>
                  <w:bCs/>
                  <w:sz w:val="28"/>
                  <w:szCs w:val="28"/>
                  <w:lang w:eastAsia="zh-CN"/>
                </w:rPr>
                <w:t>、</w:t>
              </w:r>
              <w:r>
                <w:rPr>
                  <w:rFonts w:hint="eastAsia" w:ascii="黑体" w:hAnsi="黑体" w:eastAsia="黑体" w:cs="黑体"/>
                  <w:bCs/>
                  <w:sz w:val="28"/>
                  <w:szCs w:val="28"/>
                </w:rPr>
                <w:t>绩效评价工作情况</w:t>
              </w:r>
              <w:r>
                <w:rPr>
                  <w:sz w:val="28"/>
                  <w:szCs w:val="28"/>
                </w:rPr>
                <w:tab/>
              </w:r>
              <w:r>
                <w:rPr>
                  <w:sz w:val="28"/>
                  <w:szCs w:val="28"/>
                </w:rPr>
                <w:fldChar w:fldCharType="begin"/>
              </w:r>
              <w:r>
                <w:rPr>
                  <w:sz w:val="28"/>
                  <w:szCs w:val="28"/>
                </w:rPr>
                <w:instrText xml:space="preserve"> PAGEREF _Toc25887 \h </w:instrText>
              </w:r>
              <w:r>
                <w:rPr>
                  <w:sz w:val="28"/>
                  <w:szCs w:val="28"/>
                </w:rPr>
                <w:fldChar w:fldCharType="separate"/>
              </w:r>
              <w:r>
                <w:rPr>
                  <w:sz w:val="28"/>
                  <w:szCs w:val="28"/>
                </w:rPr>
                <w:t>4</w:t>
              </w:r>
              <w:r>
                <w:rPr>
                  <w:sz w:val="28"/>
                  <w:szCs w:val="28"/>
                </w:rPr>
                <w:fldChar w:fldCharType="end"/>
              </w:r>
              <w:r>
                <w:rPr>
                  <w:rFonts w:hAnsi="宋体"/>
                  <w:bCs/>
                  <w:color w:val="auto"/>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sz w:val="28"/>
                  <w:szCs w:val="28"/>
                </w:rPr>
              </w:pPr>
              <w:r>
                <w:rPr>
                  <w:rFonts w:hAnsi="宋体"/>
                  <w:bCs/>
                  <w:color w:val="auto"/>
                  <w:sz w:val="28"/>
                  <w:szCs w:val="28"/>
                </w:rPr>
                <w:fldChar w:fldCharType="begin"/>
              </w:r>
              <w:r>
                <w:rPr>
                  <w:rFonts w:hAnsi="宋体"/>
                  <w:bCs/>
                  <w:sz w:val="28"/>
                  <w:szCs w:val="28"/>
                </w:rPr>
                <w:instrText xml:space="preserve"> HYPERLINK \l _Toc17597 </w:instrText>
              </w:r>
              <w:r>
                <w:rPr>
                  <w:rFonts w:hAnsi="宋体"/>
                  <w:bCs/>
                  <w:sz w:val="28"/>
                  <w:szCs w:val="28"/>
                </w:rPr>
                <w:fldChar w:fldCharType="separate"/>
              </w:r>
              <w:r>
                <w:rPr>
                  <w:rFonts w:hint="eastAsia" w:ascii="华文楷体" w:hAnsi="华文楷体" w:eastAsia="华文楷体" w:cs="华文楷体"/>
                  <w:bCs/>
                  <w:sz w:val="28"/>
                  <w:szCs w:val="28"/>
                </w:rPr>
                <w:t>（一）绩效评价目的</w:t>
              </w:r>
              <w:r>
                <w:rPr>
                  <w:sz w:val="28"/>
                  <w:szCs w:val="28"/>
                </w:rPr>
                <w:tab/>
              </w:r>
              <w:r>
                <w:rPr>
                  <w:sz w:val="28"/>
                  <w:szCs w:val="28"/>
                </w:rPr>
                <w:fldChar w:fldCharType="begin"/>
              </w:r>
              <w:r>
                <w:rPr>
                  <w:sz w:val="28"/>
                  <w:szCs w:val="28"/>
                </w:rPr>
                <w:instrText xml:space="preserve"> PAGEREF _Toc17597 \h </w:instrText>
              </w:r>
              <w:r>
                <w:rPr>
                  <w:sz w:val="28"/>
                  <w:szCs w:val="28"/>
                </w:rPr>
                <w:fldChar w:fldCharType="separate"/>
              </w:r>
              <w:r>
                <w:rPr>
                  <w:sz w:val="28"/>
                  <w:szCs w:val="28"/>
                </w:rPr>
                <w:t>4</w:t>
              </w:r>
              <w:r>
                <w:rPr>
                  <w:sz w:val="28"/>
                  <w:szCs w:val="28"/>
                </w:rPr>
                <w:fldChar w:fldCharType="end"/>
              </w:r>
              <w:r>
                <w:rPr>
                  <w:rFonts w:hAnsi="宋体"/>
                  <w:bCs/>
                  <w:color w:val="auto"/>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sz w:val="28"/>
                  <w:szCs w:val="28"/>
                </w:rPr>
              </w:pPr>
              <w:r>
                <w:rPr>
                  <w:rFonts w:hAnsi="宋体"/>
                  <w:bCs/>
                  <w:color w:val="auto"/>
                  <w:sz w:val="28"/>
                  <w:szCs w:val="28"/>
                </w:rPr>
                <w:fldChar w:fldCharType="begin"/>
              </w:r>
              <w:r>
                <w:rPr>
                  <w:rFonts w:hAnsi="宋体"/>
                  <w:bCs/>
                  <w:sz w:val="28"/>
                  <w:szCs w:val="28"/>
                </w:rPr>
                <w:instrText xml:space="preserve"> HYPERLINK \l _Toc12898 </w:instrText>
              </w:r>
              <w:r>
                <w:rPr>
                  <w:rFonts w:hAnsi="宋体"/>
                  <w:bCs/>
                  <w:sz w:val="28"/>
                  <w:szCs w:val="28"/>
                </w:rPr>
                <w:fldChar w:fldCharType="separate"/>
              </w:r>
              <w:r>
                <w:rPr>
                  <w:rFonts w:hint="eastAsia" w:ascii="华文楷体" w:hAnsi="华文楷体" w:eastAsia="华文楷体" w:cs="华文楷体"/>
                  <w:bCs/>
                  <w:sz w:val="28"/>
                  <w:szCs w:val="28"/>
                </w:rPr>
                <w:t>（二）绩效评价依据</w:t>
              </w:r>
              <w:r>
                <w:rPr>
                  <w:sz w:val="28"/>
                  <w:szCs w:val="28"/>
                </w:rPr>
                <w:tab/>
              </w:r>
              <w:r>
                <w:rPr>
                  <w:sz w:val="28"/>
                  <w:szCs w:val="28"/>
                </w:rPr>
                <w:fldChar w:fldCharType="begin"/>
              </w:r>
              <w:r>
                <w:rPr>
                  <w:sz w:val="28"/>
                  <w:szCs w:val="28"/>
                </w:rPr>
                <w:instrText xml:space="preserve"> PAGEREF _Toc12898 \h </w:instrText>
              </w:r>
              <w:r>
                <w:rPr>
                  <w:sz w:val="28"/>
                  <w:szCs w:val="28"/>
                </w:rPr>
                <w:fldChar w:fldCharType="separate"/>
              </w:r>
              <w:r>
                <w:rPr>
                  <w:sz w:val="28"/>
                  <w:szCs w:val="28"/>
                </w:rPr>
                <w:t>5</w:t>
              </w:r>
              <w:r>
                <w:rPr>
                  <w:sz w:val="28"/>
                  <w:szCs w:val="28"/>
                </w:rPr>
                <w:fldChar w:fldCharType="end"/>
              </w:r>
              <w:r>
                <w:rPr>
                  <w:rFonts w:hAnsi="宋体"/>
                  <w:bCs/>
                  <w:color w:val="auto"/>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sz w:val="28"/>
                  <w:szCs w:val="28"/>
                </w:rPr>
              </w:pPr>
              <w:r>
                <w:rPr>
                  <w:rFonts w:hAnsi="宋体"/>
                  <w:bCs/>
                  <w:color w:val="auto"/>
                  <w:sz w:val="28"/>
                  <w:szCs w:val="28"/>
                </w:rPr>
                <w:fldChar w:fldCharType="begin"/>
              </w:r>
              <w:r>
                <w:rPr>
                  <w:rFonts w:hAnsi="宋体"/>
                  <w:bCs/>
                  <w:sz w:val="28"/>
                  <w:szCs w:val="28"/>
                </w:rPr>
                <w:instrText xml:space="preserve"> HYPERLINK \l _Toc13996 </w:instrText>
              </w:r>
              <w:r>
                <w:rPr>
                  <w:rFonts w:hAnsi="宋体"/>
                  <w:bCs/>
                  <w:sz w:val="28"/>
                  <w:szCs w:val="28"/>
                </w:rPr>
                <w:fldChar w:fldCharType="separate"/>
              </w:r>
              <w:r>
                <w:rPr>
                  <w:rFonts w:hint="eastAsia" w:ascii="华文楷体" w:hAnsi="华文楷体" w:eastAsia="华文楷体" w:cs="华文楷体"/>
                  <w:bCs/>
                  <w:sz w:val="28"/>
                  <w:szCs w:val="28"/>
                </w:rPr>
                <w:t>（三）评价对象、范围及内容</w:t>
              </w:r>
              <w:r>
                <w:rPr>
                  <w:sz w:val="28"/>
                  <w:szCs w:val="28"/>
                </w:rPr>
                <w:tab/>
              </w:r>
              <w:r>
                <w:rPr>
                  <w:sz w:val="28"/>
                  <w:szCs w:val="28"/>
                </w:rPr>
                <w:fldChar w:fldCharType="begin"/>
              </w:r>
              <w:r>
                <w:rPr>
                  <w:sz w:val="28"/>
                  <w:szCs w:val="28"/>
                </w:rPr>
                <w:instrText xml:space="preserve"> PAGEREF _Toc13996 \h </w:instrText>
              </w:r>
              <w:r>
                <w:rPr>
                  <w:sz w:val="28"/>
                  <w:szCs w:val="28"/>
                </w:rPr>
                <w:fldChar w:fldCharType="separate"/>
              </w:r>
              <w:r>
                <w:rPr>
                  <w:sz w:val="28"/>
                  <w:szCs w:val="28"/>
                </w:rPr>
                <w:t>6</w:t>
              </w:r>
              <w:r>
                <w:rPr>
                  <w:sz w:val="28"/>
                  <w:szCs w:val="28"/>
                </w:rPr>
                <w:fldChar w:fldCharType="end"/>
              </w:r>
              <w:r>
                <w:rPr>
                  <w:rFonts w:hAnsi="宋体"/>
                  <w:bCs/>
                  <w:color w:val="auto"/>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sz w:val="28"/>
                  <w:szCs w:val="28"/>
                </w:rPr>
              </w:pPr>
              <w:r>
                <w:rPr>
                  <w:rFonts w:hAnsi="宋体"/>
                  <w:bCs/>
                  <w:color w:val="auto"/>
                  <w:sz w:val="28"/>
                  <w:szCs w:val="28"/>
                </w:rPr>
                <w:fldChar w:fldCharType="begin"/>
              </w:r>
              <w:r>
                <w:rPr>
                  <w:rFonts w:hAnsi="宋体"/>
                  <w:bCs/>
                  <w:sz w:val="28"/>
                  <w:szCs w:val="28"/>
                </w:rPr>
                <w:instrText xml:space="preserve"> HYPERLINK \l _Toc10770 </w:instrText>
              </w:r>
              <w:r>
                <w:rPr>
                  <w:rFonts w:hAnsi="宋体"/>
                  <w:bCs/>
                  <w:sz w:val="28"/>
                  <w:szCs w:val="28"/>
                </w:rPr>
                <w:fldChar w:fldCharType="separate"/>
              </w:r>
              <w:r>
                <w:rPr>
                  <w:rFonts w:hint="eastAsia" w:ascii="华文楷体" w:hAnsi="华文楷体" w:eastAsia="华文楷体" w:cs="华文楷体"/>
                  <w:bCs/>
                  <w:sz w:val="28"/>
                  <w:szCs w:val="28"/>
                </w:rPr>
                <w:t>（四）绩效评价指标体系</w:t>
              </w:r>
              <w:r>
                <w:rPr>
                  <w:sz w:val="28"/>
                  <w:szCs w:val="28"/>
                </w:rPr>
                <w:tab/>
              </w:r>
              <w:r>
                <w:rPr>
                  <w:sz w:val="28"/>
                  <w:szCs w:val="28"/>
                </w:rPr>
                <w:fldChar w:fldCharType="begin"/>
              </w:r>
              <w:r>
                <w:rPr>
                  <w:sz w:val="28"/>
                  <w:szCs w:val="28"/>
                </w:rPr>
                <w:instrText xml:space="preserve"> PAGEREF _Toc10770 \h </w:instrText>
              </w:r>
              <w:r>
                <w:rPr>
                  <w:sz w:val="28"/>
                  <w:szCs w:val="28"/>
                </w:rPr>
                <w:fldChar w:fldCharType="separate"/>
              </w:r>
              <w:r>
                <w:rPr>
                  <w:sz w:val="28"/>
                  <w:szCs w:val="28"/>
                </w:rPr>
                <w:t>7</w:t>
              </w:r>
              <w:r>
                <w:rPr>
                  <w:sz w:val="28"/>
                  <w:szCs w:val="28"/>
                </w:rPr>
                <w:fldChar w:fldCharType="end"/>
              </w:r>
              <w:r>
                <w:rPr>
                  <w:rFonts w:hAnsi="宋体"/>
                  <w:bCs/>
                  <w:color w:val="auto"/>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sz w:val="28"/>
                  <w:szCs w:val="28"/>
                </w:rPr>
              </w:pPr>
              <w:r>
                <w:rPr>
                  <w:rFonts w:hAnsi="宋体"/>
                  <w:bCs/>
                  <w:color w:val="auto"/>
                  <w:sz w:val="28"/>
                  <w:szCs w:val="28"/>
                </w:rPr>
                <w:fldChar w:fldCharType="begin"/>
              </w:r>
              <w:r>
                <w:rPr>
                  <w:rFonts w:hAnsi="宋体"/>
                  <w:bCs/>
                  <w:sz w:val="28"/>
                  <w:szCs w:val="28"/>
                </w:rPr>
                <w:instrText xml:space="preserve"> HYPERLINK \l _Toc22337 </w:instrText>
              </w:r>
              <w:r>
                <w:rPr>
                  <w:rFonts w:hAnsi="宋体"/>
                  <w:bCs/>
                  <w:sz w:val="28"/>
                  <w:szCs w:val="28"/>
                </w:rPr>
                <w:fldChar w:fldCharType="separate"/>
              </w:r>
              <w:r>
                <w:rPr>
                  <w:rFonts w:hint="eastAsia" w:ascii="华文楷体" w:hAnsi="华文楷体" w:eastAsia="华文楷体" w:cs="华文楷体"/>
                  <w:bCs/>
                  <w:sz w:val="28"/>
                  <w:szCs w:val="28"/>
                </w:rPr>
                <w:t>（五）绩效评价原则、评价方法</w:t>
              </w:r>
              <w:r>
                <w:rPr>
                  <w:sz w:val="28"/>
                  <w:szCs w:val="28"/>
                </w:rPr>
                <w:tab/>
              </w:r>
              <w:r>
                <w:rPr>
                  <w:sz w:val="28"/>
                  <w:szCs w:val="28"/>
                </w:rPr>
                <w:fldChar w:fldCharType="begin"/>
              </w:r>
              <w:r>
                <w:rPr>
                  <w:sz w:val="28"/>
                  <w:szCs w:val="28"/>
                </w:rPr>
                <w:instrText xml:space="preserve"> PAGEREF _Toc22337 \h </w:instrText>
              </w:r>
              <w:r>
                <w:rPr>
                  <w:sz w:val="28"/>
                  <w:szCs w:val="28"/>
                </w:rPr>
                <w:fldChar w:fldCharType="separate"/>
              </w:r>
              <w:r>
                <w:rPr>
                  <w:sz w:val="28"/>
                  <w:szCs w:val="28"/>
                </w:rPr>
                <w:t>8</w:t>
              </w:r>
              <w:r>
                <w:rPr>
                  <w:sz w:val="28"/>
                  <w:szCs w:val="28"/>
                </w:rPr>
                <w:fldChar w:fldCharType="end"/>
              </w:r>
              <w:r>
                <w:rPr>
                  <w:rFonts w:hAnsi="宋体"/>
                  <w:bCs/>
                  <w:color w:val="auto"/>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sz w:val="28"/>
                  <w:szCs w:val="28"/>
                </w:rPr>
              </w:pPr>
              <w:r>
                <w:rPr>
                  <w:rFonts w:hAnsi="宋体"/>
                  <w:bCs/>
                  <w:color w:val="auto"/>
                  <w:sz w:val="28"/>
                  <w:szCs w:val="28"/>
                </w:rPr>
                <w:fldChar w:fldCharType="begin"/>
              </w:r>
              <w:r>
                <w:rPr>
                  <w:rFonts w:hAnsi="宋体"/>
                  <w:bCs/>
                  <w:sz w:val="28"/>
                  <w:szCs w:val="28"/>
                </w:rPr>
                <w:instrText xml:space="preserve"> HYPERLINK \l _Toc24828 </w:instrText>
              </w:r>
              <w:r>
                <w:rPr>
                  <w:rFonts w:hAnsi="宋体"/>
                  <w:bCs/>
                  <w:sz w:val="28"/>
                  <w:szCs w:val="28"/>
                </w:rPr>
                <w:fldChar w:fldCharType="separate"/>
              </w:r>
              <w:r>
                <w:rPr>
                  <w:rFonts w:hint="eastAsia" w:ascii="华文楷体" w:hAnsi="华文楷体" w:eastAsia="华文楷体" w:cs="华文楷体"/>
                  <w:bCs/>
                  <w:sz w:val="28"/>
                  <w:szCs w:val="28"/>
                </w:rPr>
                <w:t>（六）绩效评价工作过程</w:t>
              </w:r>
              <w:r>
                <w:rPr>
                  <w:sz w:val="28"/>
                  <w:szCs w:val="28"/>
                </w:rPr>
                <w:tab/>
              </w:r>
              <w:r>
                <w:rPr>
                  <w:sz w:val="28"/>
                  <w:szCs w:val="28"/>
                </w:rPr>
                <w:fldChar w:fldCharType="begin"/>
              </w:r>
              <w:r>
                <w:rPr>
                  <w:sz w:val="28"/>
                  <w:szCs w:val="28"/>
                </w:rPr>
                <w:instrText xml:space="preserve"> PAGEREF _Toc24828 \h </w:instrText>
              </w:r>
              <w:r>
                <w:rPr>
                  <w:sz w:val="28"/>
                  <w:szCs w:val="28"/>
                </w:rPr>
                <w:fldChar w:fldCharType="separate"/>
              </w:r>
              <w:r>
                <w:rPr>
                  <w:sz w:val="28"/>
                  <w:szCs w:val="28"/>
                </w:rPr>
                <w:t>9</w:t>
              </w:r>
              <w:r>
                <w:rPr>
                  <w:sz w:val="28"/>
                  <w:szCs w:val="28"/>
                </w:rPr>
                <w:fldChar w:fldCharType="end"/>
              </w:r>
              <w:r>
                <w:rPr>
                  <w:rFonts w:hAnsi="宋体"/>
                  <w:bCs/>
                  <w:color w:val="auto"/>
                  <w:sz w:val="28"/>
                  <w:szCs w:val="28"/>
                </w:rPr>
                <w:fldChar w:fldCharType="end"/>
              </w:r>
            </w:p>
            <w:p>
              <w:pPr>
                <w:pStyle w:val="15"/>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sz w:val="28"/>
                  <w:szCs w:val="28"/>
                </w:rPr>
              </w:pPr>
              <w:r>
                <w:rPr>
                  <w:rFonts w:hAnsi="宋体"/>
                  <w:bCs/>
                  <w:color w:val="auto"/>
                  <w:sz w:val="28"/>
                  <w:szCs w:val="28"/>
                </w:rPr>
                <w:fldChar w:fldCharType="begin"/>
              </w:r>
              <w:r>
                <w:rPr>
                  <w:rFonts w:hAnsi="宋体"/>
                  <w:bCs/>
                  <w:sz w:val="28"/>
                  <w:szCs w:val="28"/>
                </w:rPr>
                <w:instrText xml:space="preserve"> HYPERLINK \l _Toc22950 </w:instrText>
              </w:r>
              <w:r>
                <w:rPr>
                  <w:rFonts w:hAnsi="宋体"/>
                  <w:bCs/>
                  <w:sz w:val="28"/>
                  <w:szCs w:val="28"/>
                </w:rPr>
                <w:fldChar w:fldCharType="separate"/>
              </w:r>
              <w:r>
                <w:rPr>
                  <w:rFonts w:hint="eastAsia" w:ascii="黑体" w:hAnsi="黑体" w:eastAsia="黑体" w:cs="黑体"/>
                  <w:bCs/>
                  <w:sz w:val="28"/>
                  <w:szCs w:val="28"/>
                </w:rPr>
                <w:t>四</w:t>
              </w:r>
              <w:r>
                <w:rPr>
                  <w:rFonts w:hint="eastAsia" w:ascii="黑体" w:hAnsi="黑体" w:eastAsia="黑体" w:cs="黑体"/>
                  <w:bCs/>
                  <w:sz w:val="28"/>
                  <w:szCs w:val="28"/>
                  <w:lang w:eastAsia="zh-CN"/>
                </w:rPr>
                <w:t>、</w:t>
              </w:r>
              <w:r>
                <w:rPr>
                  <w:rFonts w:hint="eastAsia" w:ascii="黑体" w:hAnsi="黑体" w:eastAsia="黑体" w:cs="黑体"/>
                  <w:bCs/>
                  <w:sz w:val="28"/>
                  <w:szCs w:val="28"/>
                </w:rPr>
                <w:t>项目绩效情况</w:t>
              </w:r>
              <w:r>
                <w:rPr>
                  <w:sz w:val="28"/>
                  <w:szCs w:val="28"/>
                </w:rPr>
                <w:tab/>
              </w:r>
              <w:r>
                <w:rPr>
                  <w:sz w:val="28"/>
                  <w:szCs w:val="28"/>
                </w:rPr>
                <w:fldChar w:fldCharType="begin"/>
              </w:r>
              <w:r>
                <w:rPr>
                  <w:sz w:val="28"/>
                  <w:szCs w:val="28"/>
                </w:rPr>
                <w:instrText xml:space="preserve"> PAGEREF _Toc22950 \h </w:instrText>
              </w:r>
              <w:r>
                <w:rPr>
                  <w:sz w:val="28"/>
                  <w:szCs w:val="28"/>
                </w:rPr>
                <w:fldChar w:fldCharType="separate"/>
              </w:r>
              <w:r>
                <w:rPr>
                  <w:sz w:val="28"/>
                  <w:szCs w:val="28"/>
                </w:rPr>
                <w:t>10</w:t>
              </w:r>
              <w:r>
                <w:rPr>
                  <w:sz w:val="28"/>
                  <w:szCs w:val="28"/>
                </w:rPr>
                <w:fldChar w:fldCharType="end"/>
              </w:r>
              <w:r>
                <w:rPr>
                  <w:rFonts w:hAnsi="宋体"/>
                  <w:bCs/>
                  <w:color w:val="auto"/>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sz w:val="28"/>
                  <w:szCs w:val="28"/>
                </w:rPr>
              </w:pPr>
              <w:r>
                <w:rPr>
                  <w:rFonts w:hAnsi="宋体"/>
                  <w:bCs/>
                  <w:color w:val="auto"/>
                  <w:sz w:val="28"/>
                  <w:szCs w:val="28"/>
                </w:rPr>
                <w:fldChar w:fldCharType="begin"/>
              </w:r>
              <w:r>
                <w:rPr>
                  <w:rFonts w:hAnsi="宋体"/>
                  <w:bCs/>
                  <w:sz w:val="28"/>
                  <w:szCs w:val="28"/>
                </w:rPr>
                <w:instrText xml:space="preserve"> HYPERLINK \l _Toc4357 </w:instrText>
              </w:r>
              <w:r>
                <w:rPr>
                  <w:rFonts w:hAnsi="宋体"/>
                  <w:bCs/>
                  <w:sz w:val="28"/>
                  <w:szCs w:val="28"/>
                </w:rPr>
                <w:fldChar w:fldCharType="separate"/>
              </w:r>
              <w:r>
                <w:rPr>
                  <w:rFonts w:hint="eastAsia" w:ascii="华文楷体" w:hAnsi="华文楷体" w:eastAsia="华文楷体" w:cs="华文楷体"/>
                  <w:bCs/>
                  <w:sz w:val="28"/>
                  <w:szCs w:val="28"/>
                </w:rPr>
                <w:t>（一）项目产出</w:t>
              </w:r>
              <w:r>
                <w:rPr>
                  <w:sz w:val="28"/>
                  <w:szCs w:val="28"/>
                </w:rPr>
                <w:tab/>
              </w:r>
              <w:r>
                <w:rPr>
                  <w:sz w:val="28"/>
                  <w:szCs w:val="28"/>
                </w:rPr>
                <w:fldChar w:fldCharType="begin"/>
              </w:r>
              <w:r>
                <w:rPr>
                  <w:sz w:val="28"/>
                  <w:szCs w:val="28"/>
                </w:rPr>
                <w:instrText xml:space="preserve"> PAGEREF _Toc4357 \h </w:instrText>
              </w:r>
              <w:r>
                <w:rPr>
                  <w:sz w:val="28"/>
                  <w:szCs w:val="28"/>
                </w:rPr>
                <w:fldChar w:fldCharType="separate"/>
              </w:r>
              <w:r>
                <w:rPr>
                  <w:sz w:val="28"/>
                  <w:szCs w:val="28"/>
                </w:rPr>
                <w:t>10</w:t>
              </w:r>
              <w:r>
                <w:rPr>
                  <w:sz w:val="28"/>
                  <w:szCs w:val="28"/>
                </w:rPr>
                <w:fldChar w:fldCharType="end"/>
              </w:r>
              <w:r>
                <w:rPr>
                  <w:rFonts w:hAnsi="宋体"/>
                  <w:bCs/>
                  <w:color w:val="auto"/>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sz w:val="28"/>
                  <w:szCs w:val="28"/>
                </w:rPr>
              </w:pPr>
              <w:r>
                <w:rPr>
                  <w:rFonts w:hAnsi="宋体"/>
                  <w:bCs/>
                  <w:color w:val="auto"/>
                  <w:sz w:val="28"/>
                  <w:szCs w:val="28"/>
                </w:rPr>
                <w:fldChar w:fldCharType="begin"/>
              </w:r>
              <w:r>
                <w:rPr>
                  <w:rFonts w:hAnsi="宋体"/>
                  <w:bCs/>
                  <w:sz w:val="28"/>
                  <w:szCs w:val="28"/>
                </w:rPr>
                <w:instrText xml:space="preserve"> HYPERLINK \l _Toc7684 </w:instrText>
              </w:r>
              <w:r>
                <w:rPr>
                  <w:rFonts w:hAnsi="宋体"/>
                  <w:bCs/>
                  <w:sz w:val="28"/>
                  <w:szCs w:val="28"/>
                </w:rPr>
                <w:fldChar w:fldCharType="separate"/>
              </w:r>
              <w:r>
                <w:rPr>
                  <w:rFonts w:hint="eastAsia" w:ascii="华文楷体" w:hAnsi="华文楷体" w:eastAsia="华文楷体" w:cs="华文楷体"/>
                  <w:bCs/>
                  <w:sz w:val="28"/>
                  <w:szCs w:val="28"/>
                </w:rPr>
                <w:t>（二）项目效益</w:t>
              </w:r>
              <w:r>
                <w:rPr>
                  <w:sz w:val="28"/>
                  <w:szCs w:val="28"/>
                </w:rPr>
                <w:tab/>
              </w:r>
              <w:r>
                <w:rPr>
                  <w:sz w:val="28"/>
                  <w:szCs w:val="28"/>
                </w:rPr>
                <w:fldChar w:fldCharType="begin"/>
              </w:r>
              <w:r>
                <w:rPr>
                  <w:sz w:val="28"/>
                  <w:szCs w:val="28"/>
                </w:rPr>
                <w:instrText xml:space="preserve"> PAGEREF _Toc7684 \h </w:instrText>
              </w:r>
              <w:r>
                <w:rPr>
                  <w:sz w:val="28"/>
                  <w:szCs w:val="28"/>
                </w:rPr>
                <w:fldChar w:fldCharType="separate"/>
              </w:r>
              <w:r>
                <w:rPr>
                  <w:sz w:val="28"/>
                  <w:szCs w:val="28"/>
                </w:rPr>
                <w:t>10</w:t>
              </w:r>
              <w:r>
                <w:rPr>
                  <w:sz w:val="28"/>
                  <w:szCs w:val="28"/>
                </w:rPr>
                <w:fldChar w:fldCharType="end"/>
              </w:r>
              <w:r>
                <w:rPr>
                  <w:rFonts w:hAnsi="宋体"/>
                  <w:bCs/>
                  <w:color w:val="auto"/>
                  <w:sz w:val="28"/>
                  <w:szCs w:val="28"/>
                </w:rPr>
                <w:fldChar w:fldCharType="end"/>
              </w:r>
            </w:p>
            <w:p>
              <w:pPr>
                <w:pStyle w:val="15"/>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sz w:val="28"/>
                  <w:szCs w:val="28"/>
                </w:rPr>
              </w:pPr>
              <w:r>
                <w:rPr>
                  <w:rFonts w:hAnsi="宋体"/>
                  <w:bCs/>
                  <w:color w:val="auto"/>
                  <w:sz w:val="28"/>
                  <w:szCs w:val="28"/>
                </w:rPr>
                <w:fldChar w:fldCharType="begin"/>
              </w:r>
              <w:r>
                <w:rPr>
                  <w:rFonts w:hAnsi="宋体"/>
                  <w:bCs/>
                  <w:sz w:val="28"/>
                  <w:szCs w:val="28"/>
                </w:rPr>
                <w:instrText xml:space="preserve"> HYPERLINK \l _Toc22564 </w:instrText>
              </w:r>
              <w:r>
                <w:rPr>
                  <w:rFonts w:hAnsi="宋体"/>
                  <w:bCs/>
                  <w:sz w:val="28"/>
                  <w:szCs w:val="28"/>
                </w:rPr>
                <w:fldChar w:fldCharType="separate"/>
              </w:r>
              <w:r>
                <w:rPr>
                  <w:rFonts w:hint="eastAsia" w:ascii="黑体" w:hAnsi="黑体" w:eastAsia="黑体" w:cs="黑体"/>
                  <w:bCs/>
                  <w:sz w:val="28"/>
                  <w:szCs w:val="28"/>
                </w:rPr>
                <w:t>五</w:t>
              </w:r>
              <w:r>
                <w:rPr>
                  <w:rFonts w:hint="eastAsia" w:ascii="黑体" w:hAnsi="黑体" w:eastAsia="黑体" w:cs="黑体"/>
                  <w:bCs/>
                  <w:sz w:val="28"/>
                  <w:szCs w:val="28"/>
                  <w:lang w:eastAsia="zh-CN"/>
                </w:rPr>
                <w:t>、</w:t>
              </w:r>
              <w:r>
                <w:rPr>
                  <w:rFonts w:hint="eastAsia" w:ascii="黑体" w:hAnsi="黑体" w:eastAsia="黑体" w:cs="黑体"/>
                  <w:bCs/>
                  <w:sz w:val="28"/>
                  <w:szCs w:val="28"/>
                </w:rPr>
                <w:t>综合评价情况及评价结论</w:t>
              </w:r>
              <w:r>
                <w:rPr>
                  <w:sz w:val="28"/>
                  <w:szCs w:val="28"/>
                </w:rPr>
                <w:tab/>
              </w:r>
              <w:r>
                <w:rPr>
                  <w:sz w:val="28"/>
                  <w:szCs w:val="28"/>
                </w:rPr>
                <w:fldChar w:fldCharType="begin"/>
              </w:r>
              <w:r>
                <w:rPr>
                  <w:sz w:val="28"/>
                  <w:szCs w:val="28"/>
                </w:rPr>
                <w:instrText xml:space="preserve"> PAGEREF _Toc22564 \h </w:instrText>
              </w:r>
              <w:r>
                <w:rPr>
                  <w:sz w:val="28"/>
                  <w:szCs w:val="28"/>
                </w:rPr>
                <w:fldChar w:fldCharType="separate"/>
              </w:r>
              <w:r>
                <w:rPr>
                  <w:sz w:val="28"/>
                  <w:szCs w:val="28"/>
                </w:rPr>
                <w:t>11</w:t>
              </w:r>
              <w:r>
                <w:rPr>
                  <w:sz w:val="28"/>
                  <w:szCs w:val="28"/>
                </w:rPr>
                <w:fldChar w:fldCharType="end"/>
              </w:r>
              <w:r>
                <w:rPr>
                  <w:rFonts w:hAnsi="宋体"/>
                  <w:bCs/>
                  <w:color w:val="auto"/>
                  <w:sz w:val="28"/>
                  <w:szCs w:val="28"/>
                </w:rPr>
                <w:fldChar w:fldCharType="end"/>
              </w:r>
            </w:p>
            <w:p>
              <w:pPr>
                <w:pStyle w:val="15"/>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sz w:val="28"/>
                  <w:szCs w:val="28"/>
                </w:rPr>
              </w:pPr>
              <w:r>
                <w:rPr>
                  <w:rFonts w:hAnsi="宋体"/>
                  <w:bCs/>
                  <w:color w:val="auto"/>
                  <w:sz w:val="28"/>
                  <w:szCs w:val="28"/>
                </w:rPr>
                <w:fldChar w:fldCharType="begin"/>
              </w:r>
              <w:r>
                <w:rPr>
                  <w:rFonts w:hAnsi="宋体"/>
                  <w:bCs/>
                  <w:sz w:val="28"/>
                  <w:szCs w:val="28"/>
                </w:rPr>
                <w:instrText xml:space="preserve"> HYPERLINK \l _Toc22303 </w:instrText>
              </w:r>
              <w:r>
                <w:rPr>
                  <w:rFonts w:hAnsi="宋体"/>
                  <w:bCs/>
                  <w:sz w:val="28"/>
                  <w:szCs w:val="28"/>
                </w:rPr>
                <w:fldChar w:fldCharType="separate"/>
              </w:r>
              <w:r>
                <w:rPr>
                  <w:rFonts w:hint="eastAsia" w:ascii="黑体" w:hAnsi="黑体" w:eastAsia="黑体" w:cs="黑体"/>
                  <w:bCs/>
                  <w:sz w:val="28"/>
                  <w:szCs w:val="28"/>
                </w:rPr>
                <w:t>六</w:t>
              </w:r>
              <w:r>
                <w:rPr>
                  <w:rFonts w:hint="eastAsia" w:ascii="黑体" w:hAnsi="黑体" w:eastAsia="黑体" w:cs="黑体"/>
                  <w:bCs/>
                  <w:sz w:val="28"/>
                  <w:szCs w:val="28"/>
                  <w:lang w:eastAsia="zh-CN"/>
                </w:rPr>
                <w:t>、</w:t>
              </w:r>
              <w:r>
                <w:rPr>
                  <w:rFonts w:hint="eastAsia" w:ascii="黑体" w:hAnsi="黑体" w:eastAsia="黑体" w:cs="黑体"/>
                  <w:bCs/>
                  <w:sz w:val="28"/>
                  <w:szCs w:val="28"/>
                </w:rPr>
                <w:t>存在的主要问题</w:t>
              </w:r>
              <w:r>
                <w:rPr>
                  <w:sz w:val="28"/>
                  <w:szCs w:val="28"/>
                </w:rPr>
                <w:tab/>
              </w:r>
              <w:r>
                <w:rPr>
                  <w:sz w:val="28"/>
                  <w:szCs w:val="28"/>
                </w:rPr>
                <w:fldChar w:fldCharType="begin"/>
              </w:r>
              <w:r>
                <w:rPr>
                  <w:sz w:val="28"/>
                  <w:szCs w:val="28"/>
                </w:rPr>
                <w:instrText xml:space="preserve"> PAGEREF _Toc22303 \h </w:instrText>
              </w:r>
              <w:r>
                <w:rPr>
                  <w:sz w:val="28"/>
                  <w:szCs w:val="28"/>
                </w:rPr>
                <w:fldChar w:fldCharType="separate"/>
              </w:r>
              <w:r>
                <w:rPr>
                  <w:sz w:val="28"/>
                  <w:szCs w:val="28"/>
                </w:rPr>
                <w:t>11</w:t>
              </w:r>
              <w:r>
                <w:rPr>
                  <w:sz w:val="28"/>
                  <w:szCs w:val="28"/>
                </w:rPr>
                <w:fldChar w:fldCharType="end"/>
              </w:r>
              <w:r>
                <w:rPr>
                  <w:rFonts w:hAnsi="宋体"/>
                  <w:bCs/>
                  <w:color w:val="auto"/>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sz w:val="28"/>
                  <w:szCs w:val="28"/>
                </w:rPr>
              </w:pPr>
              <w:r>
                <w:rPr>
                  <w:rFonts w:hAnsi="宋体"/>
                  <w:bCs/>
                  <w:color w:val="auto"/>
                  <w:sz w:val="28"/>
                  <w:szCs w:val="28"/>
                </w:rPr>
                <w:fldChar w:fldCharType="begin"/>
              </w:r>
              <w:r>
                <w:rPr>
                  <w:rFonts w:hAnsi="宋体"/>
                  <w:bCs/>
                  <w:sz w:val="28"/>
                  <w:szCs w:val="28"/>
                </w:rPr>
                <w:instrText xml:space="preserve"> HYPERLINK \l _Toc8204 </w:instrText>
              </w:r>
              <w:r>
                <w:rPr>
                  <w:rFonts w:hAnsi="宋体"/>
                  <w:bCs/>
                  <w:sz w:val="28"/>
                  <w:szCs w:val="28"/>
                </w:rPr>
                <w:fldChar w:fldCharType="separate"/>
              </w:r>
              <w:r>
                <w:rPr>
                  <w:rFonts w:hint="eastAsia" w:ascii="华文楷体" w:hAnsi="华文楷体" w:eastAsia="华文楷体" w:cs="华文楷体"/>
                  <w:bCs/>
                  <w:sz w:val="28"/>
                  <w:szCs w:val="28"/>
                  <w:lang w:val="zh-CN"/>
                </w:rPr>
                <w:t>（</w:t>
              </w:r>
              <w:r>
                <w:rPr>
                  <w:rFonts w:hint="eastAsia" w:ascii="华文楷体" w:hAnsi="华文楷体" w:eastAsia="华文楷体" w:cs="华文楷体"/>
                  <w:bCs/>
                  <w:sz w:val="28"/>
                  <w:szCs w:val="28"/>
                  <w:lang w:val="en-US"/>
                </w:rPr>
                <w:t>一</w:t>
              </w:r>
              <w:r>
                <w:rPr>
                  <w:rFonts w:hint="eastAsia" w:ascii="华文楷体" w:hAnsi="华文楷体" w:eastAsia="华文楷体" w:cs="华文楷体"/>
                  <w:bCs/>
                  <w:sz w:val="28"/>
                  <w:szCs w:val="28"/>
                  <w:lang w:val="zh-CN"/>
                </w:rPr>
                <w:t>）</w:t>
              </w:r>
              <w:r>
                <w:rPr>
                  <w:rFonts w:hint="eastAsia" w:ascii="华文楷体" w:hAnsi="华文楷体" w:eastAsia="华文楷体" w:cs="华文楷体"/>
                  <w:bCs/>
                  <w:sz w:val="28"/>
                  <w:szCs w:val="28"/>
                  <w:lang w:val="en-US" w:eastAsia="zh-CN"/>
                </w:rPr>
                <w:t>预算编制不及时</w:t>
              </w:r>
              <w:r>
                <w:rPr>
                  <w:sz w:val="28"/>
                  <w:szCs w:val="28"/>
                </w:rPr>
                <w:tab/>
              </w:r>
              <w:r>
                <w:rPr>
                  <w:sz w:val="28"/>
                  <w:szCs w:val="28"/>
                </w:rPr>
                <w:fldChar w:fldCharType="begin"/>
              </w:r>
              <w:r>
                <w:rPr>
                  <w:sz w:val="28"/>
                  <w:szCs w:val="28"/>
                </w:rPr>
                <w:instrText xml:space="preserve"> PAGEREF _Toc8204 \h </w:instrText>
              </w:r>
              <w:r>
                <w:rPr>
                  <w:sz w:val="28"/>
                  <w:szCs w:val="28"/>
                </w:rPr>
                <w:fldChar w:fldCharType="separate"/>
              </w:r>
              <w:r>
                <w:rPr>
                  <w:sz w:val="28"/>
                  <w:szCs w:val="28"/>
                </w:rPr>
                <w:t>11</w:t>
              </w:r>
              <w:r>
                <w:rPr>
                  <w:sz w:val="28"/>
                  <w:szCs w:val="28"/>
                </w:rPr>
                <w:fldChar w:fldCharType="end"/>
              </w:r>
              <w:r>
                <w:rPr>
                  <w:rFonts w:hAnsi="宋体"/>
                  <w:bCs/>
                  <w:color w:val="auto"/>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sz w:val="28"/>
                  <w:szCs w:val="28"/>
                </w:rPr>
              </w:pPr>
              <w:r>
                <w:rPr>
                  <w:rFonts w:hAnsi="宋体"/>
                  <w:bCs/>
                  <w:color w:val="auto"/>
                  <w:sz w:val="28"/>
                  <w:szCs w:val="28"/>
                </w:rPr>
                <w:fldChar w:fldCharType="begin"/>
              </w:r>
              <w:r>
                <w:rPr>
                  <w:rFonts w:hAnsi="宋体"/>
                  <w:bCs/>
                  <w:sz w:val="28"/>
                  <w:szCs w:val="28"/>
                </w:rPr>
                <w:instrText xml:space="preserve"> HYPERLINK \l _Toc18901 </w:instrText>
              </w:r>
              <w:r>
                <w:rPr>
                  <w:rFonts w:hAnsi="宋体"/>
                  <w:bCs/>
                  <w:sz w:val="28"/>
                  <w:szCs w:val="28"/>
                </w:rPr>
                <w:fldChar w:fldCharType="separate"/>
              </w:r>
              <w:r>
                <w:rPr>
                  <w:rFonts w:hint="eastAsia" w:ascii="华文楷体" w:hAnsi="华文楷体" w:eastAsia="华文楷体" w:cs="华文楷体"/>
                  <w:bCs/>
                  <w:sz w:val="28"/>
                  <w:szCs w:val="28"/>
                  <w:lang w:val="zh-CN" w:eastAsia="zh-CN"/>
                </w:rPr>
                <w:t>（</w:t>
              </w:r>
              <w:r>
                <w:rPr>
                  <w:rFonts w:hint="eastAsia" w:ascii="华文楷体" w:hAnsi="华文楷体" w:eastAsia="华文楷体" w:cs="华文楷体"/>
                  <w:bCs/>
                  <w:sz w:val="28"/>
                  <w:szCs w:val="28"/>
                  <w:lang w:val="en-US" w:eastAsia="zh-CN"/>
                </w:rPr>
                <w:t>二</w:t>
              </w:r>
              <w:r>
                <w:rPr>
                  <w:rFonts w:hint="eastAsia" w:ascii="华文楷体" w:hAnsi="华文楷体" w:eastAsia="华文楷体" w:cs="华文楷体"/>
                  <w:bCs/>
                  <w:sz w:val="28"/>
                  <w:szCs w:val="28"/>
                  <w:lang w:val="zh-CN" w:eastAsia="zh-CN"/>
                </w:rPr>
                <w:t>）</w:t>
              </w:r>
              <w:r>
                <w:rPr>
                  <w:rFonts w:hint="eastAsia" w:ascii="华文楷体" w:hAnsi="华文楷体" w:eastAsia="华文楷体" w:cs="华文楷体"/>
                  <w:bCs/>
                  <w:sz w:val="28"/>
                  <w:szCs w:val="28"/>
                  <w:lang w:val="en-US" w:eastAsia="zh-CN"/>
                </w:rPr>
                <w:t>单位选取不规范</w:t>
              </w:r>
              <w:r>
                <w:rPr>
                  <w:sz w:val="28"/>
                  <w:szCs w:val="28"/>
                </w:rPr>
                <w:tab/>
              </w:r>
              <w:r>
                <w:rPr>
                  <w:sz w:val="28"/>
                  <w:szCs w:val="28"/>
                </w:rPr>
                <w:fldChar w:fldCharType="begin"/>
              </w:r>
              <w:r>
                <w:rPr>
                  <w:sz w:val="28"/>
                  <w:szCs w:val="28"/>
                </w:rPr>
                <w:instrText xml:space="preserve"> PAGEREF _Toc18901 \h </w:instrText>
              </w:r>
              <w:r>
                <w:rPr>
                  <w:sz w:val="28"/>
                  <w:szCs w:val="28"/>
                </w:rPr>
                <w:fldChar w:fldCharType="separate"/>
              </w:r>
              <w:r>
                <w:rPr>
                  <w:sz w:val="28"/>
                  <w:szCs w:val="28"/>
                </w:rPr>
                <w:t>12</w:t>
              </w:r>
              <w:r>
                <w:rPr>
                  <w:sz w:val="28"/>
                  <w:szCs w:val="28"/>
                </w:rPr>
                <w:fldChar w:fldCharType="end"/>
              </w:r>
              <w:r>
                <w:rPr>
                  <w:rFonts w:hAnsi="宋体"/>
                  <w:bCs/>
                  <w:color w:val="auto"/>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sz w:val="28"/>
                  <w:szCs w:val="28"/>
                </w:rPr>
              </w:pPr>
              <w:r>
                <w:rPr>
                  <w:rFonts w:hAnsi="宋体"/>
                  <w:bCs/>
                  <w:color w:val="auto"/>
                  <w:sz w:val="28"/>
                  <w:szCs w:val="28"/>
                </w:rPr>
                <w:fldChar w:fldCharType="begin"/>
              </w:r>
              <w:r>
                <w:rPr>
                  <w:rFonts w:hAnsi="宋体"/>
                  <w:bCs/>
                  <w:sz w:val="28"/>
                  <w:szCs w:val="28"/>
                </w:rPr>
                <w:instrText xml:space="preserve"> HYPERLINK \l _Toc31801 </w:instrText>
              </w:r>
              <w:r>
                <w:rPr>
                  <w:rFonts w:hAnsi="宋体"/>
                  <w:bCs/>
                  <w:sz w:val="28"/>
                  <w:szCs w:val="28"/>
                </w:rPr>
                <w:fldChar w:fldCharType="separate"/>
              </w:r>
              <w:r>
                <w:rPr>
                  <w:rFonts w:hint="eastAsia" w:ascii="华文楷体" w:hAnsi="华文楷体" w:eastAsia="华文楷体" w:cs="华文楷体"/>
                  <w:bCs/>
                  <w:sz w:val="28"/>
                  <w:szCs w:val="28"/>
                  <w:lang w:val="en-US" w:eastAsia="zh-CN"/>
                </w:rPr>
                <w:t>（三）项目立项不规范</w:t>
              </w:r>
              <w:r>
                <w:rPr>
                  <w:sz w:val="28"/>
                  <w:szCs w:val="28"/>
                </w:rPr>
                <w:tab/>
              </w:r>
              <w:r>
                <w:rPr>
                  <w:sz w:val="28"/>
                  <w:szCs w:val="28"/>
                </w:rPr>
                <w:fldChar w:fldCharType="begin"/>
              </w:r>
              <w:r>
                <w:rPr>
                  <w:sz w:val="28"/>
                  <w:szCs w:val="28"/>
                </w:rPr>
                <w:instrText xml:space="preserve"> PAGEREF _Toc31801 \h </w:instrText>
              </w:r>
              <w:r>
                <w:rPr>
                  <w:sz w:val="28"/>
                  <w:szCs w:val="28"/>
                </w:rPr>
                <w:fldChar w:fldCharType="separate"/>
              </w:r>
              <w:r>
                <w:rPr>
                  <w:sz w:val="28"/>
                  <w:szCs w:val="28"/>
                </w:rPr>
                <w:t>12</w:t>
              </w:r>
              <w:r>
                <w:rPr>
                  <w:sz w:val="28"/>
                  <w:szCs w:val="28"/>
                </w:rPr>
                <w:fldChar w:fldCharType="end"/>
              </w:r>
              <w:r>
                <w:rPr>
                  <w:rFonts w:hAnsi="宋体"/>
                  <w:bCs/>
                  <w:color w:val="auto"/>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rPr>
                  <w:sz w:val="28"/>
                  <w:szCs w:val="28"/>
                </w:rPr>
              </w:pPr>
              <w:r>
                <w:rPr>
                  <w:rFonts w:hAnsi="宋体"/>
                  <w:bCs/>
                  <w:color w:val="auto"/>
                  <w:sz w:val="28"/>
                  <w:szCs w:val="28"/>
                </w:rPr>
                <w:fldChar w:fldCharType="begin"/>
              </w:r>
              <w:r>
                <w:rPr>
                  <w:rFonts w:hAnsi="宋体"/>
                  <w:bCs/>
                  <w:sz w:val="28"/>
                  <w:szCs w:val="28"/>
                </w:rPr>
                <w:instrText xml:space="preserve"> HYPERLINK \l _Toc23938 </w:instrText>
              </w:r>
              <w:r>
                <w:rPr>
                  <w:rFonts w:hAnsi="宋体"/>
                  <w:bCs/>
                  <w:sz w:val="28"/>
                  <w:szCs w:val="28"/>
                </w:rPr>
                <w:fldChar w:fldCharType="separate"/>
              </w:r>
              <w:r>
                <w:rPr>
                  <w:rFonts w:hint="eastAsia" w:ascii="华文楷体" w:hAnsi="华文楷体" w:eastAsia="华文楷体" w:cs="华文楷体"/>
                  <w:bCs/>
                  <w:sz w:val="28"/>
                  <w:szCs w:val="28"/>
                  <w:lang w:val="en-US" w:eastAsia="zh-CN"/>
                </w:rPr>
                <w:t>（四）项目目标设置不规范</w:t>
              </w:r>
              <w:r>
                <w:rPr>
                  <w:sz w:val="28"/>
                  <w:szCs w:val="28"/>
                </w:rPr>
                <w:tab/>
              </w:r>
              <w:r>
                <w:rPr>
                  <w:sz w:val="28"/>
                  <w:szCs w:val="28"/>
                </w:rPr>
                <w:fldChar w:fldCharType="begin"/>
              </w:r>
              <w:r>
                <w:rPr>
                  <w:sz w:val="28"/>
                  <w:szCs w:val="28"/>
                </w:rPr>
                <w:instrText xml:space="preserve"> PAGEREF _Toc23938 \h </w:instrText>
              </w:r>
              <w:r>
                <w:rPr>
                  <w:sz w:val="28"/>
                  <w:szCs w:val="28"/>
                </w:rPr>
                <w:fldChar w:fldCharType="separate"/>
              </w:r>
              <w:r>
                <w:rPr>
                  <w:sz w:val="28"/>
                  <w:szCs w:val="28"/>
                </w:rPr>
                <w:t>12</w:t>
              </w:r>
              <w:r>
                <w:rPr>
                  <w:sz w:val="28"/>
                  <w:szCs w:val="28"/>
                </w:rPr>
                <w:fldChar w:fldCharType="end"/>
              </w:r>
              <w:r>
                <w:rPr>
                  <w:rFonts w:hAnsi="宋体"/>
                  <w:bCs/>
                  <w:color w:val="auto"/>
                  <w:sz w:val="28"/>
                  <w:szCs w:val="28"/>
                </w:rPr>
                <w:fldChar w:fldCharType="end"/>
              </w:r>
            </w:p>
            <w:p>
              <w:pPr>
                <w:pStyle w:val="15"/>
                <w:keepNext w:val="0"/>
                <w:keepLines w:val="0"/>
                <w:pageBreakBefore w:val="0"/>
                <w:widowControl/>
                <w:tabs>
                  <w:tab w:val="right" w:leader="dot" w:pos="8845"/>
                </w:tabs>
                <w:kinsoku/>
                <w:wordWrap/>
                <w:overflowPunct/>
                <w:topLinePunct w:val="0"/>
                <w:autoSpaceDE/>
                <w:autoSpaceDN/>
                <w:bidi w:val="0"/>
                <w:adjustRightInd/>
                <w:snapToGrid/>
                <w:spacing w:after="0" w:line="520" w:lineRule="exact"/>
                <w:textAlignment w:val="auto"/>
              </w:pPr>
              <w:r>
                <w:rPr>
                  <w:rFonts w:hAnsi="宋体"/>
                  <w:bCs/>
                  <w:color w:val="auto"/>
                  <w:sz w:val="28"/>
                  <w:szCs w:val="28"/>
                </w:rPr>
                <w:fldChar w:fldCharType="begin"/>
              </w:r>
              <w:r>
                <w:rPr>
                  <w:rFonts w:hAnsi="宋体"/>
                  <w:bCs/>
                  <w:sz w:val="28"/>
                  <w:szCs w:val="28"/>
                </w:rPr>
                <w:instrText xml:space="preserve"> HYPERLINK \l _Toc31032 </w:instrText>
              </w:r>
              <w:r>
                <w:rPr>
                  <w:rFonts w:hAnsi="宋体"/>
                  <w:bCs/>
                  <w:sz w:val="28"/>
                  <w:szCs w:val="28"/>
                </w:rPr>
                <w:fldChar w:fldCharType="separate"/>
              </w:r>
              <w:r>
                <w:rPr>
                  <w:rFonts w:hint="eastAsia" w:ascii="黑体" w:hAnsi="黑体" w:eastAsia="黑体" w:cs="黑体"/>
                  <w:bCs/>
                  <w:sz w:val="28"/>
                  <w:szCs w:val="28"/>
                </w:rPr>
                <w:t>七</w:t>
              </w:r>
              <w:r>
                <w:rPr>
                  <w:rFonts w:hint="eastAsia" w:ascii="黑体" w:hAnsi="黑体" w:eastAsia="黑体" w:cs="黑体"/>
                  <w:bCs/>
                  <w:sz w:val="28"/>
                  <w:szCs w:val="28"/>
                  <w:lang w:eastAsia="zh-CN"/>
                </w:rPr>
                <w:t>、</w:t>
              </w:r>
              <w:r>
                <w:rPr>
                  <w:rFonts w:hint="eastAsia" w:ascii="黑体" w:hAnsi="黑体" w:eastAsia="黑体" w:cs="黑体"/>
                  <w:bCs/>
                  <w:sz w:val="28"/>
                  <w:szCs w:val="28"/>
                </w:rPr>
                <w:t>意见建议</w:t>
              </w:r>
              <w:r>
                <w:rPr>
                  <w:sz w:val="28"/>
                  <w:szCs w:val="28"/>
                </w:rPr>
                <w:tab/>
              </w:r>
              <w:r>
                <w:rPr>
                  <w:sz w:val="28"/>
                  <w:szCs w:val="28"/>
                </w:rPr>
                <w:fldChar w:fldCharType="begin"/>
              </w:r>
              <w:r>
                <w:rPr>
                  <w:sz w:val="28"/>
                  <w:szCs w:val="28"/>
                </w:rPr>
                <w:instrText xml:space="preserve"> PAGEREF _Toc31032 \h </w:instrText>
              </w:r>
              <w:r>
                <w:rPr>
                  <w:sz w:val="28"/>
                  <w:szCs w:val="28"/>
                </w:rPr>
                <w:fldChar w:fldCharType="separate"/>
              </w:r>
              <w:r>
                <w:rPr>
                  <w:sz w:val="28"/>
                  <w:szCs w:val="28"/>
                </w:rPr>
                <w:t>13</w:t>
              </w:r>
              <w:r>
                <w:rPr>
                  <w:sz w:val="28"/>
                  <w:szCs w:val="28"/>
                </w:rPr>
                <w:fldChar w:fldCharType="end"/>
              </w:r>
              <w:r>
                <w:rPr>
                  <w:rFonts w:hAnsi="宋体"/>
                  <w:bCs/>
                  <w:color w:val="auto"/>
                  <w:sz w:val="28"/>
                  <w:szCs w:val="28"/>
                </w:rPr>
                <w:fldChar w:fldCharType="end"/>
              </w:r>
            </w:p>
            <w:p>
              <w:pPr>
                <w:spacing w:line="360" w:lineRule="auto"/>
                <w:jc w:val="center"/>
                <w:rPr>
                  <w:rFonts w:asciiTheme="majorEastAsia" w:hAnsiTheme="majorEastAsia" w:eastAsiaTheme="majorEastAsia"/>
                  <w:b/>
                  <w:color w:val="auto"/>
                  <w:sz w:val="36"/>
                  <w:szCs w:val="36"/>
                </w:rPr>
                <w:sectPr>
                  <w:headerReference r:id="rId3" w:type="default"/>
                  <w:footerReference r:id="rId4" w:type="default"/>
                  <w:pgSz w:w="11907" w:h="16840"/>
                  <w:pgMar w:top="1440" w:right="1474" w:bottom="1440" w:left="1588" w:header="851" w:footer="992" w:gutter="0"/>
                  <w:cols w:space="720" w:num="1"/>
                </w:sectPr>
              </w:pPr>
              <w:r>
                <w:rPr>
                  <w:rFonts w:hAnsi="宋体"/>
                  <w:bCs/>
                  <w:color w:val="auto"/>
                  <w:szCs w:val="44"/>
                </w:rPr>
                <w:fldChar w:fldCharType="end"/>
              </w:r>
            </w:p>
          </w:sdtContent>
        </w:sdt>
      </w:sdtContent>
    </w:sdt>
    <w:p>
      <w:pPr>
        <w:pStyle w:val="38"/>
        <w:bidi w:val="0"/>
        <w:rPr>
          <w:rFonts w:hint="default"/>
          <w:lang w:val="en-US" w:eastAsia="zh-CN"/>
        </w:rPr>
      </w:pPr>
      <w:bookmarkStart w:id="2" w:name="_Toc57373818"/>
      <w:bookmarkEnd w:id="2"/>
      <w:r>
        <w:rPr>
          <w:rFonts w:hint="eastAsia"/>
          <w:lang w:eastAsia="zh-CN"/>
        </w:rPr>
        <w:t>遵化市环境卫生管理中心</w:t>
      </w:r>
      <w:r>
        <w:rPr>
          <w:rFonts w:hint="eastAsia"/>
          <w:lang w:val="en-US" w:eastAsia="zh-CN"/>
        </w:rPr>
        <w:t>2022年</w:t>
      </w:r>
    </w:p>
    <w:p>
      <w:pPr>
        <w:pStyle w:val="38"/>
        <w:bidi w:val="0"/>
        <w:rPr>
          <w:rFonts w:hint="eastAsia"/>
          <w:lang w:eastAsia="zh-CN"/>
        </w:rPr>
      </w:pPr>
      <w:r>
        <w:rPr>
          <w:rFonts w:hint="eastAsia"/>
          <w:lang w:eastAsia="zh-CN"/>
        </w:rPr>
        <w:t>城区环卫设施零星修缮工程费用项目</w:t>
      </w:r>
    </w:p>
    <w:p>
      <w:pPr>
        <w:pStyle w:val="38"/>
        <w:bidi w:val="0"/>
      </w:pPr>
      <w:bookmarkStart w:id="3" w:name="_Toc57373823"/>
      <w:r>
        <w:rPr>
          <w:rFonts w:hint="eastAsia"/>
        </w:rPr>
        <w:t>绩效评价报告</w:t>
      </w:r>
      <w:bookmarkEnd w:id="3"/>
    </w:p>
    <w:p>
      <w:pPr>
        <w:pStyle w:val="40"/>
        <w:bidi w:val="0"/>
      </w:pPr>
      <w:bookmarkStart w:id="4" w:name="_Toc29302676"/>
      <w:bookmarkStart w:id="5" w:name="_Toc1221"/>
      <w:r>
        <w:rPr>
          <w:rFonts w:hint="eastAsia"/>
        </w:rPr>
        <w:t>一</w:t>
      </w:r>
      <w:r>
        <w:rPr>
          <w:rFonts w:hint="eastAsia"/>
          <w:lang w:eastAsia="zh-CN"/>
        </w:rPr>
        <w:t>、</w:t>
      </w:r>
      <w:r>
        <w:rPr>
          <w:rFonts w:hint="eastAsia"/>
        </w:rPr>
        <w:t>项目基本情况</w:t>
      </w:r>
      <w:bookmarkEnd w:id="4"/>
      <w:bookmarkEnd w:id="5"/>
    </w:p>
    <w:p>
      <w:pPr>
        <w:pStyle w:val="39"/>
        <w:bidi w:val="0"/>
      </w:pPr>
      <w:bookmarkStart w:id="6" w:name="_Toc16670"/>
      <w:bookmarkStart w:id="7" w:name="_Toc29302677"/>
      <w:r>
        <w:rPr>
          <w:rFonts w:hint="eastAsia"/>
        </w:rPr>
        <w:t>（一）项目概况</w:t>
      </w:r>
      <w:bookmarkEnd w:id="6"/>
      <w:bookmarkEnd w:id="7"/>
    </w:p>
    <w:p>
      <w:pPr>
        <w:pStyle w:val="41"/>
        <w:bidi w:val="0"/>
        <w:rPr>
          <w:rFonts w:hint="default"/>
          <w:lang w:val="en-US"/>
        </w:rPr>
      </w:pPr>
      <w:r>
        <w:rPr>
          <w:rFonts w:hint="eastAsia"/>
          <w:lang w:val="zh-CN"/>
        </w:rPr>
        <w:t>为了能够及时掌握环卫设施现状，不影响</w:t>
      </w:r>
      <w:r>
        <w:rPr>
          <w:rFonts w:hint="eastAsia"/>
          <w:lang w:val="en-US"/>
        </w:rPr>
        <w:t>遵化市</w:t>
      </w:r>
      <w:r>
        <w:rPr>
          <w:rFonts w:hint="eastAsia"/>
          <w:lang w:val="zh-CN"/>
        </w:rPr>
        <w:t>全国卫生城、全国文明城复检和洁净城市复核，遵化市环境卫生管理中心（</w:t>
      </w:r>
      <w:r>
        <w:rPr>
          <w:rFonts w:hint="eastAsia"/>
          <w:lang w:val="en-US"/>
        </w:rPr>
        <w:t>以下简称“环卫中心”</w:t>
      </w:r>
      <w:r>
        <w:rPr>
          <w:rFonts w:hint="eastAsia"/>
          <w:lang w:val="zh-CN"/>
        </w:rPr>
        <w:t>）</w:t>
      </w:r>
      <w:r>
        <w:rPr>
          <w:rFonts w:hint="eastAsia"/>
          <w:lang w:val="en-US"/>
        </w:rPr>
        <w:t>开展</w:t>
      </w:r>
      <w:r>
        <w:rPr>
          <w:rFonts w:hint="eastAsia"/>
          <w:lang w:val="zh-CN"/>
        </w:rPr>
        <w:t>城区环卫设施零星修缮工程费用项目（</w:t>
      </w:r>
      <w:r>
        <w:rPr>
          <w:rFonts w:hint="eastAsia"/>
          <w:lang w:val="en-US"/>
        </w:rPr>
        <w:t>以下简称“项目”或“该项目”），项目资金50.00万元在《遵化市城市管理综合行政执法局2022年部门预算</w:t>
      </w:r>
      <w:r>
        <w:rPr>
          <w:rFonts w:hint="eastAsia"/>
          <w:lang w:val="en-US" w:eastAsia="zh-CN"/>
        </w:rPr>
        <w:t>（草案）》</w:t>
      </w:r>
      <w:r>
        <w:rPr>
          <w:rFonts w:hint="eastAsia"/>
          <w:lang w:val="en-US"/>
        </w:rPr>
        <w:t>中环卫中心城区环卫设施零星修缮工程费用中列示，全部为一般公共预算拨款，环卫中心</w:t>
      </w:r>
      <w:r>
        <w:rPr>
          <w:rFonts w:hint="eastAsia"/>
          <w:lang w:val="zh-CN"/>
        </w:rPr>
        <w:t>根据市民举报或日督导过程中发现</w:t>
      </w:r>
      <w:r>
        <w:rPr>
          <w:rFonts w:hint="eastAsia"/>
          <w:lang w:val="en-US"/>
        </w:rPr>
        <w:t>的</w:t>
      </w:r>
      <w:r>
        <w:rPr>
          <w:rFonts w:hint="eastAsia"/>
          <w:lang w:val="zh-CN"/>
        </w:rPr>
        <w:t>市民破坏和粪便、垃圾腐蚀</w:t>
      </w:r>
      <w:r>
        <w:rPr>
          <w:rFonts w:hint="eastAsia"/>
          <w:lang w:val="en-US"/>
        </w:rPr>
        <w:t>等造成的</w:t>
      </w:r>
      <w:r>
        <w:rPr>
          <w:rFonts w:hint="eastAsia"/>
          <w:lang w:val="zh-CN"/>
        </w:rPr>
        <w:t>城区内环卫设施</w:t>
      </w:r>
      <w:r>
        <w:rPr>
          <w:rFonts w:hint="eastAsia"/>
          <w:lang w:val="en-US"/>
        </w:rPr>
        <w:t>进行</w:t>
      </w:r>
      <w:r>
        <w:rPr>
          <w:rFonts w:hint="eastAsia"/>
          <w:lang w:val="zh-CN"/>
        </w:rPr>
        <w:t>日常管理和维护工作，与财政局主管科室进行沟通或现场核实</w:t>
      </w:r>
      <w:r>
        <w:rPr>
          <w:rFonts w:hint="eastAsia"/>
          <w:lang w:val="en-US"/>
        </w:rPr>
        <w:t>并经相关科室同意后</w:t>
      </w:r>
      <w:r>
        <w:rPr>
          <w:rFonts w:hint="eastAsia"/>
          <w:lang w:val="zh-CN"/>
        </w:rPr>
        <w:t>，安排施工单位进行维修。</w:t>
      </w:r>
    </w:p>
    <w:p>
      <w:pPr>
        <w:pStyle w:val="39"/>
        <w:bidi w:val="0"/>
        <w:rPr>
          <w:rFonts w:hint="eastAsia"/>
        </w:rPr>
      </w:pPr>
      <w:bookmarkStart w:id="8" w:name="_Toc29302678"/>
      <w:bookmarkStart w:id="9" w:name="_Toc18795"/>
      <w:r>
        <w:rPr>
          <w:rFonts w:hint="eastAsia"/>
        </w:rPr>
        <w:t>（二）项目绩效目标</w:t>
      </w:r>
      <w:bookmarkEnd w:id="8"/>
      <w:bookmarkEnd w:id="9"/>
    </w:p>
    <w:p>
      <w:pPr>
        <w:pStyle w:val="41"/>
        <w:bidi w:val="0"/>
        <w:rPr>
          <w:rFonts w:hint="eastAsia"/>
          <w:lang w:val="en-US"/>
        </w:rPr>
      </w:pPr>
      <w:bookmarkStart w:id="10" w:name="_Toc29302679"/>
      <w:r>
        <w:rPr>
          <w:rFonts w:hint="eastAsia"/>
          <w:lang w:val="en-US"/>
        </w:rPr>
        <w:t>遵化市环境卫生管理中心2022年城区环卫设施零星修缮工程费用项目计划依据维修报表完成环卫设施零星修缮，经完工验收，按时、按质、按量完成环卫设施零星修缮工作，并按规定支付零星修缮费用。</w:t>
      </w:r>
    </w:p>
    <w:p>
      <w:pPr>
        <w:pStyle w:val="40"/>
        <w:bidi w:val="0"/>
        <w:rPr>
          <w:rFonts w:hint="eastAsia" w:ascii="黑体" w:hAnsi="黑体" w:eastAsia="黑体" w:cs="黑体"/>
          <w:bCs/>
          <w:color w:val="auto"/>
          <w:szCs w:val="30"/>
        </w:rPr>
      </w:pPr>
      <w:bookmarkStart w:id="11" w:name="_Toc29352"/>
      <w:r>
        <w:rPr>
          <w:rFonts w:hint="eastAsia"/>
        </w:rPr>
        <w:t>二</w:t>
      </w:r>
      <w:r>
        <w:rPr>
          <w:rFonts w:hint="eastAsia"/>
          <w:lang w:eastAsia="zh-CN"/>
        </w:rPr>
        <w:t>、</w:t>
      </w:r>
      <w:r>
        <w:rPr>
          <w:rFonts w:hint="eastAsia"/>
        </w:rPr>
        <w:t>项目实施情况</w:t>
      </w:r>
      <w:bookmarkEnd w:id="11"/>
    </w:p>
    <w:p>
      <w:pPr>
        <w:pStyle w:val="39"/>
        <w:bidi w:val="0"/>
        <w:rPr>
          <w:rFonts w:hint="eastAsia"/>
        </w:rPr>
      </w:pPr>
      <w:bookmarkStart w:id="12" w:name="_Toc498"/>
      <w:r>
        <w:rPr>
          <w:rFonts w:hint="eastAsia"/>
        </w:rPr>
        <w:t>（一）项目资金</w:t>
      </w:r>
      <w:r>
        <w:rPr>
          <w:rFonts w:hint="eastAsia"/>
          <w:lang w:val="en-US" w:eastAsia="zh-CN"/>
        </w:rPr>
        <w:t>到位、</w:t>
      </w:r>
      <w:r>
        <w:rPr>
          <w:rFonts w:hint="eastAsia"/>
        </w:rPr>
        <w:t>使用及管理情况</w:t>
      </w:r>
      <w:bookmarkEnd w:id="12"/>
    </w:p>
    <w:p>
      <w:pPr>
        <w:pStyle w:val="41"/>
        <w:bidi w:val="0"/>
        <w:rPr>
          <w:rFonts w:hint="eastAsia"/>
          <w:lang w:val="en-US"/>
        </w:rPr>
      </w:pPr>
      <w:r>
        <w:rPr>
          <w:rFonts w:hint="eastAsia"/>
          <w:lang w:val="en-US"/>
        </w:rPr>
        <w:t>1</w:t>
      </w:r>
      <w:r>
        <w:rPr>
          <w:rFonts w:hint="eastAsia"/>
          <w:lang w:val="en-US" w:eastAsia="zh-CN"/>
        </w:rPr>
        <w:t>.</w:t>
      </w:r>
      <w:r>
        <w:rPr>
          <w:rFonts w:hint="eastAsia"/>
          <w:lang w:val="en-US"/>
        </w:rPr>
        <w:t>资金到位情况</w:t>
      </w:r>
    </w:p>
    <w:p>
      <w:pPr>
        <w:pStyle w:val="41"/>
        <w:bidi w:val="0"/>
        <w:rPr>
          <w:rFonts w:hint="eastAsia"/>
          <w:lang w:val="en-US"/>
        </w:rPr>
      </w:pPr>
      <w:r>
        <w:rPr>
          <w:rFonts w:hint="eastAsia"/>
          <w:lang w:val="en-US"/>
        </w:rPr>
        <w:t>根据遵化市财政局《关于拨付环卫设施维修费请示的答复》（遵财答复﹝2022﹞229号）</w:t>
      </w:r>
      <w:r>
        <w:rPr>
          <w:rFonts w:hint="eastAsia"/>
          <w:lang w:val="zh-CN"/>
        </w:rPr>
        <w:t>、</w:t>
      </w:r>
      <w:r>
        <w:rPr>
          <w:rFonts w:hint="eastAsia"/>
          <w:lang w:val="en-US"/>
        </w:rPr>
        <w:t>部门预算等文件，项目预算资金50.00万元，2020年10月至2021年9月城区公厕维修费用资金45.78</w:t>
      </w:r>
      <w:r>
        <w:rPr>
          <w:rFonts w:hint="eastAsia"/>
          <w:lang w:val="zh-CN"/>
        </w:rPr>
        <w:t>万元，</w:t>
      </w:r>
      <w:r>
        <w:rPr>
          <w:rFonts w:hint="eastAsia"/>
          <w:lang w:val="en-US"/>
        </w:rPr>
        <w:t>截至202</w:t>
      </w:r>
      <w:r>
        <w:rPr>
          <w:rFonts w:hint="eastAsia"/>
          <w:lang w:val="en-US" w:eastAsia="zh-CN"/>
        </w:rPr>
        <w:t>2</w:t>
      </w:r>
      <w:r>
        <w:rPr>
          <w:rFonts w:hint="eastAsia"/>
          <w:lang w:val="en-US"/>
        </w:rPr>
        <w:t>年</w:t>
      </w:r>
      <w:r>
        <w:rPr>
          <w:rFonts w:hint="eastAsia"/>
          <w:lang w:val="en-US" w:eastAsia="zh-CN"/>
        </w:rPr>
        <w:t>底</w:t>
      </w:r>
      <w:r>
        <w:rPr>
          <w:rFonts w:hint="eastAsia"/>
          <w:lang w:val="en-US"/>
        </w:rPr>
        <w:t>，资金到位</w:t>
      </w:r>
      <w:r>
        <w:rPr>
          <w:rFonts w:hint="eastAsia"/>
          <w:lang w:val="en-US" w:eastAsia="zh-CN"/>
        </w:rPr>
        <w:t>4</w:t>
      </w:r>
      <w:r>
        <w:rPr>
          <w:rFonts w:hint="eastAsia"/>
          <w:lang w:val="en-US"/>
        </w:rPr>
        <w:t>5.78</w:t>
      </w:r>
      <w:r>
        <w:rPr>
          <w:rFonts w:hint="eastAsia"/>
          <w:lang w:val="zh-CN"/>
        </w:rPr>
        <w:t>万元</w:t>
      </w:r>
      <w:r>
        <w:rPr>
          <w:rFonts w:hint="eastAsia"/>
          <w:lang w:val="en-US"/>
        </w:rPr>
        <w:t>。资金到位率</w:t>
      </w:r>
      <w:r>
        <w:rPr>
          <w:rFonts w:hint="eastAsia"/>
          <w:lang w:val="en-US" w:eastAsia="zh-CN"/>
        </w:rPr>
        <w:t>91.56</w:t>
      </w:r>
      <w:r>
        <w:rPr>
          <w:rFonts w:hint="eastAsia"/>
          <w:lang w:val="en-US"/>
        </w:rPr>
        <w:t>%。</w:t>
      </w:r>
    </w:p>
    <w:p>
      <w:pPr>
        <w:pStyle w:val="41"/>
        <w:bidi w:val="0"/>
        <w:rPr>
          <w:rFonts w:hint="eastAsia"/>
          <w:lang w:val="en-US"/>
        </w:rPr>
      </w:pPr>
      <w:r>
        <w:rPr>
          <w:rFonts w:hint="eastAsia"/>
          <w:lang w:val="en-US"/>
        </w:rPr>
        <w:t>2</w:t>
      </w:r>
      <w:r>
        <w:rPr>
          <w:rFonts w:hint="eastAsia"/>
          <w:lang w:val="en-US" w:eastAsia="zh-CN"/>
        </w:rPr>
        <w:t>.</w:t>
      </w:r>
      <w:r>
        <w:rPr>
          <w:rFonts w:hint="eastAsia"/>
          <w:lang w:val="en-US"/>
        </w:rPr>
        <w:t>资金使用情况</w:t>
      </w:r>
    </w:p>
    <w:p>
      <w:pPr>
        <w:pStyle w:val="41"/>
        <w:bidi w:val="0"/>
        <w:rPr>
          <w:rFonts w:hint="default"/>
          <w:lang w:val="en-US"/>
        </w:rPr>
      </w:pPr>
      <w:r>
        <w:rPr>
          <w:rFonts w:hint="eastAsia"/>
          <w:lang w:val="en-US" w:eastAsia="zh-CN"/>
        </w:rPr>
        <w:t>根据环卫中心提供的</w:t>
      </w:r>
      <w:r>
        <w:rPr>
          <w:rFonts w:hint="eastAsia"/>
          <w:lang w:val="en-US"/>
        </w:rPr>
        <w:t>结算审核报告、单位填报用款计划审批表等资料</w:t>
      </w:r>
      <w:r>
        <w:rPr>
          <w:rFonts w:hint="eastAsia"/>
          <w:lang w:val="en-US" w:eastAsia="zh-CN"/>
        </w:rPr>
        <w:t>，</w:t>
      </w:r>
      <w:r>
        <w:rPr>
          <w:rFonts w:hint="eastAsia"/>
          <w:lang w:val="en-US"/>
        </w:rPr>
        <w:t>截至202</w:t>
      </w:r>
      <w:r>
        <w:rPr>
          <w:rFonts w:hint="eastAsia"/>
          <w:lang w:val="en-US" w:eastAsia="zh-CN"/>
        </w:rPr>
        <w:t>2</w:t>
      </w:r>
      <w:r>
        <w:rPr>
          <w:rFonts w:hint="eastAsia"/>
          <w:lang w:val="en-US"/>
        </w:rPr>
        <w:t>年底，</w:t>
      </w:r>
      <w:r>
        <w:rPr>
          <w:rFonts w:hint="eastAsia"/>
          <w:lang w:val="en-US" w:eastAsia="zh-CN"/>
        </w:rPr>
        <w:t>环卫中心</w:t>
      </w:r>
      <w:r>
        <w:rPr>
          <w:rFonts w:hint="eastAsia"/>
          <w:lang w:val="en-US"/>
        </w:rPr>
        <w:t>支付城区环卫设施零星修缮工程费用45.78万元，预算执行率100.00%，支出明细如下：</w:t>
      </w:r>
    </w:p>
    <w:p>
      <w:pPr>
        <w:pStyle w:val="37"/>
        <w:bidi w:val="0"/>
        <w:rPr>
          <w:rFonts w:hint="eastAsia"/>
          <w:lang w:val="en-US" w:eastAsia="zh-CN"/>
        </w:rPr>
      </w:pPr>
      <w:r>
        <w:rPr>
          <w:rFonts w:hint="eastAsia"/>
          <w:lang w:val="en-US" w:eastAsia="zh-CN"/>
        </w:rPr>
        <w:t>费用支出明细表</w:t>
      </w:r>
    </w:p>
    <w:p>
      <w:pPr>
        <w:spacing w:line="480" w:lineRule="exact"/>
        <w:jc w:val="right"/>
        <w:textAlignment w:val="baseline"/>
        <w:rPr>
          <w:rFonts w:hint="eastAsia" w:ascii="仿宋" w:hAnsi="仿宋" w:eastAsia="仿宋" w:cs="宋体"/>
          <w:b/>
          <w:color w:val="auto"/>
          <w:sz w:val="24"/>
          <w:szCs w:val="24"/>
          <w:lang w:val="en-US" w:eastAsia="zh-CN"/>
        </w:rPr>
      </w:pPr>
      <w:r>
        <w:rPr>
          <w:rFonts w:hint="eastAsia" w:ascii="仿宋" w:hAnsi="仿宋" w:eastAsia="仿宋" w:cs="宋体"/>
          <w:b/>
          <w:color w:val="auto"/>
          <w:sz w:val="24"/>
          <w:szCs w:val="24"/>
          <w:lang w:val="en-US" w:eastAsia="zh-CN"/>
        </w:rPr>
        <w:t>单位：元</w:t>
      </w:r>
    </w:p>
    <w:tbl>
      <w:tblPr>
        <w:tblStyle w:val="1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2990"/>
        <w:gridCol w:w="3543"/>
        <w:gridCol w:w="1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项目名称</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项目单位</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审定金额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城区环卫设施维修</w:t>
            </w:r>
          </w:p>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（2020年10月至2021年8月）</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遵化市文化北路赵立明维修建筑队</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369,987.46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六实小路口新作公厕指示牌</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遵化市文化北路赵立明维修建筑队</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660.41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城区环卫设施维修修缮</w:t>
            </w:r>
          </w:p>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（2021年9月）</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遵化市欢迎建筑劳务分包有限公司</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87,108.82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2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457,756.69 </w:t>
            </w:r>
          </w:p>
        </w:tc>
      </w:tr>
    </w:tbl>
    <w:p>
      <w:pPr>
        <w:pStyle w:val="41"/>
        <w:bidi w:val="0"/>
        <w:rPr>
          <w:rFonts w:hint="eastAsia"/>
          <w:lang w:val="en-US"/>
        </w:rPr>
      </w:pPr>
      <w:r>
        <w:rPr>
          <w:rFonts w:hint="eastAsia"/>
          <w:lang w:val="en-US"/>
        </w:rPr>
        <w:t>3</w:t>
      </w:r>
      <w:r>
        <w:rPr>
          <w:rFonts w:hint="eastAsia"/>
          <w:lang w:val="en-US" w:eastAsia="zh-CN"/>
        </w:rPr>
        <w:t>.</w:t>
      </w:r>
      <w:r>
        <w:rPr>
          <w:rFonts w:hint="eastAsia"/>
          <w:lang w:val="en-US"/>
        </w:rPr>
        <w:t>资金管理情况</w:t>
      </w:r>
    </w:p>
    <w:p>
      <w:pPr>
        <w:pStyle w:val="41"/>
        <w:bidi w:val="0"/>
        <w:rPr>
          <w:rFonts w:hint="eastAsia"/>
          <w:lang w:val="en-US"/>
        </w:rPr>
      </w:pPr>
      <w:r>
        <w:rPr>
          <w:rFonts w:hint="eastAsia"/>
          <w:lang w:val="en-US"/>
        </w:rPr>
        <w:t>为加强财务管理和监督，合理、有效、规范使用项目资金，强化绩效和责任意识，有效提高资金使用效率，</w:t>
      </w:r>
      <w:r>
        <w:rPr>
          <w:rFonts w:hint="eastAsia"/>
          <w:lang w:val="en-US" w:eastAsia="zh-CN"/>
        </w:rPr>
        <w:t>环卫中心</w:t>
      </w:r>
      <w:r>
        <w:rPr>
          <w:rFonts w:hint="eastAsia"/>
          <w:lang w:val="en-US"/>
        </w:rPr>
        <w:t>按照相关会计制度规定申请财政资金，未出现违规使用资金行为。</w:t>
      </w:r>
    </w:p>
    <w:p>
      <w:pPr>
        <w:pStyle w:val="39"/>
        <w:bidi w:val="0"/>
        <w:rPr>
          <w:rFonts w:hint="eastAsia"/>
        </w:rPr>
      </w:pPr>
      <w:bookmarkStart w:id="13" w:name="_Toc32455"/>
      <w:r>
        <w:rPr>
          <w:rFonts w:hint="eastAsia"/>
        </w:rPr>
        <w:t>（二）项目组织实施管理情况</w:t>
      </w:r>
      <w:bookmarkEnd w:id="13"/>
    </w:p>
    <w:p>
      <w:pPr>
        <w:pStyle w:val="41"/>
        <w:bidi w:val="0"/>
        <w:rPr>
          <w:rFonts w:hint="eastAsia"/>
          <w:lang w:val="en-US" w:eastAsia="zh-CN"/>
        </w:rPr>
      </w:pPr>
      <w:r>
        <w:rPr>
          <w:rFonts w:hint="eastAsia"/>
          <w:lang w:val="en-US" w:eastAsia="zh-CN"/>
        </w:rPr>
        <w:t>2020年10月环卫中心根据维修内容填写《环卫维修报表》，包含79座公厕共169处维修内容。</w:t>
      </w:r>
    </w:p>
    <w:p>
      <w:pPr>
        <w:pStyle w:val="41"/>
        <w:bidi w:val="0"/>
        <w:rPr>
          <w:rFonts w:hint="eastAsia"/>
          <w:lang w:val="en-US"/>
        </w:rPr>
      </w:pPr>
      <w:r>
        <w:rPr>
          <w:rFonts w:hint="eastAsia"/>
          <w:lang w:val="en-US"/>
        </w:rPr>
        <w:t>《遵化市城市管理综合行政执法局2022年部门预算</w:t>
      </w:r>
      <w:r>
        <w:rPr>
          <w:rFonts w:hint="eastAsia"/>
          <w:lang w:val="en-US" w:eastAsia="zh-CN"/>
        </w:rPr>
        <w:t>（草案）》</w:t>
      </w:r>
      <w:bookmarkStart w:id="51" w:name="_GoBack"/>
      <w:bookmarkEnd w:id="51"/>
      <w:r>
        <w:rPr>
          <w:rFonts w:hint="eastAsia"/>
          <w:lang w:val="en-US"/>
        </w:rPr>
        <w:t>中列示环卫中心城区环卫设施零星修缮工程费用50.00万元。</w:t>
      </w:r>
    </w:p>
    <w:p>
      <w:pPr>
        <w:pStyle w:val="41"/>
        <w:bidi w:val="0"/>
        <w:rPr>
          <w:rFonts w:hint="eastAsia"/>
          <w:lang w:val="en-US" w:eastAsia="zh-CN"/>
        </w:rPr>
      </w:pPr>
      <w:r>
        <w:rPr>
          <w:rFonts w:hint="eastAsia"/>
          <w:lang w:val="en-US" w:eastAsia="zh-CN"/>
        </w:rPr>
        <w:t>2021年10月5日，施工单位赵立明出具城区环卫设施维修修缮工程（2020年10月至2021年8月）《建设工程预（结）算书》，工程金额41.14万元。</w:t>
      </w:r>
    </w:p>
    <w:p>
      <w:pPr>
        <w:pStyle w:val="41"/>
        <w:bidi w:val="0"/>
        <w:rPr>
          <w:rFonts w:hint="default"/>
          <w:lang w:val="en-US"/>
        </w:rPr>
      </w:pPr>
      <w:r>
        <w:rPr>
          <w:rFonts w:hint="eastAsia"/>
          <w:lang w:val="en-US"/>
        </w:rPr>
        <w:t>2020年9月23日环卫中心与遵化市文化北路赵立明维修建筑队签订《环卫设施维修修缮工程框架协议》，工程期限2020年10月至2021年9月，工程费用以编审所结算造价为准，工程范围为环卫中心负责城区环卫设施所在位置，环卫中心通知维修内容。因赵立明身体原因，服截至止2021年8月。</w:t>
      </w:r>
    </w:p>
    <w:p>
      <w:pPr>
        <w:pStyle w:val="41"/>
        <w:bidi w:val="0"/>
        <w:rPr>
          <w:rFonts w:hint="eastAsia"/>
          <w:lang w:val="en-US"/>
        </w:rPr>
      </w:pPr>
      <w:r>
        <w:rPr>
          <w:rFonts w:hint="eastAsia"/>
          <w:lang w:val="en-US"/>
        </w:rPr>
        <w:t>2021年8月27日环卫中心与遵化市欢迎建筑劳务分包有限公司签订《环卫设施维修修缮工程框架协议》，工程期限2021年9月1日至2021年9月30日，工程费用以编审所结算造价为准，工程范围为环卫中心负责城区环卫设施所在位置，环卫中心通知维修内容。</w:t>
      </w:r>
    </w:p>
    <w:p>
      <w:pPr>
        <w:pStyle w:val="41"/>
        <w:bidi w:val="0"/>
        <w:rPr>
          <w:rFonts w:hint="eastAsia"/>
          <w:lang w:val="en-US" w:eastAsia="zh-CN"/>
        </w:rPr>
      </w:pPr>
      <w:r>
        <w:rPr>
          <w:rFonts w:hint="eastAsia"/>
          <w:lang w:val="en-US" w:eastAsia="zh-CN"/>
        </w:rPr>
        <w:t>2021年11月8日环卫中心签订（2021）年第13号、（2021）年第14号《环卫设施建设、维修工程完工证》预算造价分别为9.72万元、41.20万元。</w:t>
      </w:r>
    </w:p>
    <w:p>
      <w:pPr>
        <w:pStyle w:val="41"/>
        <w:bidi w:val="0"/>
        <w:rPr>
          <w:rFonts w:hint="eastAsia"/>
          <w:lang w:val="en-US"/>
        </w:rPr>
      </w:pPr>
      <w:r>
        <w:rPr>
          <w:rFonts w:hint="eastAsia"/>
          <w:lang w:val="en-US"/>
        </w:rPr>
        <w:t>2021年12月1日，遵化市财信工程造价咨询事务所出具《关于遵化市市环境卫生管理中心2020年10月至2021年9月环卫设施维修工程结算的审核报告》（遵造字﹝2021﹞第307号）结算审核情况如下表：</w:t>
      </w:r>
    </w:p>
    <w:p>
      <w:pPr>
        <w:pStyle w:val="37"/>
        <w:bidi w:val="0"/>
        <w:rPr>
          <w:rFonts w:hint="eastAsia"/>
          <w:lang w:val="en-US" w:eastAsia="zh-CN"/>
        </w:rPr>
      </w:pPr>
      <w:r>
        <w:rPr>
          <w:rFonts w:hint="eastAsia"/>
          <w:lang w:val="en-US" w:eastAsia="zh-CN"/>
        </w:rPr>
        <w:t>结算审核情况表</w:t>
      </w:r>
    </w:p>
    <w:p>
      <w:pPr>
        <w:spacing w:line="480" w:lineRule="exact"/>
        <w:jc w:val="right"/>
        <w:textAlignment w:val="baseline"/>
        <w:rPr>
          <w:rFonts w:hint="default" w:ascii="仿宋" w:hAnsi="仿宋" w:eastAsia="仿宋" w:cs="宋体"/>
          <w:b/>
          <w:color w:val="auto"/>
          <w:sz w:val="24"/>
          <w:szCs w:val="24"/>
          <w:lang w:val="en-US" w:eastAsia="zh-CN"/>
        </w:rPr>
      </w:pPr>
      <w:r>
        <w:rPr>
          <w:rFonts w:hint="eastAsia" w:ascii="仿宋" w:hAnsi="仿宋" w:eastAsia="仿宋" w:cs="宋体"/>
          <w:b/>
          <w:color w:val="auto"/>
          <w:sz w:val="24"/>
          <w:szCs w:val="24"/>
          <w:lang w:val="en-US" w:eastAsia="zh-CN"/>
        </w:rPr>
        <w:t>单位：元</w:t>
      </w:r>
    </w:p>
    <w:tbl>
      <w:tblPr>
        <w:tblStyle w:val="1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8"/>
        <w:gridCol w:w="3388"/>
        <w:gridCol w:w="1503"/>
        <w:gridCol w:w="1503"/>
        <w:gridCol w:w="13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1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项目名称</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送审金额</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审定金额</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审减金额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城区环卫设施维修</w:t>
            </w:r>
          </w:p>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（2020年10月至2021年8月）</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411,351.01 </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369,987.46 </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41,363.55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六实小路口新作公厕指示牌</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660.41 </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660.41 </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城区环卫设施维修修缮</w:t>
            </w:r>
          </w:p>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（2021年9月）</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97,156.64 </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87,108.82 </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10,047.82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509,168.06 </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457,756.69 </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51,411.37 </w:t>
            </w:r>
          </w:p>
        </w:tc>
      </w:tr>
    </w:tbl>
    <w:p>
      <w:pPr>
        <w:pStyle w:val="41"/>
        <w:bidi w:val="0"/>
        <w:rPr>
          <w:rFonts w:hint="eastAsia"/>
          <w:lang w:val="en-US" w:eastAsia="zh-CN"/>
        </w:rPr>
      </w:pPr>
      <w:r>
        <w:rPr>
          <w:rFonts w:hint="eastAsia"/>
          <w:lang w:val="en-US" w:eastAsia="zh-CN"/>
        </w:rPr>
        <w:t>2022年2月9日，环卫中心提交《关于拨付环卫设施维修费的请示》，申请2020年10月至2021年9月间经审核勘察的项目资金45.78万元。</w:t>
      </w:r>
    </w:p>
    <w:p>
      <w:pPr>
        <w:pStyle w:val="41"/>
        <w:bidi w:val="0"/>
        <w:rPr>
          <w:rFonts w:hint="default"/>
          <w:lang w:val="en-US" w:eastAsia="zh-CN"/>
        </w:rPr>
      </w:pPr>
      <w:r>
        <w:rPr>
          <w:rFonts w:hint="eastAsia"/>
          <w:lang w:val="en-US" w:eastAsia="zh-CN"/>
        </w:rPr>
        <w:t>2022年3月3日，遵化市财政局《关于拨付环卫设施维修费请示的答复》（遵财答复﹝2022﹞229号）同意安排环卫中心2020年10月至2021年9月城区公厕维修费用45.78万元，资金在年初预算城区环卫设施零星修缮工程费用中列支。</w:t>
      </w:r>
    </w:p>
    <w:p>
      <w:pPr>
        <w:pStyle w:val="41"/>
        <w:bidi w:val="0"/>
        <w:rPr>
          <w:rFonts w:hint="default"/>
          <w:lang w:val="en-US" w:eastAsia="zh-CN"/>
        </w:rPr>
      </w:pPr>
      <w:r>
        <w:rPr>
          <w:rFonts w:hint="eastAsia"/>
          <w:lang w:val="en-US" w:eastAsia="zh-CN"/>
        </w:rPr>
        <w:t>2022年3月17日《单位填报用款计划审批表》国库集中支付项目资金45.78万元，2022年4月25日记39号凭证支付修缮费37.06万元，2022年4月25日记40号凭证支付修缮费8.71万元。</w:t>
      </w:r>
    </w:p>
    <w:p>
      <w:pPr>
        <w:pStyle w:val="40"/>
        <w:bidi w:val="0"/>
        <w:rPr>
          <w:rFonts w:hint="eastAsia" w:ascii="黑体" w:hAnsi="黑体" w:eastAsia="黑体" w:cs="黑体"/>
          <w:bCs/>
          <w:color w:val="auto"/>
          <w:szCs w:val="30"/>
        </w:rPr>
      </w:pPr>
      <w:bookmarkStart w:id="14" w:name="_Toc25887"/>
      <w:r>
        <w:rPr>
          <w:rFonts w:hint="eastAsia"/>
        </w:rPr>
        <w:t>三</w:t>
      </w:r>
      <w:r>
        <w:rPr>
          <w:rFonts w:hint="eastAsia"/>
          <w:lang w:eastAsia="zh-CN"/>
        </w:rPr>
        <w:t>、</w:t>
      </w:r>
      <w:r>
        <w:rPr>
          <w:rFonts w:hint="eastAsia"/>
        </w:rPr>
        <w:t>绩效评价工作情况</w:t>
      </w:r>
      <w:bookmarkEnd w:id="10"/>
      <w:bookmarkEnd w:id="14"/>
    </w:p>
    <w:p>
      <w:pPr>
        <w:pStyle w:val="39"/>
        <w:bidi w:val="0"/>
        <w:rPr>
          <w:rFonts w:hint="eastAsia"/>
        </w:rPr>
      </w:pPr>
      <w:bookmarkStart w:id="15" w:name="_Toc29302680"/>
      <w:bookmarkStart w:id="16" w:name="_Toc17597"/>
      <w:r>
        <w:rPr>
          <w:rFonts w:hint="eastAsia"/>
        </w:rPr>
        <w:t>（一）绩效评价目的</w:t>
      </w:r>
      <w:bookmarkEnd w:id="15"/>
      <w:bookmarkEnd w:id="16"/>
    </w:p>
    <w:p>
      <w:pPr>
        <w:pStyle w:val="41"/>
        <w:bidi w:val="0"/>
        <w:rPr>
          <w:rFonts w:hint="eastAsia"/>
          <w:lang w:val="zh-CN"/>
        </w:rPr>
      </w:pPr>
      <w:bookmarkStart w:id="17" w:name="_Toc29302681"/>
      <w:r>
        <w:rPr>
          <w:rFonts w:hint="eastAsia"/>
          <w:lang w:val="zh-CN"/>
        </w:rPr>
        <w:t>1.通过对</w:t>
      </w:r>
      <w:r>
        <w:rPr>
          <w:rFonts w:hint="eastAsia"/>
          <w:lang w:val="en-US"/>
        </w:rPr>
        <w:t>遵化市环境卫生管理中心2022年城区环卫设施零星修缮工程费用项目</w:t>
      </w:r>
      <w:r>
        <w:rPr>
          <w:rFonts w:hint="eastAsia"/>
          <w:lang w:val="zh-CN"/>
        </w:rPr>
        <w:t>的绩效评价，了解和掌握项目实施的具体情况，评价其项目资金安排的科学性、合理性、规范性和资金使用成效，及时总结项目管理经验，完善项目管理办法，提高项目管理水平和资金的使用效益。</w:t>
      </w:r>
    </w:p>
    <w:p>
      <w:pPr>
        <w:pStyle w:val="41"/>
        <w:bidi w:val="0"/>
        <w:rPr>
          <w:rFonts w:hint="eastAsia"/>
          <w:lang w:val="zh-CN"/>
        </w:rPr>
      </w:pPr>
      <w:r>
        <w:rPr>
          <w:rFonts w:hint="eastAsia"/>
          <w:lang w:val="zh-CN"/>
        </w:rPr>
        <w:t>2.促使项目单位根据绩效评价中发现的问题，认真加以整改，及时调整和完善单位的工作计划和绩效目标并加强项目管理，提高管理水平，同时为项目后续资金投入、分配和管理提供决策依据。</w:t>
      </w:r>
    </w:p>
    <w:p>
      <w:pPr>
        <w:pStyle w:val="39"/>
        <w:bidi w:val="0"/>
        <w:rPr>
          <w:rFonts w:hint="eastAsia"/>
        </w:rPr>
      </w:pPr>
      <w:bookmarkStart w:id="18" w:name="_Toc12898"/>
      <w:r>
        <w:rPr>
          <w:rFonts w:hint="eastAsia"/>
        </w:rPr>
        <w:t>（二）绩效评价依据</w:t>
      </w:r>
      <w:bookmarkEnd w:id="17"/>
      <w:bookmarkEnd w:id="18"/>
    </w:p>
    <w:p>
      <w:pPr>
        <w:pStyle w:val="41"/>
        <w:bidi w:val="0"/>
        <w:rPr>
          <w:rFonts w:hint="eastAsia"/>
          <w:lang w:val="zh-CN"/>
        </w:rPr>
      </w:pPr>
      <w:r>
        <w:rPr>
          <w:rFonts w:hint="eastAsia"/>
          <w:lang w:val="zh-CN"/>
        </w:rPr>
        <w:t>1.《中华人民共和国预算法》；</w:t>
      </w:r>
    </w:p>
    <w:p>
      <w:pPr>
        <w:pStyle w:val="41"/>
        <w:bidi w:val="0"/>
        <w:rPr>
          <w:rFonts w:hint="eastAsia"/>
          <w:lang w:val="zh-CN"/>
        </w:rPr>
      </w:pPr>
      <w:r>
        <w:rPr>
          <w:rFonts w:hint="eastAsia"/>
          <w:lang w:val="zh-CN"/>
        </w:rPr>
        <w:t>2.中共中央国务院《关于全面实施预算绩效管理的意见》(中发〔2018〕34号);</w:t>
      </w:r>
    </w:p>
    <w:p>
      <w:pPr>
        <w:pStyle w:val="41"/>
        <w:bidi w:val="0"/>
        <w:rPr>
          <w:rFonts w:hint="eastAsia"/>
          <w:lang w:val="zh-CN"/>
        </w:rPr>
      </w:pPr>
      <w:r>
        <w:rPr>
          <w:rFonts w:hint="eastAsia"/>
          <w:lang w:val="zh-CN"/>
        </w:rPr>
        <w:t>3.财政部《关于贯彻落实〈中共中央国务院关于全面实施预算绩效管理的意见〉的通知》(财预〔2018〕167 号);</w:t>
      </w:r>
    </w:p>
    <w:p>
      <w:pPr>
        <w:pStyle w:val="41"/>
        <w:bidi w:val="0"/>
        <w:rPr>
          <w:rFonts w:hint="eastAsia"/>
          <w:lang w:val="zh-CN"/>
        </w:rPr>
      </w:pPr>
      <w:r>
        <w:rPr>
          <w:rFonts w:hint="eastAsia"/>
          <w:lang w:val="zh-CN"/>
        </w:rPr>
        <w:t>4.财政部《关于印发〈项目支出绩效管理办法〉的通知》（财预〔2020〕10号）；</w:t>
      </w:r>
    </w:p>
    <w:p>
      <w:pPr>
        <w:pStyle w:val="41"/>
        <w:bidi w:val="0"/>
        <w:rPr>
          <w:rFonts w:hint="eastAsia"/>
          <w:lang w:val="zh-CN"/>
        </w:rPr>
      </w:pPr>
      <w:r>
        <w:rPr>
          <w:rFonts w:hint="eastAsia"/>
          <w:lang w:val="en-US"/>
        </w:rPr>
        <w:t>5.</w:t>
      </w:r>
      <w:r>
        <w:rPr>
          <w:rFonts w:hint="eastAsia"/>
          <w:lang w:val="zh-CN"/>
        </w:rPr>
        <w:t>唐山市财政局关于印发《唐山市市级项目支出绩效重点评价管理办法》的通知（唐财绩〔2020〕5号）；</w:t>
      </w:r>
    </w:p>
    <w:p>
      <w:pPr>
        <w:pStyle w:val="41"/>
        <w:bidi w:val="0"/>
        <w:rPr>
          <w:rFonts w:hint="eastAsia"/>
          <w:lang w:val="zh-CN"/>
        </w:rPr>
      </w:pPr>
      <w:r>
        <w:rPr>
          <w:rFonts w:hint="eastAsia"/>
          <w:lang w:val="en-US"/>
        </w:rPr>
        <w:t>6</w:t>
      </w:r>
      <w:r>
        <w:rPr>
          <w:rFonts w:hint="eastAsia"/>
          <w:lang w:val="zh-CN"/>
        </w:rPr>
        <w:t>.唐山市委、市政府印发《唐山市全面实施预算绩效管理的实施意见》(唐发〔2019〕22号);</w:t>
      </w:r>
    </w:p>
    <w:p>
      <w:pPr>
        <w:pStyle w:val="41"/>
        <w:bidi w:val="0"/>
        <w:rPr>
          <w:rFonts w:hint="eastAsia"/>
          <w:lang w:val="zh-CN"/>
        </w:rPr>
      </w:pPr>
      <w:r>
        <w:rPr>
          <w:rFonts w:hint="eastAsia"/>
          <w:lang w:val="en-US"/>
        </w:rPr>
        <w:t>7</w:t>
      </w:r>
      <w:r>
        <w:rPr>
          <w:rFonts w:hint="eastAsia"/>
          <w:lang w:val="zh-CN"/>
        </w:rPr>
        <w:t>.唐山市财政局《唐山市分行业分领域绩效指标和标准体系》；</w:t>
      </w:r>
    </w:p>
    <w:p>
      <w:pPr>
        <w:pStyle w:val="41"/>
        <w:bidi w:val="0"/>
        <w:rPr>
          <w:rFonts w:hint="eastAsia"/>
          <w:lang w:val="zh-CN"/>
        </w:rPr>
      </w:pPr>
      <w:r>
        <w:rPr>
          <w:rFonts w:hint="eastAsia"/>
          <w:lang w:val="en-US"/>
        </w:rPr>
        <w:t>8</w:t>
      </w:r>
      <w:r>
        <w:rPr>
          <w:rFonts w:hint="eastAsia"/>
          <w:lang w:val="zh-CN"/>
        </w:rPr>
        <w:t>.中国注册会计师协会《会计师事务所财政支出绩效评价业务指引》（会协〔2016〕10号）；</w:t>
      </w:r>
    </w:p>
    <w:p>
      <w:pPr>
        <w:pStyle w:val="41"/>
        <w:bidi w:val="0"/>
        <w:rPr>
          <w:rFonts w:hint="eastAsia"/>
          <w:lang w:val="en-US"/>
        </w:rPr>
      </w:pPr>
      <w:r>
        <w:rPr>
          <w:rFonts w:hint="eastAsia"/>
          <w:lang w:val="en-US"/>
        </w:rPr>
        <w:t>9</w:t>
      </w:r>
      <w:r>
        <w:rPr>
          <w:rFonts w:hint="eastAsia"/>
          <w:lang w:val="zh-CN"/>
        </w:rPr>
        <w:t>.其他相关依据。</w:t>
      </w:r>
      <w:bookmarkStart w:id="19" w:name="_bookmark12"/>
      <w:bookmarkEnd w:id="19"/>
      <w:bookmarkStart w:id="20" w:name="_bookmark11"/>
      <w:bookmarkEnd w:id="20"/>
      <w:bookmarkStart w:id="21" w:name="_bookmark13"/>
      <w:bookmarkEnd w:id="21"/>
    </w:p>
    <w:p>
      <w:pPr>
        <w:pStyle w:val="39"/>
        <w:bidi w:val="0"/>
        <w:rPr>
          <w:rFonts w:hint="eastAsia"/>
        </w:rPr>
      </w:pPr>
      <w:bookmarkStart w:id="22" w:name="_Toc29302682"/>
      <w:bookmarkStart w:id="23" w:name="_Toc13996"/>
      <w:r>
        <w:rPr>
          <w:rFonts w:hint="eastAsia"/>
        </w:rPr>
        <w:t>（三）评价对象、范围</w:t>
      </w:r>
      <w:bookmarkEnd w:id="22"/>
      <w:r>
        <w:rPr>
          <w:rFonts w:hint="eastAsia"/>
        </w:rPr>
        <w:t>及内容</w:t>
      </w:r>
      <w:bookmarkEnd w:id="23"/>
    </w:p>
    <w:p>
      <w:pPr>
        <w:pStyle w:val="41"/>
        <w:bidi w:val="0"/>
        <w:rPr>
          <w:lang w:val="zh-CN"/>
        </w:rPr>
      </w:pPr>
      <w:r>
        <w:rPr>
          <w:rFonts w:hint="eastAsia"/>
          <w:lang w:val="zh-CN"/>
        </w:rPr>
        <w:t>1.</w:t>
      </w:r>
      <w:r>
        <w:rPr>
          <w:rFonts w:hint="eastAsia"/>
        </w:rPr>
        <w:t>绩效评价的对象</w:t>
      </w:r>
    </w:p>
    <w:p>
      <w:pPr>
        <w:pStyle w:val="41"/>
        <w:bidi w:val="0"/>
        <w:rPr>
          <w:rFonts w:hint="eastAsia"/>
          <w:lang w:val="zh-CN"/>
        </w:rPr>
      </w:pPr>
      <w:r>
        <w:rPr>
          <w:rFonts w:hint="eastAsia"/>
          <w:lang w:val="en-US"/>
        </w:rPr>
        <w:t>遵化市环境卫生管理中心2022年城区环卫设施零星修缮工程费用项目</w:t>
      </w:r>
      <w:r>
        <w:rPr>
          <w:rFonts w:hint="eastAsia"/>
          <w:lang w:val="zh-CN"/>
        </w:rPr>
        <w:t>。</w:t>
      </w:r>
    </w:p>
    <w:p>
      <w:pPr>
        <w:pStyle w:val="41"/>
        <w:bidi w:val="0"/>
        <w:rPr>
          <w:lang w:val="zh-CN"/>
        </w:rPr>
      </w:pPr>
      <w:r>
        <w:rPr>
          <w:rFonts w:hint="eastAsia"/>
          <w:lang w:val="zh-CN"/>
        </w:rPr>
        <w:t>2.绩效评价的范围</w:t>
      </w:r>
    </w:p>
    <w:p>
      <w:pPr>
        <w:pStyle w:val="41"/>
        <w:bidi w:val="0"/>
        <w:rPr>
          <w:rFonts w:hint="eastAsia"/>
          <w:lang w:val="zh-CN"/>
        </w:rPr>
      </w:pPr>
      <w:r>
        <w:rPr>
          <w:rFonts w:hint="eastAsia"/>
          <w:lang w:val="en-US"/>
        </w:rPr>
        <w:t>遵化市环境卫生管理中心2022年城区环卫设施零星修缮工程费用项目</w:t>
      </w:r>
      <w:r>
        <w:rPr>
          <w:rFonts w:hint="eastAsia"/>
          <w:lang w:val="zh-CN"/>
        </w:rPr>
        <w:t>完成情况、</w:t>
      </w:r>
      <w:r>
        <w:rPr>
          <w:rFonts w:hint="eastAsia"/>
          <w:lang w:val="en-US"/>
        </w:rPr>
        <w:t>资金</w:t>
      </w:r>
      <w:r>
        <w:rPr>
          <w:rFonts w:hint="eastAsia"/>
          <w:lang w:val="zh-CN"/>
        </w:rPr>
        <w:t>投入的运行情况、项目实施后产生的绩效情况。</w:t>
      </w:r>
    </w:p>
    <w:p>
      <w:pPr>
        <w:pStyle w:val="41"/>
        <w:bidi w:val="0"/>
        <w:rPr>
          <w:lang w:val="zh-CN"/>
        </w:rPr>
      </w:pPr>
      <w:r>
        <w:rPr>
          <w:rFonts w:hint="eastAsia"/>
          <w:lang w:val="zh-CN"/>
        </w:rPr>
        <w:t>3.</w:t>
      </w:r>
      <w:r>
        <w:rPr>
          <w:rFonts w:hint="eastAsia"/>
        </w:rPr>
        <w:t>绩效评价的内容</w:t>
      </w:r>
    </w:p>
    <w:p>
      <w:pPr>
        <w:pStyle w:val="41"/>
        <w:bidi w:val="0"/>
        <w:rPr>
          <w:rFonts w:hint="eastAsia"/>
          <w:lang w:val="en-US"/>
        </w:rPr>
      </w:pPr>
      <w:bookmarkStart w:id="24" w:name="_Hlk79574200"/>
      <w:bookmarkStart w:id="25" w:name="_Toc29302683"/>
      <w:r>
        <w:rPr>
          <w:rFonts w:hint="eastAsia"/>
          <w:lang w:val="en-US"/>
        </w:rPr>
        <w:t>（1）绩效目标的设定情况。重点评价绩效目标设立的充分性、明确性、合理性以及细化程度。</w:t>
      </w:r>
    </w:p>
    <w:p>
      <w:pPr>
        <w:pStyle w:val="41"/>
        <w:bidi w:val="0"/>
        <w:rPr>
          <w:rFonts w:hint="eastAsia"/>
          <w:lang w:val="en-US"/>
        </w:rPr>
      </w:pPr>
      <w:r>
        <w:rPr>
          <w:rFonts w:hint="eastAsia"/>
          <w:lang w:val="en-US"/>
        </w:rPr>
        <w:t>（2）资金投入和使用情况。重点评价资金分配过程、投入方式、资金到位、预算执行和结果。</w:t>
      </w:r>
    </w:p>
    <w:p>
      <w:pPr>
        <w:pStyle w:val="41"/>
        <w:bidi w:val="0"/>
        <w:rPr>
          <w:rFonts w:hint="eastAsia"/>
          <w:lang w:val="en-US"/>
        </w:rPr>
      </w:pPr>
      <w:r>
        <w:rPr>
          <w:rFonts w:hint="eastAsia"/>
          <w:lang w:val="en-US"/>
        </w:rPr>
        <w:t>（3）为实现绩效目标制定的制度、采取的措施等，包括项目管理制度、财务管理制度和绩效跟踪管理措施等。</w:t>
      </w:r>
    </w:p>
    <w:p>
      <w:pPr>
        <w:pStyle w:val="41"/>
        <w:bidi w:val="0"/>
        <w:rPr>
          <w:rFonts w:hint="eastAsia"/>
          <w:lang w:val="zh-CN"/>
        </w:rPr>
      </w:pPr>
      <w:r>
        <w:rPr>
          <w:rFonts w:hint="eastAsia"/>
          <w:lang w:val="en-US"/>
        </w:rPr>
        <w:t>（4）绩效目标的实现程度和效果。</w:t>
      </w:r>
      <w:r>
        <w:rPr>
          <w:rFonts w:hint="eastAsia"/>
          <w:lang w:val="zh-CN"/>
        </w:rPr>
        <w:t>绩效目标的实现程度包括产出数量、产出质量、产出时效和产出成本。效益包括社会效益、</w:t>
      </w:r>
      <w:r>
        <w:rPr>
          <w:rFonts w:hint="eastAsia"/>
          <w:lang w:val="en-US"/>
        </w:rPr>
        <w:t>生态效益、可持续影响及满意度</w:t>
      </w:r>
      <w:r>
        <w:rPr>
          <w:rFonts w:hint="eastAsia"/>
          <w:lang w:val="zh-CN"/>
        </w:rPr>
        <w:t>。</w:t>
      </w:r>
    </w:p>
    <w:bookmarkEnd w:id="24"/>
    <w:p>
      <w:pPr>
        <w:pStyle w:val="41"/>
        <w:bidi w:val="0"/>
        <w:rPr>
          <w:rFonts w:hint="eastAsia"/>
          <w:lang w:val="zh-CN"/>
        </w:rPr>
      </w:pPr>
      <w:r>
        <w:rPr>
          <w:rFonts w:hint="eastAsia"/>
          <w:lang w:val="zh-CN"/>
        </w:rPr>
        <w:t>（5）其他相关内容。</w:t>
      </w:r>
    </w:p>
    <w:p>
      <w:pPr>
        <w:pStyle w:val="39"/>
        <w:bidi w:val="0"/>
        <w:rPr>
          <w:rFonts w:hint="eastAsia" w:ascii="华文楷体" w:hAnsi="华文楷体" w:eastAsia="华文楷体" w:cs="华文楷体"/>
          <w:bCs/>
          <w:color w:val="auto"/>
          <w:szCs w:val="30"/>
        </w:rPr>
      </w:pPr>
      <w:bookmarkStart w:id="26" w:name="_Toc10770"/>
      <w:r>
        <w:rPr>
          <w:rFonts w:hint="eastAsia"/>
        </w:rPr>
        <w:t>（四）绩效评价指标体系</w:t>
      </w:r>
      <w:bookmarkEnd w:id="25"/>
      <w:bookmarkEnd w:id="26"/>
    </w:p>
    <w:p>
      <w:pPr>
        <w:pStyle w:val="41"/>
        <w:bidi w:val="0"/>
        <w:rPr>
          <w:rFonts w:hint="eastAsia"/>
          <w:lang w:val="zh-CN"/>
        </w:rPr>
      </w:pPr>
      <w:r>
        <w:rPr>
          <w:rFonts w:hint="eastAsia"/>
          <w:lang w:val="zh-CN"/>
        </w:rPr>
        <w:t>依据财政部关于印发《项目支出绩效管理办法》的通知（财预〔2020〕10号）等政策法规，针对项目情况，我们建立了规范的评价指标体系并确定评分标准，评价指标体系共设定“</w:t>
      </w:r>
      <w:r>
        <w:rPr>
          <w:rFonts w:hint="eastAsia"/>
          <w:lang w:val="en-US"/>
        </w:rPr>
        <w:t>决策</w:t>
      </w:r>
      <w:r>
        <w:rPr>
          <w:rFonts w:hint="eastAsia"/>
          <w:lang w:val="zh-CN"/>
        </w:rPr>
        <w:t>指标”“过程指标”“产出指标”“效益指标”4个一级评价指标、10个二级评价指标、1</w:t>
      </w:r>
      <w:r>
        <w:rPr>
          <w:rFonts w:hint="eastAsia"/>
          <w:lang w:val="en-US"/>
        </w:rPr>
        <w:t>9</w:t>
      </w:r>
      <w:r>
        <w:rPr>
          <w:rFonts w:hint="eastAsia"/>
          <w:lang w:val="zh-CN"/>
        </w:rPr>
        <w:t>个三级指标。绩效评价结果实施百分制和四级分类。四个级别分别是：优（90分（含）—100分）、良（80分（含）—90分）、中（60分（含）—80分）、差（60分以下）。指标设置和评分标准力求可行性、客观性、科学性与简明性。</w:t>
      </w:r>
    </w:p>
    <w:p>
      <w:pPr>
        <w:pStyle w:val="41"/>
        <w:bidi w:val="0"/>
        <w:rPr>
          <w:rFonts w:hint="eastAsia"/>
          <w:lang w:val="ru-RU"/>
        </w:rPr>
      </w:pPr>
      <w:r>
        <w:rPr>
          <w:rFonts w:hint="eastAsia"/>
          <w:lang w:val="ru-RU"/>
        </w:rPr>
        <w:t>1</w:t>
      </w:r>
      <w:r>
        <w:rPr>
          <w:rFonts w:hint="eastAsia"/>
          <w:lang w:val="ru-RU" w:eastAsia="zh-CN"/>
        </w:rPr>
        <w:t>.</w:t>
      </w:r>
      <w:r>
        <w:rPr>
          <w:rFonts w:hint="eastAsia"/>
          <w:lang w:val="ru-RU"/>
        </w:rPr>
        <w:t>决策指标：包含项目立项、绩效目标和资金投入，主要考核项目立项依据充分性、程序规范性，绩效目标合理性、指标明确性，同时考核项目资金落实情况。</w:t>
      </w:r>
    </w:p>
    <w:p>
      <w:pPr>
        <w:pStyle w:val="41"/>
        <w:bidi w:val="0"/>
        <w:rPr>
          <w:rFonts w:hint="eastAsia"/>
          <w:lang w:val="en-US"/>
        </w:rPr>
      </w:pPr>
      <w:r>
        <w:rPr>
          <w:rFonts w:hint="eastAsia"/>
          <w:lang w:val="en-US"/>
        </w:rPr>
        <w:t>2</w:t>
      </w:r>
      <w:r>
        <w:rPr>
          <w:rFonts w:hint="eastAsia"/>
          <w:lang w:val="en-US" w:eastAsia="zh-CN"/>
        </w:rPr>
        <w:t>.</w:t>
      </w:r>
      <w:r>
        <w:rPr>
          <w:rFonts w:hint="eastAsia"/>
          <w:lang w:val="en-US"/>
        </w:rPr>
        <w:t>过程指标：包含资金管理和组织实施，主要考核项目资金到位率、预算执行率、资金使用合规性以及制度建设的健全性、执行的有效性以及程序实施的规范性等。</w:t>
      </w:r>
    </w:p>
    <w:p>
      <w:pPr>
        <w:pStyle w:val="41"/>
        <w:bidi w:val="0"/>
        <w:rPr>
          <w:rFonts w:hint="eastAsia"/>
          <w:lang w:val="en-US"/>
        </w:rPr>
      </w:pPr>
      <w:r>
        <w:rPr>
          <w:rFonts w:hint="eastAsia"/>
          <w:lang w:val="en-US"/>
        </w:rPr>
        <w:t>3</w:t>
      </w:r>
      <w:r>
        <w:rPr>
          <w:rFonts w:hint="eastAsia"/>
          <w:lang w:val="en-US" w:eastAsia="zh-CN"/>
        </w:rPr>
        <w:t>.</w:t>
      </w:r>
      <w:r>
        <w:rPr>
          <w:rFonts w:hint="eastAsia"/>
          <w:lang w:val="en-US"/>
        </w:rPr>
        <w:t>产出指标：包含产出数量、产出质量、产出时效和产出成本，对各项具体指标完成情况进行定性及定量分析评价。</w:t>
      </w:r>
    </w:p>
    <w:p>
      <w:pPr>
        <w:pStyle w:val="41"/>
        <w:bidi w:val="0"/>
        <w:rPr>
          <w:rFonts w:hint="eastAsia"/>
          <w:lang w:val="zh-CN"/>
        </w:rPr>
      </w:pPr>
      <w:r>
        <w:rPr>
          <w:rFonts w:hint="eastAsia"/>
          <w:lang w:val="en-US"/>
        </w:rPr>
        <w:t>4</w:t>
      </w:r>
      <w:r>
        <w:rPr>
          <w:rFonts w:hint="eastAsia"/>
          <w:lang w:val="en-US" w:eastAsia="zh-CN"/>
        </w:rPr>
        <w:t>.</w:t>
      </w:r>
      <w:r>
        <w:rPr>
          <w:rFonts w:hint="eastAsia"/>
          <w:lang w:val="en-US"/>
        </w:rPr>
        <w:t>效益指标：</w:t>
      </w:r>
      <w:r>
        <w:rPr>
          <w:rFonts w:hint="eastAsia"/>
          <w:lang w:val="zh-CN"/>
        </w:rPr>
        <w:t>包含社会效益、</w:t>
      </w:r>
      <w:r>
        <w:rPr>
          <w:rFonts w:hint="eastAsia"/>
          <w:lang w:val="en-US"/>
        </w:rPr>
        <w:t>生态效益、可持续影响及满意度</w:t>
      </w:r>
      <w:r>
        <w:rPr>
          <w:rFonts w:hint="eastAsia"/>
          <w:lang w:val="zh-CN"/>
        </w:rPr>
        <w:t>，主要反映和考核项目实施所产生的效益</w:t>
      </w:r>
      <w:r>
        <w:rPr>
          <w:rFonts w:hint="eastAsia"/>
          <w:lang w:val="en-US"/>
        </w:rPr>
        <w:t>及受益对象满意程度</w:t>
      </w:r>
      <w:r>
        <w:rPr>
          <w:rFonts w:hint="eastAsia"/>
          <w:lang w:val="zh-CN"/>
        </w:rPr>
        <w:t>。</w:t>
      </w:r>
    </w:p>
    <w:p>
      <w:pPr>
        <w:pStyle w:val="41"/>
        <w:bidi w:val="0"/>
        <w:rPr>
          <w:rFonts w:hint="eastAsia"/>
          <w:lang w:val="zh-CN"/>
        </w:rPr>
      </w:pPr>
      <w:r>
        <w:rPr>
          <w:rFonts w:hint="eastAsia"/>
          <w:lang w:val="zh-CN"/>
        </w:rPr>
        <w:t>指标体系和评分标准参见附表2《</w:t>
      </w:r>
      <w:r>
        <w:rPr>
          <w:rFonts w:hint="eastAsia"/>
          <w:lang w:val="en-US"/>
        </w:rPr>
        <w:t>遵化市环境卫生管理中心2022年城区环卫设施零星修缮工程费用项目</w:t>
      </w:r>
      <w:r>
        <w:rPr>
          <w:rFonts w:hint="eastAsia"/>
          <w:lang w:val="zh-CN"/>
        </w:rPr>
        <w:t>绩效评价指标表》。</w:t>
      </w:r>
    </w:p>
    <w:p>
      <w:pPr>
        <w:pStyle w:val="39"/>
        <w:bidi w:val="0"/>
        <w:rPr>
          <w:rFonts w:hint="eastAsia"/>
        </w:rPr>
      </w:pPr>
      <w:bookmarkStart w:id="27" w:name="_Toc29302684"/>
      <w:bookmarkStart w:id="28" w:name="_Toc22337"/>
      <w:bookmarkStart w:id="29" w:name="_Toc29302685"/>
      <w:r>
        <w:rPr>
          <w:rFonts w:hint="eastAsia"/>
        </w:rPr>
        <w:t>（五）绩效评价原则、评价方法</w:t>
      </w:r>
      <w:bookmarkEnd w:id="27"/>
      <w:bookmarkEnd w:id="28"/>
    </w:p>
    <w:p>
      <w:pPr>
        <w:pStyle w:val="41"/>
        <w:bidi w:val="0"/>
        <w:rPr>
          <w:lang w:val="zh-CN"/>
        </w:rPr>
      </w:pPr>
      <w:r>
        <w:rPr>
          <w:rFonts w:hint="eastAsia"/>
          <w:lang w:val="zh-CN"/>
        </w:rPr>
        <w:t>1.绩效评价原则</w:t>
      </w:r>
    </w:p>
    <w:p>
      <w:pPr>
        <w:pStyle w:val="41"/>
        <w:bidi w:val="0"/>
        <w:rPr>
          <w:rFonts w:hint="eastAsia"/>
          <w:lang w:val="en-US"/>
        </w:rPr>
      </w:pPr>
      <w:r>
        <w:rPr>
          <w:rFonts w:hint="eastAsia"/>
          <w:lang w:val="en-US"/>
        </w:rPr>
        <w:t>科学规范：绩效评价注重财政资金支出的经济性、效率性和有效性，严格执行规定的程序，采用定量与定性分析相结合的方法。</w:t>
      </w:r>
    </w:p>
    <w:p>
      <w:pPr>
        <w:pStyle w:val="41"/>
        <w:bidi w:val="0"/>
        <w:rPr>
          <w:rFonts w:hint="eastAsia"/>
          <w:lang w:val="en-US"/>
        </w:rPr>
      </w:pPr>
      <w:r>
        <w:rPr>
          <w:rFonts w:hint="eastAsia"/>
          <w:lang w:val="en-US"/>
        </w:rPr>
        <w:t>公正公开：绩效评价客观、公正，标准统一、资料可靠，依法公开并接受监督。</w:t>
      </w:r>
    </w:p>
    <w:p>
      <w:pPr>
        <w:pStyle w:val="41"/>
        <w:bidi w:val="0"/>
        <w:rPr>
          <w:rFonts w:hint="eastAsia"/>
          <w:lang w:val="en-US"/>
        </w:rPr>
      </w:pPr>
      <w:r>
        <w:rPr>
          <w:rFonts w:hint="eastAsia"/>
          <w:lang w:val="en-US"/>
        </w:rPr>
        <w:t>绩效相关：绩效评价针对具体支出及其产出绩效进行</w:t>
      </w:r>
      <w:r>
        <w:rPr>
          <w:rFonts w:hint="eastAsia"/>
          <w:lang w:val="en-US" w:eastAsia="zh-CN"/>
        </w:rPr>
        <w:t>，</w:t>
      </w:r>
      <w:r>
        <w:rPr>
          <w:rFonts w:hint="eastAsia"/>
          <w:lang w:val="en-US"/>
        </w:rPr>
        <w:t>评价结果清晰反映支出和产出绩效之间的紧密对应关系。</w:t>
      </w:r>
    </w:p>
    <w:p>
      <w:pPr>
        <w:pStyle w:val="41"/>
        <w:bidi w:val="0"/>
        <w:rPr>
          <w:lang w:val="zh-CN"/>
        </w:rPr>
      </w:pPr>
      <w:r>
        <w:rPr>
          <w:rFonts w:hint="eastAsia"/>
          <w:lang w:val="zh-CN"/>
        </w:rPr>
        <w:t>2.绩效评价方法</w:t>
      </w:r>
    </w:p>
    <w:p>
      <w:pPr>
        <w:pStyle w:val="41"/>
        <w:bidi w:val="0"/>
        <w:rPr>
          <w:rFonts w:hint="eastAsia"/>
          <w:lang w:val="en-US"/>
        </w:rPr>
      </w:pPr>
      <w:r>
        <w:rPr>
          <w:rFonts w:hint="eastAsia"/>
          <w:lang w:val="en-US"/>
        </w:rPr>
        <w:t>成本效益分析法：在绩效评价指标分析过程中，将项目实施投入的资金、人员及技术力量等与项目产出、效益进行关联性分析，以判断项目投入与产出是否成比例。</w:t>
      </w:r>
    </w:p>
    <w:p>
      <w:pPr>
        <w:pStyle w:val="41"/>
        <w:bidi w:val="0"/>
        <w:rPr>
          <w:rFonts w:hint="eastAsia"/>
          <w:lang w:val="en-US"/>
        </w:rPr>
      </w:pPr>
      <w:bookmarkStart w:id="30" w:name="_bookmark14"/>
      <w:bookmarkEnd w:id="30"/>
      <w:r>
        <w:rPr>
          <w:rFonts w:hint="eastAsia"/>
          <w:lang w:val="en-US"/>
        </w:rPr>
        <w:t>比较分析法：通过对项目的实际产出和取得效益与计划标准及设定目标进行对比，判断项目的绩效产出和效益的实现程度。</w:t>
      </w:r>
    </w:p>
    <w:p>
      <w:pPr>
        <w:pStyle w:val="41"/>
        <w:bidi w:val="0"/>
        <w:rPr>
          <w:rFonts w:hint="eastAsia"/>
          <w:lang w:val="en-US"/>
        </w:rPr>
      </w:pPr>
      <w:r>
        <w:rPr>
          <w:rFonts w:hint="eastAsia"/>
          <w:lang w:val="en-US"/>
        </w:rPr>
        <w:t>因素分析法：在对共性指标的评价时，主要通过对设置考察点进行因素分析，来确定对应指标的实现程度和存在问题。</w:t>
      </w:r>
    </w:p>
    <w:p>
      <w:pPr>
        <w:pStyle w:val="41"/>
        <w:bidi w:val="0"/>
        <w:rPr>
          <w:rFonts w:hint="eastAsia"/>
          <w:lang w:val="en-US"/>
        </w:rPr>
      </w:pPr>
      <w:r>
        <w:rPr>
          <w:rFonts w:hint="eastAsia"/>
          <w:lang w:val="en-US"/>
        </w:rPr>
        <w:t>案卷分析法：通过对收集的项目资料进行梳理研究，统计汇总出关键数据和信息，用于指标评价和分析，为绩效评价结果的形成提供依据和支撑。</w:t>
      </w:r>
    </w:p>
    <w:p>
      <w:pPr>
        <w:pStyle w:val="41"/>
        <w:bidi w:val="0"/>
        <w:rPr>
          <w:rFonts w:hint="eastAsia"/>
          <w:lang w:val="en-US"/>
        </w:rPr>
      </w:pPr>
      <w:r>
        <w:rPr>
          <w:rFonts w:hint="eastAsia"/>
          <w:lang w:val="en-US"/>
        </w:rPr>
        <w:t>问卷调查法：绩效评价工作组在现场调研时，通过发放、填写项目受益群众满意度调查问卷，并回收问卷进行统计分析，了解受益群众对项目实施情况的知晓度和认知度，为满意度指标的评价提供数据支持。</w:t>
      </w:r>
    </w:p>
    <w:p>
      <w:pPr>
        <w:pStyle w:val="39"/>
        <w:bidi w:val="0"/>
        <w:rPr>
          <w:rFonts w:hint="eastAsia"/>
        </w:rPr>
      </w:pPr>
      <w:bookmarkStart w:id="31" w:name="_Toc24828"/>
      <w:r>
        <w:rPr>
          <w:rFonts w:hint="eastAsia"/>
        </w:rPr>
        <w:t>（六）绩效评价工作过程</w:t>
      </w:r>
      <w:bookmarkEnd w:id="29"/>
      <w:bookmarkEnd w:id="31"/>
    </w:p>
    <w:p>
      <w:pPr>
        <w:pStyle w:val="41"/>
        <w:bidi w:val="0"/>
        <w:rPr>
          <w:lang w:val="zh-CN"/>
        </w:rPr>
      </w:pPr>
      <w:bookmarkStart w:id="32" w:name="_Toc35502614"/>
      <w:bookmarkStart w:id="33" w:name="_Toc56500100"/>
      <w:bookmarkStart w:id="34" w:name="_Toc29302686"/>
      <w:r>
        <w:rPr>
          <w:rFonts w:hint="eastAsia"/>
          <w:lang w:val="zh-CN"/>
        </w:rPr>
        <w:t>1.评价前期准备阶段</w:t>
      </w:r>
      <w:bookmarkEnd w:id="32"/>
      <w:bookmarkEnd w:id="33"/>
    </w:p>
    <w:p>
      <w:pPr>
        <w:pStyle w:val="41"/>
        <w:bidi w:val="0"/>
        <w:rPr>
          <w:rFonts w:hint="eastAsia"/>
          <w:lang w:val="zh-CN"/>
        </w:rPr>
      </w:pPr>
      <w:r>
        <w:rPr>
          <w:rFonts w:hint="eastAsia"/>
          <w:lang w:val="zh-CN"/>
        </w:rPr>
        <w:t>（1）财政局召开三方会议并介绍绩效评价相关情况，向</w:t>
      </w:r>
      <w:r>
        <w:rPr>
          <w:rFonts w:hint="eastAsia"/>
          <w:lang w:val="en-US"/>
        </w:rPr>
        <w:t>环卫中心</w:t>
      </w:r>
      <w:r>
        <w:rPr>
          <w:rFonts w:hint="eastAsia"/>
          <w:lang w:val="zh-CN"/>
        </w:rPr>
        <w:t>下达《绩效评价通知书》，事务所向</w:t>
      </w:r>
      <w:r>
        <w:rPr>
          <w:rFonts w:hint="eastAsia"/>
          <w:lang w:val="en-US"/>
        </w:rPr>
        <w:t>环卫中心</w:t>
      </w:r>
      <w:r>
        <w:rPr>
          <w:rFonts w:hint="eastAsia"/>
          <w:lang w:val="zh-CN"/>
        </w:rPr>
        <w:t>发放《绩效评价资料清单》并确定资料提交时间。</w:t>
      </w:r>
    </w:p>
    <w:p>
      <w:pPr>
        <w:pStyle w:val="41"/>
        <w:bidi w:val="0"/>
        <w:rPr>
          <w:rFonts w:hint="eastAsia"/>
          <w:lang w:val="zh-CN"/>
        </w:rPr>
      </w:pPr>
      <w:r>
        <w:rPr>
          <w:rFonts w:hint="eastAsia"/>
          <w:lang w:val="zh-CN"/>
        </w:rPr>
        <w:t>（2）成立评价组，明确工作范围和职责，提出本次绩效评价的要求，初步确定评价的总体时间安排。</w:t>
      </w:r>
    </w:p>
    <w:p>
      <w:pPr>
        <w:pStyle w:val="41"/>
        <w:bidi w:val="0"/>
        <w:rPr>
          <w:rFonts w:hint="eastAsia"/>
          <w:lang w:val="zh-CN"/>
        </w:rPr>
      </w:pPr>
      <w:r>
        <w:rPr>
          <w:rFonts w:hint="eastAsia"/>
          <w:lang w:val="zh-CN"/>
        </w:rPr>
        <w:t>（3）组织评价组人员学习财政支出绩效评价和项目管理方面的政策及有关项目实施依据、实施方案、专项资金管理等文件精神，在各参评人员对项目情况有了进一步了解的基础上，明确评价工作程序及要求，解析评价指标体系。</w:t>
      </w:r>
    </w:p>
    <w:p>
      <w:pPr>
        <w:pStyle w:val="41"/>
        <w:bidi w:val="0"/>
        <w:rPr>
          <w:lang w:val="zh-CN"/>
        </w:rPr>
      </w:pPr>
      <w:bookmarkStart w:id="35" w:name="_Toc35502615"/>
      <w:bookmarkStart w:id="36" w:name="_Toc56500101"/>
      <w:r>
        <w:rPr>
          <w:rFonts w:hint="eastAsia"/>
          <w:lang w:val="zh-CN"/>
        </w:rPr>
        <w:t>2.评价指标体系设计阶段</w:t>
      </w:r>
      <w:bookmarkEnd w:id="35"/>
      <w:bookmarkEnd w:id="36"/>
    </w:p>
    <w:p>
      <w:pPr>
        <w:pStyle w:val="41"/>
        <w:bidi w:val="0"/>
        <w:rPr>
          <w:rFonts w:hint="eastAsia"/>
          <w:lang w:val="en-US"/>
        </w:rPr>
      </w:pPr>
      <w:bookmarkStart w:id="37" w:name="_Toc35502616"/>
      <w:bookmarkStart w:id="38" w:name="_Toc56500102"/>
      <w:r>
        <w:rPr>
          <w:rFonts w:hint="eastAsia"/>
          <w:lang w:val="en-US"/>
        </w:rPr>
        <w:t>（1）通过对项目基础资料深入了解，对评价指标体系深入剖析，充分考虑本项目特点，拟定绩效评价指标（详见附表2）。</w:t>
      </w:r>
    </w:p>
    <w:p>
      <w:pPr>
        <w:pStyle w:val="41"/>
        <w:bidi w:val="0"/>
        <w:rPr>
          <w:rFonts w:hint="eastAsia"/>
          <w:lang w:val="en-US"/>
        </w:rPr>
      </w:pPr>
      <w:r>
        <w:rPr>
          <w:rFonts w:hint="eastAsia"/>
          <w:lang w:val="en-US"/>
        </w:rPr>
        <w:t>（2）拟定的指标体系，在征求项目单位意见后进行补充和完善。</w:t>
      </w:r>
    </w:p>
    <w:p>
      <w:pPr>
        <w:pStyle w:val="41"/>
        <w:bidi w:val="0"/>
        <w:rPr>
          <w:lang w:val="zh-CN"/>
        </w:rPr>
      </w:pPr>
      <w:r>
        <w:rPr>
          <w:rFonts w:hint="eastAsia"/>
          <w:lang w:val="zh-CN"/>
        </w:rPr>
        <w:t>3.评价实施阶段</w:t>
      </w:r>
      <w:bookmarkEnd w:id="37"/>
      <w:bookmarkEnd w:id="38"/>
    </w:p>
    <w:p>
      <w:pPr>
        <w:pStyle w:val="41"/>
        <w:bidi w:val="0"/>
        <w:rPr>
          <w:rFonts w:hint="eastAsia"/>
          <w:lang w:val="en-US"/>
        </w:rPr>
      </w:pPr>
      <w:r>
        <w:rPr>
          <w:rFonts w:hint="eastAsia"/>
          <w:lang w:val="en-US"/>
        </w:rPr>
        <w:t>（1）对项目单位提交的项目资料进行汇总、整理，检查、核实项目资料中的数据后，确定检查重点和疑点问题、检查方法及具体时间安排等。</w:t>
      </w:r>
    </w:p>
    <w:p>
      <w:pPr>
        <w:pStyle w:val="41"/>
        <w:bidi w:val="0"/>
        <w:rPr>
          <w:rFonts w:hint="eastAsia"/>
          <w:lang w:val="zh-CN"/>
        </w:rPr>
      </w:pPr>
      <w:r>
        <w:rPr>
          <w:rFonts w:hint="eastAsia"/>
          <w:lang w:val="en-US"/>
        </w:rPr>
        <w:t>（2）对项目实施情况进行检查，在听取项目单位对项目实施情况汇报基础上，核实相关资料的真实性、合理性，对项目资料中反映或分析中发现的问题进行重点检查。</w:t>
      </w:r>
    </w:p>
    <w:p>
      <w:pPr>
        <w:pStyle w:val="41"/>
        <w:bidi w:val="0"/>
        <w:rPr>
          <w:rFonts w:hint="eastAsia"/>
          <w:lang w:val="zh-CN"/>
        </w:rPr>
      </w:pPr>
      <w:r>
        <w:rPr>
          <w:rFonts w:hint="eastAsia"/>
          <w:lang w:val="zh-CN"/>
        </w:rPr>
        <w:t>（3）在全面分析整理被检查项目的相关数据资料的基础上，总结检查情况，对照评价指标和标准，进行综合评议与打分，得出评价结论，撰写评价报告。</w:t>
      </w:r>
    </w:p>
    <w:p>
      <w:pPr>
        <w:pStyle w:val="41"/>
        <w:bidi w:val="0"/>
        <w:rPr>
          <w:lang w:val="zh-CN"/>
        </w:rPr>
      </w:pPr>
      <w:bookmarkStart w:id="39" w:name="_Toc56500103"/>
      <w:bookmarkStart w:id="40" w:name="_Toc35502617"/>
      <w:r>
        <w:rPr>
          <w:rFonts w:hint="eastAsia"/>
          <w:lang w:val="zh-CN"/>
        </w:rPr>
        <w:t>4.评价报告阶段</w:t>
      </w:r>
      <w:bookmarkEnd w:id="39"/>
      <w:bookmarkEnd w:id="40"/>
    </w:p>
    <w:p>
      <w:pPr>
        <w:pStyle w:val="41"/>
        <w:bidi w:val="0"/>
        <w:rPr>
          <w:rFonts w:hint="eastAsia"/>
          <w:lang w:val="zh-CN"/>
        </w:rPr>
      </w:pPr>
      <w:r>
        <w:rPr>
          <w:rFonts w:hint="eastAsia"/>
          <w:lang w:val="zh-CN"/>
        </w:rPr>
        <w:t>（1）对项目的相关资料进行分析汇总。</w:t>
      </w:r>
    </w:p>
    <w:p>
      <w:pPr>
        <w:pStyle w:val="41"/>
        <w:bidi w:val="0"/>
        <w:rPr>
          <w:rFonts w:ascii="仿宋" w:hAnsi="仿宋" w:eastAsia="仿宋" w:cs="仿宋_GB2312"/>
          <w:color w:val="auto"/>
          <w:szCs w:val="32"/>
          <w:lang w:val="zh-CN" w:bidi="zh-CN"/>
        </w:rPr>
      </w:pPr>
      <w:r>
        <w:rPr>
          <w:rFonts w:hint="eastAsia"/>
          <w:lang w:val="zh-CN"/>
        </w:rPr>
        <w:t>（2）形成绩效评价报告初稿，</w:t>
      </w:r>
      <w:r>
        <w:rPr>
          <w:rFonts w:hint="eastAsia"/>
          <w:lang w:val="en-US"/>
        </w:rPr>
        <w:t>征求项目单位意见</w:t>
      </w:r>
      <w:r>
        <w:rPr>
          <w:rFonts w:hint="eastAsia"/>
          <w:lang w:val="zh-CN"/>
        </w:rPr>
        <w:t>，补充完善评价报告；形成</w:t>
      </w:r>
      <w:r>
        <w:rPr>
          <w:rFonts w:hint="eastAsia"/>
          <w:lang w:val="en-US"/>
        </w:rPr>
        <w:t>遵化市环境卫生管理中心2022年城区环卫设施零星修缮工程费用项目</w:t>
      </w:r>
      <w:r>
        <w:rPr>
          <w:rFonts w:hint="eastAsia"/>
          <w:lang w:val="zh-CN"/>
        </w:rPr>
        <w:t xml:space="preserve">绩效评价报告（包括文字和表格部分）。 </w:t>
      </w:r>
      <w:r>
        <w:rPr>
          <w:rFonts w:hint="eastAsia" w:ascii="仿宋" w:hAnsi="仿宋" w:eastAsia="仿宋" w:cs="仿宋_GB2312"/>
          <w:color w:val="auto"/>
          <w:szCs w:val="32"/>
          <w:lang w:val="zh-CN" w:bidi="zh-CN"/>
        </w:rPr>
        <w:t xml:space="preserve">  </w:t>
      </w:r>
    </w:p>
    <w:p>
      <w:pPr>
        <w:pStyle w:val="40"/>
        <w:bidi w:val="0"/>
        <w:rPr>
          <w:rFonts w:hint="eastAsia"/>
        </w:rPr>
      </w:pPr>
      <w:bookmarkStart w:id="41" w:name="_Toc22950"/>
      <w:r>
        <w:rPr>
          <w:rFonts w:hint="eastAsia"/>
        </w:rPr>
        <w:t>四</w:t>
      </w:r>
      <w:bookmarkEnd w:id="34"/>
      <w:r>
        <w:rPr>
          <w:rFonts w:hint="eastAsia"/>
          <w:lang w:eastAsia="zh-CN"/>
        </w:rPr>
        <w:t>、</w:t>
      </w:r>
      <w:r>
        <w:rPr>
          <w:rFonts w:hint="eastAsia"/>
        </w:rPr>
        <w:t>项目绩效情况</w:t>
      </w:r>
      <w:bookmarkEnd w:id="41"/>
    </w:p>
    <w:p>
      <w:pPr>
        <w:pStyle w:val="39"/>
        <w:bidi w:val="0"/>
        <w:rPr>
          <w:rFonts w:hint="eastAsia"/>
        </w:rPr>
      </w:pPr>
      <w:bookmarkStart w:id="42" w:name="_Toc4357"/>
      <w:r>
        <w:rPr>
          <w:rFonts w:hint="eastAsia"/>
        </w:rPr>
        <w:t>（一）项目产出</w:t>
      </w:r>
      <w:bookmarkEnd w:id="42"/>
    </w:p>
    <w:p>
      <w:pPr>
        <w:pStyle w:val="41"/>
        <w:bidi w:val="0"/>
        <w:rPr>
          <w:rFonts w:hint="default"/>
          <w:lang w:val="en-US" w:eastAsia="zh-CN"/>
        </w:rPr>
      </w:pPr>
      <w:r>
        <w:rPr>
          <w:rFonts w:hint="eastAsia"/>
          <w:lang w:val="en-US"/>
        </w:rPr>
        <w:t>遵化市环境卫生管理中心2022年城区环卫设施零星修缮工程费用项目</w:t>
      </w:r>
      <w:r>
        <w:rPr>
          <w:rFonts w:hint="eastAsia"/>
          <w:lang w:val="en-US" w:eastAsia="zh-CN"/>
        </w:rPr>
        <w:t>包括维修南一环东路公厕、教产水塔下公厕、西关口公厕、港路花园公厕等公厕修缮工作，验收符合要求，施工过程中秉持成本节约不浪费原则，实际支出未超过预算成本。</w:t>
      </w:r>
    </w:p>
    <w:p>
      <w:pPr>
        <w:pStyle w:val="39"/>
        <w:bidi w:val="0"/>
        <w:rPr>
          <w:rFonts w:hint="eastAsia"/>
        </w:rPr>
      </w:pPr>
      <w:bookmarkStart w:id="43" w:name="_Toc7684"/>
      <w:r>
        <w:rPr>
          <w:rFonts w:hint="eastAsia"/>
        </w:rPr>
        <w:t>（二）项目效益</w:t>
      </w:r>
      <w:bookmarkEnd w:id="43"/>
    </w:p>
    <w:p>
      <w:pPr>
        <w:pStyle w:val="41"/>
        <w:bidi w:val="0"/>
        <w:rPr>
          <w:rFonts w:hint="eastAsia"/>
          <w:lang w:val="en-US" w:eastAsia="zh-CN"/>
        </w:rPr>
      </w:pPr>
      <w:r>
        <w:rPr>
          <w:rFonts w:hint="eastAsia"/>
          <w:lang w:val="en-US" w:eastAsia="zh-CN"/>
        </w:rPr>
        <w:t>城区环卫设施零星修缮完善了公厕的基础设施建设，提升了市民的生活品质和幸福感，促进了健康生活方式的养成，有效降低了对水资源的消耗，改善了周边生态环境，带来良好的生态效益，促进了社会的包容性发展，提升了公共秩序的维护，减少了不良行为的发生，维护了公共秩序的良好态势，保证了公厕的正常使用，为市民提供良好的如厕便利。</w:t>
      </w:r>
    </w:p>
    <w:p>
      <w:pPr>
        <w:pStyle w:val="40"/>
        <w:bidi w:val="0"/>
        <w:rPr>
          <w:rFonts w:hint="eastAsia"/>
        </w:rPr>
      </w:pPr>
      <w:bookmarkStart w:id="44" w:name="_Toc22564"/>
      <w:r>
        <w:rPr>
          <w:rFonts w:hint="eastAsia"/>
        </w:rPr>
        <w:t>五</w:t>
      </w:r>
      <w:r>
        <w:rPr>
          <w:rFonts w:hint="eastAsia"/>
          <w:lang w:eastAsia="zh-CN"/>
        </w:rPr>
        <w:t>、</w:t>
      </w:r>
      <w:r>
        <w:rPr>
          <w:rFonts w:hint="eastAsia"/>
        </w:rPr>
        <w:t>综合评价情况及评价结论</w:t>
      </w:r>
      <w:bookmarkEnd w:id="44"/>
    </w:p>
    <w:p>
      <w:pPr>
        <w:pStyle w:val="41"/>
        <w:bidi w:val="0"/>
        <w:rPr>
          <w:rFonts w:hint="eastAsia"/>
          <w:lang w:val="en-US"/>
        </w:rPr>
      </w:pPr>
      <w:r>
        <w:rPr>
          <w:rFonts w:hint="eastAsia"/>
          <w:lang w:val="zh-CN"/>
        </w:rPr>
        <w:t>依据</w:t>
      </w:r>
      <w:r>
        <w:rPr>
          <w:rFonts w:hint="eastAsia"/>
          <w:lang w:val="en-US"/>
        </w:rPr>
        <w:t>遵化市环境卫生管理中心2022年城区环卫设施零星修缮工程费用项目</w:t>
      </w:r>
      <w:r>
        <w:rPr>
          <w:rFonts w:hint="eastAsia"/>
          <w:lang w:val="zh-CN"/>
        </w:rPr>
        <w:t>绩效评价指标和相关数据，对照评分标准和绩效分值，通过对决策、过程、产出与效益四个方面的逐项分析评价，</w:t>
      </w:r>
      <w:r>
        <w:rPr>
          <w:rFonts w:hint="eastAsia"/>
          <w:lang w:val="en-US"/>
        </w:rPr>
        <w:t>遵化市环境卫生管理中心2022年城区环卫设施零星修缮工程费用</w:t>
      </w:r>
      <w:r>
        <w:rPr>
          <w:rFonts w:hint="eastAsia"/>
          <w:lang w:val="zh-CN"/>
        </w:rPr>
        <w:t>项目绩效评价得分</w:t>
      </w:r>
      <w:r>
        <w:rPr>
          <w:rFonts w:hint="eastAsia"/>
          <w:lang w:val="en-US"/>
        </w:rPr>
        <w:t>81.76</w:t>
      </w:r>
      <w:r>
        <w:rPr>
          <w:rFonts w:hint="eastAsia"/>
          <w:lang w:val="zh-CN"/>
        </w:rPr>
        <w:t>分，综合评价等级为“</w:t>
      </w:r>
      <w:r>
        <w:rPr>
          <w:rFonts w:hint="eastAsia"/>
          <w:lang w:val="en-US"/>
        </w:rPr>
        <w:t>良</w:t>
      </w:r>
      <w:r>
        <w:rPr>
          <w:rFonts w:hint="eastAsia"/>
          <w:lang w:val="zh-CN"/>
        </w:rPr>
        <w:t>”。具体情况如下：</w:t>
      </w:r>
    </w:p>
    <w:p>
      <w:pPr>
        <w:pStyle w:val="37"/>
        <w:bidi w:val="0"/>
      </w:pPr>
      <w:r>
        <w:rPr>
          <w:rFonts w:hint="eastAsia"/>
          <w:lang w:val="zh-CN"/>
        </w:rPr>
        <w:t>遵化市</w:t>
      </w:r>
      <w:r>
        <w:rPr>
          <w:rFonts w:hint="eastAsia"/>
          <w:lang w:val="en-US" w:eastAsia="zh-CN"/>
        </w:rPr>
        <w:t>环境卫生管理中心</w:t>
      </w:r>
      <w:r>
        <w:rPr>
          <w:rFonts w:hint="eastAsia"/>
          <w:lang w:val="zh-CN"/>
        </w:rPr>
        <w:t>2022年城区环卫设施零星修缮工程费用项目</w:t>
      </w:r>
    </w:p>
    <w:p>
      <w:pPr>
        <w:pStyle w:val="37"/>
        <w:bidi w:val="0"/>
      </w:pPr>
      <w:r>
        <w:rPr>
          <w:rFonts w:hint="eastAsia"/>
        </w:rPr>
        <w:t>绩效评价得分情况简表：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
                <w:color w:val="auto"/>
                <w:sz w:val="24"/>
                <w:szCs w:val="24"/>
              </w:rPr>
            </w:pPr>
            <w:r>
              <w:rPr>
                <w:rFonts w:hint="eastAsia" w:ascii="仿宋" w:hAnsi="仿宋" w:eastAsia="仿宋" w:cs="宋体"/>
                <w:b/>
                <w:color w:val="auto"/>
                <w:sz w:val="24"/>
                <w:szCs w:val="24"/>
              </w:rPr>
              <w:t>一级指标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
                <w:color w:val="auto"/>
                <w:sz w:val="24"/>
                <w:szCs w:val="24"/>
              </w:rPr>
            </w:pPr>
            <w:r>
              <w:rPr>
                <w:rFonts w:hint="eastAsia" w:ascii="仿宋" w:hAnsi="仿宋" w:eastAsia="仿宋" w:cs="宋体"/>
                <w:b/>
                <w:color w:val="auto"/>
                <w:sz w:val="24"/>
                <w:szCs w:val="24"/>
              </w:rPr>
              <w:t>满分</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
                <w:color w:val="auto"/>
                <w:sz w:val="24"/>
                <w:szCs w:val="24"/>
              </w:rPr>
            </w:pPr>
            <w:r>
              <w:rPr>
                <w:rFonts w:hint="eastAsia" w:ascii="仿宋" w:hAnsi="仿宋" w:eastAsia="仿宋" w:cs="宋体"/>
                <w:b/>
                <w:color w:val="auto"/>
                <w:sz w:val="24"/>
                <w:szCs w:val="24"/>
              </w:rPr>
              <w:t>得分</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
                <w:color w:val="auto"/>
                <w:sz w:val="24"/>
                <w:szCs w:val="24"/>
              </w:rPr>
            </w:pPr>
            <w:r>
              <w:rPr>
                <w:rFonts w:hint="eastAsia" w:ascii="仿宋" w:hAnsi="仿宋" w:eastAsia="仿宋" w:cs="宋体"/>
                <w:b/>
                <w:color w:val="auto"/>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auto"/>
                <w:sz w:val="24"/>
                <w:szCs w:val="24"/>
              </w:rPr>
            </w:pPr>
            <w:r>
              <w:rPr>
                <w:rFonts w:hint="eastAsia" w:ascii="仿宋" w:hAnsi="仿宋" w:eastAsia="仿宋" w:cs="宋体"/>
                <w:bCs/>
                <w:color w:val="auto"/>
                <w:sz w:val="24"/>
                <w:szCs w:val="24"/>
              </w:rPr>
              <w:t>决策指标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仿宋_GB2312"/>
                <w:color w:val="auto"/>
                <w:sz w:val="24"/>
                <w:szCs w:val="24"/>
                <w:lang w:bidi="zh-CN"/>
              </w:rPr>
            </w:pPr>
            <w:r>
              <w:rPr>
                <w:rFonts w:hint="eastAsia" w:ascii="仿宋" w:hAnsi="仿宋" w:eastAsia="仿宋" w:cs="仿宋_GB2312"/>
                <w:color w:val="auto"/>
                <w:sz w:val="24"/>
                <w:szCs w:val="24"/>
                <w:lang w:bidi="zh-CN"/>
              </w:rPr>
              <w:t>11.00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仿宋_GB2312"/>
                <w:color w:val="auto"/>
                <w:sz w:val="24"/>
                <w:szCs w:val="24"/>
                <w:lang w:val="en-US" w:bidi="zh-CN"/>
              </w:rPr>
            </w:pPr>
            <w:r>
              <w:rPr>
                <w:rFonts w:hint="eastAsia" w:ascii="仿宋" w:hAnsi="仿宋" w:eastAsia="仿宋" w:cs="仿宋_GB2312"/>
                <w:color w:val="auto"/>
                <w:sz w:val="24"/>
                <w:szCs w:val="24"/>
                <w:lang w:val="en-US" w:bidi="zh-CN"/>
              </w:rPr>
              <w:t>9.00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color w:val="auto"/>
                <w:sz w:val="24"/>
                <w:szCs w:val="24"/>
                <w:lang w:val="en-US" w:eastAsia="zh-CN"/>
              </w:rPr>
            </w:pPr>
            <w:r>
              <w:rPr>
                <w:rFonts w:hint="eastAsia" w:ascii="仿宋" w:hAnsi="仿宋" w:eastAsia="仿宋" w:cs="宋体"/>
                <w:bCs/>
                <w:color w:val="auto"/>
                <w:sz w:val="24"/>
                <w:szCs w:val="24"/>
                <w:lang w:val="en-US" w:eastAsia="zh-CN"/>
              </w:rPr>
              <w:t>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auto"/>
                <w:sz w:val="24"/>
                <w:szCs w:val="24"/>
              </w:rPr>
            </w:pPr>
            <w:r>
              <w:rPr>
                <w:rFonts w:hint="eastAsia" w:ascii="仿宋" w:hAnsi="仿宋" w:eastAsia="仿宋" w:cs="宋体"/>
                <w:bCs/>
                <w:color w:val="auto"/>
                <w:sz w:val="24"/>
                <w:szCs w:val="24"/>
              </w:rPr>
              <w:t>过程指标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仿宋_GB2312"/>
                <w:color w:val="auto"/>
                <w:sz w:val="24"/>
                <w:szCs w:val="24"/>
                <w:lang w:bidi="zh-CN"/>
              </w:rPr>
            </w:pPr>
            <w:r>
              <w:rPr>
                <w:rFonts w:hint="eastAsia" w:ascii="仿宋" w:hAnsi="仿宋" w:eastAsia="仿宋" w:cs="仿宋_GB2312"/>
                <w:color w:val="auto"/>
                <w:sz w:val="24"/>
                <w:szCs w:val="24"/>
                <w:lang w:bidi="zh-CN"/>
              </w:rPr>
              <w:t>29.00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仿宋_GB2312"/>
                <w:color w:val="auto"/>
                <w:sz w:val="24"/>
                <w:szCs w:val="24"/>
                <w:lang w:val="en-US" w:bidi="zh-CN"/>
              </w:rPr>
            </w:pPr>
            <w:r>
              <w:rPr>
                <w:rFonts w:hint="eastAsia" w:ascii="仿宋" w:hAnsi="仿宋" w:eastAsia="仿宋" w:cs="仿宋_GB2312"/>
                <w:color w:val="auto"/>
                <w:sz w:val="24"/>
                <w:szCs w:val="24"/>
                <w:lang w:val="en-US" w:bidi="zh-CN"/>
              </w:rPr>
              <w:t>26.76</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color w:val="auto"/>
                <w:sz w:val="24"/>
                <w:szCs w:val="24"/>
                <w:lang w:val="en-US" w:eastAsia="zh-CN"/>
              </w:rPr>
            </w:pPr>
            <w:r>
              <w:rPr>
                <w:rFonts w:hint="eastAsia" w:ascii="仿宋" w:hAnsi="仿宋" w:eastAsia="仿宋" w:cs="宋体"/>
                <w:bCs/>
                <w:color w:val="auto"/>
                <w:sz w:val="24"/>
                <w:szCs w:val="24"/>
                <w:lang w:val="en-US" w:eastAsia="zh-CN"/>
              </w:rPr>
              <w:t>92.28%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auto"/>
                <w:sz w:val="24"/>
                <w:szCs w:val="24"/>
              </w:rPr>
            </w:pPr>
            <w:r>
              <w:rPr>
                <w:rFonts w:hint="eastAsia" w:ascii="仿宋" w:hAnsi="仿宋" w:eastAsia="仿宋" w:cs="宋体"/>
                <w:bCs/>
                <w:color w:val="auto"/>
                <w:sz w:val="24"/>
                <w:szCs w:val="24"/>
              </w:rPr>
              <w:t>产出指标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仿宋_GB2312"/>
                <w:color w:val="auto"/>
                <w:sz w:val="24"/>
                <w:szCs w:val="24"/>
                <w:lang w:bidi="zh-CN"/>
              </w:rPr>
            </w:pPr>
            <w:r>
              <w:rPr>
                <w:rFonts w:hint="eastAsia" w:ascii="仿宋" w:hAnsi="仿宋" w:eastAsia="仿宋" w:cs="仿宋_GB2312"/>
                <w:color w:val="auto"/>
                <w:sz w:val="24"/>
                <w:szCs w:val="24"/>
                <w:lang w:bidi="zh-CN"/>
              </w:rPr>
              <w:t>36.00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仿宋_GB2312"/>
                <w:color w:val="auto"/>
                <w:sz w:val="24"/>
                <w:szCs w:val="24"/>
                <w:lang w:val="en-US" w:bidi="zh-CN"/>
              </w:rPr>
            </w:pPr>
            <w:r>
              <w:rPr>
                <w:rFonts w:hint="eastAsia" w:ascii="仿宋" w:hAnsi="仿宋" w:eastAsia="仿宋" w:cs="仿宋_GB2312"/>
                <w:color w:val="auto"/>
                <w:sz w:val="24"/>
                <w:szCs w:val="24"/>
                <w:lang w:val="en-US" w:bidi="zh-CN"/>
              </w:rPr>
              <w:t>29.50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color w:val="auto"/>
                <w:sz w:val="24"/>
                <w:szCs w:val="24"/>
                <w:lang w:val="en-US" w:eastAsia="zh-CN"/>
              </w:rPr>
            </w:pPr>
            <w:r>
              <w:rPr>
                <w:rFonts w:hint="eastAsia" w:ascii="仿宋" w:hAnsi="仿宋" w:eastAsia="仿宋" w:cs="宋体"/>
                <w:bCs/>
                <w:color w:val="auto"/>
                <w:sz w:val="24"/>
                <w:szCs w:val="24"/>
                <w:lang w:val="en-US" w:eastAsia="zh-CN"/>
              </w:rPr>
              <w:t>81.94%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auto"/>
                <w:sz w:val="24"/>
                <w:szCs w:val="24"/>
              </w:rPr>
            </w:pPr>
            <w:r>
              <w:rPr>
                <w:rFonts w:hint="eastAsia" w:ascii="仿宋" w:hAnsi="仿宋" w:eastAsia="仿宋" w:cs="宋体"/>
                <w:bCs/>
                <w:color w:val="auto"/>
                <w:sz w:val="24"/>
                <w:szCs w:val="24"/>
              </w:rPr>
              <w:t>效益指标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仿宋_GB2312"/>
                <w:color w:val="auto"/>
                <w:sz w:val="24"/>
                <w:szCs w:val="24"/>
                <w:lang w:bidi="zh-CN"/>
              </w:rPr>
            </w:pPr>
            <w:r>
              <w:rPr>
                <w:rFonts w:hint="eastAsia" w:ascii="仿宋" w:hAnsi="仿宋" w:eastAsia="仿宋" w:cs="仿宋_GB2312"/>
                <w:color w:val="auto"/>
                <w:sz w:val="24"/>
                <w:szCs w:val="24"/>
                <w:lang w:bidi="zh-CN"/>
              </w:rPr>
              <w:t>24.00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仿宋_GB2312"/>
                <w:color w:val="auto"/>
                <w:sz w:val="24"/>
                <w:szCs w:val="24"/>
                <w:lang w:val="en-US" w:bidi="zh-CN"/>
              </w:rPr>
            </w:pPr>
            <w:r>
              <w:rPr>
                <w:rFonts w:hint="eastAsia" w:ascii="仿宋" w:hAnsi="仿宋" w:eastAsia="仿宋" w:cs="仿宋_GB2312"/>
                <w:color w:val="auto"/>
                <w:sz w:val="24"/>
                <w:szCs w:val="24"/>
                <w:lang w:val="en-US" w:bidi="zh-CN"/>
              </w:rPr>
              <w:t>16.50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color w:val="auto"/>
                <w:sz w:val="24"/>
                <w:szCs w:val="24"/>
                <w:lang w:val="en-US" w:eastAsia="zh-CN"/>
              </w:rPr>
            </w:pPr>
            <w:r>
              <w:rPr>
                <w:rFonts w:hint="eastAsia" w:ascii="仿宋" w:hAnsi="仿宋" w:eastAsia="仿宋" w:cs="宋体"/>
                <w:bCs/>
                <w:color w:val="auto"/>
                <w:sz w:val="24"/>
                <w:szCs w:val="24"/>
                <w:lang w:val="en-US" w:eastAsia="zh-CN"/>
              </w:rPr>
              <w:t>68.75%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auto"/>
                <w:sz w:val="24"/>
                <w:szCs w:val="24"/>
              </w:rPr>
            </w:pPr>
            <w:r>
              <w:rPr>
                <w:rFonts w:hint="eastAsia" w:ascii="仿宋" w:hAnsi="仿宋" w:eastAsia="仿宋" w:cs="宋体"/>
                <w:bCs/>
                <w:color w:val="auto"/>
                <w:sz w:val="24"/>
                <w:szCs w:val="24"/>
              </w:rPr>
              <w:t>综合绩效</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auto"/>
                <w:sz w:val="24"/>
                <w:szCs w:val="24"/>
              </w:rPr>
            </w:pPr>
            <w:r>
              <w:rPr>
                <w:rFonts w:hint="eastAsia" w:ascii="仿宋" w:hAnsi="仿宋" w:eastAsia="仿宋" w:cs="仿宋_GB2312"/>
                <w:color w:val="auto"/>
                <w:sz w:val="24"/>
                <w:szCs w:val="24"/>
                <w:lang w:bidi="zh-CN"/>
              </w:rPr>
              <w:t>100.00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auto"/>
                <w:sz w:val="24"/>
                <w:szCs w:val="24"/>
              </w:rPr>
            </w:pPr>
            <w:r>
              <w:rPr>
                <w:rFonts w:ascii="仿宋" w:hAnsi="仿宋" w:eastAsia="仿宋" w:cs="宋体"/>
                <w:bCs/>
                <w:color w:val="auto"/>
                <w:sz w:val="24"/>
                <w:szCs w:val="24"/>
              </w:rPr>
              <w:fldChar w:fldCharType="begin"/>
            </w:r>
            <w:r>
              <w:rPr>
                <w:rFonts w:ascii="仿宋" w:hAnsi="仿宋" w:eastAsia="仿宋" w:cs="宋体"/>
                <w:bCs/>
                <w:color w:val="auto"/>
                <w:sz w:val="24"/>
                <w:szCs w:val="24"/>
              </w:rPr>
              <w:instrText xml:space="preserve"> = sum(C2:C5) \* MERGEFORMAT </w:instrText>
            </w:r>
            <w:r>
              <w:rPr>
                <w:rFonts w:ascii="仿宋" w:hAnsi="仿宋" w:eastAsia="仿宋" w:cs="宋体"/>
                <w:bCs/>
                <w:color w:val="auto"/>
                <w:sz w:val="24"/>
                <w:szCs w:val="24"/>
              </w:rPr>
              <w:fldChar w:fldCharType="separate"/>
            </w:r>
            <w:r>
              <w:rPr>
                <w:rFonts w:ascii="仿宋" w:hAnsi="仿宋" w:eastAsia="仿宋" w:cs="宋体"/>
                <w:bCs/>
                <w:color w:val="auto"/>
                <w:sz w:val="24"/>
                <w:szCs w:val="24"/>
              </w:rPr>
              <w:t>81.</w:t>
            </w:r>
            <w:r>
              <w:rPr>
                <w:rFonts w:hint="eastAsia" w:ascii="仿宋" w:hAnsi="仿宋" w:eastAsia="仿宋" w:cs="宋体"/>
                <w:bCs/>
                <w:color w:val="auto"/>
                <w:sz w:val="24"/>
                <w:szCs w:val="24"/>
                <w:lang w:val="en-US" w:eastAsia="zh-CN"/>
              </w:rPr>
              <w:t>7</w:t>
            </w:r>
            <w:r>
              <w:rPr>
                <w:rFonts w:ascii="仿宋" w:hAnsi="仿宋" w:eastAsia="仿宋" w:cs="宋体"/>
                <w:bCs/>
                <w:color w:val="auto"/>
                <w:sz w:val="24"/>
                <w:szCs w:val="24"/>
              </w:rPr>
              <w:t>6</w:t>
            </w:r>
            <w:r>
              <w:rPr>
                <w:rFonts w:ascii="仿宋" w:hAnsi="仿宋" w:eastAsia="仿宋" w:cs="宋体"/>
                <w:bCs/>
                <w:color w:val="auto"/>
                <w:sz w:val="24"/>
                <w:szCs w:val="24"/>
              </w:rPr>
              <w:fldChar w:fldCharType="end"/>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color w:val="auto"/>
                <w:sz w:val="24"/>
                <w:szCs w:val="24"/>
                <w:lang w:val="en-US" w:eastAsia="zh-CN"/>
              </w:rPr>
            </w:pPr>
            <w:r>
              <w:rPr>
                <w:rFonts w:hint="eastAsia" w:ascii="仿宋" w:hAnsi="仿宋" w:eastAsia="仿宋" w:cs="宋体"/>
                <w:bCs/>
                <w:color w:val="auto"/>
                <w:sz w:val="24"/>
                <w:szCs w:val="24"/>
                <w:lang w:val="en-US" w:eastAsia="zh-CN"/>
              </w:rPr>
              <w:t>81.76%</w:t>
            </w:r>
          </w:p>
        </w:tc>
      </w:tr>
    </w:tbl>
    <w:p>
      <w:pPr>
        <w:autoSpaceDE/>
        <w:autoSpaceDN/>
        <w:adjustRightInd/>
        <w:jc w:val="both"/>
        <w:rPr>
          <w:rFonts w:ascii="Calibri" w:hAnsi="Calibri"/>
          <w:color w:val="auto"/>
          <w:kern w:val="2"/>
          <w:sz w:val="21"/>
          <w:szCs w:val="22"/>
        </w:rPr>
      </w:pPr>
    </w:p>
    <w:p>
      <w:pPr>
        <w:pStyle w:val="40"/>
        <w:bidi w:val="0"/>
        <w:rPr>
          <w:rFonts w:hint="eastAsia"/>
        </w:rPr>
      </w:pPr>
      <w:bookmarkStart w:id="45" w:name="_Toc22303"/>
      <w:r>
        <w:rPr>
          <w:rFonts w:hint="eastAsia"/>
        </w:rPr>
        <w:t>六</w:t>
      </w:r>
      <w:r>
        <w:rPr>
          <w:rFonts w:hint="eastAsia"/>
          <w:lang w:eastAsia="zh-CN"/>
        </w:rPr>
        <w:t>、</w:t>
      </w:r>
      <w:r>
        <w:rPr>
          <w:rFonts w:hint="eastAsia"/>
        </w:rPr>
        <w:t>存在的主要问题</w:t>
      </w:r>
      <w:bookmarkEnd w:id="45"/>
    </w:p>
    <w:p>
      <w:pPr>
        <w:pStyle w:val="39"/>
        <w:bidi w:val="0"/>
        <w:rPr>
          <w:rFonts w:hint="default"/>
          <w:lang w:val="en-US"/>
        </w:rPr>
      </w:pPr>
      <w:bookmarkStart w:id="46" w:name="_Toc8204"/>
      <w:r>
        <w:rPr>
          <w:rFonts w:hint="eastAsia"/>
          <w:lang w:val="zh-CN"/>
        </w:rPr>
        <w:t>（</w:t>
      </w:r>
      <w:r>
        <w:rPr>
          <w:rFonts w:hint="eastAsia"/>
          <w:lang w:val="en-US"/>
        </w:rPr>
        <w:t>一</w:t>
      </w:r>
      <w:r>
        <w:rPr>
          <w:rFonts w:hint="eastAsia"/>
          <w:lang w:val="zh-CN"/>
        </w:rPr>
        <w:t>）</w:t>
      </w:r>
      <w:r>
        <w:rPr>
          <w:rFonts w:hint="eastAsia"/>
          <w:lang w:val="en-US" w:eastAsia="zh-CN"/>
        </w:rPr>
        <w:t>预算编制不及时</w:t>
      </w:r>
      <w:bookmarkEnd w:id="46"/>
    </w:p>
    <w:p>
      <w:pPr>
        <w:pStyle w:val="41"/>
        <w:bidi w:val="0"/>
        <w:rPr>
          <w:rFonts w:hint="default"/>
          <w:lang w:val="en-US" w:eastAsia="zh-CN"/>
        </w:rPr>
      </w:pPr>
      <w:r>
        <w:rPr>
          <w:rFonts w:hint="eastAsia"/>
          <w:lang w:val="en-US" w:eastAsia="zh-CN"/>
        </w:rPr>
        <w:t>遵化市文化北路赵立明维修建筑队编制的《建设工程预（结）算书》工程名称为城区环卫设施维修修缮工程（2020年10月至2021年8月），文件编制时间为2021年10月5日，编制时间晚于工程实施时间。</w:t>
      </w:r>
    </w:p>
    <w:p>
      <w:pPr>
        <w:pStyle w:val="39"/>
        <w:bidi w:val="0"/>
        <w:rPr>
          <w:rFonts w:hint="default"/>
          <w:lang w:val="en-US" w:eastAsia="zh-CN"/>
        </w:rPr>
      </w:pPr>
      <w:bookmarkStart w:id="47" w:name="_Toc18901"/>
      <w:r>
        <w:rPr>
          <w:rFonts w:hint="eastAsia"/>
          <w:lang w:val="zh-CN" w:eastAsia="zh-CN"/>
        </w:rPr>
        <w:t>（</w:t>
      </w:r>
      <w:r>
        <w:rPr>
          <w:rFonts w:hint="eastAsia"/>
          <w:lang w:val="en-US" w:eastAsia="zh-CN"/>
        </w:rPr>
        <w:t>二</w:t>
      </w:r>
      <w:r>
        <w:rPr>
          <w:rFonts w:hint="eastAsia"/>
          <w:lang w:val="zh-CN" w:eastAsia="zh-CN"/>
        </w:rPr>
        <w:t>）</w:t>
      </w:r>
      <w:r>
        <w:rPr>
          <w:rFonts w:hint="eastAsia"/>
          <w:lang w:val="en-US" w:eastAsia="zh-CN"/>
        </w:rPr>
        <w:t>单位选取不规范</w:t>
      </w:r>
      <w:bookmarkEnd w:id="47"/>
    </w:p>
    <w:p>
      <w:pPr>
        <w:pStyle w:val="41"/>
        <w:bidi w:val="0"/>
        <w:rPr>
          <w:rFonts w:hint="default"/>
          <w:lang w:val="en-US"/>
        </w:rPr>
      </w:pPr>
      <w:r>
        <w:rPr>
          <w:rFonts w:hint="eastAsia"/>
          <w:lang w:val="en-US"/>
        </w:rPr>
        <w:t>2020年9月23日，环卫中心与遵化市文化北路赵立明维修建筑队签订《环卫设施维修修缮工程框架协议》，工程期限为2020年10月至2021年9月，合同范围为环卫中心通知维修内容。施工单位选取未经过相关政府采购程序，由环卫中心集体决策确定。环卫中心提供的2020年9月22日会议记录显示“会议决定2021年10月至2022年9月环卫设施维修修缮项目实施单位为遵化市文化北路赵立明维修建筑队”，会议决定期限内实施时间与合同工程期限不一致，未见2022年度零星修缮工程单位选取资料。</w:t>
      </w:r>
    </w:p>
    <w:p>
      <w:pPr>
        <w:pStyle w:val="39"/>
        <w:bidi w:val="0"/>
        <w:rPr>
          <w:rFonts w:hint="default"/>
          <w:lang w:val="en-US" w:eastAsia="zh-CN"/>
        </w:rPr>
      </w:pPr>
      <w:bookmarkStart w:id="48" w:name="_Toc31801"/>
      <w:r>
        <w:rPr>
          <w:rFonts w:hint="eastAsia"/>
          <w:lang w:val="en-US" w:eastAsia="zh-CN"/>
        </w:rPr>
        <w:t>（三）项目立项不规范</w:t>
      </w:r>
      <w:bookmarkEnd w:id="48"/>
    </w:p>
    <w:p>
      <w:pPr>
        <w:pStyle w:val="41"/>
        <w:bidi w:val="0"/>
        <w:rPr>
          <w:rFonts w:hint="eastAsia"/>
          <w:lang w:val="en-US" w:eastAsia="zh-CN"/>
        </w:rPr>
      </w:pPr>
      <w:r>
        <w:rPr>
          <w:rFonts w:hint="eastAsia"/>
          <w:lang w:val="en-US" w:eastAsia="zh-CN"/>
        </w:rPr>
        <w:t>项目为延续性项目，未见项目申请设立、审批、集体决策等资料。</w:t>
      </w:r>
    </w:p>
    <w:p>
      <w:pPr>
        <w:pStyle w:val="39"/>
        <w:bidi w:val="0"/>
        <w:rPr>
          <w:rFonts w:hint="eastAsia"/>
          <w:lang w:val="en-US" w:eastAsia="zh-CN"/>
        </w:rPr>
      </w:pPr>
      <w:bookmarkStart w:id="49" w:name="_Toc23938"/>
      <w:r>
        <w:rPr>
          <w:rFonts w:hint="eastAsia"/>
          <w:lang w:val="en-US" w:eastAsia="zh-CN"/>
        </w:rPr>
        <w:t>（四）项目目标设置不规范</w:t>
      </w:r>
      <w:bookmarkEnd w:id="49"/>
    </w:p>
    <w:p>
      <w:pPr>
        <w:pStyle w:val="41"/>
        <w:bidi w:val="0"/>
        <w:rPr>
          <w:rFonts w:hint="eastAsia"/>
          <w:lang w:val="en-US" w:eastAsia="zh-CN"/>
        </w:rPr>
      </w:pPr>
      <w:r>
        <w:rPr>
          <w:rFonts w:hint="eastAsia"/>
          <w:lang w:val="en-US" w:eastAsia="zh-CN"/>
        </w:rPr>
        <w:t>经查看环卫中心提供的两份2022年度《环卫设施零星修缮项目绩效目标表》，其中数量指标反映零星修缮总体情况，目标值分别为≥50处和≥120处，2020年10月环卫中心根据维修内容填写《环卫维修报表》中显示，包含79座公厕共169处维修内容，无法确定目标任务数，指标设置与正常业绩水平不匹配。</w:t>
      </w:r>
    </w:p>
    <w:p>
      <w:pPr>
        <w:pStyle w:val="40"/>
        <w:bidi w:val="0"/>
        <w:rPr>
          <w:rFonts w:hint="eastAsia"/>
          <w:lang w:val="zh-CN"/>
        </w:rPr>
      </w:pPr>
      <w:bookmarkStart w:id="50" w:name="_Toc31032"/>
      <w:r>
        <w:rPr>
          <w:rFonts w:hint="eastAsia"/>
        </w:rPr>
        <w:t>七</w:t>
      </w:r>
      <w:r>
        <w:rPr>
          <w:rFonts w:hint="eastAsia"/>
          <w:lang w:eastAsia="zh-CN"/>
        </w:rPr>
        <w:t>、</w:t>
      </w:r>
      <w:r>
        <w:rPr>
          <w:rFonts w:hint="eastAsia"/>
        </w:rPr>
        <w:t>意见建议</w:t>
      </w:r>
      <w:bookmarkEnd w:id="50"/>
    </w:p>
    <w:p>
      <w:pPr>
        <w:pStyle w:val="41"/>
        <w:bidi w:val="0"/>
        <w:rPr>
          <w:rFonts w:hint="eastAsia"/>
          <w:lang w:val="zh-CN"/>
        </w:rPr>
      </w:pPr>
      <w:r>
        <w:rPr>
          <w:rFonts w:hint="eastAsia"/>
          <w:lang w:val="en-US"/>
        </w:rPr>
        <w:t>1</w:t>
      </w:r>
      <w:r>
        <w:rPr>
          <w:rFonts w:hint="eastAsia"/>
          <w:lang w:val="zh-CN"/>
        </w:rPr>
        <w:t>.加强绩效管理。绩效管理应贯穿项目始终，切实与实际实施项目相关，在申报项目预算时制定明确、细化、量化、合理的绩效目标，在项目结束后按要求对项目进行自评，通过自评工作发现项目建设中存在的不足和问题并及时进行整改。</w:t>
      </w:r>
    </w:p>
    <w:p>
      <w:pPr>
        <w:pStyle w:val="41"/>
        <w:bidi w:val="0"/>
        <w:rPr>
          <w:rFonts w:hint="eastAsia"/>
          <w:lang w:val="en-US"/>
        </w:rPr>
      </w:pPr>
      <w:r>
        <w:rPr>
          <w:rFonts w:hint="eastAsia"/>
          <w:lang w:val="en-US"/>
        </w:rPr>
        <w:t>2</w:t>
      </w:r>
      <w:r>
        <w:rPr>
          <w:rFonts w:hint="eastAsia"/>
          <w:lang w:val="zh-CN"/>
        </w:rPr>
        <w:t>.加强采购管理。对采购形式、采购审批和验收等环节作为重点内容进行明确。规范采购过程管理，积极开展《政府采购法》宣传工作，提升政府采购意识，</w:t>
      </w:r>
      <w:r>
        <w:rPr>
          <w:rFonts w:hint="eastAsia"/>
          <w:lang w:val="en-US"/>
        </w:rPr>
        <w:t>规范采购过程、结果资料存档。</w:t>
      </w:r>
    </w:p>
    <w:p>
      <w:pPr>
        <w:pStyle w:val="2"/>
        <w:rPr>
          <w:rFonts w:hint="eastAsia" w:ascii="仿宋" w:hAnsi="仿宋" w:eastAsia="仿宋" w:cs="仿宋_GB2312"/>
          <w:color w:val="auto"/>
          <w:sz w:val="30"/>
          <w:szCs w:val="30"/>
          <w:lang w:val="en-US" w:bidi="zh-CN"/>
        </w:rPr>
      </w:pPr>
    </w:p>
    <w:p>
      <w:pPr>
        <w:rPr>
          <w:rFonts w:hint="default"/>
          <w:lang w:val="en-US"/>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jc w:val="both"/>
        <w:textAlignment w:val="baseline"/>
        <w:rPr>
          <w:rStyle w:val="63"/>
          <w:rFonts w:hint="eastAsia"/>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jc w:val="both"/>
        <w:textAlignment w:val="baseline"/>
        <w:rPr>
          <w:rStyle w:val="63"/>
          <w:rFonts w:hint="eastAsia"/>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jc w:val="both"/>
        <w:textAlignment w:val="baseline"/>
        <w:rPr>
          <w:rFonts w:hint="eastAsia" w:ascii="仿宋" w:hAnsi="仿宋" w:eastAsia="仿宋" w:cs="仿宋_GB2312"/>
          <w:color w:val="auto"/>
          <w:sz w:val="30"/>
          <w:szCs w:val="30"/>
          <w:lang w:val="zh-CN" w:bidi="zh-CN"/>
        </w:rPr>
      </w:pPr>
      <w:r>
        <w:rPr>
          <w:rStyle w:val="63"/>
          <w:rFonts w:hint="eastAsia"/>
          <w:lang w:val="zh-CN"/>
        </w:rPr>
        <w:t>附表：</w:t>
      </w:r>
      <w:r>
        <w:rPr>
          <w:rFonts w:hint="eastAsia" w:ascii="仿宋" w:hAnsi="仿宋" w:eastAsia="仿宋" w:cs="仿宋_GB2312"/>
          <w:color w:val="auto"/>
          <w:sz w:val="30"/>
          <w:szCs w:val="30"/>
          <w:lang w:val="zh-CN" w:bidi="zh-CN"/>
        </w:rPr>
        <w:t xml:space="preserve"> </w:t>
      </w:r>
    </w:p>
    <w:p>
      <w:pPr>
        <w:pStyle w:val="41"/>
        <w:bidi w:val="0"/>
        <w:rPr>
          <w:rFonts w:hint="eastAsia"/>
          <w:lang w:val="zh-CN"/>
        </w:rPr>
      </w:pPr>
      <w:r>
        <w:rPr>
          <w:rFonts w:hint="eastAsia"/>
          <w:lang w:val="zh-CN"/>
        </w:rPr>
        <w:t>1.</w:t>
      </w:r>
      <w:r>
        <w:rPr>
          <w:rFonts w:hint="eastAsia"/>
          <w:lang w:val="en-US"/>
        </w:rPr>
        <w:t>遵化市环卫中心2022年城区环卫设施零星修缮工程费用项目</w:t>
      </w:r>
      <w:r>
        <w:rPr>
          <w:rFonts w:hint="eastAsia"/>
          <w:lang w:val="zh-CN"/>
        </w:rPr>
        <w:t>绩效评价得分情况表</w:t>
      </w:r>
    </w:p>
    <w:p>
      <w:pPr>
        <w:pStyle w:val="41"/>
        <w:bidi w:val="0"/>
        <w:rPr>
          <w:rFonts w:hint="eastAsia"/>
          <w:lang w:val="zh-CN"/>
        </w:rPr>
      </w:pPr>
      <w:r>
        <w:rPr>
          <w:rFonts w:hint="eastAsia"/>
          <w:lang w:val="zh-CN"/>
        </w:rPr>
        <w:t>2.</w:t>
      </w:r>
      <w:r>
        <w:rPr>
          <w:rFonts w:hint="eastAsia"/>
          <w:lang w:val="en-US"/>
        </w:rPr>
        <w:t>遵化市环卫中心2022年城区环卫设施零星修缮工程费用项目</w:t>
      </w:r>
      <w:r>
        <w:rPr>
          <w:rFonts w:hint="eastAsia"/>
          <w:lang w:val="zh-CN"/>
        </w:rPr>
        <w:t>绩效评价指标表</w:t>
      </w:r>
    </w:p>
    <w:p>
      <w:pPr>
        <w:pStyle w:val="41"/>
        <w:bidi w:val="0"/>
        <w:rPr>
          <w:rFonts w:hint="eastAsia"/>
          <w:lang w:val="zh-CN"/>
        </w:rPr>
      </w:pPr>
      <w:r>
        <w:rPr>
          <w:rFonts w:hint="eastAsia"/>
          <w:lang w:val="en-US"/>
        </w:rPr>
        <w:t>3.</w:t>
      </w:r>
      <w:r>
        <w:rPr>
          <w:rFonts w:hint="eastAsia"/>
          <w:lang w:val="zh-CN"/>
        </w:rPr>
        <w:t>遵化市环境卫生管理中心2022年城区环卫设施零星修缮工程费用项目社会调查问卷汇总表</w:t>
      </w:r>
    </w:p>
    <w:p>
      <w:pPr>
        <w:pStyle w:val="41"/>
        <w:bidi w:val="0"/>
        <w:rPr>
          <w:rFonts w:hint="eastAsia"/>
          <w:lang w:val="zh-CN"/>
        </w:rPr>
      </w:pPr>
      <w:r>
        <w:rPr>
          <w:rFonts w:hint="eastAsia"/>
          <w:lang w:val="en-US" w:eastAsia="zh-CN"/>
        </w:rPr>
        <w:t>4.</w:t>
      </w:r>
      <w:r>
        <w:rPr>
          <w:rFonts w:hint="eastAsia"/>
          <w:lang w:val="zh-CN"/>
        </w:rPr>
        <w:t>遵化市环境卫生管理中心2022年城区环卫设施零星修缮工程费用项目社会调查问卷统计表</w:t>
      </w:r>
    </w:p>
    <w:sectPr>
      <w:headerReference r:id="rId5" w:type="default"/>
      <w:footerReference r:id="rId6" w:type="default"/>
      <w:pgSz w:w="11906" w:h="16838"/>
      <w:pgMar w:top="1440" w:right="1800" w:bottom="1440" w:left="1800" w:header="680" w:footer="454"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0" w:usb1="00000000" w:usb2="00000000" w:usb3="00000000" w:csb0="00000000" w:csb1="00000000"/>
  </w:font>
  <w:font w:name="方正楷体_GB2312">
    <w:altName w:val="宋体"/>
    <w:panose1 w:val="02000000000000000000"/>
    <w:charset w:val="86"/>
    <w:family w:val="auto"/>
    <w:pitch w:val="default"/>
    <w:sig w:usb0="00000000" w:usb1="00000000" w:usb2="00000012"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楷体">
    <w:panose1 w:val="02010600040101010101"/>
    <w:charset w:val="86"/>
    <w:family w:val="auto"/>
    <w:pitch w:val="default"/>
    <w:sig w:usb0="00000287" w:usb1="080F0000" w:usb2="00000000" w:usb3="00000000" w:csb0="0004009F" w:csb1="DFD7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left w:val="none" w:color="auto" w:sz="0" w:space="4"/>
        <w:bottom w:val="none" w:color="auto" w:sz="0" w:space="1"/>
        <w:right w:val="none" w:color="auto" w:sz="0" w:space="4"/>
      </w:pBdr>
      <w:jc w:val="both"/>
    </w:pPr>
    <w:r>
      <w:rPr>
        <w:sz w:val="18"/>
      </w:rPr>
      <mc:AlternateContent>
        <mc:Choice Requires="wps">
          <w:drawing>
            <wp:anchor distT="0" distB="0" distL="114300" distR="114300" simplePos="0" relativeHeight="251661312" behindDoc="0" locked="0" layoutInCell="1" allowOverlap="1">
              <wp:simplePos x="0" y="0"/>
              <wp:positionH relativeFrom="margin">
                <wp:posOffset>2178685</wp:posOffset>
              </wp:positionH>
              <wp:positionV relativeFrom="paragraph">
                <wp:posOffset>203200</wp:posOffset>
              </wp:positionV>
              <wp:extent cx="1828800" cy="273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73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4</w:t>
                          </w:r>
                          <w:r>
                            <w:fldChar w:fldCharType="end"/>
                          </w:r>
                          <w:r>
                            <w:t xml:space="preserve"> 页 共 </w:t>
                          </w:r>
                          <w:r>
                            <w:rPr>
                              <w:rFonts w:hint="eastAsia"/>
                              <w:lang w:val="en-US" w:eastAsia="zh-CN"/>
                            </w:rPr>
                            <w:t>13</w:t>
                          </w:r>
                          <w:r>
                            <w:t xml:space="preserve"> 页</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71.55pt;margin-top:16pt;height:21.5pt;width:144pt;mso-position-horizontal-relative:margin;mso-wrap-style:none;z-index:251661312;mso-width-relative:page;mso-height-relative:page;" filled="f" stroked="f" coordsize="21600,21600" o:gfxdata="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WDBGtkAAAAJAQAADwAAAAAAAAABACAAAAAiAAAAZHJzL2Rvd25yZXYu&#10;eG1sUEsBAhQAFAAAAAgAh07iQNUo8S0zAgAAYAQAAA4AAAAAAAAAAQAgAAAAKAEAAGRycy9lMm9E&#10;b2MueG1sUEsFBgAAAAAGAAYAWQEAAM0FAAAAAA==&#10;">
              <v:fill on="f" focussize="0,0"/>
              <v:stroke on="f" weight="0.5pt"/>
              <v:imagedata o:title=""/>
              <o:lock v:ext="edit" aspectratio="f"/>
              <v:textbox inset="0mm,0mm,0mm,0mm">
                <w:txbxContent>
                  <w:p>
                    <w:pPr>
                      <w:pStyle w:val="13"/>
                    </w:pPr>
                    <w:r>
                      <w:t xml:space="preserve">第 </w:t>
                    </w:r>
                    <w:r>
                      <w:fldChar w:fldCharType="begin"/>
                    </w:r>
                    <w:r>
                      <w:instrText xml:space="preserve"> PAGE  \* MERGEFORMAT </w:instrText>
                    </w:r>
                    <w:r>
                      <w:fldChar w:fldCharType="separate"/>
                    </w:r>
                    <w:r>
                      <w:t>4</w:t>
                    </w:r>
                    <w:r>
                      <w:fldChar w:fldCharType="end"/>
                    </w:r>
                    <w:r>
                      <w:t xml:space="preserve"> 页 共 </w:t>
                    </w:r>
                    <w:r>
                      <w:rPr>
                        <w:rFonts w:hint="eastAsia"/>
                        <w:lang w:val="en-US" w:eastAsia="zh-CN"/>
                      </w:rPr>
                      <w:t>13</w:t>
                    </w:r>
                    <w:r>
                      <w:t xml:space="preserve"> 页</w:t>
                    </w:r>
                  </w:p>
                </w:txbxContent>
              </v:textbox>
            </v:shape>
          </w:pict>
        </mc:Fallback>
      </mc:AlternateContent>
    </w:r>
    <w:r>
      <w:rPr>
        <w:rFonts w:hint="eastAsia" w:hAnsi="宋体" w:cs="宋体"/>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3"/>
                    </w:pPr>
                  </w:p>
                </w:txbxContent>
              </v:textbox>
            </v:shape>
          </w:pict>
        </mc:Fallback>
      </mc:AlternateContent>
    </w:r>
    <w:r>
      <w:rPr>
        <w:rFonts w:hint="eastAsia" w:hAnsi="宋体" w:cs="宋体"/>
        <w:kern w:val="2"/>
        <w:sz w:val="18"/>
        <w:szCs w:val="18"/>
        <w:lang w:bidi="ar"/>
      </w:rPr>
      <w:t xml:space="preserve">地址：河北省唐山市路北区光明路48-3              </w:t>
    </w:r>
    <w:r>
      <w:rPr>
        <w:rFonts w:hint="eastAsia" w:ascii="Calibri" w:hAnsi="Calibri"/>
        <w:kern w:val="2"/>
        <w:sz w:val="21"/>
        <w:szCs w:val="22"/>
        <w:lang w:bidi="ar"/>
      </w:rPr>
      <w:t xml:space="preserve">                    </w:t>
    </w:r>
    <w:r>
      <w:rPr>
        <w:rFonts w:hint="eastAsia" w:hAnsi="宋体" w:cs="宋体"/>
        <w:kern w:val="2"/>
        <w:sz w:val="18"/>
        <w:szCs w:val="18"/>
        <w:lang w:bidi="ar"/>
      </w:rPr>
      <w:t>电话：0315-5757564</w:t>
    </w:r>
    <w:r>
      <w:rPr>
        <w:rFonts w:ascii="Calibri" w:hAnsi="Calibri"/>
        <w:kern w:val="2"/>
        <w:sz w:val="21"/>
        <w:szCs w:val="22"/>
        <w:lang w:bidi="ar"/>
      </w:rPr>
      <w:tab/>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right"/>
    </w:pPr>
    <w:r>
      <w:rPr>
        <w:rFonts w:hint="eastAsia"/>
      </w:rPr>
      <w:t xml:space="preserve">                               </w:t>
    </w:r>
    <w:r>
      <w:rPr>
        <w:rFonts w:hint="eastAsia"/>
        <w:lang w:eastAsia="zh-CN"/>
      </w:rPr>
      <w:t>遵化市环境卫生管理中心</w:t>
    </w:r>
    <w:r>
      <w:rPr>
        <w:rFonts w:hint="eastAsia"/>
        <w:lang w:val="en-US" w:eastAsia="zh-CN"/>
      </w:rPr>
      <w:t>2022年</w:t>
    </w:r>
    <w:r>
      <w:rPr>
        <w:rFonts w:hint="eastAsia"/>
        <w:lang w:eastAsia="zh-CN"/>
      </w:rPr>
      <w:t>城区环卫设施零星修缮工程费用项目</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wMTVlNDZlNWZkMTJmOGMxYjMyNjNiMTI5YWU3ZjQifQ=="/>
  </w:docVars>
  <w:rsids>
    <w:rsidRoot w:val="000B4CF0"/>
    <w:rsid w:val="00001BF6"/>
    <w:rsid w:val="00001D22"/>
    <w:rsid w:val="00003FFA"/>
    <w:rsid w:val="00004389"/>
    <w:rsid w:val="00010943"/>
    <w:rsid w:val="00013322"/>
    <w:rsid w:val="00015B3C"/>
    <w:rsid w:val="00016B1C"/>
    <w:rsid w:val="00017377"/>
    <w:rsid w:val="0002149B"/>
    <w:rsid w:val="000228FC"/>
    <w:rsid w:val="0002362C"/>
    <w:rsid w:val="00023AB7"/>
    <w:rsid w:val="00034A68"/>
    <w:rsid w:val="00035F1B"/>
    <w:rsid w:val="0003733D"/>
    <w:rsid w:val="00037CF3"/>
    <w:rsid w:val="00040260"/>
    <w:rsid w:val="00043A78"/>
    <w:rsid w:val="000447DD"/>
    <w:rsid w:val="0004583D"/>
    <w:rsid w:val="0004778B"/>
    <w:rsid w:val="00055A45"/>
    <w:rsid w:val="00055F85"/>
    <w:rsid w:val="00064AF1"/>
    <w:rsid w:val="00065B68"/>
    <w:rsid w:val="00066911"/>
    <w:rsid w:val="0007312A"/>
    <w:rsid w:val="00075105"/>
    <w:rsid w:val="0008205D"/>
    <w:rsid w:val="000824DE"/>
    <w:rsid w:val="00085814"/>
    <w:rsid w:val="000872F1"/>
    <w:rsid w:val="00087FE2"/>
    <w:rsid w:val="0009422B"/>
    <w:rsid w:val="00094FD3"/>
    <w:rsid w:val="000A63E0"/>
    <w:rsid w:val="000A6C79"/>
    <w:rsid w:val="000A6DD7"/>
    <w:rsid w:val="000A79FA"/>
    <w:rsid w:val="000B4CF0"/>
    <w:rsid w:val="000B7CCD"/>
    <w:rsid w:val="000C2F55"/>
    <w:rsid w:val="000D3304"/>
    <w:rsid w:val="000E0A6C"/>
    <w:rsid w:val="000E2D79"/>
    <w:rsid w:val="000E513C"/>
    <w:rsid w:val="000E6235"/>
    <w:rsid w:val="000F30E3"/>
    <w:rsid w:val="000F3F9F"/>
    <w:rsid w:val="000F639C"/>
    <w:rsid w:val="001023E1"/>
    <w:rsid w:val="00104E53"/>
    <w:rsid w:val="00105A10"/>
    <w:rsid w:val="0010631D"/>
    <w:rsid w:val="00110E50"/>
    <w:rsid w:val="00112713"/>
    <w:rsid w:val="00123BC4"/>
    <w:rsid w:val="00125287"/>
    <w:rsid w:val="001351FA"/>
    <w:rsid w:val="00136FAC"/>
    <w:rsid w:val="00137450"/>
    <w:rsid w:val="00141B24"/>
    <w:rsid w:val="001479B1"/>
    <w:rsid w:val="00152777"/>
    <w:rsid w:val="0015446D"/>
    <w:rsid w:val="001548EF"/>
    <w:rsid w:val="0015534A"/>
    <w:rsid w:val="001555B8"/>
    <w:rsid w:val="00157595"/>
    <w:rsid w:val="001609FA"/>
    <w:rsid w:val="0016234E"/>
    <w:rsid w:val="00163AE2"/>
    <w:rsid w:val="001652BF"/>
    <w:rsid w:val="00166280"/>
    <w:rsid w:val="0017338F"/>
    <w:rsid w:val="00184088"/>
    <w:rsid w:val="001916CC"/>
    <w:rsid w:val="001979A4"/>
    <w:rsid w:val="001A6D4F"/>
    <w:rsid w:val="001A7396"/>
    <w:rsid w:val="001B1F2A"/>
    <w:rsid w:val="001B212E"/>
    <w:rsid w:val="001B30A4"/>
    <w:rsid w:val="001B72A7"/>
    <w:rsid w:val="001C4027"/>
    <w:rsid w:val="001C4428"/>
    <w:rsid w:val="001C5871"/>
    <w:rsid w:val="001D4C35"/>
    <w:rsid w:val="001D4D88"/>
    <w:rsid w:val="001E0290"/>
    <w:rsid w:val="001E0DF2"/>
    <w:rsid w:val="001E5102"/>
    <w:rsid w:val="001E7297"/>
    <w:rsid w:val="001F499D"/>
    <w:rsid w:val="001F4CD0"/>
    <w:rsid w:val="00200224"/>
    <w:rsid w:val="00201447"/>
    <w:rsid w:val="00201AAA"/>
    <w:rsid w:val="00201C49"/>
    <w:rsid w:val="00201E98"/>
    <w:rsid w:val="00203925"/>
    <w:rsid w:val="00206534"/>
    <w:rsid w:val="00207C07"/>
    <w:rsid w:val="00210495"/>
    <w:rsid w:val="00211CC1"/>
    <w:rsid w:val="002151E0"/>
    <w:rsid w:val="00221743"/>
    <w:rsid w:val="00222415"/>
    <w:rsid w:val="00224910"/>
    <w:rsid w:val="00225399"/>
    <w:rsid w:val="00226039"/>
    <w:rsid w:val="00226F86"/>
    <w:rsid w:val="00230F12"/>
    <w:rsid w:val="002332DB"/>
    <w:rsid w:val="00233421"/>
    <w:rsid w:val="0023355A"/>
    <w:rsid w:val="0023516A"/>
    <w:rsid w:val="00235B47"/>
    <w:rsid w:val="002369C0"/>
    <w:rsid w:val="00240AFE"/>
    <w:rsid w:val="00241A08"/>
    <w:rsid w:val="00242FED"/>
    <w:rsid w:val="00247FFA"/>
    <w:rsid w:val="00250B61"/>
    <w:rsid w:val="00252077"/>
    <w:rsid w:val="002544F9"/>
    <w:rsid w:val="00262393"/>
    <w:rsid w:val="00263C6B"/>
    <w:rsid w:val="00275213"/>
    <w:rsid w:val="00276A1D"/>
    <w:rsid w:val="002803B6"/>
    <w:rsid w:val="0028325E"/>
    <w:rsid w:val="00285F24"/>
    <w:rsid w:val="00287736"/>
    <w:rsid w:val="00291EA0"/>
    <w:rsid w:val="002929BE"/>
    <w:rsid w:val="00292EBF"/>
    <w:rsid w:val="00295A59"/>
    <w:rsid w:val="00297375"/>
    <w:rsid w:val="00297730"/>
    <w:rsid w:val="002A0ADF"/>
    <w:rsid w:val="002A189B"/>
    <w:rsid w:val="002A4741"/>
    <w:rsid w:val="002B2773"/>
    <w:rsid w:val="002B49C0"/>
    <w:rsid w:val="002B75C5"/>
    <w:rsid w:val="002C0877"/>
    <w:rsid w:val="002C5C47"/>
    <w:rsid w:val="002C60CB"/>
    <w:rsid w:val="002D2059"/>
    <w:rsid w:val="002D3766"/>
    <w:rsid w:val="002E21D3"/>
    <w:rsid w:val="002F4135"/>
    <w:rsid w:val="002F4186"/>
    <w:rsid w:val="002F5A7E"/>
    <w:rsid w:val="0030012D"/>
    <w:rsid w:val="003006D7"/>
    <w:rsid w:val="00302B4E"/>
    <w:rsid w:val="00303388"/>
    <w:rsid w:val="00303CE0"/>
    <w:rsid w:val="00320F07"/>
    <w:rsid w:val="003240AC"/>
    <w:rsid w:val="00327DCB"/>
    <w:rsid w:val="0033050F"/>
    <w:rsid w:val="00331262"/>
    <w:rsid w:val="00331760"/>
    <w:rsid w:val="00334157"/>
    <w:rsid w:val="00334A93"/>
    <w:rsid w:val="00336E3C"/>
    <w:rsid w:val="00341433"/>
    <w:rsid w:val="003435FA"/>
    <w:rsid w:val="00343A17"/>
    <w:rsid w:val="00345677"/>
    <w:rsid w:val="00350A2E"/>
    <w:rsid w:val="003528AC"/>
    <w:rsid w:val="003579F7"/>
    <w:rsid w:val="0036155E"/>
    <w:rsid w:val="003616C5"/>
    <w:rsid w:val="00361956"/>
    <w:rsid w:val="00370016"/>
    <w:rsid w:val="003708D7"/>
    <w:rsid w:val="00370AF7"/>
    <w:rsid w:val="0037263E"/>
    <w:rsid w:val="00376087"/>
    <w:rsid w:val="00376A4A"/>
    <w:rsid w:val="003825C1"/>
    <w:rsid w:val="0038778D"/>
    <w:rsid w:val="0039117B"/>
    <w:rsid w:val="00391729"/>
    <w:rsid w:val="0039233B"/>
    <w:rsid w:val="00395306"/>
    <w:rsid w:val="003A03D7"/>
    <w:rsid w:val="003A0DCD"/>
    <w:rsid w:val="003A54AA"/>
    <w:rsid w:val="003A76DE"/>
    <w:rsid w:val="003B23E2"/>
    <w:rsid w:val="003B6EF7"/>
    <w:rsid w:val="003B71B4"/>
    <w:rsid w:val="003C204E"/>
    <w:rsid w:val="003C54DB"/>
    <w:rsid w:val="003E0182"/>
    <w:rsid w:val="003F0B86"/>
    <w:rsid w:val="003F77B5"/>
    <w:rsid w:val="00403071"/>
    <w:rsid w:val="00404681"/>
    <w:rsid w:val="00404BEC"/>
    <w:rsid w:val="004128E6"/>
    <w:rsid w:val="00412AA3"/>
    <w:rsid w:val="004135F0"/>
    <w:rsid w:val="004178C3"/>
    <w:rsid w:val="00422E47"/>
    <w:rsid w:val="00424006"/>
    <w:rsid w:val="00433F90"/>
    <w:rsid w:val="00434179"/>
    <w:rsid w:val="00436E55"/>
    <w:rsid w:val="004374E7"/>
    <w:rsid w:val="0044267F"/>
    <w:rsid w:val="00443B5B"/>
    <w:rsid w:val="00443C4B"/>
    <w:rsid w:val="00445A83"/>
    <w:rsid w:val="0044664F"/>
    <w:rsid w:val="004555A8"/>
    <w:rsid w:val="00462191"/>
    <w:rsid w:val="00462F11"/>
    <w:rsid w:val="00465691"/>
    <w:rsid w:val="004719A0"/>
    <w:rsid w:val="004758AB"/>
    <w:rsid w:val="00480422"/>
    <w:rsid w:val="00480B32"/>
    <w:rsid w:val="00483B80"/>
    <w:rsid w:val="0048556C"/>
    <w:rsid w:val="0048645B"/>
    <w:rsid w:val="00486837"/>
    <w:rsid w:val="004903C7"/>
    <w:rsid w:val="00493F26"/>
    <w:rsid w:val="00497344"/>
    <w:rsid w:val="004A0B55"/>
    <w:rsid w:val="004A6CAC"/>
    <w:rsid w:val="004B2649"/>
    <w:rsid w:val="004C2902"/>
    <w:rsid w:val="004C3A16"/>
    <w:rsid w:val="004C4D51"/>
    <w:rsid w:val="004C5196"/>
    <w:rsid w:val="004C56DB"/>
    <w:rsid w:val="004D0C41"/>
    <w:rsid w:val="004D3FEA"/>
    <w:rsid w:val="004D5AE7"/>
    <w:rsid w:val="004E0787"/>
    <w:rsid w:val="004E0BD7"/>
    <w:rsid w:val="004E458F"/>
    <w:rsid w:val="004F109C"/>
    <w:rsid w:val="004F246A"/>
    <w:rsid w:val="004F59DA"/>
    <w:rsid w:val="004F5E2A"/>
    <w:rsid w:val="004F737D"/>
    <w:rsid w:val="004F7D06"/>
    <w:rsid w:val="00503CE2"/>
    <w:rsid w:val="00505635"/>
    <w:rsid w:val="0050656F"/>
    <w:rsid w:val="00514A07"/>
    <w:rsid w:val="00516847"/>
    <w:rsid w:val="0052564C"/>
    <w:rsid w:val="00525A51"/>
    <w:rsid w:val="00525CFC"/>
    <w:rsid w:val="0053078E"/>
    <w:rsid w:val="0053144F"/>
    <w:rsid w:val="005324CC"/>
    <w:rsid w:val="00532DDE"/>
    <w:rsid w:val="0053318C"/>
    <w:rsid w:val="0053515E"/>
    <w:rsid w:val="0055342A"/>
    <w:rsid w:val="00553B22"/>
    <w:rsid w:val="00555B1D"/>
    <w:rsid w:val="0056384A"/>
    <w:rsid w:val="0056438A"/>
    <w:rsid w:val="00564ABE"/>
    <w:rsid w:val="00567424"/>
    <w:rsid w:val="005849D0"/>
    <w:rsid w:val="005870F0"/>
    <w:rsid w:val="005908BC"/>
    <w:rsid w:val="0059538C"/>
    <w:rsid w:val="005A35EA"/>
    <w:rsid w:val="005A7F03"/>
    <w:rsid w:val="005B2C40"/>
    <w:rsid w:val="005B54B6"/>
    <w:rsid w:val="005C1755"/>
    <w:rsid w:val="005C40BD"/>
    <w:rsid w:val="005C5DAF"/>
    <w:rsid w:val="005C7602"/>
    <w:rsid w:val="005D06DE"/>
    <w:rsid w:val="005D109B"/>
    <w:rsid w:val="005D1CE0"/>
    <w:rsid w:val="005D60FA"/>
    <w:rsid w:val="005D6435"/>
    <w:rsid w:val="005E014F"/>
    <w:rsid w:val="005E10E6"/>
    <w:rsid w:val="005E2C5E"/>
    <w:rsid w:val="005E4766"/>
    <w:rsid w:val="005E4C30"/>
    <w:rsid w:val="005F0B9C"/>
    <w:rsid w:val="005F310E"/>
    <w:rsid w:val="005F4122"/>
    <w:rsid w:val="005F4A98"/>
    <w:rsid w:val="005F612C"/>
    <w:rsid w:val="005F78F3"/>
    <w:rsid w:val="005F7F5B"/>
    <w:rsid w:val="005F7F90"/>
    <w:rsid w:val="0060414C"/>
    <w:rsid w:val="00604A43"/>
    <w:rsid w:val="006058EF"/>
    <w:rsid w:val="00605990"/>
    <w:rsid w:val="006076EF"/>
    <w:rsid w:val="0060781C"/>
    <w:rsid w:val="006132E4"/>
    <w:rsid w:val="00622BA6"/>
    <w:rsid w:val="00631B9F"/>
    <w:rsid w:val="006330C2"/>
    <w:rsid w:val="00634DF7"/>
    <w:rsid w:val="006362D8"/>
    <w:rsid w:val="00636E33"/>
    <w:rsid w:val="006417A1"/>
    <w:rsid w:val="006431CC"/>
    <w:rsid w:val="006475DB"/>
    <w:rsid w:val="006514C7"/>
    <w:rsid w:val="00653B75"/>
    <w:rsid w:val="006570E5"/>
    <w:rsid w:val="006574EF"/>
    <w:rsid w:val="006611CF"/>
    <w:rsid w:val="00663AAA"/>
    <w:rsid w:val="00664A21"/>
    <w:rsid w:val="00666DFD"/>
    <w:rsid w:val="00675233"/>
    <w:rsid w:val="0067527C"/>
    <w:rsid w:val="00676A56"/>
    <w:rsid w:val="00682355"/>
    <w:rsid w:val="006916C5"/>
    <w:rsid w:val="00691FD7"/>
    <w:rsid w:val="006940B1"/>
    <w:rsid w:val="00694C61"/>
    <w:rsid w:val="00697E9B"/>
    <w:rsid w:val="006A2BE0"/>
    <w:rsid w:val="006A2E64"/>
    <w:rsid w:val="006B0626"/>
    <w:rsid w:val="006B095E"/>
    <w:rsid w:val="006B1697"/>
    <w:rsid w:val="006B379C"/>
    <w:rsid w:val="006B484F"/>
    <w:rsid w:val="006B7067"/>
    <w:rsid w:val="006C305D"/>
    <w:rsid w:val="006C494F"/>
    <w:rsid w:val="006C4B7B"/>
    <w:rsid w:val="006D20DA"/>
    <w:rsid w:val="006D2520"/>
    <w:rsid w:val="006E0A03"/>
    <w:rsid w:val="006E3898"/>
    <w:rsid w:val="006F15F8"/>
    <w:rsid w:val="006F2C84"/>
    <w:rsid w:val="006F401C"/>
    <w:rsid w:val="006F60B2"/>
    <w:rsid w:val="006F710A"/>
    <w:rsid w:val="0070022C"/>
    <w:rsid w:val="007028A7"/>
    <w:rsid w:val="0070353B"/>
    <w:rsid w:val="0070573B"/>
    <w:rsid w:val="0071045F"/>
    <w:rsid w:val="00710DC1"/>
    <w:rsid w:val="007136A6"/>
    <w:rsid w:val="00720842"/>
    <w:rsid w:val="0072265D"/>
    <w:rsid w:val="0072319B"/>
    <w:rsid w:val="007248C9"/>
    <w:rsid w:val="00724F2A"/>
    <w:rsid w:val="00726F60"/>
    <w:rsid w:val="00730278"/>
    <w:rsid w:val="00731FAD"/>
    <w:rsid w:val="00732D1E"/>
    <w:rsid w:val="00733B3F"/>
    <w:rsid w:val="0073464B"/>
    <w:rsid w:val="00736928"/>
    <w:rsid w:val="00737C9D"/>
    <w:rsid w:val="007400A0"/>
    <w:rsid w:val="00741BDB"/>
    <w:rsid w:val="00743516"/>
    <w:rsid w:val="0074626C"/>
    <w:rsid w:val="0075112A"/>
    <w:rsid w:val="0075190A"/>
    <w:rsid w:val="00752027"/>
    <w:rsid w:val="00756AD9"/>
    <w:rsid w:val="00762E01"/>
    <w:rsid w:val="00765534"/>
    <w:rsid w:val="007707A9"/>
    <w:rsid w:val="00771EFB"/>
    <w:rsid w:val="0077242F"/>
    <w:rsid w:val="00774F99"/>
    <w:rsid w:val="0077664A"/>
    <w:rsid w:val="00776C80"/>
    <w:rsid w:val="00782B8A"/>
    <w:rsid w:val="00782EA4"/>
    <w:rsid w:val="007931D2"/>
    <w:rsid w:val="00795003"/>
    <w:rsid w:val="007A3866"/>
    <w:rsid w:val="007A52B4"/>
    <w:rsid w:val="007C307C"/>
    <w:rsid w:val="007C5237"/>
    <w:rsid w:val="007C6C11"/>
    <w:rsid w:val="007C7226"/>
    <w:rsid w:val="007D170F"/>
    <w:rsid w:val="007D77B5"/>
    <w:rsid w:val="007D7F4B"/>
    <w:rsid w:val="007E6243"/>
    <w:rsid w:val="007E797E"/>
    <w:rsid w:val="007F1356"/>
    <w:rsid w:val="007F21A1"/>
    <w:rsid w:val="008016C6"/>
    <w:rsid w:val="0080206C"/>
    <w:rsid w:val="008068EA"/>
    <w:rsid w:val="00806FC6"/>
    <w:rsid w:val="008074C8"/>
    <w:rsid w:val="00811A2D"/>
    <w:rsid w:val="00811F87"/>
    <w:rsid w:val="008148D7"/>
    <w:rsid w:val="00814C22"/>
    <w:rsid w:val="00817439"/>
    <w:rsid w:val="008255A4"/>
    <w:rsid w:val="008263E5"/>
    <w:rsid w:val="00826857"/>
    <w:rsid w:val="00830AB7"/>
    <w:rsid w:val="008323A1"/>
    <w:rsid w:val="00832980"/>
    <w:rsid w:val="00834448"/>
    <w:rsid w:val="008377BC"/>
    <w:rsid w:val="008441B5"/>
    <w:rsid w:val="0085380F"/>
    <w:rsid w:val="00855B31"/>
    <w:rsid w:val="00857C1C"/>
    <w:rsid w:val="00861886"/>
    <w:rsid w:val="0086198D"/>
    <w:rsid w:val="00873805"/>
    <w:rsid w:val="0087724C"/>
    <w:rsid w:val="00881C03"/>
    <w:rsid w:val="00881E3D"/>
    <w:rsid w:val="00882ED0"/>
    <w:rsid w:val="00886655"/>
    <w:rsid w:val="00887314"/>
    <w:rsid w:val="0089047E"/>
    <w:rsid w:val="0089237A"/>
    <w:rsid w:val="00894395"/>
    <w:rsid w:val="0089720D"/>
    <w:rsid w:val="0089723E"/>
    <w:rsid w:val="008A27F2"/>
    <w:rsid w:val="008A4830"/>
    <w:rsid w:val="008A6E45"/>
    <w:rsid w:val="008B113D"/>
    <w:rsid w:val="008B1170"/>
    <w:rsid w:val="008B58CB"/>
    <w:rsid w:val="008C0349"/>
    <w:rsid w:val="008C15D0"/>
    <w:rsid w:val="008C40EA"/>
    <w:rsid w:val="008C55F8"/>
    <w:rsid w:val="008C6A19"/>
    <w:rsid w:val="008C7061"/>
    <w:rsid w:val="008C7B69"/>
    <w:rsid w:val="008D3ACA"/>
    <w:rsid w:val="008D67E0"/>
    <w:rsid w:val="008D7B58"/>
    <w:rsid w:val="008F42FA"/>
    <w:rsid w:val="008F67CF"/>
    <w:rsid w:val="00901D77"/>
    <w:rsid w:val="009049ED"/>
    <w:rsid w:val="00916407"/>
    <w:rsid w:val="00916DA7"/>
    <w:rsid w:val="009217BC"/>
    <w:rsid w:val="00922288"/>
    <w:rsid w:val="009266A0"/>
    <w:rsid w:val="00926898"/>
    <w:rsid w:val="00926D2E"/>
    <w:rsid w:val="0093091B"/>
    <w:rsid w:val="009314CB"/>
    <w:rsid w:val="00933318"/>
    <w:rsid w:val="00936B39"/>
    <w:rsid w:val="009405FF"/>
    <w:rsid w:val="009416FF"/>
    <w:rsid w:val="00941E22"/>
    <w:rsid w:val="00942458"/>
    <w:rsid w:val="00942631"/>
    <w:rsid w:val="00947858"/>
    <w:rsid w:val="0095046B"/>
    <w:rsid w:val="009512AD"/>
    <w:rsid w:val="00951D17"/>
    <w:rsid w:val="00954066"/>
    <w:rsid w:val="00957716"/>
    <w:rsid w:val="00961C45"/>
    <w:rsid w:val="00961E09"/>
    <w:rsid w:val="009701B1"/>
    <w:rsid w:val="00971B7B"/>
    <w:rsid w:val="00977AFD"/>
    <w:rsid w:val="00982DB7"/>
    <w:rsid w:val="009863DF"/>
    <w:rsid w:val="00986ADC"/>
    <w:rsid w:val="00991228"/>
    <w:rsid w:val="00997F44"/>
    <w:rsid w:val="009A2009"/>
    <w:rsid w:val="009A41D5"/>
    <w:rsid w:val="009A5158"/>
    <w:rsid w:val="009A59CA"/>
    <w:rsid w:val="009B237C"/>
    <w:rsid w:val="009B27A2"/>
    <w:rsid w:val="009C257C"/>
    <w:rsid w:val="009C281B"/>
    <w:rsid w:val="009C4892"/>
    <w:rsid w:val="009C62AC"/>
    <w:rsid w:val="009D1172"/>
    <w:rsid w:val="009D1202"/>
    <w:rsid w:val="009D459D"/>
    <w:rsid w:val="009D5BE3"/>
    <w:rsid w:val="009D603C"/>
    <w:rsid w:val="009D619D"/>
    <w:rsid w:val="009D6BF5"/>
    <w:rsid w:val="009E0BA0"/>
    <w:rsid w:val="009E24E2"/>
    <w:rsid w:val="009E6F94"/>
    <w:rsid w:val="009F02E7"/>
    <w:rsid w:val="009F08F6"/>
    <w:rsid w:val="009F0DD9"/>
    <w:rsid w:val="009F4323"/>
    <w:rsid w:val="009F7570"/>
    <w:rsid w:val="00A020AB"/>
    <w:rsid w:val="00A040D7"/>
    <w:rsid w:val="00A050AB"/>
    <w:rsid w:val="00A12086"/>
    <w:rsid w:val="00A12D42"/>
    <w:rsid w:val="00A158ED"/>
    <w:rsid w:val="00A177E5"/>
    <w:rsid w:val="00A218A1"/>
    <w:rsid w:val="00A21F8C"/>
    <w:rsid w:val="00A2492B"/>
    <w:rsid w:val="00A25391"/>
    <w:rsid w:val="00A3182A"/>
    <w:rsid w:val="00A33228"/>
    <w:rsid w:val="00A40FBF"/>
    <w:rsid w:val="00A447CB"/>
    <w:rsid w:val="00A4619C"/>
    <w:rsid w:val="00A51486"/>
    <w:rsid w:val="00A53023"/>
    <w:rsid w:val="00A53C7D"/>
    <w:rsid w:val="00A54165"/>
    <w:rsid w:val="00A5555B"/>
    <w:rsid w:val="00A605C0"/>
    <w:rsid w:val="00A60E7F"/>
    <w:rsid w:val="00A666EF"/>
    <w:rsid w:val="00A71F79"/>
    <w:rsid w:val="00A757A1"/>
    <w:rsid w:val="00A9025E"/>
    <w:rsid w:val="00A926F6"/>
    <w:rsid w:val="00A94C43"/>
    <w:rsid w:val="00A95450"/>
    <w:rsid w:val="00AA5DC3"/>
    <w:rsid w:val="00AA7FF3"/>
    <w:rsid w:val="00AB57A5"/>
    <w:rsid w:val="00AB663E"/>
    <w:rsid w:val="00AC14FC"/>
    <w:rsid w:val="00AC5101"/>
    <w:rsid w:val="00AD1858"/>
    <w:rsid w:val="00AD1E79"/>
    <w:rsid w:val="00AE1DA3"/>
    <w:rsid w:val="00AE2C3B"/>
    <w:rsid w:val="00AE4EDF"/>
    <w:rsid w:val="00AF12A1"/>
    <w:rsid w:val="00AF611F"/>
    <w:rsid w:val="00AF6CA5"/>
    <w:rsid w:val="00B00770"/>
    <w:rsid w:val="00B04059"/>
    <w:rsid w:val="00B046D2"/>
    <w:rsid w:val="00B04930"/>
    <w:rsid w:val="00B075BE"/>
    <w:rsid w:val="00B07B89"/>
    <w:rsid w:val="00B10CD0"/>
    <w:rsid w:val="00B118AA"/>
    <w:rsid w:val="00B1471A"/>
    <w:rsid w:val="00B15205"/>
    <w:rsid w:val="00B165BF"/>
    <w:rsid w:val="00B17A11"/>
    <w:rsid w:val="00B203D1"/>
    <w:rsid w:val="00B20E9F"/>
    <w:rsid w:val="00B24B6E"/>
    <w:rsid w:val="00B33E65"/>
    <w:rsid w:val="00B354E3"/>
    <w:rsid w:val="00B37F68"/>
    <w:rsid w:val="00B416E9"/>
    <w:rsid w:val="00B46F61"/>
    <w:rsid w:val="00B47F06"/>
    <w:rsid w:val="00B50510"/>
    <w:rsid w:val="00B53172"/>
    <w:rsid w:val="00B614E7"/>
    <w:rsid w:val="00B63139"/>
    <w:rsid w:val="00B71486"/>
    <w:rsid w:val="00B820BC"/>
    <w:rsid w:val="00B83242"/>
    <w:rsid w:val="00B8605E"/>
    <w:rsid w:val="00B94517"/>
    <w:rsid w:val="00BA27EB"/>
    <w:rsid w:val="00BA2889"/>
    <w:rsid w:val="00BA2C45"/>
    <w:rsid w:val="00BA3DF2"/>
    <w:rsid w:val="00BA7B0A"/>
    <w:rsid w:val="00BB3FAB"/>
    <w:rsid w:val="00BB6CF9"/>
    <w:rsid w:val="00BB7540"/>
    <w:rsid w:val="00BC2476"/>
    <w:rsid w:val="00BC44D3"/>
    <w:rsid w:val="00BC6074"/>
    <w:rsid w:val="00BC72F9"/>
    <w:rsid w:val="00BD11DB"/>
    <w:rsid w:val="00BD210B"/>
    <w:rsid w:val="00BD39F3"/>
    <w:rsid w:val="00BD5F89"/>
    <w:rsid w:val="00BD78B0"/>
    <w:rsid w:val="00BE457E"/>
    <w:rsid w:val="00BE4ADD"/>
    <w:rsid w:val="00BE562A"/>
    <w:rsid w:val="00BF06A2"/>
    <w:rsid w:val="00BF2F99"/>
    <w:rsid w:val="00BF4646"/>
    <w:rsid w:val="00C01C89"/>
    <w:rsid w:val="00C02E9A"/>
    <w:rsid w:val="00C02F71"/>
    <w:rsid w:val="00C05BCA"/>
    <w:rsid w:val="00C07F60"/>
    <w:rsid w:val="00C126CD"/>
    <w:rsid w:val="00C21696"/>
    <w:rsid w:val="00C2700E"/>
    <w:rsid w:val="00C3011C"/>
    <w:rsid w:val="00C31505"/>
    <w:rsid w:val="00C35111"/>
    <w:rsid w:val="00C3583B"/>
    <w:rsid w:val="00C35A04"/>
    <w:rsid w:val="00C40487"/>
    <w:rsid w:val="00C40969"/>
    <w:rsid w:val="00C4115F"/>
    <w:rsid w:val="00C505AE"/>
    <w:rsid w:val="00C56AA3"/>
    <w:rsid w:val="00C57CF3"/>
    <w:rsid w:val="00C601DC"/>
    <w:rsid w:val="00C70A7F"/>
    <w:rsid w:val="00C730A6"/>
    <w:rsid w:val="00C74B35"/>
    <w:rsid w:val="00C750FB"/>
    <w:rsid w:val="00C837D2"/>
    <w:rsid w:val="00C840A0"/>
    <w:rsid w:val="00C85C83"/>
    <w:rsid w:val="00C87072"/>
    <w:rsid w:val="00C87AE8"/>
    <w:rsid w:val="00C90B00"/>
    <w:rsid w:val="00C90ED3"/>
    <w:rsid w:val="00C91449"/>
    <w:rsid w:val="00C95C0A"/>
    <w:rsid w:val="00CA1398"/>
    <w:rsid w:val="00CA1FCC"/>
    <w:rsid w:val="00CA3BD3"/>
    <w:rsid w:val="00CA51B0"/>
    <w:rsid w:val="00CB04B6"/>
    <w:rsid w:val="00CB1830"/>
    <w:rsid w:val="00CB1941"/>
    <w:rsid w:val="00CB2D68"/>
    <w:rsid w:val="00CB34EA"/>
    <w:rsid w:val="00CC3424"/>
    <w:rsid w:val="00CC373F"/>
    <w:rsid w:val="00CC77A4"/>
    <w:rsid w:val="00CC7FE8"/>
    <w:rsid w:val="00CD0952"/>
    <w:rsid w:val="00CD1F17"/>
    <w:rsid w:val="00CD320C"/>
    <w:rsid w:val="00CD5C13"/>
    <w:rsid w:val="00CD6C23"/>
    <w:rsid w:val="00CE4EE9"/>
    <w:rsid w:val="00CE5460"/>
    <w:rsid w:val="00CE668E"/>
    <w:rsid w:val="00CE67A9"/>
    <w:rsid w:val="00CF053A"/>
    <w:rsid w:val="00CF349D"/>
    <w:rsid w:val="00D0291A"/>
    <w:rsid w:val="00D0394B"/>
    <w:rsid w:val="00D0476A"/>
    <w:rsid w:val="00D15FAB"/>
    <w:rsid w:val="00D20620"/>
    <w:rsid w:val="00D27737"/>
    <w:rsid w:val="00D33FF9"/>
    <w:rsid w:val="00D3596D"/>
    <w:rsid w:val="00D35B2C"/>
    <w:rsid w:val="00D37442"/>
    <w:rsid w:val="00D40777"/>
    <w:rsid w:val="00D40B96"/>
    <w:rsid w:val="00D411C2"/>
    <w:rsid w:val="00D4224F"/>
    <w:rsid w:val="00D46B7E"/>
    <w:rsid w:val="00D51C0D"/>
    <w:rsid w:val="00D52649"/>
    <w:rsid w:val="00D53B7C"/>
    <w:rsid w:val="00D6300E"/>
    <w:rsid w:val="00D63A85"/>
    <w:rsid w:val="00D66780"/>
    <w:rsid w:val="00D66B88"/>
    <w:rsid w:val="00D70815"/>
    <w:rsid w:val="00D72E1D"/>
    <w:rsid w:val="00D74828"/>
    <w:rsid w:val="00D76C64"/>
    <w:rsid w:val="00D77420"/>
    <w:rsid w:val="00D803CB"/>
    <w:rsid w:val="00D87D15"/>
    <w:rsid w:val="00D91081"/>
    <w:rsid w:val="00D941E4"/>
    <w:rsid w:val="00DA1DCF"/>
    <w:rsid w:val="00DA2CD3"/>
    <w:rsid w:val="00DA7C95"/>
    <w:rsid w:val="00DB1F9B"/>
    <w:rsid w:val="00DB5420"/>
    <w:rsid w:val="00DB67E1"/>
    <w:rsid w:val="00DC247A"/>
    <w:rsid w:val="00DC5AB1"/>
    <w:rsid w:val="00DD00DC"/>
    <w:rsid w:val="00DD0755"/>
    <w:rsid w:val="00DD4E0A"/>
    <w:rsid w:val="00DD55C2"/>
    <w:rsid w:val="00DE3902"/>
    <w:rsid w:val="00DE57B3"/>
    <w:rsid w:val="00DF0E54"/>
    <w:rsid w:val="00DF65B4"/>
    <w:rsid w:val="00DF6752"/>
    <w:rsid w:val="00E074B2"/>
    <w:rsid w:val="00E1066E"/>
    <w:rsid w:val="00E10AC3"/>
    <w:rsid w:val="00E11D83"/>
    <w:rsid w:val="00E12266"/>
    <w:rsid w:val="00E13132"/>
    <w:rsid w:val="00E23C3F"/>
    <w:rsid w:val="00E253D5"/>
    <w:rsid w:val="00E26A26"/>
    <w:rsid w:val="00E27201"/>
    <w:rsid w:val="00E34EE4"/>
    <w:rsid w:val="00E36319"/>
    <w:rsid w:val="00E426AF"/>
    <w:rsid w:val="00E448A5"/>
    <w:rsid w:val="00E448D5"/>
    <w:rsid w:val="00E44C5C"/>
    <w:rsid w:val="00E46DFC"/>
    <w:rsid w:val="00E47731"/>
    <w:rsid w:val="00E47E64"/>
    <w:rsid w:val="00E552A8"/>
    <w:rsid w:val="00E5645D"/>
    <w:rsid w:val="00E5684F"/>
    <w:rsid w:val="00E61C21"/>
    <w:rsid w:val="00E6222E"/>
    <w:rsid w:val="00E63870"/>
    <w:rsid w:val="00E65E44"/>
    <w:rsid w:val="00E75B96"/>
    <w:rsid w:val="00E76DEC"/>
    <w:rsid w:val="00E81A8E"/>
    <w:rsid w:val="00E81AFE"/>
    <w:rsid w:val="00E8441E"/>
    <w:rsid w:val="00E85C4F"/>
    <w:rsid w:val="00E86C7F"/>
    <w:rsid w:val="00E90214"/>
    <w:rsid w:val="00E92B6A"/>
    <w:rsid w:val="00E963D8"/>
    <w:rsid w:val="00EA0F7E"/>
    <w:rsid w:val="00EA1F48"/>
    <w:rsid w:val="00EB66E4"/>
    <w:rsid w:val="00EC1D02"/>
    <w:rsid w:val="00EC28EC"/>
    <w:rsid w:val="00EC5D19"/>
    <w:rsid w:val="00ED1321"/>
    <w:rsid w:val="00ED36ED"/>
    <w:rsid w:val="00ED49A4"/>
    <w:rsid w:val="00ED511E"/>
    <w:rsid w:val="00ED7528"/>
    <w:rsid w:val="00EE15A9"/>
    <w:rsid w:val="00EF0A74"/>
    <w:rsid w:val="00EF210B"/>
    <w:rsid w:val="00EF3741"/>
    <w:rsid w:val="00EF5C0A"/>
    <w:rsid w:val="00F02221"/>
    <w:rsid w:val="00F042C1"/>
    <w:rsid w:val="00F102B3"/>
    <w:rsid w:val="00F10770"/>
    <w:rsid w:val="00F108B9"/>
    <w:rsid w:val="00F11F17"/>
    <w:rsid w:val="00F127C3"/>
    <w:rsid w:val="00F12A1D"/>
    <w:rsid w:val="00F17487"/>
    <w:rsid w:val="00F211EE"/>
    <w:rsid w:val="00F23375"/>
    <w:rsid w:val="00F26D76"/>
    <w:rsid w:val="00F3349E"/>
    <w:rsid w:val="00F35A19"/>
    <w:rsid w:val="00F41BA4"/>
    <w:rsid w:val="00F41E4C"/>
    <w:rsid w:val="00F44941"/>
    <w:rsid w:val="00F46158"/>
    <w:rsid w:val="00F54694"/>
    <w:rsid w:val="00F609EB"/>
    <w:rsid w:val="00F61FE7"/>
    <w:rsid w:val="00F666B6"/>
    <w:rsid w:val="00F668DE"/>
    <w:rsid w:val="00F70722"/>
    <w:rsid w:val="00F737F3"/>
    <w:rsid w:val="00F73BFD"/>
    <w:rsid w:val="00F7563B"/>
    <w:rsid w:val="00F8074E"/>
    <w:rsid w:val="00F924A9"/>
    <w:rsid w:val="00F92954"/>
    <w:rsid w:val="00F97077"/>
    <w:rsid w:val="00F977D0"/>
    <w:rsid w:val="00FA0B4E"/>
    <w:rsid w:val="00FA3540"/>
    <w:rsid w:val="00FC159F"/>
    <w:rsid w:val="00FC209C"/>
    <w:rsid w:val="00FC2CC2"/>
    <w:rsid w:val="00FC47AC"/>
    <w:rsid w:val="00FD0F59"/>
    <w:rsid w:val="00FD2773"/>
    <w:rsid w:val="00FD32B8"/>
    <w:rsid w:val="00FD6E91"/>
    <w:rsid w:val="00FE0195"/>
    <w:rsid w:val="00FE1680"/>
    <w:rsid w:val="00FE1C8F"/>
    <w:rsid w:val="00FE4859"/>
    <w:rsid w:val="00FE616A"/>
    <w:rsid w:val="00FF5352"/>
    <w:rsid w:val="014A6477"/>
    <w:rsid w:val="02454A65"/>
    <w:rsid w:val="02472DC4"/>
    <w:rsid w:val="03287D29"/>
    <w:rsid w:val="0414147C"/>
    <w:rsid w:val="049A58D3"/>
    <w:rsid w:val="04B073F7"/>
    <w:rsid w:val="04D501F8"/>
    <w:rsid w:val="04D8694E"/>
    <w:rsid w:val="05263468"/>
    <w:rsid w:val="05BD34C6"/>
    <w:rsid w:val="0641611F"/>
    <w:rsid w:val="06AC0F25"/>
    <w:rsid w:val="06BD6003"/>
    <w:rsid w:val="071A2E5C"/>
    <w:rsid w:val="080C3D1F"/>
    <w:rsid w:val="08E3549B"/>
    <w:rsid w:val="08ED4403"/>
    <w:rsid w:val="092254AC"/>
    <w:rsid w:val="09E50FA8"/>
    <w:rsid w:val="0AE810C4"/>
    <w:rsid w:val="0B8503B4"/>
    <w:rsid w:val="0BA40C75"/>
    <w:rsid w:val="0BD4298E"/>
    <w:rsid w:val="0DEA241E"/>
    <w:rsid w:val="0E0124A9"/>
    <w:rsid w:val="0E2877D0"/>
    <w:rsid w:val="0F232C0E"/>
    <w:rsid w:val="10C30531"/>
    <w:rsid w:val="11115459"/>
    <w:rsid w:val="11850489"/>
    <w:rsid w:val="11AB23AA"/>
    <w:rsid w:val="12584A32"/>
    <w:rsid w:val="131F4B85"/>
    <w:rsid w:val="1354447C"/>
    <w:rsid w:val="13980E5B"/>
    <w:rsid w:val="14CA009D"/>
    <w:rsid w:val="15DF4FB2"/>
    <w:rsid w:val="16C260F0"/>
    <w:rsid w:val="16EC1B0F"/>
    <w:rsid w:val="1711481A"/>
    <w:rsid w:val="17A2308D"/>
    <w:rsid w:val="17EC1A1B"/>
    <w:rsid w:val="186B171B"/>
    <w:rsid w:val="188E339C"/>
    <w:rsid w:val="18CB25F9"/>
    <w:rsid w:val="18F60E15"/>
    <w:rsid w:val="191B56CC"/>
    <w:rsid w:val="19432195"/>
    <w:rsid w:val="19B054B3"/>
    <w:rsid w:val="1A5D6F52"/>
    <w:rsid w:val="1A7949F4"/>
    <w:rsid w:val="1AD0500B"/>
    <w:rsid w:val="1B3C45FF"/>
    <w:rsid w:val="1B6B767C"/>
    <w:rsid w:val="1BDF6A85"/>
    <w:rsid w:val="1BE96DA4"/>
    <w:rsid w:val="1C5754D7"/>
    <w:rsid w:val="1C5C013C"/>
    <w:rsid w:val="1C817C78"/>
    <w:rsid w:val="1C835314"/>
    <w:rsid w:val="1E734E69"/>
    <w:rsid w:val="1EF85386"/>
    <w:rsid w:val="1F75556F"/>
    <w:rsid w:val="1F993BDF"/>
    <w:rsid w:val="20492CFD"/>
    <w:rsid w:val="20EF6765"/>
    <w:rsid w:val="238E4C84"/>
    <w:rsid w:val="25102EC3"/>
    <w:rsid w:val="26012A2E"/>
    <w:rsid w:val="2624798A"/>
    <w:rsid w:val="284101E2"/>
    <w:rsid w:val="289D7DA2"/>
    <w:rsid w:val="29915199"/>
    <w:rsid w:val="29D10481"/>
    <w:rsid w:val="2AE5579D"/>
    <w:rsid w:val="2B0C1FDA"/>
    <w:rsid w:val="2EE44C58"/>
    <w:rsid w:val="2F5D3F8F"/>
    <w:rsid w:val="2F6955C8"/>
    <w:rsid w:val="2F7E2A72"/>
    <w:rsid w:val="2FA01BB6"/>
    <w:rsid w:val="309679D2"/>
    <w:rsid w:val="30E20088"/>
    <w:rsid w:val="31567508"/>
    <w:rsid w:val="327708BF"/>
    <w:rsid w:val="329428E2"/>
    <w:rsid w:val="336165A4"/>
    <w:rsid w:val="33744269"/>
    <w:rsid w:val="33C57B0C"/>
    <w:rsid w:val="346321BB"/>
    <w:rsid w:val="356331F4"/>
    <w:rsid w:val="360D457A"/>
    <w:rsid w:val="363E33E8"/>
    <w:rsid w:val="3646059A"/>
    <w:rsid w:val="36781C61"/>
    <w:rsid w:val="37210C65"/>
    <w:rsid w:val="37EF5A09"/>
    <w:rsid w:val="387719FE"/>
    <w:rsid w:val="39BE0ACC"/>
    <w:rsid w:val="3B3F3604"/>
    <w:rsid w:val="3CD2571E"/>
    <w:rsid w:val="3DEC5291"/>
    <w:rsid w:val="3E79102E"/>
    <w:rsid w:val="3EBD718B"/>
    <w:rsid w:val="3F0464D4"/>
    <w:rsid w:val="40503350"/>
    <w:rsid w:val="406A6ED2"/>
    <w:rsid w:val="41175B2C"/>
    <w:rsid w:val="426C06D4"/>
    <w:rsid w:val="42A461D5"/>
    <w:rsid w:val="43941B0C"/>
    <w:rsid w:val="443F1AB1"/>
    <w:rsid w:val="4490644F"/>
    <w:rsid w:val="45020FF2"/>
    <w:rsid w:val="45E91091"/>
    <w:rsid w:val="465C608A"/>
    <w:rsid w:val="46910613"/>
    <w:rsid w:val="47305B9A"/>
    <w:rsid w:val="481F55E7"/>
    <w:rsid w:val="483E2CF5"/>
    <w:rsid w:val="484241B8"/>
    <w:rsid w:val="48847F4B"/>
    <w:rsid w:val="48924C93"/>
    <w:rsid w:val="48D53720"/>
    <w:rsid w:val="49C976C1"/>
    <w:rsid w:val="4A215C27"/>
    <w:rsid w:val="4C45046E"/>
    <w:rsid w:val="4CD64D36"/>
    <w:rsid w:val="4CF00129"/>
    <w:rsid w:val="4D4C7943"/>
    <w:rsid w:val="4E024C7E"/>
    <w:rsid w:val="4E2F2C3D"/>
    <w:rsid w:val="4E577EB0"/>
    <w:rsid w:val="4F4F52B5"/>
    <w:rsid w:val="4FB0653A"/>
    <w:rsid w:val="4FE41EFB"/>
    <w:rsid w:val="515B02E3"/>
    <w:rsid w:val="51B04DD1"/>
    <w:rsid w:val="51B16329"/>
    <w:rsid w:val="528C359C"/>
    <w:rsid w:val="52955ABE"/>
    <w:rsid w:val="537A2BAA"/>
    <w:rsid w:val="53B042EA"/>
    <w:rsid w:val="53E050EE"/>
    <w:rsid w:val="549D05A1"/>
    <w:rsid w:val="549F0B94"/>
    <w:rsid w:val="54A62B0A"/>
    <w:rsid w:val="54EF5C55"/>
    <w:rsid w:val="54FF3DA0"/>
    <w:rsid w:val="55095F58"/>
    <w:rsid w:val="563A5AA7"/>
    <w:rsid w:val="56AA470D"/>
    <w:rsid w:val="573E1723"/>
    <w:rsid w:val="575F7F14"/>
    <w:rsid w:val="59254F8A"/>
    <w:rsid w:val="59754B3B"/>
    <w:rsid w:val="59902CF9"/>
    <w:rsid w:val="5A251C79"/>
    <w:rsid w:val="5A295C01"/>
    <w:rsid w:val="5A2C3AC1"/>
    <w:rsid w:val="5A322A73"/>
    <w:rsid w:val="5B3B4064"/>
    <w:rsid w:val="5B9E24E1"/>
    <w:rsid w:val="5BFD355B"/>
    <w:rsid w:val="5C21005E"/>
    <w:rsid w:val="5C425CFC"/>
    <w:rsid w:val="5C4721D0"/>
    <w:rsid w:val="5C802A4C"/>
    <w:rsid w:val="5E532196"/>
    <w:rsid w:val="5EE150CE"/>
    <w:rsid w:val="5FF636E0"/>
    <w:rsid w:val="606904C2"/>
    <w:rsid w:val="60B86515"/>
    <w:rsid w:val="61FF42D8"/>
    <w:rsid w:val="622B0FE0"/>
    <w:rsid w:val="622F7804"/>
    <w:rsid w:val="62887D4A"/>
    <w:rsid w:val="633833D6"/>
    <w:rsid w:val="633A3175"/>
    <w:rsid w:val="63BF2892"/>
    <w:rsid w:val="64884151"/>
    <w:rsid w:val="6556579E"/>
    <w:rsid w:val="65833FDE"/>
    <w:rsid w:val="665912E8"/>
    <w:rsid w:val="66A8455E"/>
    <w:rsid w:val="679109C9"/>
    <w:rsid w:val="67EF11E8"/>
    <w:rsid w:val="684C7ED7"/>
    <w:rsid w:val="690B5C60"/>
    <w:rsid w:val="69A073F1"/>
    <w:rsid w:val="6A494BEF"/>
    <w:rsid w:val="6AA3564D"/>
    <w:rsid w:val="6BA778EE"/>
    <w:rsid w:val="6D4B0788"/>
    <w:rsid w:val="6D504110"/>
    <w:rsid w:val="6D5C48D6"/>
    <w:rsid w:val="6D7136E1"/>
    <w:rsid w:val="70545C15"/>
    <w:rsid w:val="70700C31"/>
    <w:rsid w:val="710D46D2"/>
    <w:rsid w:val="71416E99"/>
    <w:rsid w:val="724506DD"/>
    <w:rsid w:val="72560A78"/>
    <w:rsid w:val="72BF19FC"/>
    <w:rsid w:val="73CD43C4"/>
    <w:rsid w:val="741507BF"/>
    <w:rsid w:val="744D7DC9"/>
    <w:rsid w:val="74884203"/>
    <w:rsid w:val="76533A9A"/>
    <w:rsid w:val="7695762E"/>
    <w:rsid w:val="76E21684"/>
    <w:rsid w:val="77006FDD"/>
    <w:rsid w:val="77863E64"/>
    <w:rsid w:val="780B5D14"/>
    <w:rsid w:val="78FB6063"/>
    <w:rsid w:val="79033361"/>
    <w:rsid w:val="7A561C55"/>
    <w:rsid w:val="7BB83E64"/>
    <w:rsid w:val="7C1D4A5F"/>
    <w:rsid w:val="7CCD0704"/>
    <w:rsid w:val="7DB7670F"/>
    <w:rsid w:val="7DC83252"/>
    <w:rsid w:val="7E5F5E41"/>
    <w:rsid w:val="7E7E0B3D"/>
    <w:rsid w:val="7E905F18"/>
    <w:rsid w:val="7FC10D90"/>
    <w:rsid w:val="FFDBC73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lang w:val="en-US" w:eastAsia="zh-CN" w:bidi="ar-SA"/>
    </w:rPr>
  </w:style>
  <w:style w:type="paragraph" w:styleId="4">
    <w:name w:val="heading 1"/>
    <w:basedOn w:val="1"/>
    <w:next w:val="1"/>
    <w:link w:val="48"/>
    <w:qFormat/>
    <w:uiPriority w:val="9"/>
    <w:pPr>
      <w:keepNext/>
      <w:keepLines/>
      <w:autoSpaceDE/>
      <w:autoSpaceDN/>
      <w:adjustRightInd/>
      <w:spacing w:before="340" w:after="330" w:line="578" w:lineRule="auto"/>
      <w:jc w:val="both"/>
      <w:outlineLvl w:val="0"/>
    </w:pPr>
    <w:rPr>
      <w:rFonts w:asciiTheme="minorHAnsi" w:hAnsiTheme="minorHAnsi" w:eastAsiaTheme="minorEastAsia" w:cstheme="minorBidi"/>
      <w:b/>
      <w:bCs/>
      <w:kern w:val="44"/>
      <w:sz w:val="44"/>
      <w:szCs w:val="44"/>
    </w:rPr>
  </w:style>
  <w:style w:type="paragraph" w:styleId="5">
    <w:name w:val="heading 2"/>
    <w:basedOn w:val="1"/>
    <w:next w:val="1"/>
    <w:link w:val="49"/>
    <w:semiHidden/>
    <w:unhideWhenUsed/>
    <w:qFormat/>
    <w:uiPriority w:val="9"/>
    <w:pPr>
      <w:keepNext/>
      <w:keepLines/>
      <w:autoSpaceDE/>
      <w:autoSpaceDN/>
      <w:adjustRightInd/>
      <w:spacing w:before="260" w:after="260" w:line="416" w:lineRule="auto"/>
      <w:jc w:val="both"/>
      <w:outlineLvl w:val="1"/>
    </w:pPr>
    <w:rPr>
      <w:rFonts w:asciiTheme="majorHAnsi" w:hAnsiTheme="majorHAnsi" w:eastAsiaTheme="majorEastAsia" w:cstheme="majorBidi"/>
      <w:b/>
      <w:bCs/>
      <w:kern w:val="2"/>
      <w:sz w:val="32"/>
      <w:szCs w:val="32"/>
    </w:rPr>
  </w:style>
  <w:style w:type="paragraph" w:styleId="6">
    <w:name w:val="heading 3"/>
    <w:basedOn w:val="1"/>
    <w:next w:val="1"/>
    <w:link w:val="50"/>
    <w:semiHidden/>
    <w:unhideWhenUsed/>
    <w:qFormat/>
    <w:uiPriority w:val="9"/>
    <w:pPr>
      <w:keepNext/>
      <w:keepLines/>
      <w:autoSpaceDE/>
      <w:autoSpaceDN/>
      <w:adjustRightInd/>
      <w:spacing w:before="260" w:after="260" w:line="416" w:lineRule="auto"/>
      <w:jc w:val="both"/>
      <w:outlineLvl w:val="2"/>
    </w:pPr>
    <w:rPr>
      <w:rFonts w:asciiTheme="minorHAnsi" w:hAnsiTheme="minorHAnsi" w:eastAsiaTheme="minorEastAsia" w:cstheme="minorBidi"/>
      <w:b/>
      <w:bCs/>
      <w:kern w:val="2"/>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7">
    <w:name w:val="annotation text"/>
    <w:basedOn w:val="1"/>
    <w:link w:val="42"/>
    <w:qFormat/>
    <w:uiPriority w:val="0"/>
    <w:rPr>
      <w:rFonts w:hAnsiTheme="minorHAnsi" w:eastAsiaTheme="minorEastAsia" w:cstheme="minorBidi"/>
      <w:kern w:val="2"/>
      <w:sz w:val="21"/>
      <w:szCs w:val="22"/>
    </w:rPr>
  </w:style>
  <w:style w:type="paragraph" w:styleId="8">
    <w:name w:val="Body Text"/>
    <w:basedOn w:val="1"/>
    <w:link w:val="57"/>
    <w:qFormat/>
    <w:uiPriority w:val="1"/>
    <w:pPr>
      <w:adjustRightInd/>
      <w:jc w:val="both"/>
    </w:pPr>
    <w:rPr>
      <w:rFonts w:ascii="PMingLiU" w:hAnsi="PMingLiU" w:eastAsia="PMingLiU" w:cs="PMingLiU"/>
      <w:sz w:val="28"/>
      <w:szCs w:val="28"/>
      <w:lang w:val="zh-CN" w:bidi="zh-CN"/>
    </w:rPr>
  </w:style>
  <w:style w:type="paragraph" w:styleId="9">
    <w:name w:val="toc 3"/>
    <w:basedOn w:val="1"/>
    <w:next w:val="1"/>
    <w:semiHidden/>
    <w:unhideWhenUsed/>
    <w:qFormat/>
    <w:uiPriority w:val="39"/>
    <w:pPr>
      <w:widowControl/>
      <w:autoSpaceDE/>
      <w:autoSpaceDN/>
      <w:adjustRightInd/>
      <w:spacing w:after="100" w:line="276" w:lineRule="auto"/>
      <w:ind w:left="440"/>
    </w:pPr>
    <w:rPr>
      <w:rFonts w:asciiTheme="minorHAnsi" w:hAnsiTheme="minorHAnsi" w:eastAsiaTheme="minorEastAsia" w:cstheme="minorBidi"/>
      <w:sz w:val="22"/>
      <w:szCs w:val="22"/>
    </w:rPr>
  </w:style>
  <w:style w:type="paragraph" w:styleId="10">
    <w:name w:val="Plain Text"/>
    <w:basedOn w:val="1"/>
    <w:link w:val="44"/>
    <w:qFormat/>
    <w:uiPriority w:val="0"/>
    <w:pPr>
      <w:autoSpaceDE/>
      <w:autoSpaceDN/>
      <w:jc w:val="both"/>
      <w:textAlignment w:val="baseline"/>
    </w:pPr>
    <w:rPr>
      <w:rFonts w:hAnsi="Courier New"/>
      <w:kern w:val="2"/>
      <w:sz w:val="24"/>
    </w:rPr>
  </w:style>
  <w:style w:type="paragraph" w:styleId="11">
    <w:name w:val="Date"/>
    <w:basedOn w:val="1"/>
    <w:next w:val="1"/>
    <w:link w:val="54"/>
    <w:semiHidden/>
    <w:unhideWhenUsed/>
    <w:qFormat/>
    <w:uiPriority w:val="99"/>
    <w:pPr>
      <w:ind w:left="100" w:leftChars="2500"/>
    </w:pPr>
  </w:style>
  <w:style w:type="paragraph" w:styleId="12">
    <w:name w:val="Balloon Text"/>
    <w:basedOn w:val="1"/>
    <w:link w:val="46"/>
    <w:semiHidden/>
    <w:unhideWhenUsed/>
    <w:qFormat/>
    <w:uiPriority w:val="99"/>
    <w:rPr>
      <w:sz w:val="18"/>
      <w:szCs w:val="18"/>
    </w:rPr>
  </w:style>
  <w:style w:type="paragraph" w:styleId="13">
    <w:name w:val="footer"/>
    <w:basedOn w:val="1"/>
    <w:link w:val="43"/>
    <w:qFormat/>
    <w:uiPriority w:val="99"/>
    <w:pPr>
      <w:tabs>
        <w:tab w:val="center" w:pos="4153"/>
        <w:tab w:val="right" w:pos="8306"/>
      </w:tabs>
      <w:snapToGrid w:val="0"/>
    </w:pPr>
    <w:rPr>
      <w:sz w:val="18"/>
    </w:rPr>
  </w:style>
  <w:style w:type="paragraph" w:styleId="14">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autoSpaceDE/>
      <w:autoSpaceDN/>
      <w:adjustRightInd/>
      <w:spacing w:after="100" w:line="276" w:lineRule="auto"/>
    </w:pPr>
    <w:rPr>
      <w:rFonts w:asciiTheme="minorHAnsi" w:hAnsiTheme="minorHAnsi" w:eastAsiaTheme="minorEastAsia" w:cstheme="minorBidi"/>
      <w:sz w:val="22"/>
      <w:szCs w:val="22"/>
    </w:rPr>
  </w:style>
  <w:style w:type="paragraph" w:styleId="16">
    <w:name w:val="footnote text"/>
    <w:basedOn w:val="1"/>
    <w:link w:val="52"/>
    <w:semiHidden/>
    <w:unhideWhenUsed/>
    <w:qFormat/>
    <w:uiPriority w:val="99"/>
    <w:pPr>
      <w:snapToGrid w:val="0"/>
    </w:pPr>
    <w:rPr>
      <w:sz w:val="18"/>
      <w:szCs w:val="18"/>
    </w:rPr>
  </w:style>
  <w:style w:type="paragraph" w:styleId="17">
    <w:name w:val="toc 2"/>
    <w:basedOn w:val="1"/>
    <w:next w:val="1"/>
    <w:unhideWhenUsed/>
    <w:qFormat/>
    <w:uiPriority w:val="39"/>
    <w:pPr>
      <w:widowControl/>
      <w:autoSpaceDE/>
      <w:autoSpaceDN/>
      <w:adjustRightInd/>
      <w:spacing w:after="100" w:line="276" w:lineRule="auto"/>
      <w:ind w:left="220"/>
    </w:pPr>
    <w:rPr>
      <w:rFonts w:asciiTheme="minorHAnsi" w:hAnsiTheme="minorHAnsi" w:eastAsiaTheme="minorEastAsia" w:cstheme="minorBidi"/>
      <w:sz w:val="22"/>
      <w:szCs w:val="22"/>
    </w:rPr>
  </w:style>
  <w:style w:type="paragraph" w:styleId="18">
    <w:name w:val="annotation subject"/>
    <w:basedOn w:val="7"/>
    <w:next w:val="7"/>
    <w:link w:val="60"/>
    <w:semiHidden/>
    <w:unhideWhenUsed/>
    <w:qFormat/>
    <w:uiPriority w:val="99"/>
    <w:rPr>
      <w:rFonts w:hAnsi="Times New Roman" w:eastAsia="宋体" w:cs="Times New Roman"/>
      <w:b/>
      <w:bCs/>
      <w:kern w:val="0"/>
      <w:sz w:val="20"/>
      <w:szCs w:val="20"/>
    </w:rPr>
  </w:style>
  <w:style w:type="table" w:styleId="20">
    <w:name w:val="Table Grid"/>
    <w:basedOn w:val="1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style>
  <w:style w:type="character" w:styleId="23">
    <w:name w:val="page number"/>
    <w:basedOn w:val="21"/>
    <w:qFormat/>
    <w:uiPriority w:val="0"/>
  </w:style>
  <w:style w:type="character" w:styleId="24">
    <w:name w:val="FollowedHyperlink"/>
    <w:basedOn w:val="21"/>
    <w:semiHidden/>
    <w:unhideWhenUsed/>
    <w:qFormat/>
    <w:uiPriority w:val="99"/>
    <w:rPr>
      <w:color w:val="000000"/>
      <w:sz w:val="14"/>
      <w:szCs w:val="14"/>
      <w:u w:val="none"/>
    </w:rPr>
  </w:style>
  <w:style w:type="character" w:styleId="25">
    <w:name w:val="Emphasis"/>
    <w:basedOn w:val="21"/>
    <w:qFormat/>
    <w:uiPriority w:val="20"/>
  </w:style>
  <w:style w:type="character" w:styleId="26">
    <w:name w:val="HTML Definition"/>
    <w:basedOn w:val="21"/>
    <w:semiHidden/>
    <w:unhideWhenUsed/>
    <w:qFormat/>
    <w:uiPriority w:val="99"/>
  </w:style>
  <w:style w:type="character" w:styleId="27">
    <w:name w:val="HTML Typewriter"/>
    <w:basedOn w:val="21"/>
    <w:semiHidden/>
    <w:unhideWhenUsed/>
    <w:qFormat/>
    <w:uiPriority w:val="99"/>
    <w:rPr>
      <w:rFonts w:ascii="Courier New" w:hAnsi="Courier New"/>
      <w:sz w:val="24"/>
      <w:szCs w:val="24"/>
    </w:rPr>
  </w:style>
  <w:style w:type="character" w:styleId="28">
    <w:name w:val="HTML Acronym"/>
    <w:basedOn w:val="21"/>
    <w:semiHidden/>
    <w:unhideWhenUsed/>
    <w:qFormat/>
    <w:uiPriority w:val="99"/>
  </w:style>
  <w:style w:type="character" w:styleId="29">
    <w:name w:val="HTML Variable"/>
    <w:basedOn w:val="21"/>
    <w:semiHidden/>
    <w:unhideWhenUsed/>
    <w:qFormat/>
    <w:uiPriority w:val="99"/>
  </w:style>
  <w:style w:type="character" w:styleId="30">
    <w:name w:val="Hyperlink"/>
    <w:basedOn w:val="21"/>
    <w:unhideWhenUsed/>
    <w:qFormat/>
    <w:uiPriority w:val="99"/>
    <w:rPr>
      <w:color w:val="0000FF" w:themeColor="hyperlink"/>
      <w:u w:val="single"/>
      <w14:textFill>
        <w14:solidFill>
          <w14:schemeClr w14:val="hlink"/>
        </w14:solidFill>
      </w14:textFill>
    </w:rPr>
  </w:style>
  <w:style w:type="character" w:styleId="31">
    <w:name w:val="HTML Code"/>
    <w:basedOn w:val="21"/>
    <w:semiHidden/>
    <w:unhideWhenUsed/>
    <w:qFormat/>
    <w:uiPriority w:val="99"/>
    <w:rPr>
      <w:rFonts w:ascii="Courier New" w:hAnsi="Courier New"/>
      <w:sz w:val="24"/>
      <w:szCs w:val="24"/>
    </w:rPr>
  </w:style>
  <w:style w:type="character" w:styleId="32">
    <w:name w:val="annotation reference"/>
    <w:qFormat/>
    <w:uiPriority w:val="0"/>
    <w:rPr>
      <w:sz w:val="21"/>
      <w:szCs w:val="21"/>
    </w:rPr>
  </w:style>
  <w:style w:type="character" w:styleId="33">
    <w:name w:val="HTML Cite"/>
    <w:basedOn w:val="21"/>
    <w:semiHidden/>
    <w:unhideWhenUsed/>
    <w:qFormat/>
    <w:uiPriority w:val="99"/>
  </w:style>
  <w:style w:type="character" w:styleId="34">
    <w:name w:val="footnote reference"/>
    <w:basedOn w:val="21"/>
    <w:semiHidden/>
    <w:unhideWhenUsed/>
    <w:qFormat/>
    <w:uiPriority w:val="99"/>
    <w:rPr>
      <w:vertAlign w:val="superscript"/>
    </w:rPr>
  </w:style>
  <w:style w:type="character" w:styleId="35">
    <w:name w:val="HTML Keyboard"/>
    <w:basedOn w:val="21"/>
    <w:semiHidden/>
    <w:unhideWhenUsed/>
    <w:qFormat/>
    <w:uiPriority w:val="99"/>
    <w:rPr>
      <w:rFonts w:ascii="Courier New" w:hAnsi="Courier New"/>
      <w:sz w:val="24"/>
      <w:szCs w:val="24"/>
    </w:rPr>
  </w:style>
  <w:style w:type="character" w:styleId="36">
    <w:name w:val="HTML Sample"/>
    <w:basedOn w:val="21"/>
    <w:semiHidden/>
    <w:unhideWhenUsed/>
    <w:qFormat/>
    <w:uiPriority w:val="99"/>
    <w:rPr>
      <w:rFonts w:ascii="Courier New" w:hAnsi="Courier New"/>
      <w:sz w:val="24"/>
      <w:szCs w:val="24"/>
    </w:rPr>
  </w:style>
  <w:style w:type="paragraph" w:customStyle="1" w:styleId="37">
    <w:name w:val="新正表头"/>
    <w:basedOn w:val="1"/>
    <w:qFormat/>
    <w:uiPriority w:val="0"/>
    <w:pPr>
      <w:spacing w:line="480" w:lineRule="exact"/>
      <w:jc w:val="center"/>
      <w:textAlignment w:val="baseline"/>
    </w:pPr>
    <w:rPr>
      <w:rFonts w:hint="eastAsia" w:ascii="仿宋" w:hAnsi="仿宋" w:eastAsia="仿宋" w:cs="宋体"/>
      <w:b/>
      <w:color w:val="auto"/>
      <w:sz w:val="24"/>
      <w:szCs w:val="24"/>
    </w:rPr>
  </w:style>
  <w:style w:type="paragraph" w:customStyle="1" w:styleId="38">
    <w:name w:val="新正大标题"/>
    <w:basedOn w:val="8"/>
    <w:next w:val="4"/>
    <w:qFormat/>
    <w:uiPriority w:val="0"/>
    <w:pPr>
      <w:spacing w:line="660" w:lineRule="exact"/>
      <w:jc w:val="center"/>
      <w:outlineLvl w:val="9"/>
    </w:pPr>
    <w:rPr>
      <w:rFonts w:hint="eastAsia" w:ascii="方正小标宋简体" w:hAnsi="方正小标宋简体" w:eastAsia="方正小标宋简体" w:cs="方正小标宋简体"/>
      <w:color w:val="auto"/>
      <w:sz w:val="44"/>
      <w:szCs w:val="44"/>
      <w:lang w:val="zh-CN" w:bidi="zh-CN"/>
    </w:rPr>
  </w:style>
  <w:style w:type="paragraph" w:customStyle="1" w:styleId="39">
    <w:name w:val="新正二级标题"/>
    <w:basedOn w:val="1"/>
    <w:next w:val="1"/>
    <w:qFormat/>
    <w:uiPriority w:val="0"/>
    <w:pPr>
      <w:adjustRightInd/>
      <w:spacing w:line="560" w:lineRule="exact"/>
      <w:ind w:firstLine="643" w:firstLineChars="200"/>
      <w:outlineLvl w:val="1"/>
    </w:pPr>
    <w:rPr>
      <w:rFonts w:hint="eastAsia" w:ascii="方正楷体_GB2312" w:hAnsi="方正楷体_GB2312" w:eastAsia="方正楷体_GB2312" w:cs="方正楷体_GB2312"/>
      <w:b/>
      <w:color w:val="auto"/>
      <w:sz w:val="32"/>
      <w:szCs w:val="32"/>
      <w:lang w:val="zh-CN" w:bidi="zh-CN"/>
    </w:rPr>
  </w:style>
  <w:style w:type="paragraph" w:customStyle="1" w:styleId="40">
    <w:name w:val="新正一级标题"/>
    <w:basedOn w:val="8"/>
    <w:next w:val="5"/>
    <w:link w:val="63"/>
    <w:qFormat/>
    <w:uiPriority w:val="0"/>
    <w:pPr>
      <w:spacing w:before="150" w:beforeLines="150" w:line="560" w:lineRule="exact"/>
      <w:ind w:firstLine="640" w:firstLineChars="200"/>
      <w:jc w:val="left"/>
      <w:outlineLvl w:val="0"/>
    </w:pPr>
    <w:rPr>
      <w:rFonts w:hint="eastAsia" w:ascii="黑体" w:hAnsi="黑体" w:eastAsia="黑体" w:cs="黑体"/>
      <w:bCs/>
      <w:color w:val="auto"/>
      <w:sz w:val="32"/>
      <w:szCs w:val="32"/>
      <w:lang w:val="zh-CN" w:bidi="zh-CN"/>
    </w:rPr>
  </w:style>
  <w:style w:type="paragraph" w:customStyle="1" w:styleId="41">
    <w:name w:val="新正正文"/>
    <w:basedOn w:val="1"/>
    <w:qFormat/>
    <w:uiPriority w:val="0"/>
    <w:pPr>
      <w:spacing w:line="560" w:lineRule="exact"/>
      <w:ind w:firstLine="640" w:firstLineChars="200"/>
      <w:jc w:val="both"/>
      <w:textAlignment w:val="baseline"/>
    </w:pPr>
    <w:rPr>
      <w:rFonts w:hint="eastAsia" w:ascii="方正仿宋_GB2312" w:hAnsi="方正仿宋_GB2312" w:eastAsia="方正仿宋_GB2312" w:cs="方正仿宋_GB2312"/>
      <w:color w:val="auto"/>
      <w:sz w:val="32"/>
      <w:szCs w:val="32"/>
      <w:lang w:val="zh-CN" w:bidi="zh-CN"/>
    </w:rPr>
  </w:style>
  <w:style w:type="character" w:customStyle="1" w:styleId="42">
    <w:name w:val="批注文字 Char"/>
    <w:link w:val="7"/>
    <w:qFormat/>
    <w:uiPriority w:val="0"/>
    <w:rPr>
      <w:rFonts w:ascii="宋体"/>
    </w:rPr>
  </w:style>
  <w:style w:type="character" w:customStyle="1" w:styleId="43">
    <w:name w:val="页脚 Char"/>
    <w:basedOn w:val="21"/>
    <w:link w:val="13"/>
    <w:qFormat/>
    <w:uiPriority w:val="99"/>
    <w:rPr>
      <w:rFonts w:ascii="宋体" w:hAnsi="Times New Roman" w:eastAsia="宋体" w:cs="Times New Roman"/>
      <w:kern w:val="0"/>
      <w:sz w:val="18"/>
      <w:szCs w:val="20"/>
    </w:rPr>
  </w:style>
  <w:style w:type="character" w:customStyle="1" w:styleId="44">
    <w:name w:val="纯文本 Char"/>
    <w:basedOn w:val="21"/>
    <w:link w:val="10"/>
    <w:qFormat/>
    <w:uiPriority w:val="0"/>
    <w:rPr>
      <w:rFonts w:ascii="宋体" w:hAnsi="Courier New" w:eastAsia="宋体" w:cs="Times New Roman"/>
      <w:sz w:val="24"/>
      <w:szCs w:val="20"/>
    </w:rPr>
  </w:style>
  <w:style w:type="character" w:customStyle="1" w:styleId="45">
    <w:name w:val="批注文字 Char1"/>
    <w:basedOn w:val="21"/>
    <w:semiHidden/>
    <w:qFormat/>
    <w:uiPriority w:val="99"/>
    <w:rPr>
      <w:rFonts w:ascii="宋体" w:hAnsi="Times New Roman" w:eastAsia="宋体" w:cs="Times New Roman"/>
      <w:kern w:val="0"/>
      <w:sz w:val="20"/>
      <w:szCs w:val="20"/>
    </w:rPr>
  </w:style>
  <w:style w:type="character" w:customStyle="1" w:styleId="46">
    <w:name w:val="批注框文本 Char"/>
    <w:basedOn w:val="21"/>
    <w:link w:val="12"/>
    <w:semiHidden/>
    <w:qFormat/>
    <w:uiPriority w:val="99"/>
    <w:rPr>
      <w:rFonts w:ascii="宋体" w:hAnsi="Times New Roman" w:eastAsia="宋体" w:cs="Times New Roman"/>
      <w:kern w:val="0"/>
      <w:sz w:val="18"/>
      <w:szCs w:val="18"/>
    </w:rPr>
  </w:style>
  <w:style w:type="character" w:customStyle="1" w:styleId="47">
    <w:name w:val="页眉 Char"/>
    <w:basedOn w:val="21"/>
    <w:link w:val="14"/>
    <w:qFormat/>
    <w:uiPriority w:val="99"/>
    <w:rPr>
      <w:rFonts w:ascii="宋体" w:hAnsi="Times New Roman" w:eastAsia="宋体" w:cs="Times New Roman"/>
      <w:kern w:val="0"/>
      <w:sz w:val="18"/>
      <w:szCs w:val="18"/>
    </w:rPr>
  </w:style>
  <w:style w:type="character" w:customStyle="1" w:styleId="48">
    <w:name w:val="标题 1 Char"/>
    <w:basedOn w:val="21"/>
    <w:link w:val="4"/>
    <w:qFormat/>
    <w:uiPriority w:val="9"/>
    <w:rPr>
      <w:b/>
      <w:bCs/>
      <w:kern w:val="44"/>
      <w:sz w:val="44"/>
      <w:szCs w:val="44"/>
    </w:rPr>
  </w:style>
  <w:style w:type="character" w:customStyle="1" w:styleId="49">
    <w:name w:val="标题 2 Char"/>
    <w:basedOn w:val="21"/>
    <w:link w:val="5"/>
    <w:semiHidden/>
    <w:qFormat/>
    <w:uiPriority w:val="9"/>
    <w:rPr>
      <w:rFonts w:asciiTheme="majorHAnsi" w:hAnsiTheme="majorHAnsi" w:eastAsiaTheme="majorEastAsia" w:cstheme="majorBidi"/>
      <w:b/>
      <w:bCs/>
      <w:kern w:val="2"/>
      <w:sz w:val="32"/>
      <w:szCs w:val="32"/>
    </w:rPr>
  </w:style>
  <w:style w:type="character" w:customStyle="1" w:styleId="50">
    <w:name w:val="标题 3 Char"/>
    <w:basedOn w:val="21"/>
    <w:link w:val="6"/>
    <w:semiHidden/>
    <w:qFormat/>
    <w:uiPriority w:val="9"/>
    <w:rPr>
      <w:b/>
      <w:bCs/>
      <w:kern w:val="2"/>
      <w:sz w:val="32"/>
      <w:szCs w:val="32"/>
    </w:rPr>
  </w:style>
  <w:style w:type="paragraph" w:styleId="51">
    <w:name w:val="List Paragraph"/>
    <w:basedOn w:val="1"/>
    <w:unhideWhenUsed/>
    <w:qFormat/>
    <w:uiPriority w:val="99"/>
    <w:pPr>
      <w:ind w:firstLine="420" w:firstLineChars="200"/>
    </w:pPr>
  </w:style>
  <w:style w:type="character" w:customStyle="1" w:styleId="52">
    <w:name w:val="脚注文本 Char"/>
    <w:basedOn w:val="21"/>
    <w:link w:val="16"/>
    <w:semiHidden/>
    <w:qFormat/>
    <w:uiPriority w:val="99"/>
    <w:rPr>
      <w:rFonts w:ascii="宋体" w:hAnsi="Times New Roman" w:eastAsia="宋体" w:cs="Times New Roman"/>
      <w:sz w:val="18"/>
      <w:szCs w:val="18"/>
    </w:rPr>
  </w:style>
  <w:style w:type="paragraph" w:customStyle="1" w:styleId="53">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4">
    <w:name w:val="日期 Char"/>
    <w:basedOn w:val="21"/>
    <w:link w:val="11"/>
    <w:semiHidden/>
    <w:qFormat/>
    <w:uiPriority w:val="99"/>
    <w:rPr>
      <w:rFonts w:ascii="宋体" w:hAnsi="Times New Roman" w:eastAsia="宋体" w:cs="Times New Roman"/>
    </w:rPr>
  </w:style>
  <w:style w:type="paragraph" w:customStyle="1" w:styleId="55">
    <w:name w:val="WPSOffice手动目录 1"/>
    <w:qFormat/>
    <w:uiPriority w:val="0"/>
    <w:rPr>
      <w:rFonts w:asciiTheme="minorHAnsi" w:hAnsiTheme="minorHAnsi" w:eastAsiaTheme="minorEastAsia" w:cstheme="minorBidi"/>
      <w:lang w:val="en-US" w:eastAsia="zh-CN" w:bidi="ar-SA"/>
    </w:rPr>
  </w:style>
  <w:style w:type="paragraph" w:customStyle="1" w:styleId="56">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57">
    <w:name w:val="正文文本 Char"/>
    <w:basedOn w:val="21"/>
    <w:link w:val="8"/>
    <w:qFormat/>
    <w:uiPriority w:val="1"/>
    <w:rPr>
      <w:rFonts w:ascii="PMingLiU" w:hAnsi="PMingLiU" w:eastAsia="PMingLiU" w:cs="PMingLiU"/>
      <w:sz w:val="28"/>
      <w:szCs w:val="28"/>
      <w:lang w:val="zh-CN" w:bidi="zh-CN"/>
    </w:rPr>
  </w:style>
  <w:style w:type="paragraph" w:customStyle="1" w:styleId="58">
    <w:name w:val="闻政正文"/>
    <w:basedOn w:val="1"/>
    <w:link w:val="59"/>
    <w:qFormat/>
    <w:uiPriority w:val="0"/>
    <w:pPr>
      <w:autoSpaceDE/>
      <w:autoSpaceDN/>
      <w:adjustRightInd/>
      <w:spacing w:line="500" w:lineRule="exact"/>
      <w:ind w:firstLine="560" w:firstLineChars="200"/>
      <w:jc w:val="both"/>
    </w:pPr>
    <w:rPr>
      <w:rFonts w:ascii="Times New Roman" w:eastAsia="仿宋_GB2312"/>
      <w:sz w:val="28"/>
      <w:szCs w:val="28"/>
    </w:rPr>
  </w:style>
  <w:style w:type="character" w:customStyle="1" w:styleId="59">
    <w:name w:val="闻政正文 Char"/>
    <w:link w:val="58"/>
    <w:qFormat/>
    <w:uiPriority w:val="0"/>
    <w:rPr>
      <w:rFonts w:ascii="Times New Roman" w:hAnsi="Times New Roman" w:eastAsia="仿宋_GB2312"/>
      <w:sz w:val="28"/>
      <w:szCs w:val="28"/>
    </w:rPr>
  </w:style>
  <w:style w:type="character" w:customStyle="1" w:styleId="60">
    <w:name w:val="批注主题 Char"/>
    <w:basedOn w:val="42"/>
    <w:link w:val="18"/>
    <w:semiHidden/>
    <w:qFormat/>
    <w:uiPriority w:val="99"/>
    <w:rPr>
      <w:rFonts w:ascii="宋体" w:hAnsi="Times New Roman"/>
      <w:b/>
      <w:bCs/>
    </w:rPr>
  </w:style>
  <w:style w:type="table" w:customStyle="1" w:styleId="61">
    <w:name w:val="Table Normal"/>
    <w:semiHidden/>
    <w:unhideWhenUsed/>
    <w:qFormat/>
    <w:uiPriority w:val="0"/>
    <w:rPr>
      <w:rFonts w:ascii="Arial" w:hAnsi="Arial" w:cs="Arial"/>
    </w:rPr>
    <w:tblPr>
      <w:tblCellMar>
        <w:top w:w="0" w:type="dxa"/>
        <w:left w:w="0" w:type="dxa"/>
        <w:bottom w:w="0" w:type="dxa"/>
        <w:right w:w="0" w:type="dxa"/>
      </w:tblCellMar>
    </w:tblPr>
  </w:style>
  <w:style w:type="table" w:customStyle="1" w:styleId="62">
    <w:name w:val="Table Normal1"/>
    <w:semiHidden/>
    <w:unhideWhenUsed/>
    <w:qFormat/>
    <w:uiPriority w:val="0"/>
    <w:rPr>
      <w:rFonts w:ascii="Arial" w:hAnsi="Arial" w:cs="Arial"/>
    </w:rPr>
    <w:tblPr>
      <w:tblCellMar>
        <w:top w:w="0" w:type="dxa"/>
        <w:left w:w="0" w:type="dxa"/>
        <w:bottom w:w="0" w:type="dxa"/>
        <w:right w:w="0" w:type="dxa"/>
      </w:tblCellMar>
    </w:tblPr>
  </w:style>
  <w:style w:type="character" w:customStyle="1" w:styleId="63">
    <w:name w:val="新正一级标题 Char"/>
    <w:link w:val="40"/>
    <w:qFormat/>
    <w:uiPriority w:val="0"/>
    <w:rPr>
      <w:rFonts w:hint="eastAsia" w:ascii="黑体" w:hAnsi="黑体" w:eastAsia="黑体" w:cs="黑体"/>
      <w:bCs/>
      <w:color w:val="auto"/>
      <w:sz w:val="32"/>
      <w:szCs w:val="3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30AA05-EFD5-498F-B8E8-754FC3BEBC07}">
  <ds:schemaRefs/>
</ds:datastoreItem>
</file>

<file path=docProps/app.xml><?xml version="1.0" encoding="utf-8"?>
<Properties xmlns="http://schemas.openxmlformats.org/officeDocument/2006/extended-properties" xmlns:vt="http://schemas.openxmlformats.org/officeDocument/2006/docPropsVTypes">
  <Template>Normal.dotm</Template>
  <Company>Far123</Company>
  <Pages>16</Pages>
  <Words>6229</Words>
  <Characters>6831</Characters>
  <Lines>68</Lines>
  <Paragraphs>19</Paragraphs>
  <TotalTime>11</TotalTime>
  <ScaleCrop>false</ScaleCrop>
  <LinksUpToDate>false</LinksUpToDate>
  <CharactersWithSpaces>6964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2021-08-31T02:18:00Z</dcterms:created>
  <dc:creator>admin</dc:creator>
  <cp:lastModifiedBy>lenovo</cp:lastModifiedBy>
  <cp:lastPrinted>2023-05-09T02:51:00Z</cp:lastPrinted>
  <dcterms:modified xsi:type="dcterms:W3CDTF">2024-08-23T03:20:34Z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9BB979BD180B470D9654A90E5B20FBC5_13</vt:lpwstr>
  </property>
</Properties>
</file>