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2022年部门预算信息公开目录</w:t>
      </w:r>
    </w:p>
    <w:p>
      <w:pPr>
        <w:jc w:val="center"/>
        <w:rPr>
          <w:rFonts w:ascii="Times New Roman" w:hAnsi="宋体"/>
          <w:b/>
          <w:sz w:val="30"/>
        </w:rPr>
      </w:pPr>
    </w:p>
    <w:p>
      <w:pPr>
        <w:jc w:val="left"/>
        <w:rPr>
          <w:rFonts w:ascii="Times New Roman" w:hAnsi="宋体"/>
          <w:b/>
          <w:sz w:val="28"/>
        </w:rPr>
      </w:pPr>
      <w:r>
        <w:rPr>
          <w:rFonts w:hint="eastAsia" w:ascii="方正楷体_GBK" w:eastAsia="方正楷体_GBK"/>
          <w:b/>
          <w:sz w:val="28"/>
        </w:rPr>
        <w:t>部门预算公开表</w:t>
      </w:r>
    </w:p>
    <w:p>
      <w:pPr>
        <w:pStyle w:val="6"/>
        <w:tabs>
          <w:tab w:val="right" w:leader="dot" w:pos="14789"/>
        </w:tabs>
        <w:jc w:val="center"/>
        <w:rPr>
          <w:rFonts w:ascii="方正仿宋简体" w:eastAsia="方正仿宋简体"/>
          <w:sz w:val="28"/>
          <w:szCs w:val="28"/>
        </w:rPr>
      </w:pPr>
      <w:r>
        <w:rPr>
          <w:rFonts w:ascii="Times New Roman" w:eastAsia="方正仿宋_GBK"/>
          <w:sz w:val="28"/>
        </w:rPr>
        <w:fldChar w:fldCharType="begin"/>
      </w:r>
      <w:r>
        <w:rPr>
          <w:rFonts w:ascii="Times New Roman" w:eastAsia="方正仿宋_GBK"/>
          <w:sz w:val="28"/>
        </w:rPr>
        <w:instrText xml:space="preserve"> TOC \o "2-2" \h \z \u \t "-1"</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1"/>
          <w:rFonts w:hint="eastAsia" w:ascii="方正仿宋简体" w:eastAsia="方正仿宋简体"/>
          <w:color w:val="auto"/>
          <w:sz w:val="28"/>
          <w:szCs w:val="28"/>
          <w:u w:val="none"/>
        </w:rPr>
        <w:t>部门预算收支总表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"_Toc68791537" </w:instrText>
      </w:r>
      <w:r>
        <w:fldChar w:fldCharType="separate"/>
      </w:r>
      <w:r>
        <w:rPr>
          <w:rStyle w:val="11"/>
          <w:rFonts w:hint="eastAsia" w:ascii="方正仿宋简体" w:eastAsia="方正仿宋简体"/>
          <w:color w:val="auto"/>
          <w:sz w:val="28"/>
          <w:szCs w:val="28"/>
          <w:u w:val="none"/>
        </w:rPr>
        <w:t>部门预算收入总表</w:t>
      </w:r>
      <w:r>
        <w:rPr>
          <w:rFonts w:hint="eastAsia" w:ascii="方正仿宋简体" w:eastAsia="方正仿宋简体"/>
          <w:sz w:val="28"/>
          <w:szCs w:val="28"/>
        </w:rPr>
        <w:tab/>
      </w:r>
      <w:r>
        <w:rPr>
          <w:rFonts w:hint="eastAsia" w:ascii="方正仿宋简体" w:eastAsia="方正仿宋简体"/>
          <w:sz w:val="28"/>
          <w:szCs w:val="28"/>
        </w:rPr>
        <w:t>4</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"_Toc68791538" </w:instrText>
      </w:r>
      <w:r>
        <w:fldChar w:fldCharType="separate"/>
      </w:r>
      <w:r>
        <w:rPr>
          <w:rStyle w:val="11"/>
          <w:rFonts w:hint="eastAsia" w:ascii="方正仿宋简体" w:eastAsia="方正仿宋简体"/>
          <w:color w:val="auto"/>
          <w:sz w:val="28"/>
          <w:szCs w:val="28"/>
          <w:u w:val="none"/>
        </w:rPr>
        <w:t>部门预算支出总表</w:t>
      </w:r>
      <w:r>
        <w:rPr>
          <w:rFonts w:hint="eastAsia" w:ascii="方正仿宋简体" w:eastAsia="方正仿宋简体"/>
          <w:sz w:val="28"/>
          <w:szCs w:val="28"/>
        </w:rPr>
        <w:tab/>
      </w:r>
      <w:r>
        <w:rPr>
          <w:rFonts w:hint="eastAsia" w:ascii="方正仿宋简体" w:eastAsia="方正仿宋简体"/>
          <w:sz w:val="28"/>
          <w:szCs w:val="28"/>
        </w:rPr>
        <w:t>6</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"_Toc68791539" </w:instrText>
      </w:r>
      <w:r>
        <w:fldChar w:fldCharType="separate"/>
      </w:r>
      <w:r>
        <w:rPr>
          <w:rStyle w:val="11"/>
          <w:rFonts w:hint="eastAsia" w:ascii="方正仿宋简体" w:eastAsia="方正仿宋简体"/>
          <w:color w:val="auto"/>
          <w:sz w:val="28"/>
          <w:szCs w:val="28"/>
          <w:u w:val="none"/>
        </w:rPr>
        <w:t>部门预算财政拨款收支总表</w:t>
      </w:r>
      <w:r>
        <w:rPr>
          <w:rFonts w:hint="eastAsia" w:ascii="方正仿宋简体" w:eastAsia="方正仿宋简体"/>
          <w:sz w:val="28"/>
          <w:szCs w:val="28"/>
        </w:rPr>
        <w:tab/>
      </w:r>
      <w:r>
        <w:rPr>
          <w:rFonts w:hint="eastAsia" w:ascii="方正仿宋简体" w:eastAsia="方正仿宋简体"/>
          <w:sz w:val="28"/>
          <w:szCs w:val="28"/>
        </w:rPr>
        <w:t>8</w:t>
      </w:r>
      <w:r>
        <w:rPr>
          <w:rFonts w:hint="eastAsia" w:ascii="方正仿宋简体" w:eastAsia="方正仿宋简体"/>
          <w:sz w:val="28"/>
          <w:szCs w:val="28"/>
        </w:rPr>
        <w:fldChar w:fldCharType="end"/>
      </w:r>
    </w:p>
    <w:p>
      <w:pPr>
        <w:pStyle w:val="6"/>
        <w:tabs>
          <w:tab w:val="right" w:leader="dot" w:pos="14789"/>
        </w:tabs>
        <w:jc w:val="center"/>
        <w:rPr>
          <w:rFonts w:ascii="方正仿宋简体" w:eastAsia="方正仿宋简体"/>
          <w:sz w:val="28"/>
          <w:szCs w:val="28"/>
        </w:rPr>
      </w:pPr>
      <w:r>
        <w:fldChar w:fldCharType="begin"/>
      </w:r>
      <w:r>
        <w:instrText xml:space="preserve"> HYPERLINK \l "_Toc68791540" </w:instrText>
      </w:r>
      <w:r>
        <w:fldChar w:fldCharType="separate"/>
      </w:r>
      <w:r>
        <w:rPr>
          <w:rStyle w:val="11"/>
          <w:rFonts w:hint="eastAsia" w:ascii="方正仿宋简体" w:eastAsia="方正仿宋简体"/>
          <w:color w:val="auto"/>
          <w:sz w:val="28"/>
          <w:szCs w:val="28"/>
          <w:u w:val="none"/>
        </w:rPr>
        <w:t>部门预算一般公共预算财政拨款支出表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2</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"_Toc68791541" </w:instrText>
      </w:r>
      <w:r>
        <w:fldChar w:fldCharType="separate"/>
      </w:r>
      <w:r>
        <w:rPr>
          <w:rStyle w:val="11"/>
          <w:rFonts w:hint="eastAsia" w:ascii="方正仿宋简体" w:eastAsia="方正仿宋简体"/>
          <w:color w:val="auto"/>
          <w:sz w:val="28"/>
          <w:szCs w:val="28"/>
          <w:u w:val="none"/>
        </w:rPr>
        <w:t>部门预算一般公共预算财政拨款基本支出表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4</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"_Toc68791542" </w:instrText>
      </w:r>
      <w:r>
        <w:fldChar w:fldCharType="separate"/>
      </w:r>
      <w:r>
        <w:rPr>
          <w:rStyle w:val="11"/>
          <w:rFonts w:hint="eastAsia" w:ascii="方正仿宋简体" w:eastAsia="方正仿宋简体"/>
          <w:color w:val="auto"/>
          <w:sz w:val="28"/>
          <w:szCs w:val="28"/>
          <w:u w:val="none"/>
        </w:rPr>
        <w:t>部门预算政府基金预算财政拨款支出表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8</w:t>
      </w:r>
    </w:p>
    <w:p>
      <w:pPr>
        <w:pStyle w:val="6"/>
        <w:tabs>
          <w:tab w:val="right" w:leader="dot" w:pos="14789"/>
        </w:tabs>
        <w:jc w:val="center"/>
        <w:rPr>
          <w:rFonts w:ascii="方正仿宋简体" w:eastAsia="方正仿宋简体"/>
          <w:sz w:val="28"/>
          <w:szCs w:val="28"/>
        </w:rPr>
      </w:pPr>
      <w:r>
        <w:fldChar w:fldCharType="begin"/>
      </w:r>
      <w:r>
        <w:instrText xml:space="preserve"> HYPERLINK \l "_Toc68791543" </w:instrText>
      </w:r>
      <w:r>
        <w:fldChar w:fldCharType="separate"/>
      </w:r>
      <w:r>
        <w:rPr>
          <w:rStyle w:val="11"/>
          <w:rFonts w:hint="eastAsia" w:ascii="方正仿宋简体" w:eastAsia="方正仿宋简体"/>
          <w:color w:val="auto"/>
          <w:sz w:val="28"/>
          <w:szCs w:val="28"/>
          <w:u w:val="none"/>
        </w:rPr>
        <w:t>部门预算国有资本经营预算财政拨款支出表</w:t>
      </w:r>
      <w:r>
        <w:rPr>
          <w:rFonts w:hint="eastAsia" w:ascii="方正仿宋简体" w:eastAsia="方正仿宋简体"/>
          <w:sz w:val="28"/>
          <w:szCs w:val="28"/>
        </w:rPr>
        <w:tab/>
      </w:r>
      <w:r>
        <w:rPr>
          <w:rFonts w:hint="eastAsia" w:ascii="方正仿宋简体" w:eastAsia="方正仿宋简体"/>
          <w:sz w:val="28"/>
          <w:szCs w:val="28"/>
        </w:rPr>
        <w:t>1</w:t>
      </w:r>
      <w:r>
        <w:rPr>
          <w:rFonts w:hint="eastAsia" w:ascii="方正仿宋简体" w:eastAsia="方正仿宋简体"/>
          <w:sz w:val="28"/>
          <w:szCs w:val="28"/>
        </w:rPr>
        <w:fldChar w:fldCharType="end"/>
      </w:r>
      <w:r>
        <w:rPr>
          <w:rStyle w:val="11"/>
          <w:rFonts w:hint="eastAsia" w:ascii="方正仿宋简体" w:eastAsia="方正仿宋简体"/>
          <w:color w:val="auto"/>
          <w:sz w:val="28"/>
          <w:szCs w:val="28"/>
          <w:u w:val="none"/>
        </w:rPr>
        <w:t>9</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hint="eastAsia" w:ascii="方正仿宋简体" w:eastAsia="方正仿宋简体"/>
          <w:color w:val="auto"/>
          <w:sz w:val="28"/>
          <w:szCs w:val="28"/>
          <w:u w:val="none"/>
        </w:rPr>
        <w:t>部门预算财政拨款“三公”经费支出表</w:t>
      </w:r>
      <w:r>
        <w:rPr>
          <w:rFonts w:hint="eastAsia" w:ascii="方正仿宋简体" w:eastAsia="方正仿宋简体"/>
          <w:sz w:val="28"/>
          <w:szCs w:val="28"/>
        </w:rPr>
        <w:tab/>
      </w:r>
      <w:r>
        <w:rPr>
          <w:rFonts w:hint="eastAsia" w:ascii="方正仿宋简体" w:eastAsia="方正仿宋简体"/>
          <w:sz w:val="28"/>
          <w:szCs w:val="28"/>
        </w:rPr>
        <w:t>20</w:t>
      </w:r>
      <w:r>
        <w:rPr>
          <w:rFonts w:hint="eastAsia" w:ascii="方正仿宋简体" w:eastAsia="方正仿宋简体"/>
          <w:sz w:val="28"/>
          <w:szCs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ascii="方正仿宋简体" w:eastAsia="方正仿宋简体"/>
          <w:sz w:val="28"/>
        </w:rPr>
      </w:pPr>
      <w:r>
        <w:rPr>
          <w:rFonts w:ascii="Times New Roman" w:eastAsia="方正仿宋_GBK"/>
          <w:sz w:val="28"/>
        </w:rPr>
        <w:fldChar w:fldCharType="begin"/>
      </w:r>
      <w:r>
        <w:rPr>
          <w:rFonts w:ascii="Times New Roman" w:eastAsia="方正仿宋_GBK"/>
          <w:sz w:val="28"/>
        </w:rPr>
        <w:instrText xml:space="preserve"> TOC \o "3-3" \h \z \u \t "-1"</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1"/>
          <w:rFonts w:hint="eastAsia" w:ascii="方正仿宋简体" w:hAnsi="黑体" w:eastAsia="方正仿宋简体"/>
          <w:color w:val="auto"/>
          <w:sz w:val="28"/>
          <w:u w:val="none"/>
        </w:rPr>
        <w:t>一、部门职责及机构设置情况</w:t>
      </w:r>
      <w:r>
        <w:rPr>
          <w:rFonts w:hint="eastAsia" w:ascii="方正仿宋简体" w:eastAsia="方正仿宋简体"/>
          <w:sz w:val="28"/>
        </w:rPr>
        <w:tab/>
      </w:r>
      <w:r>
        <w:rPr>
          <w:rFonts w:hint="eastAsia" w:ascii="方正仿宋简体" w:eastAsia="方正仿宋简体"/>
          <w:sz w:val="28"/>
        </w:rPr>
        <w:t>21</w:t>
      </w:r>
      <w:r>
        <w:rPr>
          <w:rFonts w:hint="eastAsia" w:ascii="方正仿宋简体" w:eastAsia="方正仿宋简体"/>
          <w:sz w:val="28"/>
        </w:rPr>
        <w:fldChar w:fldCharType="end"/>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"_Toc68791546" </w:instrText>
      </w:r>
      <w:r>
        <w:fldChar w:fldCharType="separate"/>
      </w:r>
      <w:r>
        <w:rPr>
          <w:rStyle w:val="11"/>
          <w:rFonts w:hint="eastAsia" w:ascii="方正仿宋简体" w:hAnsi="黑体" w:eastAsia="方正仿宋简体"/>
          <w:color w:val="auto"/>
          <w:sz w:val="28"/>
          <w:u w:val="none"/>
        </w:rPr>
        <w:t>二、部门预算安排的总体情况</w:t>
      </w:r>
      <w:r>
        <w:rPr>
          <w:rFonts w:hint="eastAsia" w:ascii="方正仿宋简体" w:eastAsia="方正仿宋简体"/>
          <w:sz w:val="28"/>
        </w:rPr>
        <w:tab/>
      </w:r>
      <w:r>
        <w:rPr>
          <w:rFonts w:hint="eastAsia" w:ascii="方正仿宋简体" w:eastAsia="方正仿宋简体"/>
          <w:sz w:val="28"/>
        </w:rPr>
        <w:t>30</w:t>
      </w:r>
      <w:r>
        <w:rPr>
          <w:rFonts w:hint="eastAsia" w:ascii="方正仿宋简体" w:eastAsia="方正仿宋简体"/>
          <w:sz w:val="28"/>
        </w:rPr>
        <w:fldChar w:fldCharType="end"/>
      </w:r>
    </w:p>
    <w:p>
      <w:pPr>
        <w:pStyle w:val="2"/>
        <w:tabs>
          <w:tab w:val="right" w:leader="dot" w:pos="14789"/>
        </w:tabs>
        <w:ind w:left="420" w:leftChars="200"/>
        <w:jc w:val="center"/>
        <w:rPr>
          <w:rStyle w:val="11"/>
          <w:rFonts w:ascii="方正仿宋简体" w:eastAsia="方正仿宋简体"/>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"_Toc68791547" </w:instrText>
      </w:r>
      <w:r>
        <w:fldChar w:fldCharType="separate"/>
      </w:r>
      <w:r>
        <w:rPr>
          <w:rStyle w:val="11"/>
          <w:rFonts w:hint="eastAsia" w:ascii="方正仿宋简体" w:hAnsi="黑体" w:eastAsia="方正仿宋简体"/>
          <w:color w:val="auto"/>
          <w:sz w:val="28"/>
          <w:u w:val="none"/>
        </w:rPr>
        <w:t>三、机关运行经费安排情况</w:t>
      </w:r>
      <w:r>
        <w:rPr>
          <w:rFonts w:hint="eastAsia" w:ascii="方正仿宋简体" w:eastAsia="方正仿宋简体"/>
          <w:sz w:val="28"/>
        </w:rPr>
        <w:tab/>
      </w:r>
      <w:r>
        <w:rPr>
          <w:rFonts w:hint="eastAsia" w:ascii="方正仿宋简体" w:eastAsia="方正仿宋简体"/>
          <w:sz w:val="28"/>
        </w:rPr>
        <w:t>31</w:t>
      </w:r>
      <w:r>
        <w:rPr>
          <w:rFonts w:hint="eastAsia" w:ascii="方正仿宋简体" w:eastAsia="方正仿宋简体"/>
          <w:sz w:val="28"/>
        </w:rPr>
        <w:fldChar w:fldCharType="end"/>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"_Toc68791548" </w:instrText>
      </w:r>
      <w:r>
        <w:fldChar w:fldCharType="separate"/>
      </w:r>
      <w:r>
        <w:rPr>
          <w:rStyle w:val="11"/>
          <w:rFonts w:hint="eastAsia" w:ascii="方正仿宋简体" w:hAnsi="黑体" w:eastAsia="方正仿宋简体"/>
          <w:color w:val="auto"/>
          <w:sz w:val="28"/>
          <w:u w:val="none"/>
        </w:rPr>
        <w:t>四、财政拨款“三公”经费预算情况及增减变化原因</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1"/>
          <w:rFonts w:hint="eastAsia" w:ascii="方正仿宋简体" w:eastAsia="方正仿宋简体"/>
          <w:color w:val="auto"/>
          <w:sz w:val="28"/>
          <w:u w:val="none"/>
        </w:rPr>
        <w:t>1</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"_Toc68791549" </w:instrText>
      </w:r>
      <w:r>
        <w:fldChar w:fldCharType="separate"/>
      </w:r>
      <w:r>
        <w:rPr>
          <w:rStyle w:val="11"/>
          <w:rFonts w:hint="eastAsia" w:ascii="方正仿宋简体" w:hAnsi="黑体" w:eastAsia="方正仿宋简体"/>
          <w:color w:val="auto"/>
          <w:sz w:val="28"/>
          <w:u w:val="none"/>
        </w:rPr>
        <w:t>五、预算绩效信息</w:t>
      </w:r>
      <w:r>
        <w:rPr>
          <w:rFonts w:hint="eastAsia" w:ascii="方正仿宋简体" w:eastAsia="方正仿宋简体"/>
          <w:sz w:val="28"/>
        </w:rPr>
        <w:tab/>
      </w:r>
      <w:r>
        <w:rPr>
          <w:rFonts w:hint="eastAsia" w:ascii="方正仿宋简体" w:eastAsia="方正仿宋简体"/>
          <w:sz w:val="28"/>
        </w:rPr>
        <w:t>3</w:t>
      </w:r>
      <w:r>
        <w:rPr>
          <w:rFonts w:hint="eastAsia" w:ascii="方正仿宋简体" w:eastAsia="方正仿宋简体"/>
          <w:sz w:val="28"/>
        </w:rPr>
        <w:fldChar w:fldCharType="end"/>
      </w:r>
      <w:r>
        <w:rPr>
          <w:rStyle w:val="11"/>
          <w:rFonts w:hint="eastAsia" w:ascii="方正仿宋简体" w:eastAsia="方正仿宋简体"/>
          <w:color w:val="auto"/>
          <w:sz w:val="28"/>
          <w:u w:val="none"/>
        </w:rPr>
        <w:t>2</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"_Toc68791550" </w:instrText>
      </w:r>
      <w:r>
        <w:fldChar w:fldCharType="separate"/>
      </w:r>
      <w:r>
        <w:rPr>
          <w:rStyle w:val="11"/>
          <w:rFonts w:hint="eastAsia" w:ascii="方正仿宋简体" w:eastAsia="方正仿宋简体"/>
          <w:color w:val="auto"/>
          <w:sz w:val="28"/>
          <w:u w:val="none"/>
        </w:rPr>
        <w:t>六、政府采购预算情况</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方正仿宋简体" w:eastAsia="方正仿宋简体"/>
          <w:color w:val="auto"/>
          <w:sz w:val="28"/>
          <w:u w:val="none"/>
        </w:rPr>
        <w:t>0</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"_Toc68791551" </w:instrText>
      </w:r>
      <w:r>
        <w:fldChar w:fldCharType="separate"/>
      </w:r>
      <w:r>
        <w:rPr>
          <w:rStyle w:val="11"/>
          <w:rFonts w:hint="eastAsia" w:ascii="方正仿宋简体" w:hAnsi="黑体" w:eastAsia="方正仿宋简体"/>
          <w:color w:val="auto"/>
          <w:sz w:val="28"/>
          <w:u w:val="none"/>
        </w:rPr>
        <w:t>七、国有资产信息</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方正仿宋简体" w:eastAsia="方正仿宋简体"/>
          <w:color w:val="auto"/>
          <w:sz w:val="28"/>
          <w:u w:val="none"/>
        </w:rPr>
        <w:t>1</w:t>
      </w:r>
    </w:p>
    <w:p>
      <w:pPr>
        <w:pStyle w:val="2"/>
        <w:tabs>
          <w:tab w:val="right" w:leader="dot" w:pos="14789"/>
        </w:tabs>
        <w:ind w:left="420" w:leftChars="200"/>
        <w:jc w:val="center"/>
        <w:rPr>
          <w:rFonts w:ascii="方正仿宋简体" w:eastAsia="方正仿宋简体"/>
          <w:sz w:val="28"/>
        </w:rPr>
      </w:pPr>
      <w:r>
        <w:fldChar w:fldCharType="begin"/>
      </w:r>
      <w:r>
        <w:instrText xml:space="preserve"> HYPERLINK \l "_Toc68791552" </w:instrText>
      </w:r>
      <w:r>
        <w:fldChar w:fldCharType="separate"/>
      </w:r>
      <w:r>
        <w:rPr>
          <w:rStyle w:val="11"/>
          <w:rFonts w:hint="eastAsia" w:ascii="方正仿宋简体" w:hAnsi="黑体" w:eastAsia="方正仿宋简体"/>
          <w:color w:val="auto"/>
          <w:sz w:val="28"/>
          <w:u w:val="none"/>
        </w:rPr>
        <w:t>八、名词解释</w:t>
      </w:r>
      <w:r>
        <w:rPr>
          <w:rFonts w:hint="eastAsia" w:ascii="方正仿宋简体" w:eastAsia="方正仿宋简体"/>
          <w:sz w:val="28"/>
        </w:rPr>
        <w:tab/>
      </w:r>
      <w:r>
        <w:rPr>
          <w:rFonts w:hint="eastAsia" w:ascii="方正仿宋简体" w:eastAsia="方正仿宋简体"/>
          <w:sz w:val="28"/>
        </w:rPr>
        <w:fldChar w:fldCharType="end"/>
      </w:r>
      <w:r>
        <w:rPr>
          <w:rStyle w:val="11"/>
          <w:rFonts w:hint="eastAsia" w:ascii="方正仿宋简体" w:eastAsia="方正仿宋简体"/>
          <w:color w:val="auto"/>
          <w:sz w:val="28"/>
          <w:u w:val="none"/>
        </w:rPr>
        <w:t>42</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hint="eastAsia" w:ascii="方正仿宋简体" w:hAnsi="黑体" w:eastAsia="方正仿宋简体"/>
          <w:color w:val="auto"/>
          <w:sz w:val="28"/>
          <w:u w:val="none"/>
        </w:rPr>
        <w:t>九、其他需要说明的事项</w:t>
      </w:r>
      <w:r>
        <w:rPr>
          <w:rFonts w:hint="eastAsia" w:ascii="方正仿宋简体" w:eastAsia="方正仿宋简体"/>
          <w:sz w:val="28"/>
        </w:rPr>
        <w:tab/>
      </w:r>
      <w:r>
        <w:rPr>
          <w:rFonts w:hint="eastAsia" w:ascii="方正仿宋简体" w:eastAsia="方正仿宋简体"/>
          <w:sz w:val="28"/>
        </w:rPr>
        <w:t>4</w:t>
      </w:r>
      <w:r>
        <w:rPr>
          <w:rFonts w:hint="eastAsia" w:ascii="方正仿宋简体" w:eastAsia="方正仿宋简体"/>
          <w:sz w:val="28"/>
        </w:rPr>
        <w:fldChar w:fldCharType="end"/>
      </w:r>
      <w:r>
        <w:rPr>
          <w:rStyle w:val="11"/>
          <w:rFonts w:hint="eastAsia" w:ascii="Times New Roman"/>
          <w:color w:val="auto"/>
          <w:sz w:val="28"/>
          <w:u w:val="none"/>
        </w:rPr>
        <w:t>3</w:t>
      </w:r>
    </w:p>
    <w:p>
      <w:pPr>
        <w:ind w:left="420" w:leftChars="200"/>
        <w:jc w:val="center"/>
        <w:rPr>
          <w:rFonts w:ascii="Times New Roman" w:hAnsi="宋体"/>
        </w:rPr>
      </w:pPr>
      <w:r>
        <w:rPr>
          <w:rFonts w:ascii="Times New Roman" w:eastAsia="方正仿宋_GBK"/>
          <w:sz w:val="28"/>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644 遵化市党峪镇人民政府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noWrap/>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noWrap/>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360" w:type="dxa"/>
                  <w:noWrap/>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1530" w:type="dxa"/>
            <w:noWrap/>
          </w:tcPr>
          <w:p>
            <w:pPr>
              <w:spacing w:line="560" w:lineRule="exact"/>
              <w:jc w:val="left"/>
              <w:rPr>
                <w:rStyle w:val="11"/>
                <w:rFonts w:ascii="方正仿宋简体" w:hAnsi="方正仿宋简体" w:eastAsia="方正仿宋简体" w:cs="方正仿宋简体"/>
                <w:color w:val="auto"/>
                <w:sz w:val="28"/>
                <w:u w:val="none"/>
              </w:rPr>
            </w:pPr>
          </w:p>
        </w:tc>
        <w:tc>
          <w:tcPr>
            <w:tcW w:w="5495"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noWrap/>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5495"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r>
    </w:tbl>
    <w:p>
      <w:pPr>
        <w:spacing w:line="560" w:lineRule="exact"/>
        <w:jc w:val="left"/>
        <w:rPr>
          <w:rStyle w:val="11"/>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02"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6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99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911.755</w:t>
            </w:r>
          </w:p>
        </w:tc>
        <w:tc>
          <w:tcPr>
            <w:tcW w:w="110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20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99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107"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20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99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107"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p>
            <w:pPr>
              <w:spacing w:line="560" w:lineRule="exact"/>
              <w:jc w:val="center"/>
              <w:rPr>
                <w:rStyle w:val="11"/>
                <w:rFonts w:ascii="方正仿宋简体" w:hAnsi="方正仿宋简体" w:eastAsia="方正仿宋简体" w:cs="方正仿宋简体"/>
                <w:color w:val="auto"/>
                <w:sz w:val="28"/>
                <w:u w:val="none"/>
              </w:rPr>
            </w:pP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02"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2463"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20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99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107"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4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756.75</w:t>
            </w:r>
          </w:p>
        </w:tc>
        <w:tc>
          <w:tcPr>
            <w:tcW w:w="13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96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571.67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89.37 </w:t>
            </w:r>
          </w:p>
        </w:tc>
        <w:tc>
          <w:tcPr>
            <w:tcW w:w="1380" w:type="dxa"/>
            <w:noWrap/>
            <w:vAlign w:val="center"/>
          </w:tcPr>
          <w:p>
            <w:pPr>
              <w:jc w:val="right"/>
              <w:rPr>
                <w:rFonts w:ascii="方正仿宋简体" w:hAnsi="Times New Roman" w:eastAsia="方正仿宋简体"/>
                <w:sz w:val="28"/>
                <w:szCs w:val="28"/>
              </w:rPr>
            </w:pP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455"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41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2080506</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455"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410" w:type="dxa"/>
            <w:noWrap/>
            <w:vAlign w:val="bottom"/>
          </w:tcPr>
          <w:p>
            <w:pPr>
              <w:jc w:val="right"/>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center"/>
              <w:rPr>
                <w:rFonts w:ascii="方正仿宋简体" w:hAnsi="方正仿宋简体" w:eastAsia="方正仿宋简体" w:cs="方正仿宋简体"/>
                <w:sz w:val="28"/>
              </w:rPr>
            </w:pPr>
          </w:p>
        </w:tc>
        <w:tc>
          <w:tcPr>
            <w:tcW w:w="900" w:type="dxa"/>
            <w:noWrap/>
            <w:vAlign w:val="center"/>
          </w:tcPr>
          <w:p>
            <w:pPr>
              <w:spacing w:line="560" w:lineRule="exact"/>
              <w:jc w:val="center"/>
              <w:rPr>
                <w:rFonts w:ascii="方正仿宋简体" w:hAnsi="方正仿宋简体" w:eastAsia="方正仿宋简体" w:cs="方正仿宋简体"/>
                <w:sz w:val="28"/>
              </w:rPr>
            </w:pPr>
          </w:p>
        </w:tc>
        <w:tc>
          <w:tcPr>
            <w:tcW w:w="1354" w:type="dxa"/>
            <w:noWrap/>
            <w:vAlign w:val="center"/>
          </w:tcPr>
          <w:p>
            <w:pPr>
              <w:spacing w:line="560" w:lineRule="exact"/>
              <w:jc w:val="center"/>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960" w:type="dxa"/>
            <w:noWrap/>
            <w:vAlign w:val="center"/>
          </w:tcPr>
          <w:p>
            <w:pPr>
              <w:spacing w:line="560" w:lineRule="exact"/>
              <w:jc w:val="left"/>
              <w:rPr>
                <w:rFonts w:ascii="方正仿宋简体" w:hAnsi="方正仿宋简体" w:eastAsia="方正仿宋简体" w:cs="方正仿宋简体"/>
                <w:sz w:val="28"/>
              </w:rPr>
            </w:pPr>
          </w:p>
        </w:tc>
        <w:tc>
          <w:tcPr>
            <w:tcW w:w="900" w:type="dxa"/>
            <w:noWrap/>
            <w:vAlign w:val="center"/>
          </w:tcPr>
          <w:p>
            <w:pPr>
              <w:spacing w:line="560" w:lineRule="exact"/>
              <w:jc w:val="left"/>
              <w:rPr>
                <w:rFonts w:ascii="方正仿宋简体" w:hAnsi="方正仿宋简体" w:eastAsia="方正仿宋简体" w:cs="方正仿宋简体"/>
                <w:sz w:val="28"/>
              </w:rPr>
            </w:pPr>
          </w:p>
        </w:tc>
        <w:tc>
          <w:tcPr>
            <w:tcW w:w="1354" w:type="dxa"/>
            <w:noWrap/>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50</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noWrap/>
            <w:vAlign w:val="center"/>
          </w:tcPr>
          <w:p>
            <w:pPr>
              <w:jc w:val="right"/>
              <w:rPr>
                <w:rFonts w:ascii="方正仿宋简体" w:hAnsi="Times New Roman" w:eastAsia="方正仿宋简体"/>
                <w:sz w:val="28"/>
                <w:szCs w:val="28"/>
              </w:rPr>
            </w:pP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410" w:type="dxa"/>
            <w:noWrap/>
            <w:vAlign w:val="center"/>
          </w:tcPr>
          <w:p>
            <w:pPr>
              <w:jc w:val="right"/>
              <w:rPr>
                <w:rFonts w:ascii="方正仿宋简体" w:hAnsi="Times New Roman" w:eastAsia="方正仿宋简体"/>
                <w:sz w:val="28"/>
                <w:szCs w:val="28"/>
              </w:rPr>
            </w:pP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22102</w:t>
            </w:r>
          </w:p>
        </w:tc>
        <w:tc>
          <w:tcPr>
            <w:tcW w:w="484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455"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1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380" w:type="dxa"/>
            <w:noWrap/>
            <w:vAlign w:val="center"/>
          </w:tcPr>
          <w:p>
            <w:pPr>
              <w:jc w:val="right"/>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9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571.67</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68.75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72.61</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43.72</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420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911.75</w:t>
            </w:r>
          </w:p>
        </w:tc>
        <w:tc>
          <w:tcPr>
            <w:tcW w:w="106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noWrap/>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noWrap/>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911.75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756.75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667.38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一般公共服务支出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571.67</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政府办公厅（室）及相关机构事务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行政运行</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482.30</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482.30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2010302</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一般行政管理事务</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1534" w:type="dxa"/>
            <w:noWrap/>
            <w:vAlign w:val="center"/>
          </w:tcPr>
          <w:p>
            <w:pPr>
              <w:jc w:val="center"/>
              <w:rPr>
                <w:rFonts w:ascii="方正仿宋简体" w:hAnsi="Times New Roman"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2011308</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社会保障和就业支出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行政事业单位养老支出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68.75</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68.75 </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56.75</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56.75</w:t>
            </w:r>
          </w:p>
        </w:tc>
        <w:tc>
          <w:tcPr>
            <w:tcW w:w="148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145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机关事业单位职业年金缴费支出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12.00</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12.00</w:t>
            </w:r>
          </w:p>
        </w:tc>
        <w:tc>
          <w:tcPr>
            <w:tcW w:w="148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卫生健康支出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行政事业单位医疗</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2101101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行政单位医疗</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72.61</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农林水支出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巩固脱贫衔接乡村振兴</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2130504</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农村基础设施建设</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p>
            <w:pPr>
              <w:pStyle w:val="19"/>
              <w:rPr>
                <w:rStyle w:val="11"/>
                <w:rFonts w:ascii="方正仿宋简体" w:hAnsi="方正仿宋简体" w:eastAsia="方正仿宋简体" w:cs="方正仿宋简体"/>
                <w:color w:val="auto"/>
                <w:sz w:val="28"/>
                <w:u w:val="none"/>
              </w:rPr>
            </w:pP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农村综合改革</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p>
        </w:tc>
        <w:tc>
          <w:tcPr>
            <w:tcW w:w="1455" w:type="dxa"/>
            <w:noWrap/>
            <w:vAlign w:val="center"/>
          </w:tcPr>
          <w:p>
            <w:pPr>
              <w:jc w:val="center"/>
              <w:rPr>
                <w:rFonts w:ascii="方正仿宋简体" w:hAnsi="Times New Roman" w:eastAsia="方正仿宋简体"/>
              </w:rPr>
            </w:pP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2130705</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对村委会和村党支部的补助</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c>
          <w:tcPr>
            <w:tcW w:w="1560" w:type="dxa"/>
            <w:noWrap/>
            <w:vAlign w:val="center"/>
          </w:tcPr>
          <w:p>
            <w:pPr>
              <w:jc w:val="center"/>
              <w:rPr>
                <w:rFonts w:ascii="方正仿宋简体" w:hAnsi="Times New Roman" w:eastAsia="方正仿宋简体"/>
                <w:sz w:val="28"/>
                <w:szCs w:val="28"/>
              </w:rPr>
            </w:pPr>
          </w:p>
        </w:tc>
        <w:tc>
          <w:tcPr>
            <w:tcW w:w="1485" w:type="dxa"/>
            <w:noWrap/>
            <w:vAlign w:val="center"/>
          </w:tcPr>
          <w:p>
            <w:pPr>
              <w:jc w:val="center"/>
              <w:rPr>
                <w:rFonts w:ascii="方正仿宋简体" w:hAnsi="Times New Roman" w:eastAsia="方正仿宋简体"/>
                <w:sz w:val="28"/>
                <w:szCs w:val="28"/>
              </w:rPr>
            </w:pPr>
          </w:p>
        </w:tc>
        <w:tc>
          <w:tcPr>
            <w:tcW w:w="1455" w:type="dxa"/>
            <w:noWrap/>
            <w:vAlign w:val="center"/>
          </w:tcPr>
          <w:p>
            <w:pPr>
              <w:jc w:val="center"/>
              <w:rPr>
                <w:rFonts w:ascii="方正仿宋简体" w:hAnsi="Times New Roman" w:eastAsia="方正仿宋简体"/>
              </w:rPr>
            </w:pPr>
          </w:p>
        </w:tc>
        <w:tc>
          <w:tcPr>
            <w:tcW w:w="1534"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住房保障支出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19"/>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75"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住房改革支出</w:t>
            </w:r>
          </w:p>
        </w:tc>
        <w:tc>
          <w:tcPr>
            <w:tcW w:w="151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56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8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1455"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c>
          <w:tcPr>
            <w:tcW w:w="1534"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noWrap/>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756.75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667.38</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604.27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604.27</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166.4</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166.4</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148.03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148.03</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预留工资</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9.6</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9.6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7.54</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7.54</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noWrap/>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65.06</w:t>
            </w:r>
          </w:p>
        </w:tc>
        <w:tc>
          <w:tcPr>
            <w:tcW w:w="2565" w:type="dxa"/>
            <w:noWrap/>
            <w:vAlign w:val="bottom"/>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65.06</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56.75</w:t>
            </w:r>
          </w:p>
        </w:tc>
        <w:tc>
          <w:tcPr>
            <w:tcW w:w="2329" w:type="dxa"/>
            <w:noWrap/>
            <w:vAlign w:val="center"/>
          </w:tcPr>
          <w:p>
            <w:pPr>
              <w:jc w:val="center"/>
              <w:rPr>
                <w:rFonts w:ascii="方正仿宋简体" w:hAnsi="Times New Roman" w:eastAsia="方正仿宋简体"/>
                <w:sz w:val="22"/>
              </w:rPr>
            </w:pPr>
            <w:r>
              <w:rPr>
                <w:rFonts w:hint="eastAsia" w:ascii="方正仿宋简体" w:hAnsi="Times New Roman" w:eastAsia="方正仿宋简体"/>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12</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28.03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28.03</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31.23</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31.23</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事业单位失业保险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4.78</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4.78</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自收自支工资保险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10.87</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10.87</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招聘人员工资保险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20.26</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20.26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43.72</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30206</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电费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1.59</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30208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取暖费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维修(护)费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30217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公务接待费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4.14</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4.27</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23.16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6.75</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w:t>
            </w:r>
          </w:p>
        </w:tc>
        <w:tc>
          <w:tcPr>
            <w:tcW w:w="2329"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对个人和家庭的补助</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63.11</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63.11</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30307</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全额离退休人员医疗保险</w:t>
            </w:r>
          </w:p>
        </w:tc>
        <w:tc>
          <w:tcPr>
            <w:tcW w:w="2640"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13.35</w:t>
            </w:r>
          </w:p>
        </w:tc>
        <w:tc>
          <w:tcPr>
            <w:tcW w:w="2565" w:type="dxa"/>
            <w:noWrap/>
            <w:vAlign w:val="bottom"/>
          </w:tcPr>
          <w:p>
            <w:pPr>
              <w:jc w:val="center"/>
              <w:rPr>
                <w:rFonts w:ascii="方正仿宋简体" w:hAnsi="方正书宋_GBK" w:eastAsia="方正仿宋简体" w:cs="宋体"/>
                <w:sz w:val="28"/>
                <w:szCs w:val="28"/>
              </w:rPr>
            </w:pPr>
            <w:r>
              <w:rPr>
                <w:rFonts w:hint="eastAsia" w:ascii="方正仿宋简体" w:hAnsi="方正书宋_GBK" w:eastAsia="方正仿宋简体"/>
                <w:sz w:val="28"/>
                <w:szCs w:val="28"/>
              </w:rPr>
              <w:t>13.35</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30304</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抚恤金</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9.6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w:t>
            </w:r>
          </w:p>
        </w:tc>
        <w:tc>
          <w:tcPr>
            <w:tcW w:w="1515"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noWrap/>
            <w:vAlign w:val="center"/>
          </w:tcPr>
          <w:p>
            <w:pPr>
              <w:rPr>
                <w:rFonts w:ascii="方正仿宋简体" w:hAnsi="宋体" w:eastAsia="方正仿宋简体" w:cs="宋体"/>
                <w:sz w:val="28"/>
                <w:szCs w:val="28"/>
              </w:rPr>
            </w:pPr>
            <w:r>
              <w:rPr>
                <w:rFonts w:hint="eastAsia" w:ascii="方正仿宋简体" w:eastAsia="方正仿宋简体"/>
                <w:sz w:val="28"/>
                <w:szCs w:val="28"/>
              </w:rPr>
              <w:t>住宅取暖费</w:t>
            </w:r>
          </w:p>
        </w:tc>
        <w:tc>
          <w:tcPr>
            <w:tcW w:w="2640"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40.16</w:t>
            </w:r>
          </w:p>
        </w:tc>
        <w:tc>
          <w:tcPr>
            <w:tcW w:w="2565"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40.16</w:t>
            </w:r>
          </w:p>
        </w:tc>
        <w:tc>
          <w:tcPr>
            <w:tcW w:w="2329" w:type="dxa"/>
            <w:noWrap/>
            <w:vAlign w:val="center"/>
          </w:tcPr>
          <w:p>
            <w:pPr>
              <w:jc w:val="center"/>
              <w:rPr>
                <w:rFonts w:ascii="方正仿宋简体" w:hAnsi="Times New Roman" w:eastAsia="方正仿宋简体"/>
                <w:sz w:val="24"/>
                <w:szCs w:val="24"/>
              </w:rPr>
            </w:pPr>
            <w:r>
              <w:rPr>
                <w:rFonts w:hint="eastAsia" w:ascii="方正仿宋简体" w:hAnsi="Times New Roman" w:eastAsia="方正仿宋简体"/>
              </w:rPr>
              <w:t>　</w:t>
            </w: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noWrap/>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szCs w:val="28"/>
                <w:u w:val="none"/>
              </w:rPr>
              <w:t>644 遵化市党峪镇人民政府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20.06</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20.06</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　0.00</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0.00　</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19.2</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noWrap/>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476" w:type="dxa"/>
            <w:noWrap/>
            <w:vAlign w:val="center"/>
          </w:tcPr>
          <w:p>
            <w:pPr>
              <w:jc w:val="center"/>
              <w:rPr>
                <w:rFonts w:ascii="方正仿宋简体" w:hAnsi="Times New Roman" w:eastAsia="方正仿宋简体"/>
                <w:sz w:val="28"/>
                <w:szCs w:val="28"/>
              </w:rPr>
            </w:pPr>
            <w:r>
              <w:rPr>
                <w:rFonts w:hint="eastAsia" w:ascii="方正仿宋简体" w:hAnsi="Times New Roman" w:eastAsia="方正仿宋简体"/>
                <w:sz w:val="28"/>
                <w:szCs w:val="28"/>
              </w:rPr>
              <w:t>0.86</w:t>
            </w: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遵化市党峪镇人民政府部门2022年部门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tabs>
          <w:tab w:val="left" w:pos="540"/>
        </w:tabs>
        <w:ind w:firstLine="720" w:firstLineChars="225"/>
        <w:rPr>
          <w:rFonts w:ascii="方正仿宋简体" w:hAnsi="黑体" w:eastAsia="方正仿宋简体" w:cs="黑体"/>
          <w:sz w:val="32"/>
          <w:szCs w:val="32"/>
        </w:rPr>
      </w:pPr>
      <w:bookmarkStart w:id="0" w:name="_Toc68791546"/>
      <w:r>
        <w:rPr>
          <w:rFonts w:hint="eastAsia" w:ascii="方正仿宋简体" w:hAnsi="黑体" w:eastAsia="方正仿宋简体" w:cs="黑体"/>
          <w:sz w:val="32"/>
          <w:szCs w:val="32"/>
        </w:rPr>
        <w:t>按照《中华人民共和国</w:t>
      </w:r>
      <w:bookmarkStart w:id="8" w:name="_GoBack"/>
      <w:bookmarkEnd w:id="8"/>
      <w:r>
        <w:rPr>
          <w:rFonts w:hint="eastAsia" w:ascii="方正仿宋简体" w:hAnsi="黑体" w:eastAsia="方正仿宋简体" w:cs="黑体"/>
          <w:sz w:val="32"/>
          <w:szCs w:val="32"/>
        </w:rPr>
        <w:t>预算法》、《地方预决算公开操作规程》和《河北省省级预算公开办法》规定，现将遵化市党峪镇人民政府2022年部门预算公开如下：</w:t>
      </w:r>
    </w:p>
    <w:p>
      <w:pPr>
        <w:tabs>
          <w:tab w:val="left" w:pos="540"/>
        </w:tabs>
        <w:ind w:firstLine="720" w:firstLineChars="225"/>
        <w:rPr>
          <w:rFonts w:ascii="方正仿宋简体" w:hAnsi="黑体" w:eastAsia="方正仿宋简体" w:cs="黑体"/>
          <w:color w:val="000000"/>
          <w:kern w:val="0"/>
          <w:sz w:val="32"/>
          <w:szCs w:val="32"/>
        </w:rPr>
      </w:pPr>
      <w:r>
        <w:rPr>
          <w:rFonts w:hint="eastAsia" w:ascii="方正仿宋简体" w:hAnsi="黑体" w:eastAsia="方正仿宋简体" w:cs="黑体"/>
          <w:color w:val="000000"/>
          <w:kern w:val="0"/>
          <w:sz w:val="32"/>
          <w:szCs w:val="32"/>
        </w:rPr>
        <w:t>一、</w:t>
      </w:r>
      <w:r>
        <w:rPr>
          <w:rFonts w:hint="eastAsia" w:ascii="方正楷体_GBK" w:hAnsi="方正楷体_GBK" w:eastAsia="方正黑体简体" w:cs="黑体"/>
          <w:b/>
          <w:sz w:val="32"/>
          <w:szCs w:val="32"/>
        </w:rPr>
        <w:t>部门职责及机构设置情况</w:t>
      </w:r>
    </w:p>
    <w:p>
      <w:pPr>
        <w:tabs>
          <w:tab w:val="left" w:pos="540"/>
        </w:tabs>
        <w:ind w:firstLine="720" w:firstLineChars="225"/>
        <w:rPr>
          <w:rFonts w:ascii="方正仿宋简体" w:hAnsi="黑体" w:eastAsia="方正仿宋简体" w:cs="黑体"/>
          <w:color w:val="000000"/>
          <w:kern w:val="0"/>
          <w:sz w:val="32"/>
          <w:szCs w:val="32"/>
        </w:rPr>
      </w:pPr>
      <w:r>
        <w:rPr>
          <w:rFonts w:hint="eastAsia" w:ascii="方正楷体简体" w:hAnsi="黑体" w:eastAsia="方正楷体简体" w:cs="黑体"/>
          <w:sz w:val="32"/>
          <w:szCs w:val="32"/>
        </w:rPr>
        <w:t>(一)部门职责</w:t>
      </w:r>
      <w:r>
        <w:rPr>
          <w:rFonts w:hint="eastAsia" w:ascii="黑体" w:hAnsi="黑体" w:eastAsia="黑体" w:cs="黑体"/>
          <w:sz w:val="28"/>
          <w:szCs w:val="28"/>
        </w:rPr>
        <w:t>:</w:t>
      </w:r>
      <w:r>
        <w:rPr>
          <w:rFonts w:hint="eastAsia" w:ascii="方正仿宋简体" w:hAnsi="方正仿宋简体" w:eastAsia="方正仿宋简体" w:cs="方正仿宋简体"/>
          <w:sz w:val="32"/>
          <w:szCs w:val="32"/>
        </w:rPr>
        <w:t xml:space="preserve"> 根据《党峪镇职能配置、机构设置和人员编制规定》（遵办字〔2020〕24号）的通知，遵化市党峪镇人民政府的主要职责是：</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宣传贯彻执行党的路线方针政策和党中央、上级党组织及本镇党员代表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2、讨论和决定本镇经济建设、政治建设、社会建设、生态文明建设和党的建设以及乡村振兴中的重大问题。</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7、按照干部管理权限，负责对干部的教育、培训、选拔、考核和监督工作。协助管理上级有关部门驻镇单位的干部。做好人才服务工作。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10、承办上级党委、人大、政府交办的其他事项。</w:t>
      </w:r>
    </w:p>
    <w:p>
      <w:pPr>
        <w:spacing w:line="616" w:lineRule="atLeast"/>
        <w:ind w:firstLine="555"/>
        <w:rPr>
          <w:rFonts w:ascii="方正仿宋简体" w:hAnsi="黑体" w:eastAsia="方正仿宋简体" w:cs="黑体"/>
          <w:b/>
          <w:sz w:val="32"/>
          <w:szCs w:val="32"/>
        </w:rPr>
      </w:pPr>
      <w:r>
        <w:rPr>
          <w:rFonts w:hint="eastAsia" w:ascii="方正楷体简体" w:hAnsi="黑体" w:eastAsia="方正楷体简体" w:cs="黑体"/>
          <w:sz w:val="32"/>
          <w:szCs w:val="32"/>
        </w:rPr>
        <w:t>（二）机构设置</w:t>
      </w:r>
      <w:r>
        <w:rPr>
          <w:rFonts w:hint="eastAsia" w:ascii="方正仿宋简体" w:hAnsi="黑体" w:eastAsia="方正仿宋简体" w:cs="黑体"/>
          <w:b/>
          <w:sz w:val="32"/>
          <w:szCs w:val="32"/>
        </w:rPr>
        <w:t>：</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1、党政综合办公室（财政所）</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2、党建工作办公室（人大主席团办公室）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3、应急管理办公室（发展改革办公室）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5、综合行政执法队（综合指挥和信息化网络中心、社会治理办公室）。为公益一类事业单位，核定财政性资金基本保证事业编制10名，其中队长1名，副队长2名。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6、行政综合服务中心（综合文化服务站）。为公益一类事业单位，核定财政性资金基本保证事业编制7名，其中主任1名，副主任1名。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4"/>
        <w:spacing w:line="570" w:lineRule="exact"/>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7、农业综合服务中心。为公益一类事业单位，核定财政性资金基本保证事业编制5名，其中主任1名，副主任1名。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8、退役军人服务站。为公益一类事业单位，核定财政性资金基本保证事业编制3名，其中站长1名。</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1"/>
        <w:gridCol w:w="1709"/>
        <w:gridCol w:w="1469"/>
        <w:gridCol w:w="3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3751" w:type="dxa"/>
            <w:vMerge w:val="restart"/>
            <w:noWrap/>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continue"/>
            <w:noWrap/>
            <w:vAlign w:val="center"/>
          </w:tcPr>
          <w:p>
            <w:pPr>
              <w:spacing w:line="300" w:lineRule="exact"/>
              <w:jc w:val="left"/>
              <w:outlineLvl w:val="0"/>
              <w:rPr>
                <w:rFonts w:ascii="黑体" w:hAnsi="黑体" w:eastAsia="黑体" w:cs="黑体"/>
                <w:sz w:val="28"/>
                <w:szCs w:val="28"/>
              </w:rPr>
            </w:pPr>
          </w:p>
        </w:tc>
        <w:tc>
          <w:tcPr>
            <w:tcW w:w="1709" w:type="dxa"/>
            <w:vMerge w:val="continue"/>
            <w:noWrap/>
            <w:vAlign w:val="center"/>
          </w:tcPr>
          <w:p>
            <w:pPr>
              <w:spacing w:line="300" w:lineRule="exact"/>
              <w:jc w:val="left"/>
              <w:outlineLvl w:val="0"/>
              <w:rPr>
                <w:rFonts w:ascii="黑体" w:hAnsi="黑体" w:eastAsia="黑体" w:cs="黑体"/>
                <w:sz w:val="28"/>
                <w:szCs w:val="28"/>
              </w:rPr>
            </w:pPr>
          </w:p>
        </w:tc>
        <w:tc>
          <w:tcPr>
            <w:tcW w:w="1469" w:type="dxa"/>
            <w:vMerge w:val="continue"/>
            <w:noWrap/>
            <w:vAlign w:val="center"/>
          </w:tcPr>
          <w:p>
            <w:pPr>
              <w:spacing w:line="300" w:lineRule="exact"/>
              <w:jc w:val="left"/>
              <w:outlineLvl w:val="0"/>
              <w:rPr>
                <w:rFonts w:ascii="黑体" w:hAnsi="黑体" w:eastAsia="黑体" w:cs="黑体"/>
                <w:sz w:val="28"/>
                <w:szCs w:val="28"/>
              </w:rPr>
            </w:pPr>
          </w:p>
        </w:tc>
        <w:tc>
          <w:tcPr>
            <w:tcW w:w="3751" w:type="dxa"/>
            <w:vMerge w:val="continue"/>
            <w:noWrap/>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5781" w:type="dxa"/>
            <w:noWrap/>
            <w:vAlign w:val="center"/>
          </w:tcPr>
          <w:p>
            <w:pPr>
              <w:spacing w:line="300" w:lineRule="exact"/>
              <w:jc w:val="left"/>
              <w:rPr>
                <w:rFonts w:ascii="方正仿宋简体" w:hAnsi="宋体" w:eastAsia="方正仿宋简体" w:cs="黑体"/>
                <w:sz w:val="32"/>
                <w:szCs w:val="32"/>
              </w:rPr>
            </w:pPr>
            <w:r>
              <w:rPr>
                <w:rFonts w:hint="eastAsia" w:ascii="方正仿宋简体" w:hAnsi="宋体" w:eastAsia="方正仿宋简体" w:cs="黑体"/>
                <w:sz w:val="32"/>
                <w:szCs w:val="32"/>
              </w:rPr>
              <w:t>遵化市党峪镇人民政府本级</w:t>
            </w:r>
          </w:p>
        </w:tc>
        <w:tc>
          <w:tcPr>
            <w:tcW w:w="1709"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行政</w:t>
            </w:r>
          </w:p>
        </w:tc>
        <w:tc>
          <w:tcPr>
            <w:tcW w:w="1469"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正科级</w:t>
            </w:r>
          </w:p>
        </w:tc>
        <w:tc>
          <w:tcPr>
            <w:tcW w:w="3751" w:type="dxa"/>
            <w:noWrap/>
            <w:vAlign w:val="center"/>
          </w:tcPr>
          <w:p>
            <w:pPr>
              <w:spacing w:line="300" w:lineRule="exact"/>
              <w:jc w:val="center"/>
              <w:rPr>
                <w:rFonts w:ascii="方正仿宋简体" w:hAnsi="宋体" w:eastAsia="方正仿宋简体" w:cs="黑体"/>
                <w:sz w:val="32"/>
                <w:szCs w:val="32"/>
              </w:rPr>
            </w:pPr>
            <w:r>
              <w:rPr>
                <w:rFonts w:hint="eastAsia" w:ascii="方正仿宋简体" w:hAnsi="宋体" w:eastAsia="方正仿宋简体" w:cs="黑体"/>
                <w:sz w:val="32"/>
                <w:szCs w:val="32"/>
              </w:rPr>
              <w:t>财政拨款</w:t>
            </w:r>
          </w:p>
        </w:tc>
      </w:tr>
      <w:bookmarkEnd w:id="0"/>
    </w:tbl>
    <w:p>
      <w:pPr>
        <w:rPr>
          <w:rFonts w:ascii="方正楷体_GBK" w:hAnsi="方正楷体_GBK" w:eastAsia="黑体" w:cs="黑体"/>
          <w:b/>
          <w:bCs/>
          <w:sz w:val="32"/>
          <w:szCs w:val="32"/>
        </w:rPr>
      </w:pPr>
      <w:bookmarkStart w:id="1" w:name="_Toc68791550"/>
    </w:p>
    <w:p>
      <w:pPr>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 xml:space="preserve"> 二、部门预算安排的总体情况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（一）收入情况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反映本部门当年全部收入。2022年预算收入911.75万元，其中：一般公共预算收入911.75万元，基金预算收入0万元，财政专户核拨收入0万元，其他来源收入0万元。</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（二）支出情况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党峪镇人民政府2022年度部门预算中支出预算的总体情况。2022年支出预算911.75万元，其中基本支出756.75万元，包括人员经费667.38万元和日常公用经费89.37万元；项目支出155万元，主要是乡镇服务群众经费。</w:t>
      </w:r>
    </w:p>
    <w:p>
      <w:pPr>
        <w:spacing w:line="570" w:lineRule="exact"/>
        <w:ind w:firstLine="640"/>
        <w:rPr>
          <w:rFonts w:ascii="方正楷体简体" w:hAnsi="黑体" w:eastAsia="方正楷体简体" w:cs="黑体"/>
          <w:sz w:val="32"/>
          <w:szCs w:val="32"/>
        </w:rPr>
      </w:pPr>
      <w:r>
        <w:rPr>
          <w:rFonts w:hint="eastAsia" w:ascii="方正楷体简体" w:hAnsi="黑体" w:eastAsia="方正楷体简体" w:cs="黑体"/>
          <w:sz w:val="32"/>
          <w:szCs w:val="32"/>
        </w:rPr>
        <w:t>（三）比上年增减情况</w:t>
      </w:r>
    </w:p>
    <w:p>
      <w:pPr>
        <w:spacing w:line="570" w:lineRule="exact"/>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2022年预算收支安排911.75万元，较2021年预算增加138.01万元，其中：基本支出增加16.01万元，主要为增加人员经费支出14.71万元（增人增资所致编）；日常公用经费增加1.3万元（增加原因主要是增人所致）;项目支出155万元，主要服务群众专项经费及老区建设资金沥青路面翻新硬化。</w:t>
      </w:r>
    </w:p>
    <w:p>
      <w:pPr>
        <w:autoSpaceDE w:val="0"/>
        <w:autoSpaceDN w:val="0"/>
        <w:adjustRightInd w:val="0"/>
        <w:spacing w:line="570" w:lineRule="exact"/>
        <w:ind w:firstLine="640" w:firstLineChars="200"/>
        <w:jc w:val="left"/>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三、机关运行经费安排情况</w:t>
      </w:r>
    </w:p>
    <w:p>
      <w:pPr>
        <w:pStyle w:val="24"/>
        <w:spacing w:line="570" w:lineRule="exact"/>
        <w:ind w:firstLine="640"/>
        <w:rPr>
          <w:rFonts w:ascii="方正仿宋简体" w:hAnsi="方正仿宋简体" w:eastAsia="方正仿宋简体" w:cs="方正仿宋简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rPr>
        <w:t>89.37</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2022年机关办公费、电费、邮电费、取暖费、差旅费、会议费、培训费、 公务用车运行维护费、离退休干部经费、公务接待费、工会经费及福利费、公务交通补贴</w:t>
      </w:r>
      <w:r>
        <w:rPr>
          <w:rFonts w:hint="eastAsia" w:ascii="方正仿宋简体" w:hAnsi="方正仿宋简体" w:eastAsia="方正仿宋简体" w:cs="方正仿宋简体"/>
          <w:sz w:val="32"/>
          <w:szCs w:val="32"/>
        </w:rPr>
        <w:t>等日常运行支出。</w:t>
      </w:r>
    </w:p>
    <w:p>
      <w:pPr>
        <w:autoSpaceDE w:val="0"/>
        <w:autoSpaceDN w:val="0"/>
        <w:adjustRightInd w:val="0"/>
        <w:spacing w:line="570" w:lineRule="exact"/>
        <w:ind w:firstLine="640" w:firstLineChars="200"/>
        <w:jc w:val="left"/>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2022年我镇“三公”经费预算安排20.06万元，较2021年预算减少0.1万元。具体安排情况为： </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楷体简体" w:hAnsi="黑体" w:eastAsia="方正楷体简体" w:cs="黑体"/>
          <w:sz w:val="32"/>
          <w:szCs w:val="32"/>
        </w:rPr>
        <w:t xml:space="preserve"> （一）公务用车购置及运行费</w:t>
      </w:r>
      <w:r>
        <w:rPr>
          <w:rFonts w:hint="eastAsia" w:ascii="方正仿宋简体" w:hAnsi="黑体" w:eastAsia="方正仿宋简体" w:cs="黑体"/>
          <w:b/>
          <w:sz w:val="32"/>
          <w:szCs w:val="32"/>
        </w:rPr>
        <w:t>。</w:t>
      </w:r>
      <w:r>
        <w:rPr>
          <w:rFonts w:hint="eastAsia" w:ascii="方正仿宋简体" w:hAnsi="黑体" w:eastAsia="方正仿宋简体" w:cs="黑体"/>
          <w:sz w:val="32"/>
          <w:szCs w:val="32"/>
        </w:rPr>
        <w:t>共计安排19.2万元，较2021年预算减少0.1万元。其中①公务用车购置安排0万元，与2021年持平，无增减变化。②公车运行维护经费安排19.2万元，较上年预算减少0.1万，其主要原因：是厉行节约，减少公车运行费用。</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楷体简体" w:hAnsi="黑体" w:eastAsia="方正楷体简体" w:cs="黑体"/>
          <w:sz w:val="32"/>
          <w:szCs w:val="32"/>
        </w:rPr>
      </w:pPr>
      <w:r>
        <w:rPr>
          <w:rFonts w:hint="eastAsia" w:ascii="方正楷体简体" w:hAnsi="黑体" w:eastAsia="方正楷体简体" w:cs="黑体"/>
          <w:sz w:val="32"/>
          <w:szCs w:val="32"/>
        </w:rPr>
        <w:t>（二）公务接待费。</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2022年安排0.86万元，与2021年预算持平，按照统一定额标准计算，无增减变化。</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楷体简体" w:hAnsi="黑体" w:eastAsia="方正楷体简体" w:cs="黑体"/>
          <w:sz w:val="32"/>
          <w:szCs w:val="32"/>
        </w:rPr>
      </w:pPr>
      <w:r>
        <w:rPr>
          <w:rFonts w:hint="eastAsia" w:ascii="方正楷体简体" w:hAnsi="黑体" w:eastAsia="方正楷体简体" w:cs="黑体"/>
          <w:sz w:val="32"/>
          <w:szCs w:val="32"/>
        </w:rPr>
        <w:t>（三）因公出国（境）费</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2022年安排0万元</w:t>
      </w:r>
      <w:r>
        <w:rPr>
          <w:rFonts w:hint="eastAsia" w:ascii="方正仿宋简体" w:hAnsi="黑体" w:eastAsia="方正仿宋简体" w:cs="黑体"/>
          <w:b/>
          <w:sz w:val="32"/>
          <w:szCs w:val="32"/>
        </w:rPr>
        <w:t>，</w:t>
      </w:r>
      <w:r>
        <w:rPr>
          <w:rFonts w:hint="eastAsia" w:ascii="方正仿宋简体" w:hAnsi="黑体" w:eastAsia="方正仿宋简体" w:cs="黑体"/>
          <w:sz w:val="32"/>
          <w:szCs w:val="32"/>
        </w:rPr>
        <w:t>与2021年持平，按照统一定额标准计算，无增减变化。</w:t>
      </w:r>
    </w:p>
    <w:p>
      <w:pPr>
        <w:tabs>
          <w:tab w:val="left" w:pos="5955"/>
        </w:tabs>
        <w:spacing w:line="570" w:lineRule="exact"/>
        <w:rPr>
          <w:rFonts w:ascii="方正黑体简体" w:hAnsi="方正楷体_GBK" w:eastAsia="方正黑体简体" w:cs="黑体"/>
          <w:bCs/>
          <w:sz w:val="32"/>
          <w:szCs w:val="32"/>
        </w:rPr>
      </w:pPr>
    </w:p>
    <w:p>
      <w:pPr>
        <w:tabs>
          <w:tab w:val="left" w:pos="5955"/>
        </w:tabs>
        <w:spacing w:line="570" w:lineRule="exact"/>
        <w:ind w:firstLine="467" w:firstLineChars="146"/>
        <w:rPr>
          <w:rFonts w:ascii="方正黑体简体" w:hAnsi="方正楷体_GBK" w:eastAsia="方正黑体简体" w:cs="黑体"/>
          <w:bCs/>
          <w:sz w:val="32"/>
          <w:szCs w:val="32"/>
        </w:rPr>
      </w:pPr>
      <w:r>
        <w:rPr>
          <w:rFonts w:hint="eastAsia" w:ascii="方正黑体简体" w:hAnsi="方正楷体_GBK" w:eastAsia="方正黑体简体" w:cs="黑体"/>
          <w:bCs/>
          <w:sz w:val="32"/>
          <w:szCs w:val="32"/>
        </w:rPr>
        <w:t>五、绩效预算信息情况</w:t>
      </w:r>
    </w:p>
    <w:p>
      <w:pPr>
        <w:spacing w:line="570" w:lineRule="exact"/>
        <w:ind w:firstLine="560"/>
        <w:jc w:val="left"/>
        <w:rPr>
          <w:rFonts w:ascii="黑体" w:hAnsi="黑体" w:eastAsia="黑体" w:cs="方正仿宋简体"/>
          <w:sz w:val="32"/>
          <w:szCs w:val="32"/>
        </w:rPr>
      </w:pPr>
      <w:r>
        <w:rPr>
          <w:rFonts w:hint="eastAsia" w:ascii="黑体" w:hAnsi="黑体" w:eastAsia="黑体" w:cs="方正仿宋简体"/>
          <w:sz w:val="32"/>
          <w:szCs w:val="32"/>
        </w:rPr>
        <w:t>第一部分 部门整体绩效目标</w:t>
      </w:r>
    </w:p>
    <w:p>
      <w:pPr>
        <w:spacing w:line="570" w:lineRule="exact"/>
        <w:ind w:firstLine="640" w:firstLineChars="200"/>
        <w:jc w:val="left"/>
        <w:rPr>
          <w:rFonts w:ascii="方正楷体简体" w:hAnsi="方正楷体_GBK" w:eastAsia="方正楷体简体" w:cs="方正楷体简体"/>
          <w:sz w:val="32"/>
          <w:szCs w:val="32"/>
        </w:rPr>
      </w:pPr>
      <w:r>
        <w:rPr>
          <w:rFonts w:hint="eastAsia" w:ascii="方正楷体简体" w:hAnsi="方正楷体_GBK" w:eastAsia="方正楷体简体" w:cs="方正楷体简体"/>
          <w:sz w:val="32"/>
          <w:szCs w:val="32"/>
        </w:rPr>
        <w:t>（一）总体绩效目标</w:t>
      </w:r>
    </w:p>
    <w:p>
      <w:pPr>
        <w:pStyle w:val="21"/>
        <w:spacing w:line="570" w:lineRule="exact"/>
        <w:ind w:firstLine="640" w:firstLineChars="200"/>
        <w:rPr>
          <w:rFonts w:ascii="方正仿宋简体" w:hAnsi="方正仿宋简体" w:eastAsia="方正仿宋简体"/>
          <w:sz w:val="32"/>
          <w:szCs w:val="32"/>
          <w:lang w:val="uk-UA"/>
        </w:rPr>
      </w:pPr>
      <w:r>
        <w:rPr>
          <w:rFonts w:ascii="方正仿宋简体" w:hAnsi="方正仿宋简体" w:eastAsia="方正仿宋简体"/>
          <w:sz w:val="32"/>
          <w:szCs w:val="32"/>
        </w:rPr>
        <w:t>遵化市党峪镇人民政府绩效预算信息情况</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1、负责政务信息的收集、整理、反馈工作；组织对市政府重要工作、重大决策的调查研究，及时向市政府领导提出建议，当好参谋。</w:t>
      </w:r>
    </w:p>
    <w:p>
      <w:pPr>
        <w:pStyle w:val="21"/>
        <w:spacing w:line="570" w:lineRule="exact"/>
        <w:rPr>
          <w:rFonts w:ascii="方正仿宋简体" w:eastAsia="方正仿宋简体"/>
          <w:sz w:val="32"/>
          <w:szCs w:val="32"/>
        </w:rPr>
      </w:pPr>
      <w:r>
        <w:rPr>
          <w:rFonts w:hint="eastAsia" w:ascii="方正仿宋简体" w:eastAsia="方正仿宋简体"/>
          <w:sz w:val="32"/>
          <w:szCs w:val="32"/>
        </w:rPr>
        <w:t>2、负责镇政府各种会议及活动的准备和服务工作以及议定事项的落实。</w:t>
      </w:r>
    </w:p>
    <w:p>
      <w:pPr>
        <w:pStyle w:val="21"/>
        <w:spacing w:line="570" w:lineRule="exact"/>
        <w:rPr>
          <w:rFonts w:ascii="方正仿宋简体" w:eastAsia="方正仿宋简体"/>
          <w:sz w:val="32"/>
          <w:szCs w:val="32"/>
        </w:rPr>
      </w:pPr>
      <w:r>
        <w:rPr>
          <w:rFonts w:hint="eastAsia" w:ascii="方正仿宋简体" w:eastAsia="方正仿宋简体"/>
          <w:sz w:val="32"/>
          <w:szCs w:val="32"/>
        </w:rPr>
        <w:t xml:space="preserve">3、负责镇政府机关的档案、印章、信件管理和机要保密工作。  </w:t>
      </w:r>
    </w:p>
    <w:p>
      <w:pPr>
        <w:pStyle w:val="21"/>
        <w:spacing w:line="570" w:lineRule="exact"/>
        <w:rPr>
          <w:rFonts w:ascii="方正仿宋简体" w:eastAsia="方正仿宋简体"/>
          <w:sz w:val="32"/>
          <w:szCs w:val="32"/>
        </w:rPr>
      </w:pPr>
      <w:r>
        <w:rPr>
          <w:rFonts w:hint="eastAsia" w:ascii="方正仿宋简体" w:eastAsia="方正仿宋简体"/>
          <w:sz w:val="32"/>
          <w:szCs w:val="32"/>
        </w:rPr>
        <w:t>4、围绕镇政府中心工作和上级政府经济社会发展的重要问题，开展调查研究，为领导决策提供有针对性、实用性、可操作性和超前性的对策和建议，并对决策执行情况进行跟踪调查和反馈。</w:t>
      </w:r>
    </w:p>
    <w:p>
      <w:pPr>
        <w:pStyle w:val="21"/>
        <w:spacing w:line="570" w:lineRule="exact"/>
        <w:rPr>
          <w:rFonts w:ascii="方正仿宋简体" w:eastAsia="方正仿宋简体"/>
          <w:sz w:val="32"/>
          <w:szCs w:val="32"/>
        </w:rPr>
      </w:pPr>
      <w:r>
        <w:rPr>
          <w:rFonts w:hint="eastAsia" w:ascii="方正仿宋简体" w:eastAsia="方正仿宋简体"/>
          <w:sz w:val="32"/>
          <w:szCs w:val="32"/>
        </w:rPr>
        <w:t>5、协调镇政府各部门之间的关系。负责对上级重要文件、市政府会议精神传达、决定事项及市政府领导批示的执行落实情况。</w:t>
      </w:r>
    </w:p>
    <w:p>
      <w:pPr>
        <w:pStyle w:val="21"/>
        <w:spacing w:line="570" w:lineRule="exact"/>
        <w:rPr>
          <w:rFonts w:ascii="方正仿宋简体" w:eastAsia="方正仿宋简体"/>
          <w:sz w:val="32"/>
          <w:szCs w:val="32"/>
        </w:rPr>
      </w:pPr>
      <w:r>
        <w:rPr>
          <w:rFonts w:hint="eastAsia" w:ascii="方正仿宋简体" w:eastAsia="方正仿宋简体"/>
          <w:sz w:val="32"/>
          <w:szCs w:val="32"/>
        </w:rPr>
        <w:t>6、负责镇政府机关值班和处理群众来信、来访的接待及应急管理工作，处理突发事件、重大灾情和重大事故，并负责向上级报告。</w:t>
      </w:r>
    </w:p>
    <w:p>
      <w:pPr>
        <w:pStyle w:val="21"/>
        <w:spacing w:line="570" w:lineRule="exact"/>
        <w:rPr>
          <w:rFonts w:ascii="方正仿宋简体" w:eastAsia="方正仿宋简体"/>
          <w:sz w:val="32"/>
          <w:szCs w:val="32"/>
        </w:rPr>
      </w:pPr>
      <w:r>
        <w:rPr>
          <w:rFonts w:hint="eastAsia" w:ascii="方正仿宋简体" w:eastAsia="方正仿宋简体"/>
          <w:sz w:val="32"/>
          <w:szCs w:val="32"/>
        </w:rPr>
        <w:t>7、负责行政审批上报服务工作。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8、负责全镇农业和农村工作的综合、协调、指导。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9、负责全镇小城镇建设、工业发展、环保、交通、拆迁等工作的综合、协调、督导。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10、负责全镇财税、流通、市场建设、金融等工作的综合、协调、督导。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11、负责档案行政管理工作。</w:t>
      </w:r>
    </w:p>
    <w:p>
      <w:pPr>
        <w:spacing w:line="570" w:lineRule="exact"/>
        <w:jc w:val="left"/>
        <w:rPr>
          <w:rFonts w:ascii="方正楷体简体" w:hAnsi="方正楷体_GBK" w:eastAsia="方正楷体简体" w:cs="方正楷体简体"/>
          <w:sz w:val="32"/>
          <w:szCs w:val="32"/>
        </w:rPr>
      </w:pPr>
      <w:r>
        <w:rPr>
          <w:rFonts w:hint="eastAsia" w:ascii="方正楷体简体" w:hAnsi="方正楷体_GBK" w:eastAsia="方正楷体简体" w:cs="方正楷体简体"/>
          <w:sz w:val="32"/>
          <w:szCs w:val="32"/>
        </w:rPr>
        <w:t xml:space="preserve">   （二）分项绩效目标</w:t>
      </w:r>
    </w:p>
    <w:p>
      <w:pPr>
        <w:pStyle w:val="23"/>
        <w:spacing w:line="570" w:lineRule="exact"/>
        <w:ind w:firstLine="640" w:firstLineChars="200"/>
        <w:rPr>
          <w:rFonts w:ascii="方正仿宋简体" w:eastAsia="方正仿宋简体"/>
          <w:sz w:val="32"/>
          <w:szCs w:val="32"/>
        </w:rPr>
      </w:pPr>
      <w:bookmarkStart w:id="2" w:name="_Toc_2_2_0000000003"/>
      <w:r>
        <w:rPr>
          <w:rFonts w:hint="eastAsia" w:ascii="方正仿宋简体" w:eastAsia="方正仿宋简体"/>
          <w:sz w:val="32"/>
          <w:szCs w:val="32"/>
          <w:lang w:eastAsia="zh-CN"/>
        </w:rPr>
        <w:t>1、</w:t>
      </w:r>
      <w:r>
        <w:rPr>
          <w:rFonts w:hint="eastAsia" w:ascii="方正仿宋简体" w:eastAsia="方正仿宋简体"/>
          <w:sz w:val="32"/>
          <w:szCs w:val="32"/>
        </w:rPr>
        <w:t>乡镇</w:t>
      </w:r>
      <w:r>
        <w:rPr>
          <w:rFonts w:hint="eastAsia" w:ascii="方正仿宋简体" w:eastAsia="方正仿宋简体"/>
          <w:sz w:val="32"/>
          <w:szCs w:val="32"/>
          <w:lang w:eastAsia="zh-CN"/>
        </w:rPr>
        <w:t>服务群众专项</w:t>
      </w:r>
      <w:r>
        <w:rPr>
          <w:rFonts w:hint="eastAsia" w:ascii="方正仿宋简体" w:eastAsia="方正仿宋简体"/>
          <w:sz w:val="32"/>
          <w:szCs w:val="32"/>
        </w:rPr>
        <w:t>经费（</w:t>
      </w:r>
      <w:r>
        <w:rPr>
          <w:rFonts w:hint="eastAsia" w:ascii="方正仿宋简体" w:eastAsia="方正仿宋简体"/>
          <w:sz w:val="32"/>
          <w:szCs w:val="32"/>
          <w:lang w:eastAsia="zh-CN"/>
        </w:rPr>
        <w:t>党</w:t>
      </w:r>
      <w:r>
        <w:rPr>
          <w:rFonts w:hint="eastAsia" w:ascii="方正仿宋简体" w:eastAsia="方正仿宋简体"/>
          <w:sz w:val="32"/>
          <w:szCs w:val="32"/>
        </w:rPr>
        <w:t>峪镇）项目，主要用于乡镇服务群众工作。</w:t>
      </w:r>
    </w:p>
    <w:p>
      <w:pPr>
        <w:pStyle w:val="23"/>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绩效目标：保障我镇主干道等区域配齐环卫设施，推进户分类、组收集、村运转、乡镇处理垃圾集中收集，改善25个村生态环境。</w:t>
      </w:r>
    </w:p>
    <w:p>
      <w:pPr>
        <w:pStyle w:val="23"/>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绩效指标：生活垃圾无害化处理及受益群众满意度的提升率≥90%</w:t>
      </w:r>
    </w:p>
    <w:p>
      <w:pPr>
        <w:pStyle w:val="23"/>
        <w:spacing w:line="570" w:lineRule="exact"/>
        <w:ind w:firstLine="640" w:firstLineChars="200"/>
        <w:rPr>
          <w:rFonts w:ascii="方正仿宋简体" w:hAnsi="方正仿宋_GBK" w:eastAsia="方正仿宋简体"/>
          <w:sz w:val="32"/>
          <w:szCs w:val="32"/>
          <w:lang w:eastAsia="zh-CN"/>
        </w:rPr>
      </w:pPr>
      <w:r>
        <w:rPr>
          <w:rFonts w:hint="eastAsia" w:ascii="方正仿宋简体" w:eastAsia="方正仿宋简体"/>
          <w:sz w:val="32"/>
          <w:szCs w:val="32"/>
          <w:lang w:eastAsia="zh-CN"/>
        </w:rPr>
        <w:t>2、</w:t>
      </w:r>
      <w:r>
        <w:rPr>
          <w:rFonts w:hint="eastAsia" w:ascii="方正仿宋简体" w:hAnsi="方正仿宋_GBK" w:eastAsia="方正仿宋简体"/>
          <w:sz w:val="32"/>
          <w:szCs w:val="32"/>
        </w:rPr>
        <w:t>冀财预[2021]71号关于下达2022年革命老区转移支付资金(党峪112国道至小党峪村东公路沥青路面翻新工程）</w:t>
      </w:r>
      <w:r>
        <w:rPr>
          <w:rFonts w:hint="eastAsia" w:ascii="方正仿宋简体" w:hAnsi="方正仿宋_GBK" w:eastAsia="方正仿宋简体"/>
          <w:sz w:val="32"/>
          <w:szCs w:val="32"/>
          <w:lang w:eastAsia="zh-CN"/>
        </w:rPr>
        <w:t>，主要用于西九村通乡道路面翻新硬化，解决村民出行难问题。</w:t>
      </w:r>
    </w:p>
    <w:p>
      <w:pPr>
        <w:pStyle w:val="23"/>
        <w:spacing w:line="570" w:lineRule="exact"/>
        <w:ind w:firstLine="640" w:firstLineChars="200"/>
        <w:rPr>
          <w:rFonts w:ascii="方正仿宋简体" w:eastAsia="方正仿宋简体"/>
          <w:sz w:val="32"/>
          <w:szCs w:val="32"/>
          <w:lang w:eastAsia="zh-CN"/>
        </w:rPr>
      </w:pPr>
      <w:r>
        <w:rPr>
          <w:rFonts w:hint="eastAsia" w:ascii="方正仿宋简体" w:eastAsia="方正仿宋简体"/>
          <w:sz w:val="32"/>
          <w:szCs w:val="32"/>
          <w:lang w:eastAsia="zh-CN"/>
        </w:rPr>
        <w:t>绩效指标：改善周边群众出行环境，提高群众幸福指数。</w:t>
      </w:r>
    </w:p>
    <w:p>
      <w:pPr>
        <w:spacing w:before="10" w:after="10" w:line="570" w:lineRule="exact"/>
        <w:ind w:firstLine="560"/>
        <w:outlineLvl w:val="1"/>
        <w:rPr>
          <w:rFonts w:ascii="方正楷体简体" w:hAnsi="方正楷体_GBK" w:eastAsia="方正楷体简体"/>
          <w:sz w:val="32"/>
          <w:szCs w:val="32"/>
        </w:rPr>
      </w:pPr>
      <w:r>
        <w:rPr>
          <w:rFonts w:hint="eastAsia" w:ascii="方正楷体简体" w:hAnsi="方正楷体_GBK" w:eastAsia="方正楷体简体" w:cs="方正黑体_GBK"/>
          <w:color w:val="000000"/>
          <w:sz w:val="32"/>
          <w:szCs w:val="32"/>
        </w:rPr>
        <w:t>（三）工作保障措施</w:t>
      </w:r>
      <w:bookmarkEnd w:id="2"/>
    </w:p>
    <w:p>
      <w:pPr>
        <w:pStyle w:val="22"/>
        <w:spacing w:line="570" w:lineRule="exact"/>
        <w:rPr>
          <w:rFonts w:ascii="方正仿宋简体" w:eastAsia="方正仿宋简体"/>
          <w:sz w:val="32"/>
          <w:szCs w:val="32"/>
        </w:rPr>
      </w:pPr>
      <w:r>
        <w:rPr>
          <w:rFonts w:hint="eastAsia" w:ascii="方正仿宋简体" w:eastAsia="方正仿宋简体"/>
          <w:sz w:val="32"/>
          <w:szCs w:val="32"/>
        </w:rPr>
        <w:t>1、完善制度建设。制定完善预算绩效管理制度、资金管理办法、工作保障制度等，为全年预算绩效目标的实现奠定制度基础。</w:t>
      </w:r>
    </w:p>
    <w:p>
      <w:pPr>
        <w:pStyle w:val="22"/>
        <w:spacing w:line="570" w:lineRule="exact"/>
        <w:rPr>
          <w:rFonts w:ascii="方正仿宋简体" w:eastAsia="方正仿宋简体"/>
          <w:sz w:val="32"/>
          <w:szCs w:val="32"/>
        </w:rPr>
      </w:pPr>
      <w:r>
        <w:rPr>
          <w:rFonts w:hint="eastAsia" w:ascii="方正仿宋简体" w:eastAsia="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2"/>
        <w:spacing w:line="570" w:lineRule="exact"/>
        <w:rPr>
          <w:rFonts w:ascii="方正仿宋简体" w:eastAsia="方正仿宋简体"/>
          <w:sz w:val="32"/>
          <w:szCs w:val="32"/>
        </w:rPr>
      </w:pPr>
      <w:r>
        <w:rPr>
          <w:rFonts w:hint="eastAsia" w:ascii="方正仿宋简体" w:eastAsia="方正仿宋简体"/>
          <w:sz w:val="32"/>
          <w:szCs w:val="32"/>
        </w:rPr>
        <w:t>3、加强绩效运行监控。按要求开展绩效运行监控，发现问题及时采取措施，确保绩效目标如期保质实现。</w:t>
      </w:r>
    </w:p>
    <w:p>
      <w:pPr>
        <w:pStyle w:val="22"/>
        <w:spacing w:line="570" w:lineRule="exact"/>
        <w:rPr>
          <w:rFonts w:ascii="方正仿宋简体" w:eastAsia="方正仿宋简体"/>
          <w:sz w:val="32"/>
          <w:szCs w:val="32"/>
        </w:rPr>
      </w:pPr>
      <w:r>
        <w:rPr>
          <w:rFonts w:hint="eastAsia" w:ascii="方正仿宋简体" w:eastAsia="方正仿宋简体"/>
          <w:sz w:val="32"/>
          <w:szCs w:val="32"/>
        </w:rPr>
        <w:t>4、做好绩效自评。按要求开展上年度部门预算绩效自评和重点评价工作，对评价中发现的问题及时整改，调整优化支出结构，提高财政资金使用效益。</w:t>
      </w:r>
    </w:p>
    <w:p>
      <w:pPr>
        <w:pStyle w:val="22"/>
        <w:spacing w:line="570" w:lineRule="exact"/>
        <w:rPr>
          <w:rFonts w:ascii="方正仿宋简体" w:eastAsia="方正仿宋简体"/>
          <w:sz w:val="32"/>
          <w:szCs w:val="32"/>
        </w:rPr>
      </w:pPr>
      <w:r>
        <w:rPr>
          <w:rFonts w:hint="eastAsia" w:ascii="方正仿宋简体" w:eastAsia="方正仿宋简体"/>
          <w:sz w:val="32"/>
          <w:szCs w:val="32"/>
        </w:rPr>
        <w:t>5、规范财务资产管理。完善财务管理制度，严格审批程序，加强固定资产登记、使用和报废处置管理，做到支出合理，物尽其用。</w:t>
      </w:r>
    </w:p>
    <w:p>
      <w:pPr>
        <w:pStyle w:val="22"/>
        <w:spacing w:line="570" w:lineRule="exact"/>
        <w:rPr>
          <w:rFonts w:ascii="方正仿宋简体" w:eastAsia="方正仿宋简体"/>
          <w:sz w:val="32"/>
          <w:szCs w:val="32"/>
        </w:rPr>
      </w:pPr>
      <w:r>
        <w:rPr>
          <w:rFonts w:hint="eastAsia" w:ascii="方正仿宋简体" w:eastAsia="方正仿宋简体"/>
          <w:sz w:val="32"/>
          <w:szCs w:val="32"/>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2"/>
        <w:spacing w:line="570" w:lineRule="exact"/>
        <w:rPr>
          <w:rFonts w:ascii="方正仿宋简体" w:eastAsia="方正仿宋简体"/>
          <w:sz w:val="32"/>
          <w:szCs w:val="32"/>
        </w:rPr>
      </w:pPr>
      <w:r>
        <w:rPr>
          <w:rFonts w:hint="eastAsia" w:ascii="方正仿宋简体" w:eastAsia="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bookmarkStart w:id="3" w:name="_Toc476908641"/>
    </w:p>
    <w:p>
      <w:pPr>
        <w:pStyle w:val="22"/>
        <w:spacing w:line="570" w:lineRule="exact"/>
        <w:ind w:left="360" w:firstLine="0"/>
        <w:rPr>
          <w:rFonts w:ascii="黑体" w:hAnsi="黑体" w:eastAsia="黑体" w:cs="方正仿宋简体"/>
          <w:sz w:val="32"/>
          <w:szCs w:val="32"/>
        </w:rPr>
      </w:pPr>
      <w:r>
        <w:rPr>
          <w:rFonts w:hint="eastAsia" w:ascii="黑体" w:hAnsi="黑体" w:eastAsia="黑体" w:cs="方正仿宋简体"/>
          <w:sz w:val="32"/>
          <w:szCs w:val="32"/>
        </w:rPr>
        <w:t>第二部分  部门预算项目绩效目标</w:t>
      </w:r>
    </w:p>
    <w:p>
      <w:pPr>
        <w:ind w:firstLine="480" w:firstLineChars="150"/>
        <w:outlineLvl w:val="3"/>
        <w:rPr>
          <w:rFonts w:ascii="方正仿宋简体" w:hAnsi="黑体" w:eastAsia="方正仿宋简体"/>
          <w:sz w:val="32"/>
          <w:szCs w:val="32"/>
        </w:rPr>
      </w:pPr>
      <w:bookmarkStart w:id="4" w:name="_Toc_4_4_0000000004"/>
      <w:r>
        <w:rPr>
          <w:rFonts w:hint="eastAsia" w:ascii="方正仿宋简体" w:hAnsi="黑体" w:eastAsia="方正仿宋简体" w:cs="方正仿宋_GBK"/>
          <w:color w:val="000000"/>
          <w:sz w:val="32"/>
          <w:szCs w:val="32"/>
        </w:rPr>
        <w:t>1、服务群众专项经费绩效目标表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39" w:type="dxa"/>
            <w:gridSpan w:val="9"/>
            <w:tcBorders>
              <w:top w:val="single" w:color="FFFFFF" w:sz="6" w:space="0"/>
              <w:left w:val="single" w:color="FFFFFF" w:sz="6" w:space="0"/>
              <w:right w:val="single" w:color="FFFFFF" w:sz="6" w:space="0"/>
            </w:tcBorders>
            <w:noWrap/>
            <w:vAlign w:val="center"/>
          </w:tcPr>
          <w:p>
            <w:pPr>
              <w:pStyle w:val="15"/>
              <w:jc w:val="both"/>
              <w:rPr>
                <w:rFonts w:ascii="方正仿宋简体" w:eastAsia="方正仿宋简体"/>
                <w:b w:val="0"/>
                <w:sz w:val="32"/>
                <w:szCs w:val="32"/>
              </w:rPr>
            </w:pPr>
            <w:r>
              <w:rPr>
                <w:rFonts w:hint="eastAsia" w:ascii="方正仿宋简体" w:eastAsia="方正仿宋简体"/>
                <w:b w:val="0"/>
                <w:sz w:val="32"/>
                <w:szCs w:val="32"/>
              </w:rPr>
              <w:t>644001遵化市党峪镇人民政府本级</w:t>
            </w:r>
          </w:p>
        </w:tc>
        <w:tc>
          <w:tcPr>
            <w:tcW w:w="2008" w:type="dxa"/>
            <w:tcBorders>
              <w:top w:val="single" w:color="FFFFFF" w:sz="6" w:space="0"/>
              <w:left w:val="single" w:color="FFFFFF" w:sz="6" w:space="0"/>
              <w:right w:val="single" w:color="FFFFFF" w:sz="6" w:space="0"/>
            </w:tcBorders>
            <w:noWrap/>
            <w:vAlign w:val="center"/>
          </w:tcPr>
          <w:p>
            <w:pPr>
              <w:pStyle w:val="16"/>
              <w:jc w:val="both"/>
              <w:rPr>
                <w:rFonts w:ascii="方正仿宋简体" w:eastAsia="方正仿宋简体"/>
                <w:sz w:val="32"/>
                <w:szCs w:val="32"/>
              </w:rPr>
            </w:pPr>
            <w:r>
              <w:rPr>
                <w:rFonts w:hint="eastAsia" w:ascii="方正仿宋简体" w:eastAsia="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项目编码</w:t>
            </w:r>
          </w:p>
        </w:tc>
        <w:tc>
          <w:tcPr>
            <w:tcW w:w="3538" w:type="dxa"/>
            <w:gridSpan w:val="3"/>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13028122P00204010001W</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项目名称</w:t>
            </w:r>
          </w:p>
        </w:tc>
        <w:tc>
          <w:tcPr>
            <w:tcW w:w="5692" w:type="dxa"/>
            <w:gridSpan w:val="4"/>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预算规模及资金用途</w:t>
            </w:r>
          </w:p>
        </w:tc>
        <w:tc>
          <w:tcPr>
            <w:tcW w:w="1695"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预算数</w:t>
            </w:r>
          </w:p>
        </w:tc>
        <w:tc>
          <w:tcPr>
            <w:tcW w:w="1843"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105.00</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其中：财政   资金</w:t>
            </w:r>
          </w:p>
        </w:tc>
        <w:tc>
          <w:tcPr>
            <w:tcW w:w="1985"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105.00</w:t>
            </w:r>
          </w:p>
        </w:tc>
        <w:tc>
          <w:tcPr>
            <w:tcW w:w="1417"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其他资金</w:t>
            </w:r>
          </w:p>
        </w:tc>
        <w:tc>
          <w:tcPr>
            <w:tcW w:w="2290" w:type="dxa"/>
            <w:gridSpan w:val="2"/>
            <w:noWrap/>
            <w:vAlign w:val="center"/>
          </w:tcPr>
          <w:p>
            <w:pPr>
              <w:pStyle w:val="18"/>
              <w:jc w:val="both"/>
              <w:rPr>
                <w:rFonts w:ascii="方正仿宋简体" w:eastAsia="方正仿宋简体"/>
                <w:sz w:val="28"/>
                <w:szCs w:val="2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11923" w:type="dxa"/>
            <w:gridSpan w:val="9"/>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此项资金用于本辖区21个行政村的卫生清理及运输。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资金支出计划（%）</w:t>
            </w:r>
          </w:p>
        </w:tc>
        <w:tc>
          <w:tcPr>
            <w:tcW w:w="3538" w:type="dxa"/>
            <w:gridSpan w:val="3"/>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3月底</w:t>
            </w:r>
          </w:p>
        </w:tc>
        <w:tc>
          <w:tcPr>
            <w:tcW w:w="2693"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6月底</w:t>
            </w:r>
          </w:p>
        </w:tc>
        <w:tc>
          <w:tcPr>
            <w:tcW w:w="1985"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10月底</w:t>
            </w:r>
          </w:p>
        </w:tc>
        <w:tc>
          <w:tcPr>
            <w:tcW w:w="3707" w:type="dxa"/>
            <w:gridSpan w:val="3"/>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3538" w:type="dxa"/>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30%</w:t>
            </w:r>
          </w:p>
        </w:tc>
        <w:tc>
          <w:tcPr>
            <w:tcW w:w="2693" w:type="dxa"/>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60%</w:t>
            </w:r>
          </w:p>
        </w:tc>
        <w:tc>
          <w:tcPr>
            <w:tcW w:w="1985" w:type="dxa"/>
            <w:noWrap/>
            <w:vAlign w:val="center"/>
          </w:tcPr>
          <w:p>
            <w:pPr>
              <w:pStyle w:val="19"/>
              <w:rPr>
                <w:rFonts w:ascii="方正仿宋简体" w:eastAsia="方正仿宋简体"/>
                <w:sz w:val="28"/>
                <w:szCs w:val="28"/>
              </w:rPr>
            </w:pPr>
            <w:r>
              <w:rPr>
                <w:rFonts w:hint="eastAsia" w:ascii="方正仿宋简体" w:eastAsia="方正仿宋简体"/>
                <w:sz w:val="28"/>
                <w:szCs w:val="28"/>
              </w:rPr>
              <w:t>90%</w:t>
            </w:r>
          </w:p>
        </w:tc>
        <w:tc>
          <w:tcPr>
            <w:tcW w:w="3707" w:type="dxa"/>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绩效目标</w:t>
            </w:r>
          </w:p>
        </w:tc>
        <w:tc>
          <w:tcPr>
            <w:tcW w:w="11923" w:type="dxa"/>
            <w:gridSpan w:val="9"/>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 保障全乡21个村卫生达标，防止病毒蔓延，保障环境质量。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一级指标</w:t>
            </w:r>
          </w:p>
        </w:tc>
        <w:tc>
          <w:tcPr>
            <w:tcW w:w="2524"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二级指标</w:t>
            </w:r>
          </w:p>
        </w:tc>
        <w:tc>
          <w:tcPr>
            <w:tcW w:w="2524"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三级指标</w:t>
            </w:r>
          </w:p>
        </w:tc>
        <w:tc>
          <w:tcPr>
            <w:tcW w:w="3168"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绩效指标描述</w:t>
            </w:r>
          </w:p>
        </w:tc>
        <w:tc>
          <w:tcPr>
            <w:tcW w:w="1417" w:type="dxa"/>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指标值</w:t>
            </w:r>
          </w:p>
        </w:tc>
        <w:tc>
          <w:tcPr>
            <w:tcW w:w="2290" w:type="dxa"/>
            <w:gridSpan w:val="2"/>
            <w:noWrap/>
            <w:vAlign w:val="center"/>
          </w:tcPr>
          <w:p>
            <w:pPr>
              <w:pStyle w:val="17"/>
              <w:jc w:val="both"/>
              <w:rPr>
                <w:rFonts w:ascii="方正仿宋简体" w:eastAsia="方正仿宋简体"/>
                <w:sz w:val="28"/>
                <w:szCs w:val="28"/>
              </w:rPr>
            </w:pPr>
            <w:r>
              <w:rPr>
                <w:rFonts w:hint="eastAsia" w:ascii="方正仿宋简体" w:eastAsia="方正仿宋简体"/>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产出指标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数量指标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村人居环境整治个数</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辖区21个村</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21个村</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质量指标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提高环境卫生状况</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环境卫生质量得到提升</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时效指标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设施正常使用率</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垃圾桶正常使用</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成本指标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资金成本</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资金成本</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100%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经济效益指标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经济影响力</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带动经济发展</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社会效益指标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生活垃圾处理</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垃圾收集及运输</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生态效益指标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生态环境质量改善</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生态环境质量改善</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noWrap/>
            <w:vAlign w:val="center"/>
          </w:tcPr>
          <w:p>
            <w:pPr>
              <w:rPr>
                <w:rFonts w:ascii="方正仿宋简体" w:eastAsia="方正仿宋简体"/>
                <w:sz w:val="28"/>
                <w:szCs w:val="28"/>
              </w:rPr>
            </w:pP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可持续影响指标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人居环境整体水平</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人居生活环境得到改善</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noWrap/>
            <w:vAlign w:val="center"/>
          </w:tcPr>
          <w:p>
            <w:pPr>
              <w:pStyle w:val="19"/>
              <w:jc w:val="both"/>
              <w:rPr>
                <w:rFonts w:ascii="方正仿宋简体" w:eastAsia="方正仿宋简体"/>
                <w:sz w:val="28"/>
                <w:szCs w:val="28"/>
              </w:rPr>
            </w:pPr>
            <w:r>
              <w:rPr>
                <w:rFonts w:hint="eastAsia" w:ascii="方正仿宋简体" w:eastAsia="方正仿宋简体"/>
                <w:sz w:val="28"/>
                <w:szCs w:val="28"/>
              </w:rPr>
              <w:t>满意度指标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服务对象满意度指标</w:t>
            </w:r>
          </w:p>
        </w:tc>
        <w:tc>
          <w:tcPr>
            <w:tcW w:w="2524"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观众满意度</w:t>
            </w:r>
          </w:p>
        </w:tc>
        <w:tc>
          <w:tcPr>
            <w:tcW w:w="3168"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观众满意度</w:t>
            </w:r>
          </w:p>
        </w:tc>
        <w:tc>
          <w:tcPr>
            <w:tcW w:w="1417" w:type="dxa"/>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≥90%</w:t>
            </w:r>
          </w:p>
        </w:tc>
        <w:tc>
          <w:tcPr>
            <w:tcW w:w="2290" w:type="dxa"/>
            <w:gridSpan w:val="2"/>
            <w:noWrap/>
            <w:vAlign w:val="center"/>
          </w:tcPr>
          <w:p>
            <w:pPr>
              <w:pStyle w:val="18"/>
              <w:jc w:val="both"/>
              <w:rPr>
                <w:rFonts w:ascii="方正仿宋简体" w:eastAsia="方正仿宋简体"/>
                <w:sz w:val="28"/>
                <w:szCs w:val="28"/>
              </w:rPr>
            </w:pPr>
            <w:r>
              <w:rPr>
                <w:rFonts w:hint="eastAsia" w:ascii="方正仿宋简体" w:eastAsia="方正仿宋简体"/>
                <w:sz w:val="28"/>
                <w:szCs w:val="28"/>
              </w:rPr>
              <w:t>招投标服务合同</w:t>
            </w:r>
          </w:p>
        </w:tc>
      </w:tr>
    </w:tbl>
    <w:p>
      <w:pPr>
        <w:rPr>
          <w:rFonts w:ascii="方正仿宋简体" w:eastAsia="方正仿宋简体"/>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2" w:firstLineChars="150"/>
        <w:outlineLvl w:val="3"/>
        <w:rPr>
          <w:rFonts w:ascii="方正仿宋简体" w:hAnsi="方正书宋_GBK" w:eastAsia="方正仿宋简体" w:cs="方正仿宋_GBK"/>
          <w:b/>
          <w:color w:val="000000"/>
          <w:sz w:val="32"/>
          <w:szCs w:val="32"/>
        </w:rPr>
      </w:pPr>
    </w:p>
    <w:p>
      <w:pPr>
        <w:ind w:firstLine="480" w:firstLineChars="150"/>
        <w:outlineLvl w:val="3"/>
        <w:rPr>
          <w:rFonts w:ascii="方正仿宋简体" w:hAnsi="方正书宋_GBK" w:eastAsia="方正仿宋简体"/>
          <w:sz w:val="32"/>
          <w:szCs w:val="32"/>
        </w:rPr>
      </w:pPr>
      <w:r>
        <w:rPr>
          <w:rFonts w:hint="eastAsia" w:ascii="方正仿宋简体" w:hAnsi="方正书宋_GBK" w:eastAsia="方正仿宋简体" w:cs="方正仿宋_GBK"/>
          <w:color w:val="000000"/>
          <w:sz w:val="32"/>
          <w:szCs w:val="32"/>
        </w:rPr>
        <w:t>2、</w:t>
      </w:r>
      <w:r>
        <w:rPr>
          <w:rFonts w:hint="eastAsia" w:ascii="方正仿宋简体" w:hAnsi="方正书宋_GBK" w:eastAsia="方正仿宋简体"/>
          <w:sz w:val="32"/>
          <w:szCs w:val="32"/>
        </w:rPr>
        <w:t>冀财预[2021]71号关于下达2022年革命老区转移支付资金(党峪112国道至小党峪村东公路沥青路面翻新工程）</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3"/>
        <w:gridCol w:w="1731"/>
        <w:gridCol w:w="332"/>
        <w:gridCol w:w="1084"/>
        <w:gridCol w:w="982"/>
        <w:gridCol w:w="1713"/>
        <w:gridCol w:w="1575"/>
        <w:gridCol w:w="552"/>
        <w:gridCol w:w="991"/>
        <w:gridCol w:w="708"/>
        <w:gridCol w:w="27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15" w:type="pct"/>
            <w:gridSpan w:val="9"/>
            <w:tcBorders>
              <w:top w:val="single" w:color="FFFFFF" w:sz="6" w:space="0"/>
              <w:left w:val="single" w:color="FFFFFF" w:sz="6" w:space="0"/>
              <w:right w:val="single" w:color="FFFFFF" w:sz="6" w:space="0"/>
            </w:tcBorders>
            <w:noWrap/>
            <w:vAlign w:val="center"/>
          </w:tcPr>
          <w:p>
            <w:pPr>
              <w:pStyle w:val="15"/>
              <w:rPr>
                <w:rFonts w:ascii="方正仿宋简体" w:eastAsia="方正仿宋简体"/>
                <w:b w:val="0"/>
                <w:sz w:val="32"/>
                <w:szCs w:val="32"/>
              </w:rPr>
            </w:pPr>
            <w:r>
              <w:rPr>
                <w:rFonts w:hint="eastAsia" w:ascii="方正仿宋简体" w:eastAsia="方正仿宋简体"/>
                <w:b w:val="0"/>
                <w:sz w:val="32"/>
                <w:szCs w:val="32"/>
              </w:rPr>
              <w:t>644001遵化市党峪镇人民政府本级</w:t>
            </w:r>
          </w:p>
        </w:tc>
        <w:tc>
          <w:tcPr>
            <w:tcW w:w="1185" w:type="pct"/>
            <w:gridSpan w:val="2"/>
            <w:tcBorders>
              <w:top w:val="single" w:color="FFFFFF" w:sz="6" w:space="0"/>
              <w:left w:val="single" w:color="FFFFFF" w:sz="6" w:space="0"/>
              <w:right w:val="single" w:color="FFFFFF" w:sz="6" w:space="0"/>
            </w:tcBorders>
            <w:noWrap/>
            <w:vAlign w:val="center"/>
          </w:tcPr>
          <w:p>
            <w:pPr>
              <w:pStyle w:val="16"/>
              <w:ind w:right="280"/>
              <w:rPr>
                <w:rFonts w:ascii="方正仿宋简体" w:eastAsia="方正仿宋简体"/>
                <w:sz w:val="32"/>
                <w:szCs w:val="32"/>
              </w:rPr>
            </w:pPr>
            <w:r>
              <w:rPr>
                <w:rFonts w:hint="eastAsia" w:ascii="方正仿宋简体" w:eastAsia="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项目编码</w:t>
            </w:r>
          </w:p>
        </w:tc>
        <w:tc>
          <w:tcPr>
            <w:tcW w:w="1089" w:type="pct"/>
            <w:gridSpan w:val="3"/>
            <w:noWrap/>
            <w:vAlign w:val="center"/>
          </w:tcPr>
          <w:p>
            <w:pPr>
              <w:pStyle w:val="18"/>
              <w:rPr>
                <w:rFonts w:ascii="方正仿宋简体" w:eastAsia="方正仿宋简体"/>
                <w:sz w:val="28"/>
                <w:szCs w:val="28"/>
              </w:rPr>
            </w:pPr>
            <w:r>
              <w:rPr>
                <w:rFonts w:hint="eastAsia" w:ascii="方正仿宋简体" w:eastAsia="方正仿宋简体"/>
                <w:sz w:val="28"/>
                <w:szCs w:val="28"/>
              </w:rPr>
              <w:t>13028122P00361410001Y</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项目名称</w:t>
            </w:r>
          </w:p>
        </w:tc>
        <w:tc>
          <w:tcPr>
            <w:tcW w:w="2264" w:type="pct"/>
            <w:gridSpan w:val="5"/>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冀财预[2021]71号关于下达2022年革命老区转移支付资金(党峪112国道至小党峪村东公路沥青路面翻新工程）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7"/>
              <w:rPr>
                <w:rFonts w:ascii="方正仿宋简体" w:eastAsia="方正仿宋简体"/>
                <w:sz w:val="28"/>
                <w:szCs w:val="28"/>
              </w:rPr>
            </w:pPr>
            <w:r>
              <w:rPr>
                <w:rFonts w:hint="eastAsia" w:ascii="方正仿宋简体" w:eastAsia="方正仿宋简体"/>
                <w:sz w:val="28"/>
                <w:szCs w:val="28"/>
              </w:rPr>
              <w:t>预算规模及资金用途</w:t>
            </w:r>
          </w:p>
        </w:tc>
        <w:tc>
          <w:tcPr>
            <w:tcW w:w="599"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预算数</w:t>
            </w:r>
          </w:p>
        </w:tc>
        <w:tc>
          <w:tcPr>
            <w:tcW w:w="490"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50.00</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其中：财政  资金</w:t>
            </w:r>
          </w:p>
        </w:tc>
        <w:tc>
          <w:tcPr>
            <w:tcW w:w="736"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50.00</w:t>
            </w:r>
          </w:p>
        </w:tc>
        <w:tc>
          <w:tcPr>
            <w:tcW w:w="588"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其他资金</w:t>
            </w:r>
          </w:p>
        </w:tc>
        <w:tc>
          <w:tcPr>
            <w:tcW w:w="940" w:type="pct"/>
            <w:noWrap/>
            <w:vAlign w:val="center"/>
          </w:tcPr>
          <w:p>
            <w:pPr>
              <w:pStyle w:val="18"/>
              <w:rPr>
                <w:rFonts w:ascii="方正仿宋简体" w:eastAsia="方正仿宋简体"/>
                <w:sz w:val="28"/>
                <w:szCs w:val="2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tcPr>
          <w:p>
            <w:pPr>
              <w:rPr>
                <w:rFonts w:ascii="方正仿宋简体" w:eastAsia="方正仿宋简体"/>
                <w:sz w:val="28"/>
                <w:szCs w:val="28"/>
              </w:rPr>
            </w:pPr>
          </w:p>
        </w:tc>
        <w:tc>
          <w:tcPr>
            <w:tcW w:w="4286" w:type="pct"/>
            <w:gridSpan w:val="10"/>
            <w:noWrap/>
            <w:vAlign w:val="center"/>
          </w:tcPr>
          <w:p>
            <w:pPr>
              <w:pStyle w:val="18"/>
              <w:rPr>
                <w:rFonts w:ascii="方正仿宋简体" w:eastAsia="方正仿宋简体"/>
                <w:sz w:val="28"/>
                <w:szCs w:val="28"/>
              </w:rPr>
            </w:pPr>
            <w:r>
              <w:rPr>
                <w:rFonts w:hint="eastAsia" w:ascii="方正仿宋简体" w:eastAsia="方正仿宋简体"/>
                <w:sz w:val="28"/>
                <w:szCs w:val="28"/>
              </w:rPr>
              <w:t>国道112线至小党峪村东公路沥青路面翻新硬化工程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7"/>
              <w:rPr>
                <w:rFonts w:ascii="方正仿宋简体" w:eastAsia="方正仿宋简体"/>
                <w:sz w:val="28"/>
                <w:szCs w:val="28"/>
              </w:rPr>
            </w:pPr>
            <w:r>
              <w:rPr>
                <w:rFonts w:hint="eastAsia" w:ascii="方正仿宋简体" w:eastAsia="方正仿宋简体"/>
                <w:sz w:val="28"/>
                <w:szCs w:val="28"/>
              </w:rPr>
              <w:t>资金支出计划（%）</w:t>
            </w:r>
          </w:p>
        </w:tc>
        <w:tc>
          <w:tcPr>
            <w:tcW w:w="1089" w:type="pct"/>
            <w:gridSpan w:val="3"/>
            <w:noWrap/>
            <w:vAlign w:val="center"/>
          </w:tcPr>
          <w:p>
            <w:pPr>
              <w:pStyle w:val="17"/>
              <w:rPr>
                <w:rFonts w:ascii="方正仿宋简体" w:eastAsia="方正仿宋简体"/>
                <w:sz w:val="28"/>
                <w:szCs w:val="28"/>
              </w:rPr>
            </w:pPr>
            <w:r>
              <w:rPr>
                <w:rFonts w:hint="eastAsia" w:ascii="方正仿宋简体" w:eastAsia="方正仿宋简体"/>
                <w:sz w:val="28"/>
                <w:szCs w:val="28"/>
              </w:rPr>
              <w:t>3月底</w:t>
            </w:r>
          </w:p>
        </w:tc>
        <w:tc>
          <w:tcPr>
            <w:tcW w:w="933"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6月底</w:t>
            </w:r>
          </w:p>
        </w:tc>
        <w:tc>
          <w:tcPr>
            <w:tcW w:w="736"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10月底</w:t>
            </w:r>
          </w:p>
        </w:tc>
        <w:tc>
          <w:tcPr>
            <w:tcW w:w="1528" w:type="pct"/>
            <w:gridSpan w:val="3"/>
            <w:noWrap/>
            <w:vAlign w:val="center"/>
          </w:tcPr>
          <w:p>
            <w:pPr>
              <w:pStyle w:val="17"/>
              <w:rPr>
                <w:rFonts w:ascii="方正仿宋简体" w:eastAsia="方正仿宋简体"/>
                <w:sz w:val="28"/>
                <w:szCs w:val="28"/>
              </w:rPr>
            </w:pPr>
            <w:r>
              <w:rPr>
                <w:rFonts w:hint="eastAsia" w:ascii="方正仿宋简体" w:eastAsia="方正仿宋简体"/>
                <w:sz w:val="28"/>
                <w:szCs w:val="2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tcPr>
          <w:p>
            <w:pPr>
              <w:rPr>
                <w:rFonts w:ascii="方正仿宋简体" w:eastAsia="方正仿宋简体"/>
                <w:sz w:val="28"/>
                <w:szCs w:val="28"/>
              </w:rPr>
            </w:pPr>
          </w:p>
        </w:tc>
        <w:tc>
          <w:tcPr>
            <w:tcW w:w="1089" w:type="pct"/>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30%</w:t>
            </w:r>
          </w:p>
        </w:tc>
        <w:tc>
          <w:tcPr>
            <w:tcW w:w="933" w:type="pct"/>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60%</w:t>
            </w:r>
          </w:p>
        </w:tc>
        <w:tc>
          <w:tcPr>
            <w:tcW w:w="736" w:type="pct"/>
            <w:gridSpan w:val="2"/>
            <w:noWrap/>
            <w:vAlign w:val="center"/>
          </w:tcPr>
          <w:p>
            <w:pPr>
              <w:pStyle w:val="19"/>
              <w:rPr>
                <w:rFonts w:ascii="方正仿宋简体" w:eastAsia="方正仿宋简体"/>
                <w:sz w:val="28"/>
                <w:szCs w:val="28"/>
              </w:rPr>
            </w:pPr>
            <w:r>
              <w:rPr>
                <w:rFonts w:hint="eastAsia" w:ascii="方正仿宋简体" w:eastAsia="方正仿宋简体"/>
                <w:sz w:val="28"/>
                <w:szCs w:val="28"/>
              </w:rPr>
              <w:t>90%</w:t>
            </w:r>
          </w:p>
        </w:tc>
        <w:tc>
          <w:tcPr>
            <w:tcW w:w="1528" w:type="pct"/>
            <w:gridSpan w:val="3"/>
            <w:noWrap/>
            <w:vAlign w:val="center"/>
          </w:tcPr>
          <w:p>
            <w:pPr>
              <w:pStyle w:val="19"/>
              <w:rPr>
                <w:rFonts w:ascii="方正仿宋简体" w:eastAsia="方正仿宋简体"/>
                <w:sz w:val="28"/>
                <w:szCs w:val="28"/>
              </w:rPr>
            </w:pPr>
            <w:r>
              <w:rPr>
                <w:rFonts w:hint="eastAsia" w:ascii="方正仿宋简体" w:eastAsia="方正仿宋简体"/>
                <w:sz w:val="28"/>
                <w:szCs w:val="2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绩效目标</w:t>
            </w:r>
          </w:p>
        </w:tc>
        <w:tc>
          <w:tcPr>
            <w:tcW w:w="4286" w:type="pct"/>
            <w:gridSpan w:val="10"/>
            <w:noWrap/>
            <w:vAlign w:val="center"/>
          </w:tcPr>
          <w:p>
            <w:pPr>
              <w:pStyle w:val="18"/>
              <w:rPr>
                <w:rFonts w:ascii="方正仿宋简体" w:eastAsia="方正仿宋简体"/>
                <w:sz w:val="28"/>
                <w:szCs w:val="28"/>
              </w:rPr>
            </w:pPr>
            <w:r>
              <w:rPr>
                <w:rFonts w:hint="eastAsia" w:ascii="方正仿宋简体" w:eastAsia="方正仿宋简体"/>
                <w:sz w:val="28"/>
                <w:szCs w:val="28"/>
              </w:rPr>
              <w:t>1. 改善周边群众出行环境。2、提高群众幸福指数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ign w:val="center"/>
          </w:tcPr>
          <w:p>
            <w:pPr>
              <w:pStyle w:val="17"/>
              <w:rPr>
                <w:rFonts w:ascii="方正仿宋简体" w:eastAsia="方正仿宋简体"/>
                <w:sz w:val="28"/>
                <w:szCs w:val="28"/>
              </w:rPr>
            </w:pPr>
            <w:r>
              <w:rPr>
                <w:rFonts w:hint="eastAsia" w:ascii="方正仿宋简体" w:eastAsia="方正仿宋简体"/>
                <w:sz w:val="28"/>
                <w:szCs w:val="28"/>
              </w:rPr>
              <w:t>一级指标</w:t>
            </w:r>
          </w:p>
        </w:tc>
        <w:tc>
          <w:tcPr>
            <w:tcW w:w="714"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二级指标</w:t>
            </w:r>
          </w:p>
        </w:tc>
        <w:tc>
          <w:tcPr>
            <w:tcW w:w="715"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三级指标</w:t>
            </w:r>
          </w:p>
        </w:tc>
        <w:tc>
          <w:tcPr>
            <w:tcW w:w="1138"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绩效指标描述</w:t>
            </w:r>
          </w:p>
        </w:tc>
        <w:tc>
          <w:tcPr>
            <w:tcW w:w="534"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指标值</w:t>
            </w:r>
          </w:p>
        </w:tc>
        <w:tc>
          <w:tcPr>
            <w:tcW w:w="1185" w:type="pct"/>
            <w:gridSpan w:val="2"/>
            <w:noWrap/>
            <w:vAlign w:val="center"/>
          </w:tcPr>
          <w:p>
            <w:pPr>
              <w:pStyle w:val="17"/>
              <w:rPr>
                <w:rFonts w:ascii="方正仿宋简体" w:eastAsia="方正仿宋简体"/>
                <w:sz w:val="28"/>
                <w:szCs w:val="28"/>
              </w:rPr>
            </w:pPr>
            <w:r>
              <w:rPr>
                <w:rFonts w:hint="eastAsia" w:ascii="方正仿宋简体" w:eastAsia="方正仿宋简体"/>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9"/>
              <w:rPr>
                <w:rFonts w:ascii="方正仿宋简体" w:eastAsia="方正仿宋简体"/>
                <w:sz w:val="28"/>
                <w:szCs w:val="28"/>
              </w:rPr>
            </w:pPr>
            <w:r>
              <w:rPr>
                <w:rFonts w:hint="eastAsia" w:ascii="方正仿宋简体" w:eastAsia="方正仿宋简体"/>
                <w:sz w:val="28"/>
                <w:szCs w:val="28"/>
              </w:rPr>
              <w:t>产出指标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数量指标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硬化道路长度</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乡道翻修道路硬化总长度</w:t>
            </w:r>
          </w:p>
        </w:tc>
        <w:tc>
          <w:tcPr>
            <w:tcW w:w="534" w:type="pct"/>
            <w:gridSpan w:val="2"/>
            <w:noWrap/>
            <w:vAlign w:val="center"/>
          </w:tcPr>
          <w:p>
            <w:pPr>
              <w:jc w:val="right"/>
              <w:rPr>
                <w:rFonts w:ascii="方正仿宋简体" w:eastAsia="方正仿宋简体" w:cs="宋体"/>
                <w:color w:val="000000"/>
                <w:sz w:val="28"/>
                <w:szCs w:val="28"/>
              </w:rPr>
            </w:pPr>
            <w:r>
              <w:rPr>
                <w:rFonts w:hint="eastAsia" w:ascii="方正仿宋简体" w:eastAsia="方正仿宋简体"/>
                <w:color w:val="000000"/>
                <w:sz w:val="28"/>
                <w:szCs w:val="28"/>
              </w:rPr>
              <w:t>=0.75平米</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质量指标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项目建设投资保障率</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道路硬化项目建设投资保障率</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时效指标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按照项目进度完成资金使用率</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按照修路进度完成资金使用率</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成本指标</w:t>
            </w:r>
          </w:p>
        </w:tc>
        <w:tc>
          <w:tcPr>
            <w:tcW w:w="715"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按预算资金完成率</w:t>
            </w:r>
          </w:p>
        </w:tc>
        <w:tc>
          <w:tcPr>
            <w:tcW w:w="1138"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按预算资金完成率</w:t>
            </w:r>
          </w:p>
        </w:tc>
        <w:tc>
          <w:tcPr>
            <w:tcW w:w="534" w:type="pct"/>
            <w:gridSpan w:val="2"/>
            <w:noWrap/>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ign w:val="center"/>
          </w:tcPr>
          <w:p>
            <w:pPr>
              <w:pStyle w:val="19"/>
              <w:rPr>
                <w:rFonts w:ascii="方正仿宋简体" w:eastAsia="方正仿宋简体"/>
                <w:sz w:val="28"/>
                <w:szCs w:val="28"/>
              </w:rPr>
            </w:pPr>
            <w:r>
              <w:rPr>
                <w:rFonts w:hint="eastAsia" w:ascii="方正仿宋简体" w:eastAsia="方正仿宋简体"/>
                <w:sz w:val="28"/>
                <w:szCs w:val="28"/>
              </w:rPr>
              <w:t>效益指标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经济效益指标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项目持续发挥作用期限</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道路修建完成持续发挥作用期限</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社会效益指标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带动社会资金投资比</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带动社会资金投入与扶持奖励资金的比例</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生态效益指标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长期使用性</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道路的修建能长期开展农产品交流，保障出行畅通</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ign w:val="center"/>
          </w:tcPr>
          <w:p>
            <w:pPr>
              <w:rPr>
                <w:rFonts w:ascii="方正仿宋简体" w:eastAsia="方正仿宋简体"/>
                <w:sz w:val="28"/>
                <w:szCs w:val="28"/>
              </w:rPr>
            </w:pP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可持续影响指标</w:t>
            </w:r>
          </w:p>
        </w:tc>
        <w:tc>
          <w:tcPr>
            <w:tcW w:w="715"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加强节约集约利用</w:t>
            </w:r>
          </w:p>
        </w:tc>
        <w:tc>
          <w:tcPr>
            <w:tcW w:w="1138" w:type="pct"/>
            <w:gridSpan w:val="2"/>
            <w:noWrap/>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加强节约集约利用，促进生态文明建设</w:t>
            </w:r>
          </w:p>
        </w:tc>
        <w:tc>
          <w:tcPr>
            <w:tcW w:w="534" w:type="pct"/>
            <w:gridSpan w:val="2"/>
            <w:noWrap/>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≥95%</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ign w:val="center"/>
          </w:tcPr>
          <w:p>
            <w:pPr>
              <w:pStyle w:val="19"/>
              <w:rPr>
                <w:rFonts w:ascii="方正仿宋简体" w:eastAsia="方正仿宋简体"/>
                <w:sz w:val="28"/>
                <w:szCs w:val="28"/>
              </w:rPr>
            </w:pPr>
            <w:r>
              <w:rPr>
                <w:rFonts w:hint="eastAsia" w:ascii="方正仿宋简体" w:eastAsia="方正仿宋简体"/>
                <w:sz w:val="28"/>
                <w:szCs w:val="28"/>
              </w:rPr>
              <w:t>满意度指标</w:t>
            </w:r>
          </w:p>
        </w:tc>
        <w:tc>
          <w:tcPr>
            <w:tcW w:w="714"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服务对象满意度指标</w:t>
            </w:r>
          </w:p>
        </w:tc>
        <w:tc>
          <w:tcPr>
            <w:tcW w:w="715"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群众满意度</w:t>
            </w:r>
          </w:p>
        </w:tc>
        <w:tc>
          <w:tcPr>
            <w:tcW w:w="1138" w:type="pct"/>
            <w:gridSpan w:val="2"/>
            <w:noWrap/>
            <w:vAlign w:val="center"/>
          </w:tcPr>
          <w:p>
            <w:pPr>
              <w:rPr>
                <w:rFonts w:ascii="方正仿宋简体" w:eastAsia="方正仿宋简体" w:cs="宋体"/>
                <w:color w:val="000000"/>
                <w:sz w:val="28"/>
                <w:szCs w:val="28"/>
              </w:rPr>
            </w:pPr>
            <w:r>
              <w:rPr>
                <w:rFonts w:hint="eastAsia" w:ascii="方正仿宋简体" w:hAnsi="宋体" w:eastAsia="方正仿宋简体" w:cs="宋体"/>
                <w:color w:val="000000"/>
                <w:sz w:val="28"/>
                <w:szCs w:val="28"/>
              </w:rPr>
              <w:t>道路硬化后，群众满意度</w:t>
            </w:r>
          </w:p>
        </w:tc>
        <w:tc>
          <w:tcPr>
            <w:tcW w:w="534" w:type="pct"/>
            <w:gridSpan w:val="2"/>
            <w:noWrap/>
            <w:vAlign w:val="center"/>
          </w:tcPr>
          <w:p>
            <w:pPr>
              <w:jc w:val="center"/>
              <w:rPr>
                <w:rFonts w:ascii="方正仿宋简体" w:eastAsia="方正仿宋简体" w:cs="宋体"/>
                <w:color w:val="000000"/>
                <w:sz w:val="28"/>
                <w:szCs w:val="28"/>
              </w:rPr>
            </w:pPr>
            <w:r>
              <w:rPr>
                <w:rFonts w:hint="eastAsia" w:ascii="方正仿宋简体" w:eastAsia="方正仿宋简体"/>
                <w:color w:val="000000"/>
                <w:sz w:val="28"/>
                <w:szCs w:val="28"/>
              </w:rPr>
              <w:t>≥90%</w:t>
            </w:r>
          </w:p>
        </w:tc>
        <w:tc>
          <w:tcPr>
            <w:tcW w:w="1185" w:type="pct"/>
            <w:gridSpan w:val="2"/>
            <w:noWrap/>
            <w:vAlign w:val="center"/>
          </w:tcPr>
          <w:p>
            <w:pPr>
              <w:pStyle w:val="18"/>
              <w:rPr>
                <w:rFonts w:ascii="方正仿宋简体" w:eastAsia="方正仿宋简体"/>
                <w:sz w:val="28"/>
                <w:szCs w:val="28"/>
              </w:rPr>
            </w:pPr>
            <w:r>
              <w:rPr>
                <w:rFonts w:hint="eastAsia" w:ascii="方正仿宋简体" w:eastAsia="方正仿宋简体"/>
                <w:sz w:val="28"/>
                <w:szCs w:val="28"/>
              </w:rPr>
              <w:t>冀财预【2021】71号关于提前下达2022年革命老区转移支付预算的通知</w:t>
            </w:r>
          </w:p>
        </w:tc>
      </w:tr>
      <w:bookmarkEnd w:id="3"/>
    </w:tbl>
    <w:p>
      <w:pPr>
        <w:ind w:firstLine="640" w:firstLineChars="200"/>
        <w:rPr>
          <w:rFonts w:ascii="方正黑体简体" w:hAnsi="黑体" w:eastAsia="方正黑体简体" w:cs="方正黑体简体"/>
          <w:bCs/>
          <w:color w:val="000000"/>
          <w:sz w:val="32"/>
          <w:szCs w:val="32"/>
        </w:rPr>
      </w:pPr>
      <w:r>
        <w:rPr>
          <w:rFonts w:hint="eastAsia" w:ascii="方正黑体简体" w:hAnsi="黑体" w:eastAsia="方正黑体简体" w:cs="方正黑体简体"/>
          <w:bCs/>
          <w:color w:val="000000"/>
          <w:sz w:val="32"/>
          <w:szCs w:val="32"/>
        </w:rPr>
        <w:t>六、政府采购预算情况</w:t>
      </w:r>
      <w:bookmarkEnd w:id="1"/>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2022年，遵化市党峪镇人民政府部门安排政府采购预算54.42万元。</w:t>
      </w:r>
    </w:p>
    <w:p>
      <w:pPr>
        <w:spacing w:line="560" w:lineRule="exact"/>
        <w:ind w:firstLine="3840" w:firstLineChars="1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1005"/>
        <w:gridCol w:w="1220"/>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644遵化市党峪镇人民政府</w:t>
            </w:r>
          </w:p>
        </w:tc>
        <w:tc>
          <w:tcPr>
            <w:tcW w:w="6985" w:type="dxa"/>
            <w:gridSpan w:val="6"/>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政府采购项目来源</w:t>
            </w:r>
          </w:p>
        </w:tc>
        <w:tc>
          <w:tcPr>
            <w:tcW w:w="1245"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采购物品名称</w:t>
            </w:r>
          </w:p>
        </w:tc>
        <w:tc>
          <w:tcPr>
            <w:tcW w:w="1410"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政府采购目录序号</w:t>
            </w:r>
          </w:p>
        </w:tc>
        <w:tc>
          <w:tcPr>
            <w:tcW w:w="1065"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计量单位</w:t>
            </w:r>
          </w:p>
        </w:tc>
        <w:tc>
          <w:tcPr>
            <w:tcW w:w="1020"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数量</w:t>
            </w:r>
          </w:p>
        </w:tc>
        <w:tc>
          <w:tcPr>
            <w:tcW w:w="953" w:type="dxa"/>
            <w:vMerge w:val="restart"/>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单价</w:t>
            </w:r>
          </w:p>
        </w:tc>
        <w:tc>
          <w:tcPr>
            <w:tcW w:w="6985" w:type="dxa"/>
            <w:gridSpan w:val="6"/>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项目名称</w:t>
            </w:r>
          </w:p>
        </w:tc>
        <w:tc>
          <w:tcPr>
            <w:tcW w:w="1035"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预算资金</w:t>
            </w:r>
          </w:p>
        </w:tc>
        <w:tc>
          <w:tcPr>
            <w:tcW w:w="1245" w:type="dxa"/>
            <w:vMerge w:val="continue"/>
            <w:noWrap/>
            <w:vAlign w:val="center"/>
          </w:tcPr>
          <w:p>
            <w:pPr>
              <w:jc w:val="left"/>
              <w:rPr>
                <w:rFonts w:ascii="方正仿宋简体" w:hAnsi="方正仿宋简体" w:eastAsia="方正仿宋简体" w:cs="方正仿宋简体"/>
                <w:bCs/>
                <w:sz w:val="28"/>
                <w:szCs w:val="28"/>
              </w:rPr>
            </w:pPr>
          </w:p>
        </w:tc>
        <w:tc>
          <w:tcPr>
            <w:tcW w:w="1410" w:type="dxa"/>
            <w:vMerge w:val="continue"/>
            <w:noWrap/>
            <w:vAlign w:val="center"/>
          </w:tcPr>
          <w:p>
            <w:pPr>
              <w:jc w:val="left"/>
              <w:rPr>
                <w:rFonts w:ascii="方正仿宋简体" w:hAnsi="方正仿宋简体" w:eastAsia="方正仿宋简体" w:cs="方正仿宋简体"/>
                <w:bCs/>
                <w:sz w:val="28"/>
                <w:szCs w:val="28"/>
              </w:rPr>
            </w:pPr>
          </w:p>
        </w:tc>
        <w:tc>
          <w:tcPr>
            <w:tcW w:w="1065" w:type="dxa"/>
            <w:vMerge w:val="continue"/>
            <w:noWrap/>
            <w:vAlign w:val="center"/>
          </w:tcPr>
          <w:p>
            <w:pPr>
              <w:jc w:val="left"/>
              <w:rPr>
                <w:rFonts w:ascii="方正仿宋简体" w:hAnsi="方正仿宋简体" w:eastAsia="方正仿宋简体" w:cs="方正仿宋简体"/>
                <w:bCs/>
                <w:sz w:val="28"/>
                <w:szCs w:val="28"/>
              </w:rPr>
            </w:pPr>
          </w:p>
        </w:tc>
        <w:tc>
          <w:tcPr>
            <w:tcW w:w="1020" w:type="dxa"/>
            <w:vMerge w:val="continue"/>
            <w:noWrap/>
            <w:vAlign w:val="center"/>
          </w:tcPr>
          <w:p>
            <w:pPr>
              <w:jc w:val="left"/>
              <w:rPr>
                <w:rFonts w:ascii="方正仿宋简体" w:hAnsi="方正仿宋简体" w:eastAsia="方正仿宋简体" w:cs="方正仿宋简体"/>
                <w:bCs/>
                <w:sz w:val="28"/>
                <w:szCs w:val="28"/>
              </w:rPr>
            </w:pPr>
          </w:p>
        </w:tc>
        <w:tc>
          <w:tcPr>
            <w:tcW w:w="953" w:type="dxa"/>
            <w:vMerge w:val="continue"/>
            <w:noWrap/>
            <w:vAlign w:val="center"/>
          </w:tcPr>
          <w:p>
            <w:pPr>
              <w:jc w:val="left"/>
              <w:rPr>
                <w:rFonts w:ascii="方正仿宋简体" w:hAnsi="方正仿宋简体" w:eastAsia="方正仿宋简体" w:cs="方正仿宋简体"/>
                <w:bCs/>
                <w:sz w:val="28"/>
                <w:szCs w:val="28"/>
              </w:rPr>
            </w:pPr>
          </w:p>
        </w:tc>
        <w:tc>
          <w:tcPr>
            <w:tcW w:w="1005"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合计</w:t>
            </w:r>
          </w:p>
        </w:tc>
        <w:tc>
          <w:tcPr>
            <w:tcW w:w="1220"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一般公共预算拨款</w:t>
            </w:r>
          </w:p>
        </w:tc>
        <w:tc>
          <w:tcPr>
            <w:tcW w:w="1149"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基金预算拨款</w:t>
            </w:r>
          </w:p>
        </w:tc>
        <w:tc>
          <w:tcPr>
            <w:tcW w:w="1487"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国有资本经营预算拨款</w:t>
            </w:r>
          </w:p>
        </w:tc>
        <w:tc>
          <w:tcPr>
            <w:tcW w:w="1058"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财政专户核拨</w:t>
            </w:r>
          </w:p>
        </w:tc>
        <w:tc>
          <w:tcPr>
            <w:tcW w:w="1066" w:type="dxa"/>
            <w:noWrap/>
            <w:vAlign w:val="center"/>
          </w:tcPr>
          <w:p>
            <w:pPr>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革命老区建设资金</w:t>
            </w:r>
          </w:p>
        </w:tc>
        <w:tc>
          <w:tcPr>
            <w:tcW w:w="103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245" w:type="dxa"/>
            <w:noWrap/>
            <w:vAlign w:val="center"/>
          </w:tcPr>
          <w:p>
            <w:pPr>
              <w:spacing w:line="560" w:lineRule="exact"/>
              <w:jc w:val="left"/>
              <w:rPr>
                <w:rFonts w:ascii="方正仿宋简体" w:hAnsi="方正仿宋简体" w:eastAsia="方正仿宋简体" w:cs="方正仿宋简体"/>
                <w:bCs/>
                <w:sz w:val="28"/>
                <w:szCs w:val="28"/>
              </w:rPr>
            </w:pPr>
          </w:p>
        </w:tc>
        <w:tc>
          <w:tcPr>
            <w:tcW w:w="1410" w:type="dxa"/>
            <w:noWrap/>
            <w:vAlign w:val="center"/>
          </w:tcPr>
          <w:p>
            <w:pPr>
              <w:spacing w:line="560" w:lineRule="exact"/>
              <w:jc w:val="left"/>
              <w:rPr>
                <w:rFonts w:ascii="方正仿宋简体" w:hAnsi="方正仿宋简体" w:eastAsia="方正仿宋简体" w:cs="方正仿宋简体"/>
                <w:bCs/>
                <w:sz w:val="28"/>
                <w:szCs w:val="28"/>
              </w:rPr>
            </w:pPr>
          </w:p>
        </w:tc>
        <w:tc>
          <w:tcPr>
            <w:tcW w:w="1065" w:type="dxa"/>
            <w:noWrap/>
            <w:vAlign w:val="center"/>
          </w:tcPr>
          <w:p>
            <w:pPr>
              <w:spacing w:line="560" w:lineRule="exact"/>
              <w:jc w:val="center"/>
              <w:rPr>
                <w:rFonts w:ascii="方正仿宋简体" w:hAnsi="方正仿宋简体" w:eastAsia="方正仿宋简体" w:cs="方正仿宋简体"/>
                <w:bCs/>
                <w:sz w:val="28"/>
                <w:szCs w:val="28"/>
              </w:rPr>
            </w:pPr>
          </w:p>
        </w:tc>
        <w:tc>
          <w:tcPr>
            <w:tcW w:w="1020" w:type="dxa"/>
            <w:noWrap/>
            <w:vAlign w:val="center"/>
          </w:tcPr>
          <w:p>
            <w:pPr>
              <w:spacing w:line="560" w:lineRule="exact"/>
              <w:jc w:val="right"/>
              <w:rPr>
                <w:rFonts w:ascii="方正仿宋简体" w:hAnsi="方正仿宋简体" w:eastAsia="方正仿宋简体" w:cs="方正仿宋简体"/>
                <w:bCs/>
                <w:sz w:val="28"/>
                <w:szCs w:val="28"/>
              </w:rPr>
            </w:pPr>
          </w:p>
        </w:tc>
        <w:tc>
          <w:tcPr>
            <w:tcW w:w="953" w:type="dxa"/>
            <w:noWrap/>
            <w:vAlign w:val="center"/>
          </w:tcPr>
          <w:p>
            <w:pPr>
              <w:spacing w:line="560" w:lineRule="exact"/>
              <w:jc w:val="right"/>
              <w:rPr>
                <w:rFonts w:ascii="方正仿宋简体" w:hAnsi="方正仿宋简体" w:eastAsia="方正仿宋简体" w:cs="方正仿宋简体"/>
                <w:bCs/>
                <w:sz w:val="28"/>
                <w:szCs w:val="28"/>
              </w:rPr>
            </w:pPr>
          </w:p>
        </w:tc>
        <w:tc>
          <w:tcPr>
            <w:tcW w:w="100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220"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50</w:t>
            </w:r>
          </w:p>
        </w:tc>
        <w:tc>
          <w:tcPr>
            <w:tcW w:w="1149" w:type="dxa"/>
            <w:noWrap/>
            <w:vAlign w:val="center"/>
          </w:tcPr>
          <w:p>
            <w:pPr>
              <w:spacing w:line="560" w:lineRule="exact"/>
              <w:jc w:val="right"/>
              <w:rPr>
                <w:rFonts w:ascii="方正仿宋简体" w:hAnsi="方正仿宋简体" w:eastAsia="方正仿宋简体" w:cs="方正仿宋简体"/>
                <w:bCs/>
                <w:sz w:val="28"/>
                <w:szCs w:val="28"/>
              </w:rPr>
            </w:pPr>
          </w:p>
        </w:tc>
        <w:tc>
          <w:tcPr>
            <w:tcW w:w="1487" w:type="dxa"/>
            <w:noWrap/>
            <w:vAlign w:val="center"/>
          </w:tcPr>
          <w:p>
            <w:pPr>
              <w:spacing w:line="560" w:lineRule="exact"/>
              <w:jc w:val="right"/>
              <w:rPr>
                <w:rFonts w:ascii="方正仿宋简体" w:hAnsi="方正仿宋简体" w:eastAsia="方正仿宋简体" w:cs="方正仿宋简体"/>
                <w:bCs/>
                <w:sz w:val="28"/>
                <w:szCs w:val="28"/>
              </w:rPr>
            </w:pPr>
          </w:p>
        </w:tc>
        <w:tc>
          <w:tcPr>
            <w:tcW w:w="1058" w:type="dxa"/>
            <w:noWrap/>
            <w:vAlign w:val="center"/>
          </w:tcPr>
          <w:p>
            <w:pPr>
              <w:spacing w:line="560" w:lineRule="exact"/>
              <w:jc w:val="right"/>
              <w:rPr>
                <w:rFonts w:ascii="方正仿宋简体" w:hAnsi="方正仿宋简体" w:eastAsia="方正仿宋简体" w:cs="方正仿宋简体"/>
                <w:bCs/>
                <w:sz w:val="28"/>
                <w:szCs w:val="28"/>
              </w:rPr>
            </w:pPr>
          </w:p>
        </w:tc>
        <w:tc>
          <w:tcPr>
            <w:tcW w:w="1066" w:type="dxa"/>
            <w:noWrap/>
            <w:vAlign w:val="center"/>
          </w:tcPr>
          <w:p>
            <w:pPr>
              <w:spacing w:line="560" w:lineRule="exact"/>
              <w:jc w:val="right"/>
              <w:rPr>
                <w:rFonts w:ascii="方正仿宋简体" w:hAnsi="方正仿宋简体" w:eastAsia="方正仿宋简体" w:cs="方正仿宋简体"/>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ign w:val="center"/>
          </w:tcPr>
          <w:p>
            <w:pPr>
              <w:spacing w:line="56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办公设备</w:t>
            </w:r>
          </w:p>
        </w:tc>
        <w:tc>
          <w:tcPr>
            <w:tcW w:w="103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245" w:type="dxa"/>
            <w:noWrap/>
            <w:vAlign w:val="center"/>
          </w:tcPr>
          <w:p>
            <w:pPr>
              <w:spacing w:line="560" w:lineRule="exact"/>
              <w:jc w:val="lef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电脑打印机等</w:t>
            </w:r>
          </w:p>
        </w:tc>
        <w:tc>
          <w:tcPr>
            <w:tcW w:w="1410" w:type="dxa"/>
            <w:noWrap/>
            <w:vAlign w:val="center"/>
          </w:tcPr>
          <w:p>
            <w:pPr>
              <w:spacing w:line="560" w:lineRule="exact"/>
              <w:jc w:val="left"/>
              <w:rPr>
                <w:rFonts w:ascii="方正仿宋简体" w:hAnsi="方正仿宋简体" w:eastAsia="方正仿宋简体" w:cs="方正仿宋简体"/>
                <w:bCs/>
                <w:sz w:val="28"/>
                <w:szCs w:val="28"/>
              </w:rPr>
            </w:pPr>
          </w:p>
        </w:tc>
        <w:tc>
          <w:tcPr>
            <w:tcW w:w="1065" w:type="dxa"/>
            <w:noWrap/>
            <w:vAlign w:val="center"/>
          </w:tcPr>
          <w:p>
            <w:pPr>
              <w:spacing w:line="560" w:lineRule="exact"/>
              <w:jc w:val="center"/>
              <w:rPr>
                <w:rFonts w:ascii="方正仿宋简体" w:hAnsi="方正仿宋简体" w:eastAsia="方正仿宋简体" w:cs="方正仿宋简体"/>
                <w:bCs/>
                <w:sz w:val="28"/>
                <w:szCs w:val="28"/>
              </w:rPr>
            </w:pPr>
          </w:p>
        </w:tc>
        <w:tc>
          <w:tcPr>
            <w:tcW w:w="1020" w:type="dxa"/>
            <w:noWrap/>
            <w:vAlign w:val="center"/>
          </w:tcPr>
          <w:p>
            <w:pPr>
              <w:spacing w:line="560" w:lineRule="exact"/>
              <w:jc w:val="right"/>
              <w:rPr>
                <w:rFonts w:ascii="方正仿宋简体" w:hAnsi="方正仿宋简体" w:eastAsia="方正仿宋简体" w:cs="方正仿宋简体"/>
                <w:bCs/>
                <w:sz w:val="28"/>
                <w:szCs w:val="28"/>
              </w:rPr>
            </w:pPr>
          </w:p>
        </w:tc>
        <w:tc>
          <w:tcPr>
            <w:tcW w:w="953" w:type="dxa"/>
            <w:noWrap/>
            <w:vAlign w:val="center"/>
          </w:tcPr>
          <w:p>
            <w:pPr>
              <w:spacing w:line="560" w:lineRule="exact"/>
              <w:jc w:val="right"/>
              <w:rPr>
                <w:rFonts w:ascii="方正仿宋简体" w:hAnsi="方正仿宋简体" w:eastAsia="方正仿宋简体" w:cs="方正仿宋简体"/>
                <w:bCs/>
                <w:sz w:val="28"/>
                <w:szCs w:val="28"/>
              </w:rPr>
            </w:pPr>
          </w:p>
        </w:tc>
        <w:tc>
          <w:tcPr>
            <w:tcW w:w="1005"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220" w:type="dxa"/>
            <w:noWrap/>
            <w:vAlign w:val="center"/>
          </w:tcPr>
          <w:p>
            <w:pPr>
              <w:spacing w:line="560" w:lineRule="exact"/>
              <w:jc w:val="right"/>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4.42</w:t>
            </w:r>
          </w:p>
        </w:tc>
        <w:tc>
          <w:tcPr>
            <w:tcW w:w="1149" w:type="dxa"/>
            <w:noWrap/>
            <w:vAlign w:val="center"/>
          </w:tcPr>
          <w:p>
            <w:pPr>
              <w:spacing w:line="560" w:lineRule="exact"/>
              <w:jc w:val="right"/>
              <w:rPr>
                <w:rFonts w:ascii="方正仿宋简体" w:hAnsi="方正仿宋简体" w:eastAsia="方正仿宋简体" w:cs="方正仿宋简体"/>
                <w:bCs/>
                <w:sz w:val="28"/>
                <w:szCs w:val="28"/>
              </w:rPr>
            </w:pPr>
          </w:p>
        </w:tc>
        <w:tc>
          <w:tcPr>
            <w:tcW w:w="1487" w:type="dxa"/>
            <w:noWrap/>
            <w:vAlign w:val="center"/>
          </w:tcPr>
          <w:p>
            <w:pPr>
              <w:spacing w:line="560" w:lineRule="exact"/>
              <w:jc w:val="right"/>
              <w:rPr>
                <w:rFonts w:ascii="方正仿宋简体" w:hAnsi="方正仿宋简体" w:eastAsia="方正仿宋简体" w:cs="方正仿宋简体"/>
                <w:bCs/>
                <w:sz w:val="28"/>
                <w:szCs w:val="28"/>
              </w:rPr>
            </w:pPr>
          </w:p>
        </w:tc>
        <w:tc>
          <w:tcPr>
            <w:tcW w:w="1058" w:type="dxa"/>
            <w:noWrap/>
            <w:vAlign w:val="center"/>
          </w:tcPr>
          <w:p>
            <w:pPr>
              <w:spacing w:line="560" w:lineRule="exact"/>
              <w:jc w:val="right"/>
              <w:rPr>
                <w:rFonts w:ascii="方正仿宋简体" w:hAnsi="方正仿宋简体" w:eastAsia="方正仿宋简体" w:cs="方正仿宋简体"/>
                <w:bCs/>
                <w:sz w:val="28"/>
                <w:szCs w:val="28"/>
              </w:rPr>
            </w:pPr>
          </w:p>
        </w:tc>
        <w:tc>
          <w:tcPr>
            <w:tcW w:w="1066" w:type="dxa"/>
            <w:noWrap/>
            <w:vAlign w:val="center"/>
          </w:tcPr>
          <w:p>
            <w:pPr>
              <w:spacing w:line="560" w:lineRule="exact"/>
              <w:jc w:val="right"/>
              <w:rPr>
                <w:rFonts w:ascii="方正仿宋简体" w:hAnsi="方正仿宋简体" w:eastAsia="方正仿宋简体" w:cs="方正仿宋简体"/>
                <w:bCs/>
                <w:sz w:val="28"/>
                <w:szCs w:val="28"/>
              </w:rPr>
            </w:pPr>
          </w:p>
        </w:tc>
      </w:tr>
    </w:tbl>
    <w:p>
      <w:pPr>
        <w:spacing w:beforeLines="50" w:afterLines="50" w:line="560" w:lineRule="exact"/>
        <w:ind w:firstLine="640" w:firstLineChars="200"/>
        <w:jc w:val="left"/>
        <w:outlineLvl w:val="2"/>
        <w:rPr>
          <w:rFonts w:ascii="方正黑体简体" w:hAnsi="黑体" w:eastAsia="方正黑体简体" w:cs="方正黑体简体"/>
          <w:sz w:val="32"/>
          <w:szCs w:val="32"/>
        </w:rPr>
      </w:pPr>
      <w:bookmarkStart w:id="5" w:name="_Toc68791551"/>
      <w:r>
        <w:rPr>
          <w:rFonts w:hint="eastAsia" w:ascii="方正黑体简体" w:hAnsi="黑体" w:eastAsia="方正黑体简体" w:cs="方正黑体简体"/>
          <w:sz w:val="32"/>
          <w:szCs w:val="32"/>
        </w:rPr>
        <w:t>七、国有资产信息</w:t>
      </w:r>
      <w:bookmarkEnd w:id="5"/>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遵化市党峪镇人民政府部门上年末固定资产金额为</w:t>
      </w:r>
      <w:r>
        <w:rPr>
          <w:rFonts w:hint="eastAsia" w:ascii="方正仿宋简体" w:hAnsi="黑体" w:eastAsia="方正仿宋简体" w:cs="黑体"/>
          <w:sz w:val="32"/>
          <w:szCs w:val="32"/>
        </w:rPr>
        <w:t>305.36</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黑体" w:eastAsia="方正仿宋简体" w:cs="黑体"/>
          <w:sz w:val="32"/>
          <w:szCs w:val="32"/>
        </w:rPr>
        <w:t>32.07</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644遵化市党峪镇人民政府部门</w:t>
            </w:r>
          </w:p>
        </w:tc>
        <w:tc>
          <w:tcPr>
            <w:tcW w:w="6964" w:type="dxa"/>
            <w:gridSpan w:val="2"/>
            <w:tcBorders>
              <w:top w:val="single" w:color="FFFFFF" w:sz="6" w:space="0"/>
              <w:left w:val="single" w:color="FFFFFF" w:sz="6" w:space="0"/>
              <w:right w:val="single" w:color="FFFFFF" w:sz="6" w:space="0"/>
            </w:tcBorders>
            <w:noWrap/>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337.43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1240</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1240</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3973" w:type="dxa"/>
            <w:noWrap/>
            <w:vAlign w:val="center"/>
          </w:tcPr>
          <w:p>
            <w:pPr>
              <w:jc w:val="center"/>
              <w:rPr>
                <w:rFonts w:ascii="方正仿宋简体" w:hAnsi="黑体" w:eastAsia="方正仿宋简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209</w:t>
            </w:r>
          </w:p>
        </w:tc>
        <w:tc>
          <w:tcPr>
            <w:tcW w:w="3973" w:type="dxa"/>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219.63</w:t>
            </w:r>
          </w:p>
        </w:tc>
      </w:tr>
    </w:tbl>
    <w:p>
      <w:pPr>
        <w:spacing w:line="560" w:lineRule="exact"/>
        <w:ind w:firstLine="640" w:firstLineChars="200"/>
        <w:jc w:val="left"/>
        <w:rPr>
          <w:rFonts w:ascii="方正黑体简体" w:hAnsi="黑体" w:eastAsia="方正黑体简体" w:cs="方正黑体简体"/>
          <w:sz w:val="32"/>
          <w:szCs w:val="32"/>
        </w:rPr>
      </w:pPr>
      <w:bookmarkStart w:id="6" w:name="_Toc68791552"/>
      <w:r>
        <w:rPr>
          <w:rFonts w:hint="eastAsia" w:ascii="方正黑体简体" w:hAnsi="黑体" w:eastAsia="方正黑体简体" w:cs="方正黑体简体"/>
          <w:sz w:val="32"/>
          <w:szCs w:val="32"/>
        </w:rPr>
        <w:t>八、名词解释</w:t>
      </w:r>
      <w:bookmarkEnd w:id="6"/>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黑体" w:eastAsia="方正黑体简体" w:cs="方正黑体简体"/>
          <w:sz w:val="32"/>
          <w:szCs w:val="32"/>
        </w:rPr>
      </w:pPr>
      <w:bookmarkStart w:id="7" w:name="_Toc68791553"/>
      <w:r>
        <w:rPr>
          <w:rFonts w:hint="eastAsia" w:ascii="方正黑体简体" w:hAnsi="黑体" w:eastAsia="方正黑体简体" w:cs="方正黑体简体"/>
          <w:sz w:val="32"/>
          <w:szCs w:val="32"/>
        </w:rPr>
        <w:t>九、其他需要说明的事项</w:t>
      </w:r>
      <w:bookmarkEnd w:id="7"/>
    </w:p>
    <w:p>
      <w:pPr>
        <w:spacing w:line="570" w:lineRule="exact"/>
        <w:ind w:firstLine="640" w:firstLineChars="200"/>
        <w:jc w:val="left"/>
        <w:rPr>
          <w:rFonts w:ascii="方正仿宋简体" w:hAnsi="方正仿宋简体" w:eastAsia="方正仿宋简体" w:cs="方正仿宋简体"/>
          <w:sz w:val="32"/>
          <w:szCs w:val="32"/>
        </w:rPr>
        <w:sectPr>
          <w:footerReference r:id="rId7" w:type="default"/>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本部门无其他需要说明的事项</w:t>
      </w:r>
    </w:p>
    <w:p>
      <w:pPr>
        <w:spacing w:line="560" w:lineRule="exact"/>
        <w:jc w:val="left"/>
        <w:rPr>
          <w:rFonts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031" o:spid="_x0000_s1027"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mN2ZlMTI4YWIxNjJhM2I1MjViZjc0MzdlZDZkY2MifQ=="/>
  </w:docVars>
  <w:rsids>
    <w:rsidRoot w:val="007B7DAC"/>
    <w:rsid w:val="0000191A"/>
    <w:rsid w:val="000119AD"/>
    <w:rsid w:val="00077E23"/>
    <w:rsid w:val="000879D5"/>
    <w:rsid w:val="000F5685"/>
    <w:rsid w:val="00113A3B"/>
    <w:rsid w:val="0017749C"/>
    <w:rsid w:val="001849C5"/>
    <w:rsid w:val="001B3C2B"/>
    <w:rsid w:val="001E6363"/>
    <w:rsid w:val="00244D0B"/>
    <w:rsid w:val="00284ECA"/>
    <w:rsid w:val="00285CCD"/>
    <w:rsid w:val="002A6203"/>
    <w:rsid w:val="002B15A9"/>
    <w:rsid w:val="002D604F"/>
    <w:rsid w:val="002F55D6"/>
    <w:rsid w:val="00350E0F"/>
    <w:rsid w:val="00370045"/>
    <w:rsid w:val="003A529B"/>
    <w:rsid w:val="0049256E"/>
    <w:rsid w:val="00496EA3"/>
    <w:rsid w:val="004A57C1"/>
    <w:rsid w:val="00536DC3"/>
    <w:rsid w:val="00546D79"/>
    <w:rsid w:val="005536C5"/>
    <w:rsid w:val="005A26DC"/>
    <w:rsid w:val="005F75B1"/>
    <w:rsid w:val="00627F27"/>
    <w:rsid w:val="006314D5"/>
    <w:rsid w:val="00633FBF"/>
    <w:rsid w:val="00687EBD"/>
    <w:rsid w:val="00761BBA"/>
    <w:rsid w:val="007672B7"/>
    <w:rsid w:val="00774498"/>
    <w:rsid w:val="007828D3"/>
    <w:rsid w:val="00790499"/>
    <w:rsid w:val="00791304"/>
    <w:rsid w:val="007B7DAC"/>
    <w:rsid w:val="008054CF"/>
    <w:rsid w:val="00836574"/>
    <w:rsid w:val="00841F8D"/>
    <w:rsid w:val="00875E42"/>
    <w:rsid w:val="008B6F3D"/>
    <w:rsid w:val="008D5ED6"/>
    <w:rsid w:val="009527BA"/>
    <w:rsid w:val="00987C16"/>
    <w:rsid w:val="00992BA3"/>
    <w:rsid w:val="0099300B"/>
    <w:rsid w:val="009A5DF7"/>
    <w:rsid w:val="009E057E"/>
    <w:rsid w:val="009E2269"/>
    <w:rsid w:val="009F1042"/>
    <w:rsid w:val="00A464E7"/>
    <w:rsid w:val="00B861D7"/>
    <w:rsid w:val="00BD36B1"/>
    <w:rsid w:val="00BE6992"/>
    <w:rsid w:val="00BF11E0"/>
    <w:rsid w:val="00C04637"/>
    <w:rsid w:val="00C26832"/>
    <w:rsid w:val="00C60112"/>
    <w:rsid w:val="00C9576E"/>
    <w:rsid w:val="00CB4BB6"/>
    <w:rsid w:val="00CD01EF"/>
    <w:rsid w:val="00CD337F"/>
    <w:rsid w:val="00D13F5B"/>
    <w:rsid w:val="00D3647C"/>
    <w:rsid w:val="00D67236"/>
    <w:rsid w:val="00DC5A62"/>
    <w:rsid w:val="00E00EC2"/>
    <w:rsid w:val="00E22C65"/>
    <w:rsid w:val="00EC199C"/>
    <w:rsid w:val="00ED520C"/>
    <w:rsid w:val="00F113B5"/>
    <w:rsid w:val="00F15D0C"/>
    <w:rsid w:val="00F8192C"/>
    <w:rsid w:val="00F83205"/>
    <w:rsid w:val="00F9351C"/>
    <w:rsid w:val="00FC307B"/>
    <w:rsid w:val="00FF19C8"/>
    <w:rsid w:val="024C4CC7"/>
    <w:rsid w:val="031E5023"/>
    <w:rsid w:val="033A6154"/>
    <w:rsid w:val="034F401E"/>
    <w:rsid w:val="03685B9C"/>
    <w:rsid w:val="03D424E6"/>
    <w:rsid w:val="049D7FDE"/>
    <w:rsid w:val="04F63CC6"/>
    <w:rsid w:val="05DA705A"/>
    <w:rsid w:val="069528D3"/>
    <w:rsid w:val="06DF1DD2"/>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30273F"/>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38362A"/>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27537D2"/>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4F6E3B"/>
    <w:rsid w:val="6D550BB3"/>
    <w:rsid w:val="6F0C4ACF"/>
    <w:rsid w:val="6F342414"/>
    <w:rsid w:val="6F40683E"/>
    <w:rsid w:val="71136F71"/>
    <w:rsid w:val="712D27DB"/>
    <w:rsid w:val="71A6516C"/>
    <w:rsid w:val="71AA15F1"/>
    <w:rsid w:val="721D12D5"/>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Char"/>
    <w:basedOn w:val="9"/>
    <w:link w:val="3"/>
    <w:semiHidden/>
    <w:qFormat/>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4">
    <w:name w:val="正文1"/>
    <w:basedOn w:val="1"/>
    <w:next w:val="1"/>
    <w:qFormat/>
    <w:uiPriority w:val="0"/>
    <w:pPr>
      <w:snapToGrid w:val="0"/>
      <w:spacing w:line="324" w:lineRule="auto"/>
      <w:ind w:firstLine="200" w:firstLineChars="200"/>
      <w:jc w:val="left"/>
    </w:pPr>
    <w:rPr>
      <w:rFonts w:ascii="Times New Roman" w:hAnsi="Times New Roman" w:cs="宋体"/>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12124</Words>
  <Characters>14025</Characters>
  <Lines>124</Lines>
  <Paragraphs>35</Paragraphs>
  <TotalTime>88</TotalTime>
  <ScaleCrop>false</ScaleCrop>
  <LinksUpToDate>false</LinksUpToDate>
  <CharactersWithSpaces>14708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JOJO</cp:lastModifiedBy>
  <cp:lastPrinted>2022-04-01T02:04:00Z</cp:lastPrinted>
  <dcterms:modified xsi:type="dcterms:W3CDTF">2024-08-23T04:14:03Z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C3C6E979E34C49E589BAE6105AFE40BE</vt:lpwstr>
  </property>
</Properties>
</file>