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hint="eastAsia"/>
          <w:sz w:val="44"/>
          <w:szCs w:val="24"/>
          <w:lang w:val="en-US" w:eastAsia="zh-CN"/>
        </w:rPr>
      </w:pPr>
      <w:r>
        <w:rPr>
          <w:rFonts w:hint="eastAsia"/>
          <w:sz w:val="44"/>
          <w:szCs w:val="24"/>
          <w:lang w:val="en-US" w:eastAsia="zh-CN"/>
        </w:rPr>
        <w:t>党风廉政建设及监督检查</w:t>
      </w:r>
    </w:p>
    <w:p>
      <w:pPr>
        <w:jc w:val="center"/>
        <w:rPr>
          <w:rFonts w:hint="eastAsia"/>
          <w:sz w:val="44"/>
          <w:szCs w:val="24"/>
          <w:lang w:val="en-US" w:eastAsia="zh-CN"/>
        </w:rPr>
      </w:pPr>
      <w:r>
        <w:rPr>
          <w:rFonts w:hint="eastAsia"/>
          <w:sz w:val="44"/>
          <w:szCs w:val="24"/>
          <w:lang w:val="en-US" w:eastAsia="zh-CN"/>
        </w:rPr>
        <w:t>项目支出绩效评价报告</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一、基本情况</w:t>
      </w:r>
    </w:p>
    <w:p>
      <w:pPr>
        <w:autoSpaceDE w:val="0"/>
        <w:autoSpaceDN w:val="0"/>
        <w:adjustRightInd w:val="0"/>
        <w:spacing w:line="560" w:lineRule="exact"/>
        <w:ind w:firstLineChars="200" w:firstLine="640"/>
        <w:jc w:val="left"/>
        <w:rPr>
          <w:rFonts w:ascii="仿宋_GB2312" w:eastAsia="仿宋_GB2312" w:cs="Times New Roman" w:hAnsi="仿宋_GB2312" w:hint="eastAsia"/>
          <w:color w:val="333333"/>
          <w:kern w:val="0"/>
          <w:sz w:val="32"/>
          <w:szCs w:val="32"/>
          <w:lang w:val="en-US" w:eastAsia="zh-CN"/>
        </w:rPr>
      </w:pPr>
      <w:r>
        <w:rPr>
          <w:rFonts w:ascii="仿宋_GB2312" w:eastAsia="仿宋_GB2312" w:hAnsi="仿宋_GB2312" w:hint="eastAsia"/>
          <w:color w:val="333333"/>
          <w:kern w:val="0"/>
          <w:sz w:val="32"/>
          <w:szCs w:val="24"/>
          <w:lang w:val="en-US" w:eastAsia="zh-CN"/>
        </w:rPr>
        <w:t>（一）项目概况。</w:t>
      </w:r>
      <w:r>
        <w:rPr>
          <w:rFonts w:ascii="仿宋_GB2312" w:eastAsia="仿宋_GB2312" w:hAnsi="仿宋_GB2312" w:hint="eastAsia"/>
          <w:color w:val="333333"/>
          <w:kern w:val="0"/>
          <w:sz w:val="32"/>
          <w:szCs w:val="24"/>
          <w:lang w:val="zh-CN" w:eastAsia="zh-CN"/>
        </w:rPr>
        <w:t>按照《中共遵化市纪律检查委员会主要职责内设机构和人员编制规定》要求，及《</w:t>
      </w:r>
      <w:r>
        <w:rPr>
          <w:rFonts w:ascii="仿宋_GB2312" w:eastAsia="仿宋_GB2312" w:hAnsi="仿宋_GB2312" w:hint="eastAsia"/>
          <w:color w:val="333333"/>
          <w:kern w:val="0"/>
          <w:sz w:val="32"/>
          <w:szCs w:val="24"/>
          <w:lang w:val="en-US" w:eastAsia="zh-CN"/>
        </w:rPr>
        <w:t>关于强化主责主业着力优化政治生态环境市场营商环境自然生态环境助力高质量发展的实施方案</w:t>
      </w:r>
      <w:r>
        <w:rPr>
          <w:rFonts w:ascii="仿宋_GB2312" w:eastAsia="仿宋_GB2312" w:hAnsi="仿宋_GB2312" w:hint="eastAsia"/>
          <w:color w:val="333333"/>
          <w:kern w:val="0"/>
          <w:sz w:val="32"/>
          <w:szCs w:val="24"/>
          <w:lang w:val="zh-CN" w:eastAsia="zh-CN"/>
        </w:rPr>
        <w:t>》要求，组织协调全市党风廉政建设和反腐败宣传、教育、课题研究等工作，承担市委惩治预防腐败体系领导小组办公室和市预防腐败局日常工作。综合协调对贯彻执行党的路线、方针、政策和决议，国家法律、法规等的监督检查；综合协调党风廉政建设责任制、党政领导干部问责规定的贯彻落实等工作。负责提出地方性纪检监察法规制度、建设规划、计划和立法建议；负责起草、修订地方性纪检监察法规制度，参与起草市委、市政府党风廉政建设法规制度和政策规定；对纪检监察法规制度执行情况开展调查和评估等。</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（二）项目绩效目标。</w:t>
      </w:r>
    </w:p>
    <w:p>
      <w:pPr>
        <w:adjustRightInd w:val="0"/>
        <w:snapToGrid w:val="0"/>
        <w:spacing w:line="560" w:lineRule="exact"/>
        <w:ind w:firstLineChars="200" w:firstLine="640"/>
        <w:jc w:val="left"/>
        <w:rPr>
          <w:rFonts w:ascii="仿宋_GB2312" w:eastAsia="仿宋_GB2312" w:hAnsi="仿宋_GB2312" w:hint="eastAsia"/>
          <w:color w:val="333333"/>
          <w:kern w:val="0"/>
          <w:sz w:val="32"/>
          <w:szCs w:val="24"/>
          <w:lang w:val="zh-CN" w:eastAsia="zh-CN"/>
        </w:rPr>
      </w:pPr>
      <w:r>
        <w:rPr>
          <w:rFonts w:ascii="仿宋_GB2312" w:eastAsia="仿宋_GB2312" w:hAnsi="仿宋_GB2312" w:hint="eastAsia"/>
          <w:color w:val="333333"/>
          <w:kern w:val="0"/>
          <w:sz w:val="32"/>
          <w:szCs w:val="24"/>
          <w:lang w:val="en-US" w:eastAsia="zh-CN"/>
        </w:rPr>
        <w:t>总体</w:t>
      </w:r>
      <w:r>
        <w:rPr>
          <w:rFonts w:ascii="仿宋_GB2312" w:eastAsia="仿宋_GB2312" w:hAnsi="仿宋_GB2312" w:hint="eastAsia"/>
          <w:color w:val="333333"/>
          <w:kern w:val="0"/>
          <w:sz w:val="32"/>
          <w:szCs w:val="24"/>
          <w:lang w:val="zh-CN" w:eastAsia="zh-CN"/>
        </w:rPr>
        <w:t>目标：</w:t>
      </w:r>
      <w:r>
        <w:rPr>
          <w:rFonts w:ascii="仿宋_GB2312" w:eastAsia="仿宋_GB2312" w:cs="Times New Roman" w:hAnsi="仿宋_GB2312" w:hint="eastAsia"/>
          <w:color w:val="333333"/>
          <w:kern w:val="0"/>
          <w:sz w:val="32"/>
          <w:szCs w:val="32"/>
          <w:lang w:val="zh-CN" w:eastAsia="zh-CN"/>
        </w:rPr>
        <w:t>强化上下贯通联动，着力巩固拓展“两个责任”同向同力的全面从严治党格局。</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阶段性目标：1、至少每半年开民一次党风廉政教育活动；2、每年至少开展民主评议等活动一次；3、针对重点问题开展廉政提醒等活动。</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（一）绩效评价目的、对象和范围。</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评价对象：党风廉政建设及监督检查资金使用情况。</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评价范围：资金使用情况、财务管理状况和资产配置、使用、处置及其收益管理情况的绩效评价。绩效目标的实现程度，包括是否达到预定产出和效果等。</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评价的目的：严格执行《中华人民共和国预算法》，强化支出责任，提高项目资金使用效益，对项目资金使用情况及项目开展情况通过绩效评价进行有效监督。</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（二）绩效评价原则、评价指标体系、评价方法、评价标准等。</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评价工作遵照公开、公平、客观的原则进行，充分体现可行性和实用性，以工作为重点，同时重视考核的实效性。通过收集项目资料、实地调研等方法进行考评工作。</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评价指标体系：</w:t>
      </w:r>
    </w:p>
    <w:tbl>
      <w:tblPr>
        <w:jc w:val="left"/>
        <w:tblInd w:w="-613" w:type="dxa"/>
        <w:tblW w:w="933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38"/>
        <w:gridCol w:w="540"/>
        <w:gridCol w:w="1440"/>
        <w:gridCol w:w="2883"/>
        <w:gridCol w:w="2648"/>
        <w:gridCol w:w="630"/>
        <w:gridCol w:w="660"/>
      </w:tblGrid>
      <w:tr>
        <w:trPr>
          <w:trHeight w:val="780"/>
        </w:trPr>
        <w:tc>
          <w:tcPr>
            <w:tcW w:w="538" w:type="dxa"/>
            <w:tcBorders>
              <w:top w:val="single" w:sz="4" w:space="0" w:color="000000"/>
              <w:left w:val="single" w:sz="4" w:space="0" w:color="000000"/>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一级指标</w:t>
            </w:r>
          </w:p>
        </w:tc>
        <w:tc>
          <w:tcPr>
            <w:tcW w:w="540" w:type="dxa"/>
            <w:tcBorders>
              <w:top w:val="single" w:sz="4" w:space="0" w:color="000000"/>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二级指标</w:t>
            </w:r>
          </w:p>
        </w:tc>
        <w:tc>
          <w:tcPr>
            <w:tcW w:w="1440" w:type="dxa"/>
            <w:tcBorders>
              <w:top w:val="single" w:sz="4" w:space="0" w:color="000000"/>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三级指标</w:t>
            </w:r>
          </w:p>
        </w:tc>
        <w:tc>
          <w:tcPr>
            <w:tcW w:w="2883" w:type="dxa"/>
            <w:tcBorders>
              <w:top w:val="single" w:sz="4" w:space="0" w:color="000000"/>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指标解释</w:t>
            </w:r>
          </w:p>
        </w:tc>
        <w:tc>
          <w:tcPr>
            <w:tcW w:w="2648" w:type="dxa"/>
            <w:tcBorders>
              <w:top w:val="single" w:sz="4" w:space="0" w:color="000000"/>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评价标准</w:t>
            </w:r>
          </w:p>
        </w:tc>
        <w:tc>
          <w:tcPr>
            <w:tcW w:w="630" w:type="dxa"/>
            <w:tcBorders>
              <w:top w:val="single" w:sz="4" w:space="0" w:color="000000"/>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标准分</w:t>
            </w:r>
          </w:p>
        </w:tc>
        <w:tc>
          <w:tcPr>
            <w:tcW w:w="660" w:type="dxa"/>
            <w:tcBorders>
              <w:top w:val="single" w:sz="4" w:space="0" w:color="000000"/>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得分</w:t>
            </w:r>
          </w:p>
        </w:tc>
      </w:tr>
      <w:tr>
        <w:trPr>
          <w:trHeight w:val="609"/>
        </w:trPr>
        <w:tc>
          <w:tcPr>
            <w:tcW w:w="538" w:type="dxa"/>
            <w:vMerge w:val="restart"/>
            <w:tcBorders>
              <w:top w:val="nil"/>
              <w:left w:val="single" w:sz="4" w:space="0" w:color="000000"/>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投入</w:t>
            </w:r>
          </w:p>
        </w:tc>
        <w:tc>
          <w:tcPr>
            <w:tcW w:w="5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项目目标</w:t>
            </w: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目标内容</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目标是否明确、细化、量化</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目标明确（1分），目标细化（1分），目标量化（1分）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3</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3</w:t>
            </w:r>
          </w:p>
        </w:tc>
      </w:tr>
      <w:tr>
        <w:trPr>
          <w:trHeight w:val="780"/>
        </w:trPr>
        <w:tc>
          <w:tcPr>
            <w:tcW w:w="538" w:type="dxa"/>
            <w:vMerge/>
            <w:tcBorders>
              <w:top w:val="nil"/>
              <w:left w:val="single" w:sz="4" w:space="0" w:color="000000"/>
              <w:bottom w:val="single" w:sz="4" w:space="0" w:color="000000"/>
              <w:right w:val="single" w:sz="4" w:space="0" w:color="000000"/>
              <w:tl2br w:val="nil"/>
              <w:tr2bl w:val="nil"/>
            </w:tcBorders>
            <w:vAlign w:val="center"/>
          </w:tcPr>
          <w:p/>
        </w:tc>
        <w:tc>
          <w:tcPr>
            <w:tcW w:w="540" w:type="dxa"/>
            <w:vMerge w:val="restart"/>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决策过程</w:t>
            </w: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决策依据</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项目符合经济社会发展规划和部门年度工作计划（1分），根据需要制定中长期实施规划（1分）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2</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2</w:t>
            </w:r>
          </w:p>
        </w:tc>
      </w:tr>
      <w:tr>
        <w:trPr>
          <w:trHeight w:val="780"/>
        </w:trPr>
        <w:tc>
          <w:tcPr>
            <w:tcW w:w="538" w:type="dxa"/>
            <w:vMerge/>
            <w:tcBorders>
              <w:top w:val="nil"/>
              <w:left w:val="single" w:sz="4" w:space="0" w:color="000000"/>
              <w:bottom w:val="single" w:sz="4" w:space="0" w:color="000000"/>
              <w:right w:val="single" w:sz="4" w:space="0" w:color="000000"/>
              <w:tl2br w:val="nil"/>
              <w:tr2bl w:val="nil"/>
            </w:tcBorders>
            <w:vAlign w:val="center"/>
          </w:tcPr>
          <w:p/>
        </w:tc>
        <w:tc>
          <w:tcPr>
            <w:tcW w:w="540" w:type="dxa"/>
            <w:vMerge/>
            <w:tcBorders>
              <w:top w:val="nil"/>
              <w:left w:val="nil"/>
              <w:bottom w:val="single" w:sz="4" w:space="0" w:color="000000"/>
              <w:right w:val="single" w:sz="4" w:space="0" w:color="000000"/>
              <w:tl2br w:val="nil"/>
              <w:tr2bl w:val="nil"/>
            </w:tcBorders>
            <w:vAlign w:val="center"/>
          </w:tcP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决策程序</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项目符合申报条件（2分），申报、批复程序符合相关管理办法（2分），项目实施调整履行相应手续（1分）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5</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5</w:t>
            </w:r>
          </w:p>
        </w:tc>
      </w:tr>
      <w:tr>
        <w:trPr>
          <w:trHeight w:val="780"/>
        </w:trPr>
        <w:tc>
          <w:tcPr>
            <w:tcW w:w="538" w:type="dxa"/>
            <w:vMerge/>
            <w:tcBorders>
              <w:top w:val="nil"/>
              <w:left w:val="single" w:sz="4" w:space="0" w:color="000000"/>
              <w:bottom w:val="single" w:sz="4" w:space="0" w:color="000000"/>
              <w:right w:val="single" w:sz="4" w:space="0" w:color="000000"/>
              <w:tl2br w:val="nil"/>
              <w:tr2bl w:val="nil"/>
            </w:tcBorders>
            <w:vAlign w:val="center"/>
          </w:tcPr>
          <w:p/>
        </w:tc>
        <w:tc>
          <w:tcPr>
            <w:tcW w:w="540" w:type="dxa"/>
            <w:vMerge w:val="restart"/>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资金落实</w:t>
            </w: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到位率</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实际到位/计划到位×100%</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根据项目实际到位资金占计划的比重计算得分（2分）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lang w:eastAsia="zh-CN"/>
              </w:rPr>
            </w:pPr>
            <w:r>
              <w:rPr>
                <w:rFonts w:ascii="仿宋_GB2312" w:eastAsia="仿宋_GB2312" w:hAnsi="仿宋_GB2312" w:hint="eastAsia"/>
                <w:kern w:val="0"/>
                <w:sz w:val="32"/>
                <w:szCs w:val="24"/>
                <w:lang w:val="en-US" w:eastAsia="zh-CN"/>
              </w:rPr>
              <w:t>2</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lang w:eastAsia="zh-CN"/>
              </w:rPr>
            </w:pPr>
            <w:r>
              <w:rPr>
                <w:rFonts w:ascii="仿宋_GB2312" w:eastAsia="仿宋_GB2312" w:hAnsi="仿宋_GB2312" w:hint="eastAsia"/>
                <w:kern w:val="0"/>
                <w:sz w:val="32"/>
                <w:szCs w:val="24"/>
                <w:lang w:val="en-US" w:eastAsia="zh-CN"/>
              </w:rPr>
              <w:t>1</w:t>
            </w:r>
          </w:p>
        </w:tc>
      </w:tr>
      <w:tr>
        <w:trPr>
          <w:trHeight w:val="780"/>
        </w:trPr>
        <w:tc>
          <w:tcPr>
            <w:tcW w:w="538" w:type="dxa"/>
            <w:vMerge/>
            <w:tcBorders>
              <w:top w:val="nil"/>
              <w:left w:val="single" w:sz="4" w:space="0" w:color="000000"/>
              <w:bottom w:val="single" w:sz="4" w:space="0" w:color="000000"/>
              <w:right w:val="single" w:sz="4" w:space="0" w:color="000000"/>
              <w:tl2br w:val="nil"/>
              <w:tr2bl w:val="nil"/>
            </w:tcBorders>
            <w:vAlign w:val="center"/>
          </w:tcPr>
          <w:p/>
        </w:tc>
        <w:tc>
          <w:tcPr>
            <w:tcW w:w="540" w:type="dxa"/>
            <w:vMerge/>
            <w:tcBorders>
              <w:top w:val="nil"/>
              <w:left w:val="nil"/>
              <w:bottom w:val="single" w:sz="4" w:space="0" w:color="000000"/>
              <w:right w:val="single" w:sz="4" w:space="0" w:color="000000"/>
              <w:tl2br w:val="nil"/>
              <w:tr2bl w:val="nil"/>
            </w:tcBorders>
            <w:vAlign w:val="center"/>
          </w:tcP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到位时效</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资金是否及时到位；若未及时到位，是否影响项目进度</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及时到位（</w:t>
            </w:r>
            <w:r>
              <w:rPr>
                <w:rFonts w:ascii="仿宋_GB2312" w:eastAsia="仿宋_GB2312" w:hAnsi="仿宋_GB2312" w:hint="eastAsia"/>
                <w:kern w:val="0"/>
                <w:sz w:val="32"/>
                <w:szCs w:val="24"/>
                <w:lang w:val="en-US" w:eastAsia="zh-CN"/>
              </w:rPr>
              <w:t>3</w:t>
            </w:r>
            <w:r>
              <w:rPr>
                <w:rFonts w:ascii="仿宋_GB2312" w:eastAsia="仿宋_GB2312" w:hAnsi="仿宋_GB2312" w:hint="eastAsia"/>
                <w:kern w:val="0"/>
                <w:sz w:val="32"/>
                <w:szCs w:val="24"/>
              </w:rPr>
              <w:t>分），</w:t>
            </w:r>
            <w:bookmarkStart w:id="0" w:name="_Hlk510168764"/>
            <w:r>
              <w:rPr>
                <w:rFonts w:ascii="仿宋_GB2312" w:eastAsia="仿宋_GB2312" w:hAnsi="仿宋_GB2312" w:hint="eastAsia"/>
                <w:kern w:val="0"/>
                <w:sz w:val="32"/>
                <w:szCs w:val="24"/>
              </w:rPr>
              <w:t>未及时到位但未影响项目进度（</w:t>
            </w:r>
            <w:bookmarkEnd w:id="0"/>
            <w:r>
              <w:rPr>
                <w:rFonts w:ascii="仿宋_GB2312" w:eastAsia="仿宋_GB2312" w:hAnsi="仿宋_GB2312" w:hint="eastAsia"/>
                <w:kern w:val="0"/>
                <w:sz w:val="32"/>
                <w:szCs w:val="24"/>
              </w:rPr>
              <w:t>2分），未及时到位并影响项目进度（0分）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lang w:eastAsia="zh-CN"/>
              </w:rPr>
            </w:pPr>
            <w:r>
              <w:rPr>
                <w:rFonts w:ascii="仿宋_GB2312" w:eastAsia="仿宋_GB2312" w:hAnsi="仿宋_GB2312" w:hint="eastAsia"/>
                <w:kern w:val="0"/>
                <w:sz w:val="32"/>
                <w:szCs w:val="24"/>
                <w:lang w:val="en-US" w:eastAsia="zh-CN"/>
              </w:rPr>
              <w:t>3</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lang w:val="en-US" w:eastAsia="zh-CN"/>
              </w:rPr>
            </w:pPr>
            <w:r>
              <w:rPr>
                <w:rFonts w:ascii="仿宋_GB2312" w:eastAsia="仿宋_GB2312" w:hAnsi="仿宋_GB2312" w:hint="eastAsia"/>
                <w:kern w:val="0"/>
                <w:sz w:val="32"/>
                <w:szCs w:val="24"/>
                <w:lang w:val="en-US" w:eastAsia="zh-CN"/>
              </w:rPr>
              <w:t>1.4</w:t>
            </w:r>
          </w:p>
        </w:tc>
      </w:tr>
      <w:tr>
        <w:trPr>
          <w:trHeight w:val="780"/>
        </w:trPr>
        <w:tc>
          <w:tcPr>
            <w:tcW w:w="538" w:type="dxa"/>
            <w:vMerge w:val="restart"/>
            <w:tcBorders>
              <w:top w:val="nil"/>
              <w:left w:val="single" w:sz="4" w:space="0" w:color="000000"/>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过程</w:t>
            </w:r>
          </w:p>
        </w:tc>
        <w:tc>
          <w:tcPr>
            <w:tcW w:w="540" w:type="dxa"/>
            <w:vMerge w:val="restart"/>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资金管理</w:t>
            </w: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资金使用</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虚列（套取）扣4分，支出依据不合规扣1分，截留、挤占、挪用扣2分，超标准开支扣1分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4</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4</w:t>
            </w:r>
          </w:p>
        </w:tc>
      </w:tr>
      <w:tr>
        <w:trPr>
          <w:trHeight w:val="780"/>
        </w:trPr>
        <w:tc>
          <w:tcPr>
            <w:tcW w:w="538" w:type="dxa"/>
            <w:vMerge/>
            <w:tcBorders>
              <w:top w:val="nil"/>
              <w:left w:val="single" w:sz="4" w:space="0" w:color="000000"/>
              <w:bottom w:val="single" w:sz="4" w:space="0" w:color="000000"/>
              <w:right w:val="single" w:sz="4" w:space="0" w:color="000000"/>
              <w:tl2br w:val="nil"/>
              <w:tr2bl w:val="nil"/>
            </w:tcBorders>
            <w:vAlign w:val="center"/>
          </w:tcPr>
          <w:p/>
        </w:tc>
        <w:tc>
          <w:tcPr>
            <w:tcW w:w="540" w:type="dxa"/>
            <w:vMerge/>
            <w:tcBorders>
              <w:top w:val="nil"/>
              <w:left w:val="nil"/>
              <w:bottom w:val="single" w:sz="4" w:space="0" w:color="000000"/>
              <w:right w:val="single" w:sz="4" w:space="0" w:color="000000"/>
              <w:tl2br w:val="nil"/>
              <w:tr2bl w:val="nil"/>
            </w:tcBorders>
            <w:vAlign w:val="center"/>
          </w:tcP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财务管理</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资金管理、费用支出等制度是否健全，是否严格执行；会计核算是否规范</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财务制度健全（1分），严格执行制度（1分），会计核算规范（1分）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3</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3</w:t>
            </w:r>
          </w:p>
        </w:tc>
      </w:tr>
      <w:tr>
        <w:trPr>
          <w:trHeight w:val="526"/>
        </w:trPr>
        <w:tc>
          <w:tcPr>
            <w:tcW w:w="538" w:type="dxa"/>
            <w:vMerge/>
            <w:tcBorders>
              <w:top w:val="nil"/>
              <w:left w:val="single" w:sz="4" w:space="0" w:color="000000"/>
              <w:bottom w:val="single" w:sz="4" w:space="0" w:color="000000"/>
              <w:right w:val="single" w:sz="4" w:space="0" w:color="000000"/>
              <w:tl2br w:val="nil"/>
              <w:tr2bl w:val="nil"/>
            </w:tcBorders>
            <w:vAlign w:val="center"/>
          </w:tcPr>
          <w:p/>
        </w:tc>
        <w:tc>
          <w:tcPr>
            <w:tcW w:w="540" w:type="dxa"/>
            <w:vMerge w:val="restart"/>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组织实施</w:t>
            </w: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组织机构</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机构是否健全、分工是否明确</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机构健全、分工明确（4分）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4</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4</w:t>
            </w:r>
          </w:p>
        </w:tc>
      </w:tr>
      <w:tr>
        <w:trPr>
          <w:trHeight w:val="780"/>
        </w:trPr>
        <w:tc>
          <w:tcPr>
            <w:tcW w:w="538" w:type="dxa"/>
            <w:vMerge/>
            <w:tcBorders>
              <w:top w:val="nil"/>
              <w:left w:val="single" w:sz="4" w:space="0" w:color="000000"/>
              <w:bottom w:val="single" w:sz="4" w:space="0" w:color="auto"/>
              <w:right w:val="single" w:sz="4" w:space="0" w:color="000000"/>
              <w:tl2br w:val="nil"/>
              <w:tr2bl w:val="nil"/>
            </w:tcBorders>
            <w:vAlign w:val="center"/>
          </w:tcPr>
          <w:p/>
        </w:tc>
        <w:tc>
          <w:tcPr>
            <w:tcW w:w="540" w:type="dxa"/>
            <w:vMerge/>
            <w:tcBorders>
              <w:top w:val="nil"/>
              <w:left w:val="nil"/>
              <w:bottom w:val="single" w:sz="4" w:space="0" w:color="000000"/>
              <w:right w:val="single" w:sz="4" w:space="0" w:color="000000"/>
              <w:tl2br w:val="nil"/>
              <w:tr2bl w:val="nil"/>
            </w:tcBorders>
            <w:vAlign w:val="center"/>
          </w:tcP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管理制度</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是否建立健全项目管理制度；是否严格执行相关项目管理制度</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建立健全项目管理制度（2分）；严格执行相关项目管理制度(2分）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4</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4</w:t>
            </w:r>
          </w:p>
        </w:tc>
      </w:tr>
      <w:tr>
        <w:trPr>
          <w:trHeight w:val="780"/>
        </w:trPr>
        <w:tc>
          <w:tcPr>
            <w:tcW w:w="538" w:type="dxa"/>
            <w:vMerge w:val="restart"/>
            <w:tcBorders>
              <w:top w:val="single" w:sz="4" w:space="0" w:color="auto"/>
              <w:left w:val="single" w:sz="4" w:space="0" w:color="000000"/>
              <w:bottom w:val="nil"/>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产出</w:t>
            </w:r>
          </w:p>
        </w:tc>
        <w:tc>
          <w:tcPr>
            <w:tcW w:w="540" w:type="dxa"/>
            <w:vMerge w:val="restart"/>
            <w:tcBorders>
              <w:top w:val="nil"/>
              <w:left w:val="nil"/>
              <w:bottom w:val="nil"/>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产出指标</w:t>
            </w: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lang w:val="en-US" w:eastAsia="zh-CN"/>
              </w:rPr>
              <w:t>开展党风廉政宣传教育活动情况</w:t>
            </w:r>
          </w:p>
        </w:tc>
        <w:tc>
          <w:tcPr>
            <w:tcW w:w="2883" w:type="dxa"/>
            <w:tcBorders>
              <w:top w:val="nil"/>
              <w:left w:val="nil"/>
              <w:bottom w:val="single" w:sz="4" w:space="0" w:color="000000"/>
              <w:right w:val="single" w:sz="4" w:space="0" w:color="000000"/>
              <w:tl2br w:val="nil"/>
              <w:tr2bl w:val="nil"/>
            </w:tcBorders>
            <w:vAlign w:val="center"/>
          </w:tcPr>
          <w:p>
            <w:pPr>
              <w:spacing w:line="560" w:lineRule="exact"/>
              <w:rPr>
                <w:rFonts w:ascii="仿宋_GB2312" w:eastAsia="仿宋_GB2312" w:hAnsi="仿宋_GB2312" w:hint="eastAsia"/>
                <w:kern w:val="0"/>
                <w:sz w:val="32"/>
                <w:szCs w:val="24"/>
                <w:lang w:val="en-US" w:eastAsia="zh-CN"/>
              </w:rPr>
            </w:pPr>
            <w:r>
              <w:rPr>
                <w:rFonts w:ascii="仿宋_GB2312" w:eastAsia="仿宋_GB2312" w:hAnsi="仿宋_GB2312" w:hint="eastAsia"/>
                <w:kern w:val="0"/>
                <w:sz w:val="32"/>
                <w:szCs w:val="24"/>
                <w:lang w:eastAsia="zh-CN"/>
              </w:rPr>
              <w:t>开展党风廉政教育活动占计划数的比率</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lang w:eastAsia="zh-CN"/>
              </w:rPr>
              <w:t>占</w:t>
            </w:r>
            <w:r>
              <w:rPr>
                <w:rFonts w:ascii="仿宋_GB2312" w:eastAsia="仿宋_GB2312" w:hAnsi="仿宋_GB2312" w:hint="eastAsia"/>
                <w:kern w:val="0"/>
                <w:sz w:val="32"/>
                <w:szCs w:val="24"/>
                <w:lang w:val="en-US" w:eastAsia="zh-CN"/>
              </w:rPr>
              <w:t>85</w:t>
            </w:r>
            <w:r>
              <w:rPr>
                <w:rFonts w:ascii="仿宋_GB2312" w:eastAsia="仿宋_GB2312" w:hAnsi="仿宋_GB2312" w:hint="eastAsia"/>
                <w:kern w:val="0"/>
                <w:sz w:val="32"/>
                <w:szCs w:val="24"/>
              </w:rPr>
              <w:t>%得20分，</w:t>
            </w:r>
            <w:r>
              <w:rPr>
                <w:rFonts w:ascii="仿宋_GB2312" w:eastAsia="仿宋_GB2312" w:hAnsi="仿宋_GB2312" w:hint="eastAsia"/>
                <w:kern w:val="0"/>
                <w:sz w:val="32"/>
                <w:szCs w:val="24"/>
                <w:lang w:eastAsia="zh-CN"/>
              </w:rPr>
              <w:t>占</w:t>
            </w:r>
            <w:r>
              <w:rPr>
                <w:rFonts w:ascii="仿宋_GB2312" w:eastAsia="仿宋_GB2312" w:hAnsi="仿宋_GB2312" w:hint="eastAsia"/>
                <w:kern w:val="0"/>
                <w:sz w:val="32"/>
                <w:szCs w:val="24"/>
                <w:lang w:val="en-US" w:eastAsia="zh-CN"/>
              </w:rPr>
              <w:t>80</w:t>
            </w:r>
            <w:r>
              <w:rPr>
                <w:rFonts w:ascii="仿宋_GB2312" w:eastAsia="仿宋_GB2312" w:hAnsi="仿宋_GB2312" w:hint="eastAsia"/>
                <w:kern w:val="0"/>
                <w:sz w:val="32"/>
                <w:szCs w:val="24"/>
              </w:rPr>
              <w:t>%以上得18分，</w:t>
            </w:r>
            <w:r>
              <w:rPr>
                <w:rFonts w:ascii="仿宋_GB2312" w:eastAsia="仿宋_GB2312" w:hAnsi="仿宋_GB2312" w:hint="eastAsia"/>
                <w:kern w:val="0"/>
                <w:sz w:val="32"/>
                <w:szCs w:val="24"/>
                <w:lang w:eastAsia="zh-CN"/>
              </w:rPr>
              <w:t>占</w:t>
            </w:r>
            <w:r>
              <w:rPr>
                <w:rFonts w:ascii="仿宋_GB2312" w:eastAsia="仿宋_GB2312" w:hAnsi="仿宋_GB2312" w:hint="eastAsia"/>
                <w:kern w:val="0"/>
                <w:sz w:val="32"/>
                <w:szCs w:val="24"/>
                <w:lang w:val="en-US" w:eastAsia="zh-CN"/>
              </w:rPr>
              <w:t>75</w:t>
            </w:r>
            <w:r>
              <w:rPr>
                <w:rFonts w:ascii="仿宋_GB2312" w:eastAsia="仿宋_GB2312" w:hAnsi="仿宋_GB2312" w:hint="eastAsia"/>
                <w:kern w:val="0"/>
                <w:sz w:val="32"/>
                <w:szCs w:val="24"/>
              </w:rPr>
              <w:t>%以上得14分，</w:t>
            </w:r>
            <w:r>
              <w:rPr>
                <w:rFonts w:ascii="仿宋_GB2312" w:eastAsia="仿宋_GB2312" w:hAnsi="仿宋_GB2312" w:hint="eastAsia"/>
                <w:kern w:val="0"/>
                <w:sz w:val="32"/>
                <w:szCs w:val="24"/>
                <w:lang w:eastAsia="zh-CN"/>
              </w:rPr>
              <w:t>占</w:t>
            </w:r>
            <w:r>
              <w:rPr>
                <w:rFonts w:ascii="仿宋_GB2312" w:eastAsia="仿宋_GB2312" w:hAnsi="仿宋_GB2312" w:hint="eastAsia"/>
                <w:kern w:val="0"/>
                <w:sz w:val="32"/>
                <w:szCs w:val="24"/>
                <w:lang w:val="en-US" w:eastAsia="zh-CN"/>
              </w:rPr>
              <w:t>75</w:t>
            </w:r>
            <w:r>
              <w:rPr>
                <w:rFonts w:ascii="仿宋_GB2312" w:eastAsia="仿宋_GB2312" w:hAnsi="仿宋_GB2312" w:hint="eastAsia"/>
                <w:kern w:val="0"/>
                <w:sz w:val="32"/>
                <w:szCs w:val="24"/>
              </w:rPr>
              <w:t>%</w:t>
            </w:r>
            <w:r>
              <w:rPr>
                <w:rFonts w:ascii="仿宋_GB2312" w:eastAsia="仿宋_GB2312" w:hAnsi="仿宋_GB2312" w:hint="eastAsia"/>
                <w:kern w:val="0"/>
                <w:sz w:val="32"/>
                <w:szCs w:val="24"/>
                <w:lang w:eastAsia="zh-CN"/>
              </w:rPr>
              <w:t>，</w:t>
            </w:r>
            <w:r>
              <w:rPr>
                <w:rFonts w:ascii="仿宋_GB2312" w:eastAsia="仿宋_GB2312" w:hAnsi="仿宋_GB2312" w:hint="eastAsia"/>
                <w:kern w:val="0"/>
                <w:sz w:val="32"/>
                <w:szCs w:val="24"/>
              </w:rPr>
              <w:t>以下得10分。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20</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20</w:t>
            </w:r>
          </w:p>
        </w:tc>
      </w:tr>
      <w:tr>
        <w:trPr>
          <w:trHeight w:val="780"/>
        </w:trPr>
        <w:tc>
          <w:tcPr>
            <w:tcW w:w="538" w:type="dxa"/>
            <w:vMerge/>
            <w:tcBorders>
              <w:top w:val="nil"/>
              <w:left w:val="single" w:sz="4" w:space="0" w:color="000000"/>
              <w:bottom w:val="single" w:sz="4" w:space="0" w:color="000000"/>
              <w:right w:val="single" w:sz="4" w:space="0" w:color="000000"/>
              <w:tl2br w:val="nil"/>
              <w:tr2bl w:val="nil"/>
            </w:tcBorders>
            <w:vAlign w:val="center"/>
          </w:tcPr>
          <w:p/>
        </w:tc>
        <w:tc>
          <w:tcPr>
            <w:tcW w:w="540" w:type="dxa"/>
            <w:vMerge/>
            <w:tcBorders>
              <w:top w:val="nil"/>
              <w:left w:val="nil"/>
              <w:bottom w:val="single" w:sz="4" w:space="0" w:color="000000"/>
              <w:right w:val="single" w:sz="4" w:space="0" w:color="000000"/>
              <w:tl2br w:val="nil"/>
              <w:tr2bl w:val="nil"/>
            </w:tcBorders>
            <w:vAlign w:val="center"/>
          </w:tcP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lang w:val="en-US"/>
              </w:rPr>
            </w:pPr>
            <w:r>
              <w:rPr>
                <w:rFonts w:ascii="仿宋_GB2312" w:eastAsia="仿宋_GB2312" w:hAnsi="仿宋_GB2312" w:hint="eastAsia"/>
                <w:kern w:val="0"/>
                <w:sz w:val="32"/>
                <w:szCs w:val="24"/>
                <w:lang w:val="en-US" w:eastAsia="zh-CN"/>
              </w:rPr>
              <w:t xml:space="preserve">民主评议活动开展怀脱 </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lang w:val="en-US" w:eastAsia="zh-CN"/>
              </w:rPr>
              <w:t>开展民主评议活动资数，占当年计划数的比率</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lang w:val="en-US" w:eastAsia="zh-CN"/>
              </w:rPr>
            </w:pPr>
            <w:r>
              <w:rPr>
                <w:rFonts w:ascii="仿宋_GB2312" w:eastAsia="仿宋_GB2312" w:hAnsi="仿宋_GB2312" w:hint="eastAsia"/>
                <w:kern w:val="0"/>
                <w:sz w:val="32"/>
                <w:szCs w:val="24"/>
                <w:lang w:eastAsia="zh-CN"/>
              </w:rPr>
              <w:t>占</w:t>
            </w:r>
            <w:r>
              <w:rPr>
                <w:rFonts w:ascii="仿宋_GB2312" w:eastAsia="仿宋_GB2312" w:hAnsi="仿宋_GB2312" w:hint="eastAsia"/>
                <w:kern w:val="0"/>
                <w:sz w:val="32"/>
                <w:szCs w:val="24"/>
                <w:lang w:val="en-US" w:eastAsia="zh-CN"/>
              </w:rPr>
              <w:t>85</w:t>
            </w:r>
            <w:r>
              <w:rPr>
                <w:rFonts w:ascii="仿宋_GB2312" w:eastAsia="仿宋_GB2312" w:hAnsi="仿宋_GB2312" w:hint="eastAsia"/>
                <w:kern w:val="0"/>
                <w:sz w:val="32"/>
                <w:szCs w:val="24"/>
              </w:rPr>
              <w:t>%得20分，</w:t>
            </w:r>
            <w:r>
              <w:rPr>
                <w:rFonts w:ascii="仿宋_GB2312" w:eastAsia="仿宋_GB2312" w:hAnsi="仿宋_GB2312" w:hint="eastAsia"/>
                <w:kern w:val="0"/>
                <w:sz w:val="32"/>
                <w:szCs w:val="24"/>
                <w:lang w:eastAsia="zh-CN"/>
              </w:rPr>
              <w:t>占</w:t>
            </w:r>
            <w:r>
              <w:rPr>
                <w:rFonts w:ascii="仿宋_GB2312" w:eastAsia="仿宋_GB2312" w:hAnsi="仿宋_GB2312" w:hint="eastAsia"/>
                <w:kern w:val="0"/>
                <w:sz w:val="32"/>
                <w:szCs w:val="24"/>
                <w:lang w:val="en-US" w:eastAsia="zh-CN"/>
              </w:rPr>
              <w:t>80</w:t>
            </w:r>
            <w:r>
              <w:rPr>
                <w:rFonts w:ascii="仿宋_GB2312" w:eastAsia="仿宋_GB2312" w:hAnsi="仿宋_GB2312" w:hint="eastAsia"/>
                <w:kern w:val="0"/>
                <w:sz w:val="32"/>
                <w:szCs w:val="24"/>
              </w:rPr>
              <w:t>%以上得18分，</w:t>
            </w:r>
            <w:r>
              <w:rPr>
                <w:rFonts w:ascii="仿宋_GB2312" w:eastAsia="仿宋_GB2312" w:hAnsi="仿宋_GB2312" w:hint="eastAsia"/>
                <w:kern w:val="0"/>
                <w:sz w:val="32"/>
                <w:szCs w:val="24"/>
                <w:lang w:eastAsia="zh-CN"/>
              </w:rPr>
              <w:t>占</w:t>
            </w:r>
            <w:r>
              <w:rPr>
                <w:rFonts w:ascii="仿宋_GB2312" w:eastAsia="仿宋_GB2312" w:hAnsi="仿宋_GB2312" w:hint="eastAsia"/>
                <w:kern w:val="0"/>
                <w:sz w:val="32"/>
                <w:szCs w:val="24"/>
                <w:lang w:val="en-US" w:eastAsia="zh-CN"/>
              </w:rPr>
              <w:t>75</w:t>
            </w:r>
            <w:r>
              <w:rPr>
                <w:rFonts w:ascii="仿宋_GB2312" w:eastAsia="仿宋_GB2312" w:hAnsi="仿宋_GB2312" w:hint="eastAsia"/>
                <w:kern w:val="0"/>
                <w:sz w:val="32"/>
                <w:szCs w:val="24"/>
              </w:rPr>
              <w:t>%以上得14分，</w:t>
            </w:r>
            <w:r>
              <w:rPr>
                <w:rFonts w:ascii="仿宋_GB2312" w:eastAsia="仿宋_GB2312" w:hAnsi="仿宋_GB2312" w:hint="eastAsia"/>
                <w:kern w:val="0"/>
                <w:sz w:val="32"/>
                <w:szCs w:val="24"/>
                <w:lang w:eastAsia="zh-CN"/>
              </w:rPr>
              <w:t>占</w:t>
            </w:r>
            <w:r>
              <w:rPr>
                <w:rFonts w:ascii="仿宋_GB2312" w:eastAsia="仿宋_GB2312" w:hAnsi="仿宋_GB2312" w:hint="eastAsia"/>
                <w:kern w:val="0"/>
                <w:sz w:val="32"/>
                <w:szCs w:val="24"/>
                <w:lang w:val="en-US" w:eastAsia="zh-CN"/>
              </w:rPr>
              <w:t>75</w:t>
            </w:r>
            <w:r>
              <w:rPr>
                <w:rFonts w:ascii="仿宋_GB2312" w:eastAsia="仿宋_GB2312" w:hAnsi="仿宋_GB2312" w:hint="eastAsia"/>
                <w:kern w:val="0"/>
                <w:sz w:val="32"/>
                <w:szCs w:val="24"/>
              </w:rPr>
              <w:t>%</w:t>
            </w:r>
            <w:r>
              <w:rPr>
                <w:rFonts w:ascii="仿宋_GB2312" w:eastAsia="仿宋_GB2312" w:hAnsi="仿宋_GB2312" w:hint="eastAsia"/>
                <w:kern w:val="0"/>
                <w:sz w:val="32"/>
                <w:szCs w:val="24"/>
                <w:lang w:eastAsia="zh-CN"/>
              </w:rPr>
              <w:t>，</w:t>
            </w:r>
            <w:r>
              <w:rPr>
                <w:rFonts w:ascii="仿宋_GB2312" w:eastAsia="仿宋_GB2312" w:hAnsi="仿宋_GB2312" w:hint="eastAsia"/>
                <w:kern w:val="0"/>
                <w:sz w:val="32"/>
                <w:szCs w:val="24"/>
              </w:rPr>
              <w:t>以下得10分。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20</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20</w:t>
            </w:r>
          </w:p>
        </w:tc>
      </w:tr>
      <w:tr>
        <w:trPr>
          <w:trHeight w:val="780"/>
        </w:trPr>
        <w:tc>
          <w:tcPr>
            <w:tcW w:w="538" w:type="dxa"/>
            <w:vMerge w:val="restart"/>
            <w:tcBorders>
              <w:top w:val="single" w:sz="4" w:space="0" w:color="auto"/>
              <w:left w:val="single" w:sz="4" w:space="0" w:color="000000"/>
              <w:bottom w:val="nil"/>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lang w:eastAsia="zh-CN"/>
              </w:rPr>
              <w:t>效果</w:t>
            </w:r>
          </w:p>
        </w:tc>
        <w:tc>
          <w:tcPr>
            <w:tcW w:w="540" w:type="dxa"/>
            <w:vMerge w:val="restart"/>
            <w:tcBorders>
              <w:top w:val="nil"/>
              <w:left w:val="nil"/>
              <w:bottom w:val="nil"/>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效果指标</w:t>
            </w: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lang w:val="en-US" w:eastAsia="zh-CN"/>
              </w:rPr>
              <w:t>廉政提醒廉政谈话情况</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lang w:val="en-US" w:eastAsia="zh-CN"/>
              </w:rPr>
              <w:t>廉政提醒和廉政谈话占全年案件总量的比率</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lang w:val="en-US" w:eastAsia="zh-CN"/>
              </w:rPr>
              <w:t>20%</w:t>
            </w:r>
            <w:r>
              <w:rPr>
                <w:rFonts w:ascii="仿宋_GB2312" w:eastAsia="仿宋_GB2312" w:hAnsi="仿宋_GB2312" w:hint="eastAsia"/>
                <w:kern w:val="0"/>
                <w:sz w:val="32"/>
                <w:szCs w:val="24"/>
              </w:rPr>
              <w:t>得15分，</w:t>
            </w:r>
            <w:r>
              <w:rPr>
                <w:rFonts w:ascii="仿宋_GB2312" w:eastAsia="仿宋_GB2312" w:hAnsi="仿宋_GB2312" w:hint="eastAsia"/>
                <w:kern w:val="0"/>
                <w:sz w:val="32"/>
                <w:szCs w:val="24"/>
                <w:lang w:val="en-US" w:eastAsia="zh-CN"/>
              </w:rPr>
              <w:t>15</w:t>
            </w:r>
            <w:r>
              <w:rPr>
                <w:rFonts w:ascii="仿宋_GB2312" w:eastAsia="仿宋_GB2312" w:hAnsi="仿宋_GB2312" w:hint="eastAsia"/>
                <w:kern w:val="0"/>
                <w:sz w:val="32"/>
                <w:szCs w:val="24"/>
              </w:rPr>
              <w:t>%以上得12分，</w:t>
            </w:r>
            <w:r>
              <w:rPr>
                <w:rFonts w:ascii="仿宋_GB2312" w:eastAsia="仿宋_GB2312" w:hAnsi="仿宋_GB2312" w:hint="eastAsia"/>
                <w:kern w:val="0"/>
                <w:sz w:val="32"/>
                <w:szCs w:val="24"/>
                <w:lang w:val="en-US" w:eastAsia="zh-CN"/>
              </w:rPr>
              <w:t>10</w:t>
            </w:r>
            <w:r>
              <w:rPr>
                <w:rFonts w:ascii="仿宋_GB2312" w:eastAsia="仿宋_GB2312" w:hAnsi="仿宋_GB2312" w:hint="eastAsia"/>
                <w:kern w:val="0"/>
                <w:sz w:val="32"/>
                <w:szCs w:val="24"/>
              </w:rPr>
              <w:t>%以上得10分，</w:t>
            </w:r>
            <w:r>
              <w:rPr>
                <w:rFonts w:ascii="仿宋_GB2312" w:eastAsia="仿宋_GB2312" w:hAnsi="仿宋_GB2312" w:hint="eastAsia"/>
                <w:kern w:val="0"/>
                <w:sz w:val="32"/>
                <w:szCs w:val="24"/>
                <w:lang w:val="en-US" w:eastAsia="zh-CN"/>
              </w:rPr>
              <w:t>10</w:t>
            </w:r>
            <w:r>
              <w:rPr>
                <w:rFonts w:ascii="仿宋_GB2312" w:eastAsia="仿宋_GB2312" w:hAnsi="仿宋_GB2312" w:hint="eastAsia"/>
                <w:kern w:val="0"/>
                <w:sz w:val="32"/>
                <w:szCs w:val="24"/>
              </w:rPr>
              <w:t>%以下得8分。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15</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15</w:t>
            </w:r>
          </w:p>
        </w:tc>
      </w:tr>
      <w:tr>
        <w:trPr>
          <w:trHeight w:val="780"/>
        </w:trPr>
        <w:tc>
          <w:tcPr>
            <w:tcW w:w="538" w:type="dxa"/>
            <w:vMerge/>
            <w:tcBorders>
              <w:top w:val="nil"/>
              <w:left w:val="single" w:sz="4" w:space="0" w:color="000000"/>
              <w:bottom w:val="single" w:sz="4" w:space="0" w:color="000000"/>
              <w:right w:val="single" w:sz="4" w:space="0" w:color="000000"/>
              <w:tl2br w:val="nil"/>
              <w:tr2bl w:val="nil"/>
            </w:tcBorders>
            <w:vAlign w:val="center"/>
          </w:tcPr>
          <w:p/>
        </w:tc>
        <w:tc>
          <w:tcPr>
            <w:tcW w:w="540" w:type="dxa"/>
            <w:vMerge/>
            <w:tcBorders>
              <w:top w:val="nil"/>
              <w:left w:val="nil"/>
              <w:bottom w:val="single" w:sz="4" w:space="0" w:color="000000"/>
              <w:right w:val="single" w:sz="4" w:space="0" w:color="000000"/>
              <w:tl2br w:val="nil"/>
              <w:tr2bl w:val="nil"/>
            </w:tcBorders>
            <w:vAlign w:val="center"/>
          </w:tcP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lang w:val="en-US" w:eastAsia="zh-CN"/>
              </w:rPr>
              <w:t>监督检查次数</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lang w:eastAsia="zh-CN"/>
              </w:rPr>
            </w:pPr>
            <w:r>
              <w:rPr>
                <w:rFonts w:ascii="仿宋_GB2312" w:eastAsia="仿宋_GB2312" w:hAnsi="仿宋_GB2312" w:hint="eastAsia"/>
                <w:kern w:val="0"/>
                <w:sz w:val="32"/>
                <w:szCs w:val="24"/>
                <w:lang w:val="en-US" w:eastAsia="zh-CN"/>
              </w:rPr>
              <w:t>全年开展监督检查次数</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lang w:val="en-US" w:eastAsia="zh-CN"/>
              </w:rPr>
              <w:t>5次以上</w:t>
            </w:r>
            <w:r>
              <w:rPr>
                <w:rFonts w:ascii="仿宋_GB2312" w:eastAsia="仿宋_GB2312" w:hAnsi="仿宋_GB2312" w:hint="eastAsia"/>
                <w:kern w:val="0"/>
                <w:sz w:val="32"/>
                <w:szCs w:val="24"/>
              </w:rPr>
              <w:t>得15分</w:t>
            </w:r>
            <w:r>
              <w:rPr>
                <w:rFonts w:ascii="仿宋_GB2312" w:eastAsia="仿宋_GB2312" w:hAnsi="仿宋_GB2312" w:hint="eastAsia"/>
                <w:kern w:val="0"/>
                <w:sz w:val="32"/>
                <w:szCs w:val="24"/>
                <w:lang w:val="en-US" w:eastAsia="zh-CN"/>
              </w:rPr>
              <w:t>3-5</w:t>
            </w:r>
            <w:r>
              <w:rPr>
                <w:rFonts w:ascii="仿宋_GB2312" w:eastAsia="仿宋_GB2312" w:hAnsi="仿宋_GB2312" w:hint="eastAsia"/>
                <w:kern w:val="0"/>
                <w:sz w:val="32"/>
                <w:szCs w:val="24"/>
              </w:rPr>
              <w:t>以上得12分，</w:t>
            </w:r>
            <w:r>
              <w:rPr>
                <w:rFonts w:ascii="仿宋_GB2312" w:eastAsia="仿宋_GB2312" w:hAnsi="仿宋_GB2312" w:hint="eastAsia"/>
                <w:kern w:val="0"/>
                <w:sz w:val="32"/>
                <w:szCs w:val="24"/>
                <w:lang w:val="en-US" w:eastAsia="zh-CN"/>
              </w:rPr>
              <w:t>3</w:t>
            </w:r>
            <w:r>
              <w:rPr>
                <w:rFonts w:ascii="仿宋_GB2312" w:eastAsia="仿宋_GB2312" w:hAnsi="仿宋_GB2312" w:hint="eastAsia"/>
                <w:kern w:val="0"/>
                <w:sz w:val="32"/>
                <w:szCs w:val="24"/>
              </w:rPr>
              <w:t>以上得10分。</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1</w:t>
            </w:r>
            <w:r>
              <w:rPr>
                <w:rFonts w:ascii="仿宋_GB2312" w:eastAsia="仿宋_GB2312" w:hAnsi="仿宋_GB2312" w:hint="eastAsia"/>
                <w:kern w:val="0"/>
                <w:sz w:val="32"/>
                <w:szCs w:val="24"/>
                <w:lang w:val="en-US" w:eastAsia="zh-CN"/>
              </w:rPr>
              <w:t>5</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1</w:t>
            </w:r>
            <w:r>
              <w:rPr>
                <w:rFonts w:ascii="仿宋_GB2312" w:eastAsia="仿宋_GB2312" w:hAnsi="仿宋_GB2312" w:hint="eastAsia"/>
                <w:kern w:val="0"/>
                <w:sz w:val="32"/>
                <w:szCs w:val="24"/>
                <w:lang w:val="en-US" w:eastAsia="zh-CN"/>
              </w:rPr>
              <w:t>5</w:t>
            </w:r>
          </w:p>
        </w:tc>
      </w:tr>
      <w:tr>
        <w:trPr>
          <w:trHeight w:val="780"/>
        </w:trPr>
        <w:tc>
          <w:tcPr>
            <w:tcW w:w="538" w:type="dxa"/>
            <w:tcBorders>
              <w:top w:val="single" w:sz="4" w:space="0" w:color="auto"/>
              <w:left w:val="single" w:sz="4" w:space="0" w:color="000000"/>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总分</w:t>
            </w:r>
          </w:p>
        </w:tc>
        <w:tc>
          <w:tcPr>
            <w:tcW w:w="540"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　</w:t>
            </w:r>
          </w:p>
        </w:tc>
        <w:tc>
          <w:tcPr>
            <w:tcW w:w="1440" w:type="dxa"/>
            <w:tcBorders>
              <w:top w:val="nil"/>
              <w:left w:val="nil"/>
              <w:bottom w:val="single" w:sz="4" w:space="0" w:color="000000"/>
              <w:right w:val="single" w:sz="4" w:space="0" w:color="000000"/>
              <w:tl2br w:val="nil"/>
              <w:tr2bl w:val="nil"/>
            </w:tcBorders>
            <w:vAlign w:val="center"/>
          </w:tcPr>
          <w:p>
            <w:pPr>
              <w:spacing w:line="560" w:lineRule="exact"/>
              <w:jc w:val="left"/>
              <w:rPr>
                <w:rFonts w:ascii="仿宋_GB2312" w:eastAsia="仿宋_GB2312" w:hAnsi="仿宋_GB2312" w:hint="eastAsia"/>
                <w:kern w:val="0"/>
                <w:sz w:val="32"/>
                <w:szCs w:val="24"/>
              </w:rPr>
            </w:pPr>
            <w:r>
              <w:rPr>
                <w:rFonts w:ascii="仿宋_GB2312" w:eastAsia="仿宋_GB2312" w:hAnsi="仿宋_GB2312" w:hint="eastAsia"/>
                <w:kern w:val="0"/>
                <w:sz w:val="32"/>
                <w:szCs w:val="24"/>
              </w:rPr>
              <w:t>　</w:t>
            </w:r>
          </w:p>
        </w:tc>
        <w:tc>
          <w:tcPr>
            <w:tcW w:w="2883"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　</w:t>
            </w:r>
          </w:p>
        </w:tc>
        <w:tc>
          <w:tcPr>
            <w:tcW w:w="2648"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　</w:t>
            </w:r>
          </w:p>
        </w:tc>
        <w:tc>
          <w:tcPr>
            <w:tcW w:w="63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rPr>
            </w:pPr>
            <w:r>
              <w:rPr>
                <w:rFonts w:ascii="仿宋_GB2312" w:eastAsia="仿宋_GB2312" w:hAnsi="仿宋_GB2312" w:hint="eastAsia"/>
                <w:kern w:val="0"/>
                <w:sz w:val="32"/>
                <w:szCs w:val="24"/>
              </w:rPr>
              <w:t>100</w:t>
            </w:r>
          </w:p>
        </w:tc>
        <w:tc>
          <w:tcPr>
            <w:tcW w:w="660" w:type="dxa"/>
            <w:tcBorders>
              <w:top w:val="nil"/>
              <w:left w:val="nil"/>
              <w:bottom w:val="single" w:sz="4" w:space="0" w:color="000000"/>
              <w:right w:val="single" w:sz="4" w:space="0" w:color="000000"/>
              <w:tl2br w:val="nil"/>
              <w:tr2bl w:val="nil"/>
            </w:tcBorders>
            <w:vAlign w:val="center"/>
          </w:tcPr>
          <w:p>
            <w:pPr>
              <w:spacing w:line="560" w:lineRule="exact"/>
              <w:jc w:val="center"/>
              <w:rPr>
                <w:rFonts w:ascii="仿宋_GB2312" w:eastAsia="仿宋_GB2312" w:hAnsi="仿宋_GB2312" w:hint="eastAsia"/>
                <w:kern w:val="0"/>
                <w:sz w:val="32"/>
                <w:szCs w:val="24"/>
                <w:lang w:val="en-US" w:eastAsia="zh-CN"/>
              </w:rPr>
            </w:pPr>
            <w:r>
              <w:rPr>
                <w:rFonts w:ascii="仿宋_GB2312" w:eastAsia="仿宋_GB2312" w:cs="Times New Roman" w:hAnsi="仿宋_GB2312" w:hint="eastAsia"/>
                <w:kern w:val="0"/>
                <w:sz w:val="32"/>
                <w:szCs w:val="32"/>
                <w:lang w:val="en-US" w:eastAsia="zh-CN"/>
              </w:rPr>
              <w:t>97.4</w:t>
            </w:r>
          </w:p>
        </w:tc>
      </w:tr>
    </w:tbl>
    <w:p>
      <w:pPr>
        <w:spacing w:line="560" w:lineRule="exact"/>
        <w:ind w:firstLineChars="200" w:firstLine="640"/>
        <w:rPr>
          <w:rFonts w:ascii="仿宋_GB2312" w:eastAsia="仿宋_GB2312" w:hAnsi="仿宋_GB2312" w:hint="eastAsia"/>
          <w:color w:val="333333"/>
          <w:kern w:val="0"/>
          <w:sz w:val="32"/>
          <w:szCs w:val="24"/>
        </w:rPr>
      </w:pPr>
      <w:r>
        <w:rPr>
          <w:rFonts w:ascii="仿宋_GB2312" w:eastAsia="仿宋_GB2312" w:hAnsi="仿宋_GB2312" w:hint="eastAsia"/>
          <w:color w:val="333333"/>
          <w:kern w:val="0"/>
          <w:sz w:val="32"/>
          <w:szCs w:val="24"/>
        </w:rPr>
        <w:t>根据本次绩效得分评分标准90分（含90分）以上为优秀，70-90分（含70分）为良好，60-70分（含60分）为合格，60分（不含60分）以下为不合格。</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rPr>
        <w:t>综合评分项目绩效指标得分为</w:t>
      </w:r>
      <w:r>
        <w:rPr>
          <w:rFonts w:ascii="仿宋_GB2312" w:eastAsia="仿宋_GB2312" w:hAnsi="仿宋_GB2312" w:hint="eastAsia"/>
          <w:color w:val="333333"/>
          <w:kern w:val="0"/>
          <w:sz w:val="32"/>
          <w:szCs w:val="24"/>
          <w:lang w:val="en-US" w:eastAsia="zh-CN"/>
        </w:rPr>
        <w:t>97.4</w:t>
      </w:r>
      <w:r>
        <w:rPr>
          <w:rFonts w:ascii="仿宋_GB2312" w:eastAsia="仿宋_GB2312" w:hAnsi="仿宋_GB2312" w:hint="eastAsia"/>
          <w:color w:val="333333"/>
          <w:kern w:val="0"/>
          <w:sz w:val="32"/>
          <w:szCs w:val="24"/>
        </w:rPr>
        <w:t>分，绩效评分为优秀。</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(三)绩效评价工作过程。</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rPr>
        <w:t>根据《</w:t>
      </w:r>
      <w:r>
        <w:rPr>
          <w:rFonts w:ascii="仿宋_GB2312" w:eastAsia="仿宋_GB2312" w:hAnsi="仿宋_GB2312" w:hint="eastAsia"/>
          <w:color w:val="333333"/>
          <w:kern w:val="0"/>
          <w:sz w:val="32"/>
          <w:szCs w:val="24"/>
          <w:lang w:eastAsia="zh-CN"/>
        </w:rPr>
        <w:t>遵化市</w:t>
      </w:r>
      <w:r>
        <w:rPr>
          <w:rFonts w:ascii="仿宋_GB2312" w:eastAsia="仿宋_GB2312" w:hAnsi="仿宋_GB2312" w:hint="eastAsia"/>
          <w:color w:val="333333"/>
          <w:kern w:val="0"/>
          <w:sz w:val="32"/>
          <w:szCs w:val="24"/>
        </w:rPr>
        <w:t>政局关于</w:t>
      </w:r>
      <w:r>
        <w:rPr>
          <w:rFonts w:ascii="仿宋_GB2312" w:eastAsia="仿宋_GB2312" w:hAnsi="仿宋_GB2312" w:hint="eastAsia"/>
          <w:color w:val="333333"/>
          <w:kern w:val="0"/>
          <w:sz w:val="32"/>
          <w:szCs w:val="24"/>
          <w:lang w:eastAsia="zh-CN"/>
        </w:rPr>
        <w:t>遵化市预算项目支出绩效自评管理办法的通知</w:t>
      </w:r>
      <w:r>
        <w:rPr>
          <w:rFonts w:ascii="仿宋_GB2312" w:eastAsia="仿宋_GB2312" w:hAnsi="仿宋_GB2312" w:hint="eastAsia"/>
          <w:color w:val="333333"/>
          <w:kern w:val="0"/>
          <w:sz w:val="32"/>
          <w:szCs w:val="24"/>
        </w:rPr>
        <w:t>》</w:t>
      </w:r>
      <w:r>
        <w:rPr>
          <w:rFonts w:ascii="仿宋_GB2312" w:eastAsia="仿宋_GB2312" w:hAnsi="仿宋_GB2312" w:hint="eastAsia"/>
          <w:color w:val="333333"/>
          <w:kern w:val="0"/>
          <w:sz w:val="32"/>
          <w:szCs w:val="24"/>
          <w:lang w:eastAsia="zh-CN"/>
        </w:rPr>
        <w:t>遵财字</w:t>
      </w:r>
      <w:r>
        <w:rPr>
          <w:rFonts w:ascii="仿宋_GB2312" w:eastAsia="仿宋_GB2312" w:hAnsi="仿宋_GB2312" w:hint="eastAsia"/>
          <w:color w:val="333333"/>
          <w:kern w:val="0"/>
          <w:sz w:val="32"/>
          <w:szCs w:val="24"/>
          <w:lang w:val="en-US" w:eastAsia="zh-CN"/>
        </w:rPr>
        <w:t>[2021]3号文件要求,</w:t>
      </w:r>
      <w:r>
        <w:rPr>
          <w:rFonts w:ascii="仿宋_GB2312" w:eastAsia="仿宋_GB2312" w:hAnsi="仿宋_GB2312" w:hint="eastAsia"/>
          <w:color w:val="333333"/>
          <w:kern w:val="0"/>
          <w:sz w:val="32"/>
          <w:szCs w:val="24"/>
          <w:lang w:eastAsia="zh-CN"/>
        </w:rPr>
        <w:t>遵化市</w:t>
      </w:r>
      <w:r>
        <w:rPr>
          <w:rFonts w:ascii="仿宋_GB2312" w:eastAsia="仿宋_GB2312" w:hAnsi="仿宋_GB2312" w:hint="eastAsia"/>
          <w:color w:val="333333"/>
          <w:kern w:val="0"/>
          <w:sz w:val="32"/>
          <w:szCs w:val="24"/>
        </w:rPr>
        <w:t>纪委监委制定了部门整体支出绩效评价的工作方案、评价指标，成立了绩效评价工作领导小组与工作组，召开了</w:t>
      </w:r>
      <w:r>
        <w:rPr>
          <w:rFonts w:ascii="仿宋_GB2312" w:eastAsia="仿宋_GB2312" w:hAnsi="仿宋_GB2312" w:hint="eastAsia"/>
          <w:color w:val="333333"/>
          <w:kern w:val="0"/>
          <w:sz w:val="32"/>
          <w:szCs w:val="24"/>
          <w:lang w:eastAsia="zh-CN"/>
        </w:rPr>
        <w:t>相关会议</w:t>
      </w:r>
      <w:r>
        <w:rPr>
          <w:rFonts w:ascii="仿宋_GB2312" w:eastAsia="仿宋_GB2312" w:hAnsi="仿宋_GB2312" w:hint="eastAsia"/>
          <w:color w:val="333333"/>
          <w:kern w:val="0"/>
          <w:sz w:val="32"/>
          <w:szCs w:val="24"/>
        </w:rPr>
        <w:t>，于</w:t>
      </w:r>
      <w:r>
        <w:rPr>
          <w:rFonts w:ascii="仿宋_GB2312" w:eastAsia="仿宋_GB2312" w:hAnsi="仿宋_GB2312" w:hint="eastAsia"/>
          <w:color w:val="333333"/>
          <w:kern w:val="0"/>
          <w:sz w:val="32"/>
          <w:szCs w:val="24"/>
          <w:lang w:val="en-US" w:eastAsia="zh-CN"/>
        </w:rPr>
        <w:t>3</w:t>
      </w:r>
      <w:r>
        <w:rPr>
          <w:rFonts w:ascii="仿宋_GB2312" w:eastAsia="仿宋_GB2312" w:hAnsi="仿宋_GB2312" w:hint="eastAsia"/>
          <w:color w:val="333333"/>
          <w:kern w:val="0"/>
          <w:sz w:val="32"/>
          <w:szCs w:val="24"/>
        </w:rPr>
        <w:t>月28日完成自评工作。</w:t>
      </w:r>
    </w:p>
    <w:p>
      <w:pPr>
        <w:spacing w:line="560" w:lineRule="exact"/>
        <w:ind w:firstLineChars="200" w:firstLine="640"/>
        <w:rPr>
          <w:rFonts w:ascii="仿宋_GB2312" w:eastAsia="仿宋_GB2312" w:hAnsi="仿宋_GB2312" w:hint="eastAsia"/>
          <w:color w:val="333333"/>
          <w:kern w:val="0"/>
          <w:sz w:val="32"/>
          <w:szCs w:val="24"/>
        </w:rPr>
      </w:pPr>
      <w:r>
        <w:rPr>
          <w:rFonts w:ascii="仿宋_GB2312" w:eastAsia="仿宋_GB2312" w:hAnsi="仿宋_GB2312" w:hint="eastAsia"/>
          <w:color w:val="333333"/>
          <w:kern w:val="0"/>
          <w:sz w:val="32"/>
          <w:szCs w:val="24"/>
          <w:lang w:val="en-US" w:eastAsia="zh-CN"/>
        </w:rPr>
        <w:t>三、综合评价情况及评价结论</w:t>
      </w:r>
    </w:p>
    <w:p>
      <w:pPr>
        <w:spacing w:line="560" w:lineRule="exact"/>
        <w:ind w:firstLineChars="200" w:firstLine="640"/>
        <w:rPr>
          <w:rFonts w:ascii="仿宋_GB2312" w:eastAsia="仿宋_GB2312" w:hAnsi="仿宋_GB2312" w:hint="eastAsia"/>
          <w:color w:val="333333"/>
          <w:kern w:val="0"/>
          <w:sz w:val="32"/>
          <w:szCs w:val="24"/>
        </w:rPr>
      </w:pPr>
      <w:r>
        <w:rPr>
          <w:rFonts w:ascii="仿宋_GB2312" w:eastAsia="仿宋_GB2312" w:hAnsi="仿宋_GB2312" w:hint="eastAsia"/>
          <w:color w:val="333333"/>
          <w:kern w:val="0"/>
          <w:sz w:val="32"/>
          <w:szCs w:val="24"/>
        </w:rPr>
        <w:t>根据评价指标体系测算，本单位部门整体支出绩效评价得分是：投入绩效为</w:t>
      </w:r>
      <w:r>
        <w:rPr>
          <w:rFonts w:ascii="仿宋_GB2312" w:eastAsia="仿宋_GB2312" w:hAnsi="仿宋_GB2312" w:hint="eastAsia"/>
          <w:color w:val="333333"/>
          <w:kern w:val="0"/>
          <w:sz w:val="32"/>
          <w:szCs w:val="24"/>
          <w:lang w:val="en-US" w:eastAsia="zh-CN"/>
        </w:rPr>
        <w:t>12.4</w:t>
      </w:r>
      <w:r>
        <w:rPr>
          <w:rFonts w:ascii="仿宋_GB2312" w:eastAsia="仿宋_GB2312" w:hAnsi="仿宋_GB2312" w:hint="eastAsia"/>
          <w:color w:val="333333"/>
          <w:kern w:val="0"/>
          <w:sz w:val="32"/>
          <w:szCs w:val="24"/>
        </w:rPr>
        <w:t>分，过程绩效为</w:t>
      </w:r>
      <w:r>
        <w:rPr>
          <w:rFonts w:ascii="仿宋_GB2312" w:eastAsia="仿宋_GB2312" w:hAnsi="仿宋_GB2312" w:hint="eastAsia"/>
          <w:color w:val="333333"/>
          <w:kern w:val="0"/>
          <w:sz w:val="32"/>
          <w:szCs w:val="24"/>
          <w:lang w:val="en-US" w:eastAsia="zh-CN"/>
        </w:rPr>
        <w:t>15</w:t>
      </w:r>
      <w:r>
        <w:rPr>
          <w:rFonts w:ascii="仿宋_GB2312" w:eastAsia="仿宋_GB2312" w:hAnsi="仿宋_GB2312" w:hint="eastAsia"/>
          <w:color w:val="333333"/>
          <w:kern w:val="0"/>
          <w:sz w:val="32"/>
          <w:szCs w:val="24"/>
        </w:rPr>
        <w:t>分，产出及效率绩效为</w:t>
      </w:r>
      <w:r>
        <w:rPr>
          <w:rFonts w:ascii="仿宋_GB2312" w:eastAsia="仿宋_GB2312" w:hAnsi="仿宋_GB2312" w:hint="eastAsia"/>
          <w:color w:val="333333"/>
          <w:kern w:val="0"/>
          <w:sz w:val="32"/>
          <w:szCs w:val="24"/>
          <w:lang w:val="en-US" w:eastAsia="zh-CN"/>
        </w:rPr>
        <w:t>70</w:t>
      </w:r>
      <w:r>
        <w:rPr>
          <w:rFonts w:ascii="仿宋_GB2312" w:eastAsia="仿宋_GB2312" w:hAnsi="仿宋_GB2312" w:hint="eastAsia"/>
          <w:color w:val="333333"/>
          <w:kern w:val="0"/>
          <w:sz w:val="32"/>
          <w:szCs w:val="24"/>
        </w:rPr>
        <w:t>分，总绩效为</w:t>
      </w:r>
      <w:r>
        <w:rPr>
          <w:rFonts w:ascii="仿宋_GB2312" w:eastAsia="仿宋_GB2312" w:hAnsi="仿宋_GB2312" w:hint="eastAsia"/>
          <w:color w:val="333333"/>
          <w:kern w:val="0"/>
          <w:sz w:val="32"/>
          <w:szCs w:val="24"/>
          <w:lang w:val="en-US" w:eastAsia="zh-CN"/>
        </w:rPr>
        <w:t>97.4</w:t>
      </w:r>
      <w:r>
        <w:rPr>
          <w:rFonts w:ascii="仿宋_GB2312" w:eastAsia="仿宋_GB2312" w:hAnsi="仿宋_GB2312" w:hint="eastAsia"/>
          <w:color w:val="333333"/>
          <w:kern w:val="0"/>
          <w:sz w:val="32"/>
          <w:szCs w:val="24"/>
        </w:rPr>
        <w:t>分。评价结果等次为“优”。</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四、绩效评价指标分析</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（一）项目决策情况。</w:t>
      </w:r>
    </w:p>
    <w:p>
      <w:pPr>
        <w:spacing w:line="560" w:lineRule="exact"/>
        <w:ind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rPr>
        <w:t>本单位设立的整体绩效目标符合国家法律法规、国民经济和社会发展总体规划,符合“三定”方案确定的职责与部门制定的中长期实施规划。</w:t>
      </w:r>
      <w:r>
        <w:rPr>
          <w:rFonts w:ascii="仿宋_GB2312" w:eastAsia="仿宋_GB2312" w:hAnsi="仿宋_GB2312" w:hint="eastAsia"/>
          <w:color w:val="333333"/>
          <w:kern w:val="0"/>
          <w:sz w:val="32"/>
          <w:szCs w:val="24"/>
          <w:lang w:eastAsia="zh-CN"/>
        </w:rPr>
        <w:t>符合上级纪委的相关文件要求。</w:t>
      </w:r>
    </w:p>
    <w:p>
      <w:pPr>
        <w:numPr>
          <w:ilvl w:val="0"/>
          <w:numId w:val="1"/>
        </w:numPr>
        <w:spacing w:line="560" w:lineRule="exact"/>
        <w:ind w:left="0"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项目过程情况。</w:t>
      </w:r>
    </w:p>
    <w:p>
      <w:pPr>
        <w:spacing w:line="560" w:lineRule="exact"/>
        <w:ind w:left="0"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宋体" w:hint="eastAsia"/>
          <w:color w:val="555555"/>
          <w:kern w:val="0"/>
          <w:sz w:val="32"/>
          <w:szCs w:val="24"/>
        </w:rPr>
        <w:t>本单位上年结转和结余</w:t>
      </w:r>
      <w:r>
        <w:rPr>
          <w:rFonts w:ascii="仿宋_GB2312" w:eastAsia="仿宋_GB2312" w:hAnsi="宋体" w:hint="eastAsia"/>
          <w:color w:val="555555"/>
          <w:kern w:val="0"/>
          <w:sz w:val="32"/>
          <w:szCs w:val="24"/>
          <w:lang w:val="en-US" w:eastAsia="zh-CN"/>
        </w:rPr>
        <w:t>0</w:t>
      </w:r>
      <w:r>
        <w:rPr>
          <w:rFonts w:ascii="仿宋_GB2312" w:eastAsia="仿宋_GB2312" w:hAnsi="宋体" w:hint="eastAsia"/>
          <w:color w:val="555555"/>
          <w:kern w:val="0"/>
          <w:sz w:val="32"/>
          <w:szCs w:val="24"/>
        </w:rPr>
        <w:t>万元，年初预算</w:t>
      </w:r>
      <w:r>
        <w:rPr>
          <w:rFonts w:ascii="仿宋_GB2312" w:eastAsia="仿宋_GB2312" w:hAnsi="宋体" w:hint="eastAsia"/>
          <w:color w:val="555555"/>
          <w:kern w:val="0"/>
          <w:sz w:val="32"/>
          <w:szCs w:val="24"/>
          <w:lang w:val="en-US" w:eastAsia="zh-CN"/>
        </w:rPr>
        <w:t>30</w:t>
      </w:r>
      <w:r>
        <w:rPr>
          <w:rFonts w:ascii="仿宋_GB2312" w:eastAsia="仿宋_GB2312" w:hAnsi="宋体" w:hint="eastAsia"/>
          <w:color w:val="555555"/>
          <w:kern w:val="0"/>
          <w:sz w:val="32"/>
          <w:szCs w:val="24"/>
        </w:rPr>
        <w:t>万元</w:t>
      </w:r>
      <w:r>
        <w:rPr>
          <w:rFonts w:ascii="仿宋_GB2312" w:eastAsia="仿宋_GB2312" w:hAnsi="宋体" w:hint="eastAsia"/>
          <w:color w:val="555555"/>
          <w:kern w:val="0"/>
          <w:sz w:val="32"/>
          <w:szCs w:val="24"/>
          <w:lang w:eastAsia="zh-CN"/>
        </w:rPr>
        <w:t>，</w:t>
      </w:r>
      <w:r>
        <w:rPr>
          <w:rFonts w:ascii="仿宋_GB2312" w:eastAsia="仿宋_GB2312" w:hAnsi="宋体" w:hint="eastAsia"/>
          <w:color w:val="555555"/>
          <w:kern w:val="0"/>
          <w:sz w:val="32"/>
          <w:szCs w:val="24"/>
        </w:rPr>
        <w:t>年末结转和结余</w:t>
      </w:r>
      <w:r>
        <w:rPr>
          <w:rFonts w:ascii="仿宋_GB2312" w:eastAsia="仿宋_GB2312" w:hAnsi="宋体" w:hint="eastAsia"/>
          <w:color w:val="555555"/>
          <w:kern w:val="0"/>
          <w:sz w:val="32"/>
          <w:szCs w:val="24"/>
          <w:lang w:val="en-US" w:eastAsia="zh-CN"/>
        </w:rPr>
        <w:t>0</w:t>
      </w:r>
      <w:r>
        <w:rPr>
          <w:rFonts w:ascii="仿宋_GB2312" w:eastAsia="仿宋_GB2312" w:hAnsi="宋体" w:hint="eastAsia"/>
          <w:color w:val="555555"/>
          <w:kern w:val="0"/>
          <w:sz w:val="32"/>
          <w:szCs w:val="24"/>
        </w:rPr>
        <w:t>万元</w:t>
      </w:r>
      <w:r>
        <w:rPr>
          <w:rFonts w:ascii="仿宋_GB2312" w:eastAsia="仿宋_GB2312" w:hAnsi="宋体" w:hint="eastAsia"/>
          <w:color w:val="555555"/>
          <w:kern w:val="0"/>
          <w:sz w:val="32"/>
          <w:szCs w:val="24"/>
          <w:lang w:eastAsia="zh-CN"/>
        </w:rPr>
        <w:t>（</w:t>
      </w:r>
      <w:r>
        <w:rPr>
          <w:rFonts w:ascii="仿宋_GB2312" w:eastAsia="仿宋_GB2312" w:hAnsi="宋体" w:hint="eastAsia"/>
          <w:color w:val="555555"/>
          <w:kern w:val="0"/>
          <w:sz w:val="32"/>
          <w:szCs w:val="24"/>
          <w:lang w:val="en-US" w:eastAsia="zh-CN"/>
        </w:rPr>
        <w:t>压缩预算未支出部分财政收回</w:t>
      </w:r>
      <w:r>
        <w:rPr>
          <w:rFonts w:ascii="仿宋_GB2312" w:eastAsia="仿宋_GB2312" w:hAnsi="宋体" w:hint="eastAsia"/>
          <w:color w:val="555555"/>
          <w:kern w:val="0"/>
          <w:sz w:val="32"/>
          <w:szCs w:val="24"/>
          <w:lang w:eastAsia="zh-CN"/>
        </w:rPr>
        <w:t>）</w:t>
      </w:r>
      <w:r>
        <w:rPr>
          <w:rFonts w:ascii="仿宋_GB2312" w:eastAsia="仿宋_GB2312" w:hAnsi="宋体" w:hint="eastAsia"/>
          <w:color w:val="555555"/>
          <w:kern w:val="0"/>
          <w:sz w:val="32"/>
          <w:szCs w:val="24"/>
        </w:rPr>
        <w:t>。本单位预算完成率＝（上年结转+年初预算+本年追加预算－年末结余）÷（上年结转+年初预算+本年追加预算）×100%</w:t>
      </w:r>
      <w:r>
        <w:rPr>
          <w:rFonts w:ascii="仿宋_GB2312" w:eastAsia="仿宋_GB2312" w:hAnsi="宋体" w:hint="eastAsia"/>
          <w:color w:val="555555"/>
          <w:kern w:val="0"/>
          <w:sz w:val="32"/>
          <w:szCs w:val="24"/>
          <w:lang w:eastAsia="zh-CN"/>
        </w:rPr>
        <w:t>。</w:t>
      </w:r>
    </w:p>
    <w:p>
      <w:pPr>
        <w:numPr>
          <w:ilvl w:val="0"/>
          <w:numId w:val="1"/>
        </w:numPr>
        <w:spacing w:line="560" w:lineRule="exact"/>
        <w:ind w:left="0"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仿宋_GB2312" w:hint="eastAsia"/>
          <w:color w:val="333333"/>
          <w:kern w:val="0"/>
          <w:sz w:val="32"/>
          <w:szCs w:val="24"/>
          <w:lang w:val="en-US" w:eastAsia="zh-CN"/>
        </w:rPr>
        <w:t>项目产出及效益情况</w:t>
      </w:r>
    </w:p>
    <w:p>
      <w:pPr>
        <w:spacing w:line="560" w:lineRule="exact"/>
        <w:ind w:firstLine="645"/>
        <w:rPr>
          <w:rFonts w:ascii="宋体" w:eastAsia="方正仿宋简体" w:cs="方正仿宋简体" w:hAnsi="宋体" w:hint="eastAsia"/>
          <w:sz w:val="32"/>
          <w:szCs w:val="32"/>
        </w:rPr>
      </w:pPr>
      <w:r>
        <w:rPr>
          <w:rFonts w:ascii="宋体" w:eastAsia="方正楷体简体" w:hAnsi="宋体" w:hint="eastAsia"/>
          <w:sz w:val="32"/>
          <w:szCs w:val="24"/>
        </w:rPr>
        <w:t>一是积极履行协助职责。</w:t>
      </w:r>
      <w:r>
        <w:rPr>
          <w:rFonts w:ascii="宋体" w:eastAsia="方正仿宋简体" w:hAnsi="宋体" w:hint="eastAsia"/>
          <w:snapToGrid w:val="0"/>
          <w:color w:val="000000"/>
          <w:sz w:val="32"/>
          <w:szCs w:val="24"/>
        </w:rPr>
        <w:t>协助市委制定年度全面从严治党主体责任工作要点，以及主体责任、监督责任、“第一责任人”责任、一岗双责等4个清单，确保责任清、任务明、措施实，实现抓有方向、干有目标、责有人担，保障了市委</w:t>
      </w:r>
      <w:r>
        <w:rPr>
          <w:rFonts w:ascii="宋体" w:eastAsia="方正仿宋简体" w:hAnsi="宋体" w:hint="eastAsia"/>
          <w:snapToGrid w:val="0"/>
          <w:color w:val="000000"/>
          <w:sz w:val="32"/>
          <w:szCs w:val="24"/>
          <w:lang w:val="en-US" w:eastAsia="zh-CN"/>
        </w:rPr>
        <w:t>党风廉政建设、</w:t>
      </w:r>
      <w:r>
        <w:rPr>
          <w:rFonts w:ascii="宋体" w:eastAsia="方正仿宋简体" w:hAnsi="宋体" w:hint="eastAsia"/>
          <w:snapToGrid w:val="0"/>
          <w:color w:val="000000"/>
          <w:sz w:val="32"/>
          <w:szCs w:val="24"/>
        </w:rPr>
        <w:t>巡察等全面从严治党工作抓具体、抓深入。坚定履行巡视整改日常监督职责，督促推动全市相关责任单位认账领账、真抓真改，圆满完成省委</w:t>
      </w:r>
      <w:r>
        <w:rPr>
          <w:rFonts w:ascii="宋体" w:eastAsia="方正仿宋简体" w:hAnsi="宋体" w:hint="eastAsia"/>
          <w:snapToGrid w:val="0"/>
          <w:color w:val="000000"/>
          <w:sz w:val="32"/>
          <w:szCs w:val="24"/>
          <w:lang w:val="en-US" w:eastAsia="zh-CN"/>
        </w:rPr>
        <w:t>市委各项任务</w:t>
      </w:r>
      <w:r>
        <w:rPr>
          <w:rFonts w:ascii="宋体" w:eastAsia="方正仿宋简体" w:hAnsi="宋体" w:hint="eastAsia"/>
          <w:snapToGrid w:val="0"/>
          <w:color w:val="000000"/>
          <w:sz w:val="32"/>
          <w:szCs w:val="24"/>
        </w:rPr>
        <w:t>。</w:t>
      </w:r>
      <w:r>
        <w:rPr>
          <w:rFonts w:ascii="宋体" w:eastAsia="方正仿宋简体" w:hAnsi="宋体" w:hint="eastAsia"/>
          <w:sz w:val="32"/>
          <w:szCs w:val="24"/>
        </w:rPr>
        <w:t>第一时间协助市委组织开展“守初心、再出发”中心组学习暨政治性警示教育大会，重温八项规定，通报典型案例，编发《全面从严治党永远在路上》读本，推动在全市部署开展“扬正气、树新风，鼓干劲、促发展”活动。</w:t>
      </w:r>
      <w:r>
        <w:rPr>
          <w:rFonts w:ascii="宋体" w:eastAsia="方正楷体简体" w:hAnsi="宋体" w:hint="eastAsia"/>
          <w:sz w:val="32"/>
          <w:szCs w:val="24"/>
        </w:rPr>
        <w:t>二是层层拧紧履责链条。</w:t>
      </w:r>
      <w:r>
        <w:rPr>
          <w:rFonts w:ascii="宋体" w:eastAsia="方正仿宋简体" w:cs="方正仿宋简体" w:hAnsi="宋体" w:hint="eastAsia"/>
          <w:sz w:val="32"/>
          <w:szCs w:val="32"/>
        </w:rPr>
        <w:t>深入乡镇开展“两个责任”落实专题督导调研，面对面约谈乡镇党委、纪委负责同志，精准传导履责压力，推动守土担责、守土负责。高举问责利器，对在生态环保、</w:t>
      </w:r>
      <w:r>
        <w:rPr>
          <w:rFonts w:ascii="宋体" w:eastAsia="方正仿宋简体" w:hAnsi="宋体" w:hint="eastAsia"/>
          <w:sz w:val="32"/>
          <w:szCs w:val="24"/>
        </w:rPr>
        <w:t>矿山整治、</w:t>
      </w:r>
      <w:r>
        <w:rPr>
          <w:rFonts w:ascii="宋体" w:eastAsia="方正仿宋简体" w:cs="方正仿宋简体" w:hAnsi="宋体" w:hint="eastAsia"/>
          <w:sz w:val="32"/>
          <w:szCs w:val="32"/>
        </w:rPr>
        <w:t>村级换届、发展党员、作风建设等工作中履责不力的党组织、党员干部严肃追责问责，让失责必问、问责必严成为常态。针对公安、环保等部门党组织存在的主体责任弱化等问题，点对点发送纪检监察建议书，推动担责任、堵漏洞、严管理、促提升。</w:t>
      </w:r>
      <w:r>
        <w:rPr>
          <w:rFonts w:ascii="宋体" w:eastAsia="方正楷体简体" w:hAnsi="宋体" w:hint="eastAsia"/>
          <w:sz w:val="32"/>
          <w:szCs w:val="24"/>
        </w:rPr>
        <w:t>三是不断深化政治巡察。</w:t>
      </w:r>
      <w:r>
        <w:rPr>
          <w:rFonts w:ascii="宋体" w:eastAsia="方正仿宋简体" w:cs="方正仿宋简体" w:hAnsi="宋体" w:hint="eastAsia"/>
          <w:sz w:val="32"/>
          <w:szCs w:val="32"/>
        </w:rPr>
        <w:t>坚持高标准、高质量、高效率，有序开展覆盖22家单位的第十二轮常规巡察，发现问题376个，移交问题线索10个，圆满完成六届市委巡察全覆盖任务。坚持质效并重，制定出台《强化成果运用做好巡察“后半篇文章”暂行规定》，明确4项工作流程，以及11项整改主体责任、49项整改监督责任清单，推动形成程序严密、权责清晰、标准明确的整改工作闭环链条。</w:t>
      </w:r>
    </w:p>
    <w:p>
      <w:pPr>
        <w:spacing w:line="560" w:lineRule="exact"/>
        <w:ind w:left="0" w:firstLineChars="200" w:firstLine="640"/>
        <w:rPr>
          <w:rFonts w:ascii="仿宋_GB2312" w:eastAsia="仿宋_GB2312" w:hAnsi="仿宋_GB2312" w:hint="eastAsia"/>
          <w:color w:val="333333"/>
          <w:kern w:val="0"/>
          <w:sz w:val="32"/>
          <w:szCs w:val="24"/>
          <w:lang w:val="en-US" w:eastAsia="zh-CN"/>
        </w:rPr>
      </w:pPr>
      <w:r>
        <w:rPr>
          <w:rFonts w:ascii="仿宋_GB2312" w:eastAsia="仿宋_GB2312" w:hAnsi="宋体" w:hint="eastAsia"/>
          <w:color w:val="555555"/>
          <w:kern w:val="0"/>
          <w:sz w:val="32"/>
          <w:szCs w:val="24"/>
          <w:lang w:val="en-US" w:eastAsia="zh-CN"/>
        </w:rPr>
        <w:t>五、主要经验及做法、</w:t>
      </w:r>
      <w:r>
        <w:rPr>
          <w:rFonts w:ascii="仿宋_GB2312" w:eastAsia="仿宋_GB2312" w:hAnsi="仿宋_GB2312" w:hint="eastAsia"/>
          <w:color w:val="333333"/>
          <w:kern w:val="0"/>
          <w:sz w:val="32"/>
          <w:szCs w:val="24"/>
          <w:lang w:val="en-US" w:eastAsia="zh-CN"/>
        </w:rPr>
        <w:t>存在问题及原因分析</w:t>
      </w:r>
    </w:p>
    <w:p>
      <w:pPr>
        <w:spacing w:line="560" w:lineRule="exact"/>
        <w:ind w:left="0" w:firstLineChars="200" w:firstLine="640"/>
        <w:rPr>
          <w:rFonts w:ascii="仿宋_GB2312" w:eastAsia="仿宋_GB2312" w:hAnsi="宋体" w:hint="eastAsia"/>
          <w:color w:val="555555"/>
          <w:kern w:val="0"/>
          <w:sz w:val="32"/>
          <w:szCs w:val="24"/>
        </w:rPr>
      </w:pPr>
      <w:r>
        <w:rPr>
          <w:rFonts w:ascii="仿宋_GB2312" w:eastAsia="仿宋_GB2312" w:hAnsi="宋体" w:hint="eastAsia"/>
          <w:color w:val="555555"/>
          <w:kern w:val="0"/>
          <w:sz w:val="32"/>
          <w:szCs w:val="24"/>
        </w:rPr>
        <w:t>在财务收支管理方面。（1）对非税收入实行收缴分离、票款一致，并及时、足额上缴财政专户，实行“收支两条线”管理；（2）加强支出审批控制，审批人应当在授权范围内审批，不得越权审批；（3）加强支出审核控制，重点审核单据来源是否合法，内容是否真实、完整，使用是否准确，是否符合预算，审批手续是否齐全等。</w:t>
      </w:r>
    </w:p>
    <w:p>
      <w:pPr>
        <w:spacing w:line="560" w:lineRule="exact"/>
        <w:ind w:left="0" w:firstLineChars="200" w:firstLine="640"/>
        <w:rPr>
          <w:rFonts w:ascii="仿宋_GB2312" w:eastAsia="仿宋_GB2312" w:hAnsi="宋体" w:hint="eastAsia"/>
          <w:color w:val="555555"/>
          <w:kern w:val="0"/>
          <w:sz w:val="32"/>
          <w:szCs w:val="24"/>
          <w:lang w:val="en-US" w:eastAsia="zh-CN"/>
        </w:rPr>
      </w:pPr>
      <w:r>
        <w:rPr>
          <w:rFonts w:ascii="仿宋_GB2312" w:eastAsia="仿宋_GB2312" w:hAnsi="宋体" w:hint="eastAsia"/>
          <w:color w:val="555555"/>
          <w:kern w:val="0"/>
          <w:sz w:val="32"/>
          <w:szCs w:val="24"/>
          <w:lang w:val="en-US" w:eastAsia="zh-CN"/>
        </w:rPr>
        <w:t>六、有关建议</w:t>
      </w:r>
    </w:p>
    <w:p>
      <w:pPr>
        <w:spacing w:line="560" w:lineRule="exact"/>
        <w:ind w:left="0" w:firstLineChars="200" w:firstLine="640"/>
        <w:rPr>
          <w:rFonts w:ascii="仿宋_GB2312" w:eastAsia="仿宋_GB2312" w:hAnsi="宋体" w:hint="eastAsia"/>
          <w:color w:val="555555"/>
          <w:kern w:val="0"/>
          <w:sz w:val="32"/>
          <w:szCs w:val="24"/>
          <w:lang w:val="en-US" w:eastAsia="zh-CN"/>
        </w:rPr>
      </w:pPr>
      <w:r>
        <w:rPr>
          <w:rFonts w:ascii="仿宋_GB2312" w:eastAsia="仿宋_GB2312" w:hAnsi="宋体" w:hint="eastAsia"/>
          <w:color w:val="555555"/>
          <w:kern w:val="0"/>
          <w:sz w:val="32"/>
          <w:szCs w:val="24"/>
        </w:rPr>
        <w:t>建立健全预算与绩效相结合的考核机制，是提高制度执行力，确保各项工作决策部署得到贯彻落实的重要基础。单位要严格按照“三定”方案等相关规定，厘清单位、各部室及各岗位职责，根据《</w:t>
      </w:r>
      <w:bookmarkStart w:id="1" w:name="_GoBack"/>
      <w:r>
        <w:rPr>
          <w:rFonts w:ascii="仿宋_GB2312" w:eastAsia="仿宋_GB2312" w:hAnsi="宋体" w:hint="eastAsia"/>
          <w:color w:val="555555"/>
          <w:kern w:val="0"/>
          <w:sz w:val="32"/>
          <w:szCs w:val="24"/>
        </w:rPr>
        <w:t>中华人民共和国预算法》、财政</w:t>
      </w:r>
      <w:bookmarkEnd w:id="1"/>
      <w:r>
        <w:rPr>
          <w:rFonts w:ascii="仿宋_GB2312" w:eastAsia="仿宋_GB2312" w:hAnsi="宋体" w:hint="eastAsia"/>
          <w:color w:val="555555"/>
          <w:kern w:val="0"/>
          <w:sz w:val="32"/>
          <w:szCs w:val="24"/>
        </w:rPr>
        <w:t>部《财政支出绩效评价管理暂行办法》（财预〔2011〕285号）之规定，根据单位发展规划，以量化工作任务，明确目标导向为前提，结合单位年度工作计划编制年度预算和中期预算报告，根据编制的年度预算设定总体绩效目标和年度绩效目标，并针对不同的项级细化分解设定具体的绩效指标，清晰的体现指标值；严格执行批复的预算，定期开展预算执行情况分析，不得随意调整预算。根据全年工作情况，对年度绩效目标实现情况进行考核评价，将考核结果作为以后年度预算安排提供参考依据，提高预算执行的有效性。</w:t>
      </w:r>
    </w:p>
    <w:p>
      <w:pPr>
        <w:spacing w:line="560" w:lineRule="exact"/>
        <w:ind w:leftChars="200" w:left="420"/>
        <w:rPr>
          <w:rFonts w:ascii="仿宋_GB2312" w:eastAsia="仿宋_GB2312" w:hAnsi="宋体" w:hint="eastAsia"/>
          <w:color w:val="555555"/>
          <w:kern w:val="0"/>
          <w:sz w:val="32"/>
          <w:szCs w:val="24"/>
          <w:lang w:val="en-US" w:eastAsia="zh-CN"/>
        </w:rPr>
      </w:pPr>
      <w:r>
        <w:rPr>
          <w:rFonts w:ascii="仿宋_GB2312" w:eastAsia="仿宋_GB2312" w:hAnsi="宋体" w:hint="eastAsia"/>
          <w:color w:val="555555"/>
          <w:kern w:val="0"/>
          <w:sz w:val="32"/>
          <w:szCs w:val="24"/>
          <w:lang w:val="en-US" w:eastAsia="zh-CN"/>
        </w:rPr>
        <w:t>七、其他需要说明的问题</w:t>
      </w:r>
    </w:p>
    <w:p>
      <w:pPr>
        <w:spacing w:line="560" w:lineRule="exact"/>
        <w:ind w:leftChars="200" w:left="420"/>
        <w:rPr>
          <w:rFonts w:ascii="仿宋_GB2312" w:eastAsia="仿宋_GB2312" w:hAnsi="宋体" w:hint="eastAsia"/>
          <w:color w:val="555555"/>
          <w:kern w:val="0"/>
          <w:sz w:val="32"/>
          <w:szCs w:val="24"/>
          <w:lang w:val="en-US" w:eastAsia="zh-CN"/>
        </w:rPr>
      </w:pPr>
      <w:r>
        <w:rPr>
          <w:rFonts w:ascii="仿宋_GB2312" w:eastAsia="仿宋_GB2312" w:hAnsi="宋体" w:hint="eastAsia"/>
          <w:color w:val="555555"/>
          <w:kern w:val="0"/>
          <w:sz w:val="32"/>
          <w:szCs w:val="24"/>
          <w:lang w:val="en-US" w:eastAsia="zh-CN"/>
        </w:rPr>
        <w:t>无其他需要说明的问题</w:t>
      </w:r>
    </w:p>
    <w:p/>
    <w:sectPr>
      <w:pgSz w:w="12240" w:h="15840"/>
      <w:pgMar w:top="1440" w:right="1800" w:bottom="1440" w:left="1800" w:header="720" w:footer="720"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方正楷体简体">
    <w:panose1 w:val="02010601030101010101"/>
    <w:charset w:val="86"/>
    <w:family w:val="script"/>
    <w:pitch w:val="variable"/>
    <w:sig w:usb0="00000001" w:usb1="080E0000" w:usb2="00000000" w:usb3="00000000" w:csb0="00040000" w:csb1="00000000"/>
  </w:font>
  <w:font w:name="方正仿宋简体">
    <w:panose1 w:val="03000509000000000000"/>
    <w:charset w:val="86"/>
    <w:family w:val="script"/>
    <w:pitch w:val="variable"/>
    <w:sig w:usb0="00000001" w:usb1="080E0000" w:usb2="00000000" w:usb3="00000000" w:csb0="0004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EF55FE3"/>
    <w:multiLevelType w:val="multilevel"/>
    <w:tmpl w:val="3EF55FE3"/>
    <w:lvl w:ilvl="0">
      <w:start w:val="2"/>
      <w:numFmt w:val="chineseCounting"/>
      <w:lvlRestart w:val="0"/>
      <w:suff w:val="nothing"/>
      <w:lvlText w:val="（%1）"/>
      <w:lvlJc w:val="left"/>
      <w:pPr/>
      <w:rPr>
        <w:rFonts w:hint="default"/>
        <w:u w:val="none" w:color="auto"/>
      </w:rPr>
    </w:lvl>
    <w:lvl w:ilvl="1">
      <w:start w:val="1"/>
      <w:numFmt w:val="decimal"/>
      <w:lvlJc w:val="left"/>
      <w:pPr/>
      <w:rPr>
        <w:rFonts w:hint="default"/>
        <w:u w:val="none" w:color="auto"/>
      </w:rPr>
    </w:lvl>
    <w:lvl w:ilvl="2">
      <w:start w:val="1"/>
      <w:numFmt w:val="decimal"/>
      <w:lvlJc w:val="left"/>
      <w:pPr/>
      <w:rPr>
        <w:rFonts w:hint="default"/>
        <w:u w:val="none" w:color="auto"/>
      </w:rPr>
    </w:lvl>
    <w:lvl w:ilvl="3">
      <w:start w:val="1"/>
      <w:numFmt w:val="decimal"/>
      <w:lvlJc w:val="left"/>
      <w:pPr/>
      <w:rPr>
        <w:rFonts w:hint="default"/>
        <w:u w:val="none" w:color="auto"/>
      </w:rPr>
    </w:lvl>
    <w:lvl w:ilvl="4">
      <w:start w:val="1"/>
      <w:numFmt w:val="decimal"/>
      <w:lvlJc w:val="left"/>
      <w:pPr/>
      <w:rPr>
        <w:rFonts w:hint="default"/>
        <w:u w:val="none" w:color="auto"/>
      </w:rPr>
    </w:lvl>
    <w:lvl w:ilvl="5">
      <w:start w:val="1"/>
      <w:numFmt w:val="decimal"/>
      <w:lvlJc w:val="left"/>
      <w:pPr/>
      <w:rPr>
        <w:rFonts w:hint="default"/>
        <w:u w:val="none" w:color="auto"/>
      </w:rPr>
    </w:lvl>
    <w:lvl w:ilvl="6">
      <w:start w:val="1"/>
      <w:numFmt w:val="decimal"/>
      <w:lvlJc w:val="left"/>
      <w:pPr/>
      <w:rPr>
        <w:rFonts w:hint="default"/>
        <w:u w:val="none" w:color="auto"/>
      </w:rPr>
    </w:lvl>
    <w:lvl w:ilvl="7">
      <w:start w:val="1"/>
      <w:numFmt w:val="decimal"/>
      <w:lvlJc w:val="left"/>
      <w:pPr/>
      <w:rPr>
        <w:rFonts w:hint="default"/>
        <w:u w:val="none" w:color="auto"/>
      </w:rPr>
    </w:lvl>
    <w:lvl w:ilvl="8">
      <w:start w:val="1"/>
      <w:numFmt w:val="decimal"/>
      <w:lvlJc w:val="left"/>
      <w:pPr/>
      <w:rPr>
        <w:rFonts w:hint="default"/>
        <w:u w:val="none" w:color="auto"/>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TQ5Nzk0M2E0ZWU4MjM4NzFhNGEwYzhjNWYyMWNjMj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51D325-9109-4CB6-B101-F8EC7A5887E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Yozo_Office27021597764231189</Application>
  <Pages>8</Pages>
  <Words>0</Words>
  <Characters>2670</Characters>
  <Lines>0</Lines>
  <Paragraphs>35</Paragraphs>
  <CharactersWithSpaces>3560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0</cp:revision>
  <dcterms:created xsi:type="dcterms:W3CDTF">2022-09-22T05:40:11Z</dcterms:created>
  <dcterms:modified xsi:type="dcterms:W3CDTF">2024-03-22T06:24:02Z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4E906A5E7604484483DD792A18CCE858</vt:lpwstr>
  </property>
</Properties>
</file>