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DC970">
      <w:pPr>
        <w:jc w:val="center"/>
        <w:rPr>
          <w:sz w:val="44"/>
          <w:szCs w:val="44"/>
        </w:rPr>
      </w:pPr>
      <w:r>
        <w:rPr>
          <w:rFonts w:hint="eastAsia"/>
          <w:sz w:val="44"/>
          <w:szCs w:val="44"/>
        </w:rPr>
        <w:t>预算部门整体绩效自评报告</w:t>
      </w:r>
    </w:p>
    <w:p w14:paraId="1C8DD890">
      <w:pPr>
        <w:jc w:val="center"/>
        <w:rPr>
          <w:rFonts w:eastAsia="仿宋"/>
          <w:sz w:val="30"/>
          <w:szCs w:val="30"/>
        </w:rPr>
      </w:pPr>
      <w:r>
        <w:rPr>
          <w:rFonts w:hint="eastAsia" w:eastAsia="仿宋"/>
          <w:sz w:val="30"/>
          <w:szCs w:val="30"/>
        </w:rPr>
        <w:t>（</w:t>
      </w:r>
      <w:r>
        <w:rPr>
          <w:rFonts w:eastAsia="仿宋"/>
          <w:sz w:val="30"/>
          <w:szCs w:val="30"/>
        </w:rPr>
        <w:t>202</w:t>
      </w:r>
      <w:r>
        <w:rPr>
          <w:rFonts w:hint="eastAsia" w:eastAsia="仿宋"/>
          <w:sz w:val="30"/>
          <w:szCs w:val="30"/>
        </w:rPr>
        <w:t>1年度）</w:t>
      </w:r>
    </w:p>
    <w:p w14:paraId="6C1D8757">
      <w:pPr>
        <w:rPr>
          <w:rFonts w:eastAsia="仿宋"/>
          <w:sz w:val="21"/>
          <w:szCs w:val="22"/>
        </w:rPr>
      </w:pPr>
    </w:p>
    <w:p w14:paraId="6AC907E5">
      <w:pPr>
        <w:rPr>
          <w:rFonts w:eastAsia="仿宋"/>
        </w:rPr>
      </w:pPr>
    </w:p>
    <w:p w14:paraId="591066DC">
      <w:pPr>
        <w:ind w:firstLine="320" w:firstLineChars="100"/>
        <w:rPr>
          <w:rFonts w:eastAsia="仿宋"/>
          <w:szCs w:val="32"/>
        </w:rPr>
      </w:pPr>
      <w:r>
        <w:rPr>
          <w:rFonts w:hint="eastAsia" w:eastAsia="仿宋"/>
          <w:szCs w:val="32"/>
        </w:rPr>
        <w:t>评价方式：</w:t>
      </w:r>
      <w:r>
        <w:rPr>
          <w:rFonts w:hint="eastAsia" w:ascii="MS Mincho" w:hAnsi="MS Mincho" w:eastAsia="MS Mincho" w:cs="MS Mincho"/>
          <w:sz w:val="28"/>
        </w:rPr>
        <w:t>☑</w:t>
      </w:r>
      <w:r>
        <w:rPr>
          <w:rFonts w:hint="eastAsia" w:eastAsia="仿宋"/>
          <w:szCs w:val="32"/>
        </w:rPr>
        <w:t>直接组织评价</w:t>
      </w:r>
      <w:r>
        <w:rPr>
          <w:rFonts w:eastAsia="仿宋"/>
          <w:szCs w:val="32"/>
        </w:rPr>
        <w:t xml:space="preserve">        </w:t>
      </w:r>
      <w:r>
        <w:rPr>
          <w:rFonts w:eastAsia="仿宋"/>
          <w:sz w:val="44"/>
          <w:szCs w:val="44"/>
        </w:rPr>
        <w:t>□</w:t>
      </w:r>
      <w:r>
        <w:rPr>
          <w:rFonts w:hint="eastAsia" w:eastAsia="仿宋"/>
          <w:szCs w:val="32"/>
        </w:rPr>
        <w:t>委托评价</w:t>
      </w:r>
    </w:p>
    <w:p w14:paraId="7B45DA42">
      <w:pPr>
        <w:rPr>
          <w:rFonts w:eastAsia="仿宋"/>
          <w:sz w:val="21"/>
          <w:szCs w:val="22"/>
        </w:rPr>
      </w:pPr>
    </w:p>
    <w:p w14:paraId="0BA01305">
      <w:pPr>
        <w:rPr>
          <w:rFonts w:eastAsia="仿宋"/>
        </w:rPr>
      </w:pPr>
    </w:p>
    <w:p w14:paraId="05D0E695">
      <w:pPr>
        <w:rPr>
          <w:rFonts w:eastAsia="仿宋"/>
        </w:rPr>
      </w:pPr>
    </w:p>
    <w:p w14:paraId="38F39AE5">
      <w:pPr>
        <w:ind w:firstLine="1920" w:firstLineChars="600"/>
        <w:rPr>
          <w:rFonts w:eastAsia="仿宋"/>
          <w:szCs w:val="32"/>
        </w:rPr>
      </w:pPr>
    </w:p>
    <w:p w14:paraId="1959CF09">
      <w:pPr>
        <w:ind w:firstLine="1920" w:firstLineChars="600"/>
        <w:rPr>
          <w:rFonts w:eastAsia="仿宋"/>
          <w:szCs w:val="32"/>
        </w:rPr>
      </w:pPr>
    </w:p>
    <w:p w14:paraId="628911CD">
      <w:pPr>
        <w:ind w:firstLine="1920" w:firstLineChars="600"/>
        <w:rPr>
          <w:rFonts w:eastAsia="仿宋"/>
          <w:szCs w:val="32"/>
        </w:rPr>
      </w:pPr>
    </w:p>
    <w:p w14:paraId="18F58925">
      <w:pPr>
        <w:ind w:firstLine="1920" w:firstLineChars="600"/>
        <w:rPr>
          <w:rFonts w:eastAsia="仿宋"/>
          <w:szCs w:val="32"/>
          <w:u w:val="single"/>
        </w:rPr>
      </w:pPr>
      <w:r>
        <w:rPr>
          <w:rFonts w:hint="eastAsia" w:eastAsia="仿宋"/>
          <w:szCs w:val="32"/>
        </w:rPr>
        <w:t>部门名称：</w:t>
      </w:r>
      <w:r>
        <w:rPr>
          <w:rFonts w:hint="eastAsia" w:eastAsia="仿宋"/>
          <w:szCs w:val="32"/>
          <w:lang w:val="en-US" w:eastAsia="zh-CN"/>
        </w:rPr>
        <w:t>中国共产党遵化市纪委检查委员会</w:t>
      </w:r>
    </w:p>
    <w:p w14:paraId="1901BB8D">
      <w:pPr>
        <w:ind w:firstLine="1920" w:firstLineChars="600"/>
        <w:rPr>
          <w:rFonts w:hint="default" w:eastAsia="仿宋"/>
          <w:szCs w:val="32"/>
          <w:u w:val="single"/>
          <w:lang w:val="en-US" w:eastAsia="zh-CN"/>
        </w:rPr>
      </w:pPr>
      <w:r>
        <w:rPr>
          <w:rFonts w:hint="eastAsia" w:eastAsia="仿宋"/>
          <w:szCs w:val="32"/>
        </w:rPr>
        <w:t>联系电话：</w:t>
      </w:r>
      <w:r>
        <w:rPr>
          <w:rFonts w:hint="eastAsia" w:eastAsia="仿宋"/>
          <w:szCs w:val="32"/>
          <w:u w:val="single"/>
          <w:lang w:val="en-US" w:eastAsia="zh-CN"/>
        </w:rPr>
        <w:t>0315-6538655</w:t>
      </w:r>
    </w:p>
    <w:p w14:paraId="0E4C0E90">
      <w:pPr>
        <w:ind w:firstLine="1440" w:firstLineChars="450"/>
        <w:rPr>
          <w:rFonts w:eastAsia="仿宋"/>
          <w:szCs w:val="32"/>
        </w:rPr>
      </w:pPr>
    </w:p>
    <w:p w14:paraId="2158CBCD">
      <w:pPr>
        <w:ind w:firstLine="1440" w:firstLineChars="450"/>
        <w:rPr>
          <w:rFonts w:eastAsia="仿宋"/>
          <w:szCs w:val="32"/>
        </w:rPr>
      </w:pPr>
    </w:p>
    <w:p w14:paraId="76CEF1E9">
      <w:pPr>
        <w:ind w:firstLine="1440" w:firstLineChars="450"/>
        <w:rPr>
          <w:rFonts w:eastAsia="仿宋"/>
          <w:szCs w:val="32"/>
        </w:rPr>
      </w:pPr>
    </w:p>
    <w:p w14:paraId="5DB55623">
      <w:pPr>
        <w:ind w:firstLine="1440" w:firstLineChars="450"/>
        <w:rPr>
          <w:rFonts w:eastAsia="仿宋"/>
          <w:szCs w:val="32"/>
        </w:rPr>
      </w:pPr>
    </w:p>
    <w:p w14:paraId="5355853F">
      <w:pPr>
        <w:ind w:firstLine="1440" w:firstLineChars="450"/>
        <w:rPr>
          <w:rFonts w:eastAsia="仿宋"/>
          <w:szCs w:val="32"/>
        </w:rPr>
      </w:pPr>
    </w:p>
    <w:p w14:paraId="5569D116">
      <w:pPr>
        <w:ind w:firstLine="1440" w:firstLineChars="450"/>
        <w:rPr>
          <w:rFonts w:eastAsia="仿宋"/>
          <w:szCs w:val="32"/>
        </w:rPr>
      </w:pPr>
    </w:p>
    <w:p w14:paraId="1D182F6B">
      <w:pPr>
        <w:jc w:val="center"/>
        <w:rPr>
          <w:rFonts w:eastAsia="仿宋"/>
          <w:szCs w:val="32"/>
        </w:rPr>
      </w:pPr>
      <w:r>
        <w:rPr>
          <w:rFonts w:hint="eastAsia" w:eastAsia="仿宋"/>
          <w:szCs w:val="32"/>
        </w:rPr>
        <w:t>填报日期：</w:t>
      </w:r>
      <w:r>
        <w:rPr>
          <w:rFonts w:eastAsia="仿宋"/>
          <w:szCs w:val="32"/>
        </w:rPr>
        <w:t>202</w:t>
      </w:r>
      <w:r>
        <w:rPr>
          <w:rFonts w:hint="eastAsia" w:eastAsia="仿宋"/>
          <w:szCs w:val="32"/>
        </w:rPr>
        <w:t>2年5月</w:t>
      </w:r>
      <w:r>
        <w:rPr>
          <w:rFonts w:eastAsia="仿宋"/>
          <w:szCs w:val="32"/>
        </w:rPr>
        <w:t>7</w:t>
      </w:r>
      <w:r>
        <w:rPr>
          <w:rFonts w:hint="eastAsia" w:eastAsia="仿宋"/>
          <w:szCs w:val="32"/>
        </w:rPr>
        <w:t>日</w:t>
      </w:r>
    </w:p>
    <w:p w14:paraId="56F9A72E">
      <w:pPr>
        <w:jc w:val="center"/>
        <w:rPr>
          <w:rFonts w:ascii="仿宋" w:hAnsi="仿宋" w:eastAsia="仿宋"/>
          <w:szCs w:val="32"/>
        </w:rPr>
      </w:pPr>
      <w:r>
        <w:rPr>
          <w:rFonts w:hint="eastAsia" w:ascii="仿宋" w:hAnsi="仿宋" w:eastAsia="仿宋"/>
          <w:szCs w:val="32"/>
        </w:rPr>
        <w:t>遵化市财政局编制</w:t>
      </w:r>
    </w:p>
    <w:p w14:paraId="375E2048">
      <w:pPr>
        <w:widowControl/>
        <w:jc w:val="left"/>
        <w:rPr>
          <w:rFonts w:hint="eastAsia" w:asciiTheme="minorEastAsia" w:hAnsiTheme="minorEastAsia" w:eastAsiaTheme="minorEastAsia"/>
          <w:b/>
          <w:sz w:val="44"/>
          <w:szCs w:val="44"/>
        </w:rPr>
      </w:pPr>
      <w:r>
        <w:rPr>
          <w:rFonts w:hint="eastAsia" w:asciiTheme="minorEastAsia" w:hAnsiTheme="minorEastAsia"/>
          <w:b/>
          <w:sz w:val="44"/>
          <w:szCs w:val="44"/>
        </w:rPr>
        <w:br w:type="page"/>
      </w:r>
    </w:p>
    <w:p w14:paraId="47CE24D5">
      <w:pPr>
        <w:jc w:val="center"/>
        <w:rPr>
          <w:rFonts w:hint="eastAsia" w:asciiTheme="minorEastAsia" w:hAnsiTheme="minorEastAsia"/>
          <w:b/>
          <w:sz w:val="44"/>
          <w:szCs w:val="44"/>
        </w:rPr>
      </w:pPr>
      <w:r>
        <w:rPr>
          <w:rFonts w:hint="eastAsia" w:asciiTheme="minorEastAsia" w:hAnsiTheme="minorEastAsia"/>
          <w:b/>
          <w:sz w:val="44"/>
          <w:szCs w:val="44"/>
        </w:rPr>
        <w:t>部门整体绩效自评情况</w:t>
      </w:r>
    </w:p>
    <w:p w14:paraId="5339E403">
      <w:pPr>
        <w:ind w:firstLine="643" w:firstLineChars="200"/>
        <w:rPr>
          <w:rFonts w:hint="eastAsia" w:eastAsia="黑体"/>
          <w:b/>
          <w:szCs w:val="32"/>
        </w:rPr>
      </w:pPr>
      <w:r>
        <w:rPr>
          <w:rFonts w:hint="eastAsia" w:eastAsia="黑体"/>
          <w:b/>
          <w:szCs w:val="32"/>
        </w:rPr>
        <w:t>一、部门整体概况</w:t>
      </w:r>
    </w:p>
    <w:p w14:paraId="795D0936">
      <w:pPr>
        <w:ind w:firstLine="640" w:firstLineChars="200"/>
        <w:rPr>
          <w:rFonts w:hint="default" w:eastAsia="仿宋"/>
          <w:szCs w:val="32"/>
          <w:lang w:val="en-US" w:eastAsia="zh-CN"/>
        </w:rPr>
      </w:pPr>
      <w:r>
        <w:rPr>
          <w:rFonts w:hint="eastAsia" w:eastAsia="仿宋"/>
          <w:szCs w:val="32"/>
        </w:rPr>
        <w:t>本部门</w:t>
      </w:r>
      <w:r>
        <w:rPr>
          <w:rFonts w:eastAsia="仿宋"/>
          <w:szCs w:val="32"/>
        </w:rPr>
        <w:t>2021</w:t>
      </w:r>
      <w:r>
        <w:rPr>
          <w:rFonts w:hint="eastAsia" w:eastAsia="仿宋"/>
          <w:szCs w:val="32"/>
        </w:rPr>
        <w:t>年度申请预算资金</w:t>
      </w:r>
      <w:r>
        <w:rPr>
          <w:rFonts w:hint="eastAsia" w:eastAsia="仿宋"/>
          <w:szCs w:val="32"/>
          <w:lang w:val="en-US" w:eastAsia="zh-CN"/>
        </w:rPr>
        <w:t>1719.17</w:t>
      </w:r>
      <w:r>
        <w:rPr>
          <w:rFonts w:hint="eastAsia" w:eastAsia="仿宋"/>
          <w:szCs w:val="32"/>
        </w:rPr>
        <w:t>万元，实际支出</w:t>
      </w:r>
      <w:r>
        <w:rPr>
          <w:rFonts w:hint="eastAsia" w:eastAsia="仿宋"/>
          <w:szCs w:val="32"/>
          <w:lang w:val="en-US" w:eastAsia="zh-CN"/>
        </w:rPr>
        <w:t>1733.07</w:t>
      </w:r>
      <w:r>
        <w:rPr>
          <w:rFonts w:hint="eastAsia" w:eastAsia="仿宋"/>
          <w:szCs w:val="32"/>
        </w:rPr>
        <w:t>万元，预算执行率</w:t>
      </w:r>
      <w:r>
        <w:rPr>
          <w:rFonts w:eastAsia="仿宋"/>
          <w:szCs w:val="32"/>
        </w:rPr>
        <w:t>100</w:t>
      </w:r>
      <w:r>
        <w:rPr>
          <w:rFonts w:hint="eastAsia" w:eastAsia="仿宋"/>
          <w:szCs w:val="32"/>
          <w:lang w:val="en-US" w:eastAsia="zh-CN"/>
        </w:rPr>
        <w:t>.8</w:t>
      </w:r>
      <w:r>
        <w:rPr>
          <w:rFonts w:eastAsia="仿宋"/>
          <w:szCs w:val="32"/>
        </w:rPr>
        <w:t>%</w:t>
      </w:r>
      <w:r>
        <w:rPr>
          <w:rFonts w:hint="eastAsia" w:eastAsia="仿宋"/>
          <w:szCs w:val="32"/>
        </w:rPr>
        <w:t>。其中：专项项目</w:t>
      </w:r>
      <w:r>
        <w:rPr>
          <w:rFonts w:hint="eastAsia" w:eastAsia="仿宋"/>
          <w:szCs w:val="32"/>
          <w:lang w:val="en-US" w:eastAsia="zh-CN"/>
        </w:rPr>
        <w:t>4</w:t>
      </w:r>
      <w:r>
        <w:rPr>
          <w:rFonts w:hint="eastAsia" w:eastAsia="仿宋"/>
          <w:szCs w:val="32"/>
        </w:rPr>
        <w:t>个，</w:t>
      </w:r>
      <w:r>
        <w:rPr>
          <w:rFonts w:hint="eastAsia" w:eastAsia="仿宋"/>
          <w:szCs w:val="32"/>
          <w:lang w:val="en-US" w:eastAsia="zh-CN"/>
        </w:rPr>
        <w:t>预算</w:t>
      </w:r>
      <w:r>
        <w:rPr>
          <w:rFonts w:hint="eastAsia" w:eastAsia="仿宋"/>
          <w:szCs w:val="32"/>
        </w:rPr>
        <w:t>金额合计</w:t>
      </w:r>
      <w:r>
        <w:rPr>
          <w:rFonts w:hint="eastAsia" w:eastAsia="仿宋"/>
          <w:szCs w:val="32"/>
          <w:lang w:val="en-US" w:eastAsia="zh-CN"/>
        </w:rPr>
        <w:t>244</w:t>
      </w:r>
      <w:r>
        <w:rPr>
          <w:rFonts w:hint="eastAsia" w:eastAsia="仿宋"/>
          <w:szCs w:val="32"/>
        </w:rPr>
        <w:t>万元，实际支出</w:t>
      </w:r>
      <w:r>
        <w:rPr>
          <w:rFonts w:hint="eastAsia" w:eastAsia="仿宋"/>
          <w:szCs w:val="32"/>
          <w:lang w:val="en-US" w:eastAsia="zh-CN"/>
        </w:rPr>
        <w:t>455.07</w:t>
      </w:r>
      <w:r>
        <w:rPr>
          <w:rFonts w:hint="eastAsia" w:eastAsia="仿宋"/>
          <w:szCs w:val="32"/>
        </w:rPr>
        <w:t>万元，执行率为</w:t>
      </w:r>
      <w:r>
        <w:rPr>
          <w:rFonts w:hint="eastAsia" w:eastAsia="仿宋"/>
          <w:szCs w:val="32"/>
          <w:lang w:val="en-US" w:eastAsia="zh-CN"/>
        </w:rPr>
        <w:t>186.5</w:t>
      </w:r>
      <w:r>
        <w:rPr>
          <w:rFonts w:eastAsia="仿宋"/>
          <w:szCs w:val="32"/>
        </w:rPr>
        <w:t>%</w:t>
      </w:r>
      <w:r>
        <w:rPr>
          <w:rFonts w:hint="eastAsia" w:eastAsia="仿宋"/>
          <w:szCs w:val="32"/>
        </w:rPr>
        <w:t>；人员经费</w:t>
      </w:r>
      <w:r>
        <w:rPr>
          <w:rFonts w:hint="eastAsia" w:eastAsia="仿宋"/>
          <w:szCs w:val="32"/>
          <w:lang w:val="en-US" w:eastAsia="zh-CN"/>
        </w:rPr>
        <w:t>预算金额1090.94</w:t>
      </w:r>
      <w:r>
        <w:rPr>
          <w:rFonts w:hint="eastAsia" w:eastAsia="仿宋"/>
          <w:szCs w:val="32"/>
        </w:rPr>
        <w:t>万元</w:t>
      </w:r>
      <w:r>
        <w:rPr>
          <w:rFonts w:hint="eastAsia" w:eastAsia="仿宋"/>
          <w:szCs w:val="32"/>
          <w:lang w:eastAsia="zh-CN"/>
        </w:rPr>
        <w:t>，</w:t>
      </w:r>
      <w:r>
        <w:rPr>
          <w:rFonts w:hint="eastAsia" w:eastAsia="仿宋"/>
          <w:szCs w:val="32"/>
        </w:rPr>
        <w:t>实际支出</w:t>
      </w:r>
      <w:r>
        <w:rPr>
          <w:rFonts w:hint="eastAsia" w:eastAsia="仿宋"/>
          <w:szCs w:val="32"/>
          <w:lang w:val="en-US" w:eastAsia="zh-CN"/>
        </w:rPr>
        <w:t>1144.02万元</w:t>
      </w:r>
      <w:r>
        <w:rPr>
          <w:rFonts w:hint="eastAsia" w:eastAsia="仿宋"/>
          <w:szCs w:val="32"/>
        </w:rPr>
        <w:t>，执行率为</w:t>
      </w:r>
      <w:r>
        <w:rPr>
          <w:rFonts w:eastAsia="仿宋"/>
          <w:szCs w:val="32"/>
        </w:rPr>
        <w:t>10</w:t>
      </w:r>
      <w:r>
        <w:rPr>
          <w:rFonts w:hint="eastAsia" w:eastAsia="仿宋"/>
          <w:szCs w:val="32"/>
          <w:lang w:val="en-US" w:eastAsia="zh-CN"/>
        </w:rPr>
        <w:t>4.9</w:t>
      </w:r>
      <w:r>
        <w:rPr>
          <w:rFonts w:eastAsia="仿宋"/>
          <w:szCs w:val="32"/>
        </w:rPr>
        <w:t>%</w:t>
      </w:r>
      <w:r>
        <w:rPr>
          <w:rFonts w:hint="eastAsia" w:eastAsia="仿宋"/>
          <w:szCs w:val="32"/>
        </w:rPr>
        <w:t>；日常运转经费</w:t>
      </w:r>
      <w:r>
        <w:rPr>
          <w:rFonts w:hint="eastAsia" w:eastAsia="仿宋"/>
          <w:szCs w:val="32"/>
          <w:lang w:val="en-US" w:eastAsia="zh-CN"/>
        </w:rPr>
        <w:t>预算金额132.23万元，</w:t>
      </w:r>
      <w:r>
        <w:rPr>
          <w:rFonts w:hint="eastAsia" w:eastAsia="仿宋"/>
          <w:szCs w:val="32"/>
        </w:rPr>
        <w:t>实际支出</w:t>
      </w:r>
      <w:r>
        <w:rPr>
          <w:rFonts w:hint="eastAsia" w:eastAsia="仿宋"/>
          <w:szCs w:val="32"/>
          <w:lang w:val="en-US" w:eastAsia="zh-CN"/>
        </w:rPr>
        <w:t>133.97</w:t>
      </w:r>
      <w:r>
        <w:rPr>
          <w:rFonts w:hint="eastAsia" w:eastAsia="仿宋"/>
          <w:szCs w:val="32"/>
        </w:rPr>
        <w:t>万元，执行率为</w:t>
      </w:r>
      <w:r>
        <w:rPr>
          <w:rFonts w:eastAsia="仿宋"/>
          <w:szCs w:val="32"/>
        </w:rPr>
        <w:t>10</w:t>
      </w:r>
      <w:r>
        <w:rPr>
          <w:rFonts w:hint="eastAsia" w:eastAsia="仿宋"/>
          <w:szCs w:val="32"/>
          <w:lang w:val="en-US" w:eastAsia="zh-CN"/>
        </w:rPr>
        <w:t>1.4</w:t>
      </w:r>
      <w:r>
        <w:rPr>
          <w:rFonts w:eastAsia="仿宋"/>
          <w:szCs w:val="32"/>
        </w:rPr>
        <w:t>%</w:t>
      </w:r>
      <w:r>
        <w:rPr>
          <w:rFonts w:hint="eastAsia" w:eastAsia="仿宋"/>
          <w:szCs w:val="32"/>
        </w:rPr>
        <w:t>。</w:t>
      </w:r>
      <w:r>
        <w:rPr>
          <w:rFonts w:hint="eastAsia" w:eastAsia="仿宋"/>
          <w:szCs w:val="32"/>
          <w:lang w:val="en-US" w:eastAsia="zh-CN"/>
        </w:rPr>
        <w:t>因人员增加，造成人员经费及公用经费实际支出较年初预算增加。</w:t>
      </w:r>
    </w:p>
    <w:p w14:paraId="5AE3B6C9">
      <w:pPr>
        <w:ind w:firstLine="643" w:firstLineChars="200"/>
        <w:rPr>
          <w:rFonts w:eastAsia="黑体"/>
          <w:b/>
          <w:szCs w:val="32"/>
        </w:rPr>
      </w:pPr>
      <w:r>
        <w:rPr>
          <w:rFonts w:hint="eastAsia" w:eastAsia="黑体"/>
          <w:b/>
          <w:szCs w:val="32"/>
        </w:rPr>
        <w:t>二、部门总体绩效目标和绩效指标设定情况</w:t>
      </w:r>
    </w:p>
    <w:p w14:paraId="1F6DD1DA">
      <w:pPr>
        <w:ind w:firstLine="643" w:firstLineChars="200"/>
        <w:rPr>
          <w:rFonts w:eastAsia="仿宋"/>
          <w:b/>
          <w:szCs w:val="32"/>
        </w:rPr>
      </w:pPr>
      <w:r>
        <w:rPr>
          <w:rFonts w:hint="eastAsia" w:eastAsia="仿宋"/>
          <w:b/>
          <w:szCs w:val="32"/>
        </w:rPr>
        <w:t>本部门年初设定的部门整体绩效指标是：</w:t>
      </w:r>
    </w:p>
    <w:p w14:paraId="285D7F5A">
      <w:pPr>
        <w:pStyle w:val="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认真贯彻落实党的十九大及中、省纪委、唐山市纪委全会精神，履行监督执纪问责和监督调查处置职责，深化党风廉政建设和反腐败工作，推动全面从严治党向纵深发展，营造和巩固风清气正的政治生态。</w:t>
      </w:r>
    </w:p>
    <w:p w14:paraId="77B077DF">
      <w:pPr>
        <w:pStyle w:val="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（一）主要任务：</w:t>
      </w:r>
    </w:p>
    <w:p w14:paraId="507EFFBB">
      <w:pPr>
        <w:pStyle w:val="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认真贯彻落实党的十九大及中、省纪委、唐山市纪委全会精神，履行监督执纪问责和监督调查处置职责，深化党风廉政建设和反腐败工作，推动全面从严治党向纵深发展，营造和巩固风清气正的政治生态。重点抓好以下几个方面工作。</w:t>
      </w:r>
    </w:p>
    <w:p w14:paraId="38378652">
      <w:pPr>
        <w:pStyle w:val="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 强化压力传导，推进全面从严治党向纵深发展。2. 落实中央八项规定精神，驰而不息纠正“四风”。3. 加大纪律审查力度，巩固反腐败压倒性态势。4. 深化国家监察体制改革，提高规范化、专业化水平。5. 强化内部教育、管理和监督，打造纪检监察铁军。</w:t>
      </w:r>
    </w:p>
    <w:p w14:paraId="07431C06">
      <w:pPr>
        <w:pStyle w:val="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（二）目标规划：</w:t>
      </w:r>
    </w:p>
    <w:p w14:paraId="08AEA518">
      <w:pPr>
        <w:pStyle w:val="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（1）管党治党政治责任进一步向基层延伸。（2）“四风”问题得到进一步治理。（3）反腐败压倒性态势进一步巩固。（4）完成纪检监察外网建设任务</w:t>
      </w:r>
      <w:bookmarkStart w:id="0" w:name="_GoBack"/>
      <w:bookmarkEnd w:id="0"/>
      <w:r>
        <w:rPr>
          <w:rFonts w:hint="eastAsia" w:ascii="方正仿宋简体" w:hAnsi="方正仿宋简体" w:eastAsia="方正仿宋简体" w:cs="方正仿宋简体"/>
          <w:sz w:val="32"/>
          <w:szCs w:val="32"/>
        </w:rPr>
        <w:t>。（5）完成本级及上级巡查巡视工作任务。（6）纪检监察机关自身建设进一步加强。</w:t>
      </w:r>
    </w:p>
    <w:p w14:paraId="5B381793">
      <w:pPr>
        <w:ind w:firstLine="643" w:firstLineChars="200"/>
        <w:rPr>
          <w:rFonts w:hint="eastAsia" w:eastAsia="黑体"/>
          <w:b/>
          <w:szCs w:val="32"/>
        </w:rPr>
      </w:pPr>
      <w:r>
        <w:rPr>
          <w:rFonts w:hint="eastAsia" w:eastAsia="黑体"/>
          <w:b/>
          <w:szCs w:val="32"/>
        </w:rPr>
        <w:t>三、绩效评价组织情况</w:t>
      </w:r>
    </w:p>
    <w:p w14:paraId="5F0C46E8">
      <w:pPr>
        <w:ind w:firstLine="640" w:firstLineChars="200"/>
        <w:rPr>
          <w:rFonts w:eastAsia="仿宋"/>
          <w:szCs w:val="32"/>
        </w:rPr>
      </w:pPr>
      <w:r>
        <w:rPr>
          <w:rFonts w:hint="eastAsia" w:eastAsia="仿宋"/>
          <w:szCs w:val="32"/>
        </w:rPr>
        <w:t>本次绩效评价项目</w:t>
      </w:r>
      <w:r>
        <w:rPr>
          <w:rFonts w:hint="eastAsia" w:eastAsia="仿宋"/>
          <w:szCs w:val="32"/>
          <w:lang w:val="en-US" w:eastAsia="zh-CN"/>
        </w:rPr>
        <w:t>4</w:t>
      </w:r>
      <w:r>
        <w:rPr>
          <w:rFonts w:hint="eastAsia" w:eastAsia="仿宋"/>
          <w:szCs w:val="32"/>
        </w:rPr>
        <w:t>个，占部门项目总数的</w:t>
      </w:r>
      <w:r>
        <w:rPr>
          <w:rFonts w:eastAsia="仿宋"/>
          <w:szCs w:val="32"/>
        </w:rPr>
        <w:t>100%</w:t>
      </w:r>
      <w:r>
        <w:rPr>
          <w:rFonts w:hint="eastAsia" w:eastAsia="仿宋"/>
          <w:szCs w:val="32"/>
        </w:rPr>
        <w:t>，涉及金额</w:t>
      </w:r>
      <w:r>
        <w:rPr>
          <w:rFonts w:hint="eastAsia" w:eastAsia="仿宋"/>
          <w:szCs w:val="32"/>
          <w:lang w:val="en-US" w:eastAsia="zh-CN"/>
        </w:rPr>
        <w:t>455.07</w:t>
      </w:r>
      <w:r>
        <w:rPr>
          <w:rFonts w:hint="eastAsia" w:eastAsia="仿宋"/>
          <w:szCs w:val="32"/>
        </w:rPr>
        <w:t>万元。采取成立本部门绩效自评工作组的形式，本着客观、公正、公开的原则开展自评工作，所有项目的绩效自评均设计了合理、明晰、可考核的、关键性产出指标和效果指标。自评结果真实可靠。</w:t>
      </w:r>
    </w:p>
    <w:p w14:paraId="778FB16B">
      <w:pPr>
        <w:ind w:firstLine="643" w:firstLineChars="200"/>
        <w:rPr>
          <w:rFonts w:eastAsia="黑体"/>
          <w:b/>
          <w:szCs w:val="32"/>
        </w:rPr>
      </w:pPr>
      <w:r>
        <w:rPr>
          <w:rFonts w:hint="eastAsia" w:eastAsia="黑体"/>
          <w:b/>
          <w:szCs w:val="32"/>
        </w:rPr>
        <w:t>四、绩效实现情况分析</w:t>
      </w:r>
    </w:p>
    <w:p w14:paraId="5D367D8F">
      <w:pPr>
        <w:ind w:firstLine="640" w:firstLineChars="200"/>
        <w:rPr>
          <w:rFonts w:eastAsia="仿宋"/>
          <w:szCs w:val="32"/>
        </w:rPr>
      </w:pPr>
      <w:r>
        <w:rPr>
          <w:rFonts w:hint="eastAsia" w:eastAsia="仿宋"/>
          <w:szCs w:val="32"/>
        </w:rPr>
        <w:t>一、人员经费实现年初预算全覆盖，及时足额执行完毕</w:t>
      </w:r>
    </w:p>
    <w:p w14:paraId="764E23D3">
      <w:pPr>
        <w:ind w:firstLine="640" w:firstLineChars="200"/>
        <w:rPr>
          <w:rFonts w:eastAsia="仿宋"/>
          <w:szCs w:val="32"/>
        </w:rPr>
      </w:pPr>
      <w:r>
        <w:rPr>
          <w:rFonts w:hint="eastAsia" w:eastAsia="仿宋"/>
          <w:szCs w:val="32"/>
        </w:rPr>
        <w:t>二、日常运转经费在严格控制“三公”经费前提下，正常有序开展工作，执行完毕。</w:t>
      </w:r>
    </w:p>
    <w:p w14:paraId="2A15770C">
      <w:pPr>
        <w:snapToGrid w:val="0"/>
        <w:spacing w:line="360" w:lineRule="auto"/>
        <w:ind w:firstLine="640" w:firstLineChars="200"/>
        <w:rPr>
          <w:rFonts w:eastAsia="仿宋"/>
          <w:szCs w:val="32"/>
        </w:rPr>
      </w:pPr>
      <w:r>
        <w:rPr>
          <w:rFonts w:hint="eastAsia" w:eastAsia="仿宋"/>
          <w:szCs w:val="32"/>
        </w:rPr>
        <w:t>三、</w:t>
      </w:r>
      <w:r>
        <w:rPr>
          <w:rFonts w:eastAsia="仿宋"/>
          <w:szCs w:val="32"/>
        </w:rPr>
        <w:t>2021</w:t>
      </w:r>
      <w:r>
        <w:rPr>
          <w:rFonts w:hint="eastAsia" w:eastAsia="仿宋"/>
          <w:szCs w:val="32"/>
        </w:rPr>
        <w:t>年总安排</w:t>
      </w:r>
      <w:r>
        <w:rPr>
          <w:rFonts w:hint="eastAsia" w:eastAsia="仿宋"/>
          <w:szCs w:val="32"/>
          <w:lang w:val="en-US" w:eastAsia="zh-CN"/>
        </w:rPr>
        <w:t>4</w:t>
      </w:r>
      <w:r>
        <w:rPr>
          <w:rFonts w:hint="eastAsia" w:eastAsia="仿宋"/>
          <w:szCs w:val="32"/>
        </w:rPr>
        <w:t>个项目分别是</w:t>
      </w:r>
      <w:r>
        <w:rPr>
          <w:rFonts w:eastAsia="仿宋"/>
          <w:szCs w:val="32"/>
        </w:rPr>
        <w:t>:</w:t>
      </w:r>
    </w:p>
    <w:p w14:paraId="1BFEF05F">
      <w:pPr>
        <w:pStyle w:val="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1、党风廉政建设及监督检查项目，金额21.96万元。该项目的实施，保障了我为协助市委完成全年党风廉政建设工作。保障我委</w:t>
      </w:r>
      <w:r>
        <w:rPr>
          <w:rFonts w:hint="eastAsia" w:ascii="方正仿宋简体" w:hAnsi="方正仿宋简体" w:eastAsia="方正仿宋简体" w:cs="方正仿宋简体"/>
          <w:sz w:val="32"/>
          <w:szCs w:val="32"/>
        </w:rPr>
        <w:t>坚定履行巡视整改日常监督职责，圆满完成省委</w:t>
      </w:r>
      <w:r>
        <w:rPr>
          <w:rFonts w:hint="eastAsia" w:ascii="方正仿宋简体" w:hAnsi="方正仿宋简体" w:eastAsia="方正仿宋简体" w:cs="方正仿宋简体"/>
          <w:sz w:val="32"/>
          <w:szCs w:val="32"/>
          <w:lang w:val="en-US" w:eastAsia="zh-CN"/>
        </w:rPr>
        <w:t>市委各项任务</w:t>
      </w:r>
      <w:r>
        <w:rPr>
          <w:rFonts w:hint="eastAsia" w:ascii="方正仿宋简体" w:hAnsi="方正仿宋简体" w:eastAsia="方正仿宋简体" w:cs="方正仿宋简体"/>
          <w:sz w:val="32"/>
          <w:szCs w:val="32"/>
        </w:rPr>
        <w:t>。第一时间协助市委组织开展“守初心、再出发”中心组学习暨政治性警示教育大会，重温八项规定，通报典型案例，编发《全面从严治党永远在路上》读本</w:t>
      </w:r>
      <w:r>
        <w:rPr>
          <w:rFonts w:hint="eastAsia" w:ascii="方正仿宋简体" w:hAnsi="方正仿宋简体" w:eastAsia="方正仿宋简体" w:cs="方正仿宋简体"/>
          <w:sz w:val="32"/>
          <w:szCs w:val="32"/>
          <w:lang w:val="en-US" w:eastAsia="zh-CN"/>
        </w:rPr>
        <w:t>等</w:t>
      </w:r>
      <w:r>
        <w:rPr>
          <w:rFonts w:hint="eastAsia" w:ascii="方正仿宋简体" w:hAnsi="方正仿宋简体" w:eastAsia="方正仿宋简体" w:cs="方正仿宋简体"/>
          <w:sz w:val="32"/>
          <w:szCs w:val="32"/>
        </w:rPr>
        <w:t>，推动在全市部署开展“扬正气、树新风，鼓干劲、促发展”活动。</w:t>
      </w:r>
      <w:r>
        <w:rPr>
          <w:rFonts w:hint="eastAsia" w:ascii="方正仿宋简体" w:hAnsi="方正仿宋简体" w:eastAsia="方正仿宋简体" w:cs="方正仿宋简体"/>
          <w:sz w:val="32"/>
          <w:szCs w:val="32"/>
          <w:lang w:val="zh-CN" w:eastAsia="zh-CN"/>
        </w:rPr>
        <w:t>组织协调全市党风廉政建设和反腐败宣传、教育、课题研究等工作，承担市委惩治预防腐败体系领导小组办公室和市预防腐败局日常工作。综合协调对贯彻执行党的路线、方针、政策和决议，国家法律、法规等的监督检查；综合协调党风廉政建设责任制、党政领导干部问责规定的贯彻落实等工作。负责提出地方性纪检监察法规制度、建设规划、计划和立法建议；负责起草、修订地方性纪检监察法规制度，参与起草市委、市政府党风廉政建设法规制度和政策规定；对纪检监察法规制度执行情况开展调查和评估等。</w:t>
      </w:r>
    </w:p>
    <w:p w14:paraId="38A5269E">
      <w:pPr>
        <w:ind w:firstLine="640" w:firstLineChars="200"/>
        <w:rPr>
          <w:rFonts w:hint="eastAsia" w:eastAsia="仿宋"/>
          <w:szCs w:val="32"/>
          <w:lang w:val="en-US" w:eastAsia="zh-CN"/>
        </w:rPr>
      </w:pPr>
      <w:r>
        <w:rPr>
          <w:rFonts w:eastAsia="仿宋"/>
          <w:szCs w:val="32"/>
        </w:rPr>
        <w:t>2</w:t>
      </w:r>
      <w:r>
        <w:rPr>
          <w:rFonts w:hint="eastAsia" w:eastAsia="仿宋"/>
          <w:szCs w:val="32"/>
        </w:rPr>
        <w:t>、</w:t>
      </w:r>
      <w:r>
        <w:rPr>
          <w:rFonts w:hint="eastAsia" w:eastAsia="仿宋"/>
          <w:szCs w:val="32"/>
          <w:lang w:val="en-US" w:eastAsia="zh-CN"/>
        </w:rPr>
        <w:t>留置工作经费，金额329.11万元。</w:t>
      </w:r>
    </w:p>
    <w:p w14:paraId="1FF630FB">
      <w:pPr>
        <w:numPr>
          <w:ilvl w:val="0"/>
          <w:numId w:val="0"/>
        </w:numPr>
        <w:spacing w:line="570" w:lineRule="exact"/>
        <w:ind w:firstLine="640" w:firstLineChars="200"/>
        <w:rPr>
          <w:rFonts w:hint="eastAsia" w:ascii="宋体" w:hAnsi="宋体" w:eastAsia="方正仿宋简体"/>
          <w:sz w:val="32"/>
          <w:szCs w:val="24"/>
        </w:rPr>
      </w:pPr>
      <w:r>
        <w:rPr>
          <w:rFonts w:hint="eastAsia" w:ascii="宋体" w:hAnsi="宋体" w:eastAsia="方正仿宋简体" w:cs="仿宋"/>
          <w:sz w:val="32"/>
          <w:szCs w:val="32"/>
          <w:lang w:val="en-US" w:eastAsia="zh-CN"/>
        </w:rPr>
        <w:t>该项目保障了案件审查调查工作的顺利开展，对我市反腐败工作起到了强有力的推进作用。改善提高了干部队伍素质，优化了人文环境。为尽早实现从“不敢腐”到“不想腐”作出了贡献。化解重复信</w:t>
      </w:r>
      <w:r>
        <w:rPr>
          <w:rFonts w:hint="eastAsia" w:ascii="宋体" w:hAnsi="宋体" w:eastAsia="方正仿宋简体" w:cs="仿宋"/>
          <w:sz w:val="32"/>
          <w:szCs w:val="32"/>
        </w:rPr>
        <w:t>访1</w:t>
      </w:r>
      <w:r>
        <w:rPr>
          <w:rFonts w:hint="eastAsia" w:ascii="宋体" w:hAnsi="宋体" w:eastAsia="方正仿宋简体" w:cs="仿宋"/>
          <w:sz w:val="32"/>
          <w:szCs w:val="32"/>
          <w:lang w:val="en-US" w:eastAsia="zh-CN"/>
        </w:rPr>
        <w:t>00余</w:t>
      </w:r>
      <w:r>
        <w:rPr>
          <w:rFonts w:hint="eastAsia" w:ascii="宋体" w:hAnsi="宋体" w:eastAsia="方正仿宋简体" w:cs="仿宋"/>
          <w:sz w:val="32"/>
          <w:szCs w:val="32"/>
        </w:rPr>
        <w:t>件，</w:t>
      </w:r>
      <w:r>
        <w:rPr>
          <w:rFonts w:hint="eastAsia" w:ascii="宋体" w:hAnsi="宋体" w:eastAsia="方正仿宋简体" w:cs="方正仿宋简体"/>
          <w:sz w:val="32"/>
          <w:szCs w:val="32"/>
        </w:rPr>
        <w:t>处置问题线索</w:t>
      </w:r>
      <w:r>
        <w:rPr>
          <w:rFonts w:hint="eastAsia" w:ascii="宋体" w:hAnsi="宋体" w:eastAsia="方正仿宋简体" w:cs="方正仿宋简体"/>
          <w:sz w:val="32"/>
          <w:szCs w:val="32"/>
          <w:lang w:val="en-US" w:eastAsia="zh-CN"/>
        </w:rPr>
        <w:t>300余</w:t>
      </w:r>
      <w:r>
        <w:rPr>
          <w:rFonts w:hint="eastAsia" w:ascii="宋体" w:hAnsi="宋体" w:eastAsia="方正仿宋简体" w:cs="方正仿宋简体"/>
          <w:sz w:val="32"/>
          <w:szCs w:val="32"/>
        </w:rPr>
        <w:t>件，</w:t>
      </w:r>
      <w:r>
        <w:rPr>
          <w:rFonts w:hint="eastAsia" w:ascii="宋体" w:hAnsi="宋体" w:eastAsia="方正仿宋简体" w:cs="宋体"/>
          <w:snapToGrid w:val="0"/>
          <w:kern w:val="0"/>
          <w:sz w:val="32"/>
          <w:szCs w:val="32"/>
          <w:lang w:val="zh-CN"/>
        </w:rPr>
        <w:t>社会效果明显。</w:t>
      </w:r>
    </w:p>
    <w:p w14:paraId="04FB4027">
      <w:pPr>
        <w:numPr>
          <w:ilvl w:val="0"/>
          <w:numId w:val="1"/>
        </w:numPr>
        <w:ind w:firstLine="640" w:firstLineChars="200"/>
        <w:rPr>
          <w:rFonts w:hint="eastAsia" w:eastAsia="仿宋"/>
          <w:szCs w:val="32"/>
          <w:lang w:val="en-US" w:eastAsia="zh-CN"/>
        </w:rPr>
      </w:pPr>
      <w:r>
        <w:rPr>
          <w:rFonts w:hint="eastAsia" w:eastAsia="仿宋"/>
          <w:szCs w:val="32"/>
          <w:lang w:val="en-US" w:eastAsia="zh-CN"/>
        </w:rPr>
        <w:t>乡镇纪委执纪办案工作经费，金额99万元。</w:t>
      </w:r>
    </w:p>
    <w:p w14:paraId="1567E559">
      <w:pPr>
        <w:numPr>
          <w:ilvl w:val="0"/>
          <w:numId w:val="0"/>
        </w:numPr>
        <w:ind w:firstLine="640" w:firstLineChars="200"/>
        <w:rPr>
          <w:rFonts w:hint="default" w:eastAsia="仿宋"/>
          <w:szCs w:val="32"/>
          <w:lang w:val="en-US"/>
        </w:rPr>
      </w:pPr>
      <w:r>
        <w:rPr>
          <w:rFonts w:hint="eastAsia" w:ascii="仿宋_GB2312" w:hAnsi="仿宋_GB2312" w:eastAsia="仿宋_GB2312"/>
          <w:color w:val="333333"/>
          <w:kern w:val="0"/>
          <w:sz w:val="32"/>
          <w:szCs w:val="24"/>
          <w:lang w:val="en-US" w:eastAsia="zh-CN"/>
        </w:rPr>
        <w:t>该项目保障了乡镇纪委及两个街道办纪委的硬件建设及工作人员业务培训等软件建设。同时保障涉农案件审查调查工作的进行，进一步优化了村镇发展环境。今年主要工作是</w:t>
      </w:r>
      <w:r>
        <w:rPr>
          <w:rFonts w:hint="eastAsia" w:ascii="宋体" w:hAnsi="宋体" w:eastAsia="方正仿宋简体"/>
          <w:sz w:val="32"/>
          <w:szCs w:val="24"/>
        </w:rPr>
        <w:t>聚焦县乡村三级换届、巡视反馈意见整改、文明城复检、旅发大会筹备召开等阶段性重点工作，以及项目建设、营商环境、非煤矿山综合治理、</w:t>
      </w:r>
      <w:r>
        <w:rPr>
          <w:rFonts w:hint="eastAsia" w:ascii="宋体" w:hAnsi="宋体" w:eastAsia="方正仿宋简体" w:cs="方正楷体简体"/>
          <w:sz w:val="32"/>
          <w:szCs w:val="32"/>
        </w:rPr>
        <w:t>空气质量综合指数“退后三十”等关系长远的大事要事，</w:t>
      </w:r>
      <w:r>
        <w:rPr>
          <w:rFonts w:hint="eastAsia" w:ascii="宋体" w:hAnsi="宋体" w:eastAsia="方正仿宋简体"/>
          <w:sz w:val="32"/>
          <w:szCs w:val="24"/>
        </w:rPr>
        <w:t>分领域制定专项监督执纪问责方案，统筹本级、乡镇纪委、派驻纪检监察组“三方”力量，</w:t>
      </w:r>
      <w:r>
        <w:rPr>
          <w:rFonts w:hint="eastAsia" w:ascii="宋体" w:hAnsi="宋体" w:eastAsia="方正仿宋简体"/>
          <w:sz w:val="32"/>
          <w:szCs w:val="24"/>
          <w:lang w:val="en-US" w:eastAsia="zh-CN"/>
        </w:rPr>
        <w:t>通过开展</w:t>
      </w:r>
      <w:r>
        <w:rPr>
          <w:rFonts w:hint="eastAsia" w:ascii="宋体" w:hAnsi="宋体" w:eastAsia="方正仿宋简体"/>
          <w:sz w:val="32"/>
          <w:szCs w:val="24"/>
        </w:rPr>
        <w:t>实地监督，一线约谈责任单位主要领导</w:t>
      </w:r>
      <w:r>
        <w:rPr>
          <w:rFonts w:hint="eastAsia" w:ascii="宋体" w:hAnsi="宋体" w:eastAsia="方正仿宋简体"/>
          <w:sz w:val="32"/>
          <w:szCs w:val="24"/>
          <w:lang w:val="en-US" w:eastAsia="zh-CN"/>
        </w:rPr>
        <w:t>等</w:t>
      </w:r>
      <w:r>
        <w:rPr>
          <w:rFonts w:hint="eastAsia" w:ascii="宋体" w:hAnsi="宋体" w:eastAsia="方正仿宋简体"/>
          <w:sz w:val="32"/>
          <w:szCs w:val="24"/>
        </w:rPr>
        <w:t>，确保了全市上下令行禁止、政令畅通。</w:t>
      </w:r>
    </w:p>
    <w:p w14:paraId="09E23EB8">
      <w:pPr>
        <w:ind w:firstLine="640" w:firstLineChars="200"/>
        <w:rPr>
          <w:rFonts w:eastAsia="仿宋"/>
          <w:szCs w:val="32"/>
        </w:rPr>
      </w:pPr>
      <w:r>
        <w:rPr>
          <w:rFonts w:hint="eastAsia" w:eastAsia="仿宋"/>
          <w:szCs w:val="32"/>
        </w:rPr>
        <w:t>4、</w:t>
      </w:r>
      <w:r>
        <w:rPr>
          <w:rFonts w:hint="eastAsia" w:eastAsia="仿宋"/>
          <w:szCs w:val="32"/>
          <w:lang w:val="en-US" w:eastAsia="zh-CN"/>
        </w:rPr>
        <w:t>纪检招商工作经费，金额5万元。该项目用于保障我委日常工作的顺利开展，特别是用于优化我市营商环境等相关调研、案件查办、信访化解等工作。主要是</w:t>
      </w:r>
      <w:r>
        <w:rPr>
          <w:rFonts w:hint="eastAsia" w:ascii="宋体" w:hAnsi="宋体" w:eastAsia="方正仿宋简体"/>
          <w:sz w:val="32"/>
          <w:szCs w:val="32"/>
        </w:rPr>
        <w:t>聚焦群众关心关注、问题反映集中的行业、领域、部门，紧盯行政审批执法、干部作风纪律、涉民事项办理等方面重点，查纠履职不力、用权不严、为官不为、作风不实等突出问题</w:t>
      </w:r>
      <w:r>
        <w:rPr>
          <w:rFonts w:hint="eastAsia" w:ascii="宋体" w:hAnsi="宋体" w:eastAsia="方正仿宋简体" w:cs="仿宋"/>
          <w:bCs/>
          <w:sz w:val="32"/>
          <w:szCs w:val="32"/>
        </w:rPr>
        <w:t>。督促推动分管市级领导及属地乡镇、责任部门主动上手、合力攻坚，委领导班子成员带队，深入责任单位，直接约谈</w:t>
      </w:r>
      <w:r>
        <w:rPr>
          <w:rFonts w:hint="eastAsia" w:ascii="宋体" w:hAnsi="宋体" w:eastAsia="方正仿宋简体"/>
          <w:sz w:val="32"/>
          <w:szCs w:val="32"/>
        </w:rPr>
        <w:t>“一把手”，提出要求、传导压力，</w:t>
      </w:r>
      <w:r>
        <w:rPr>
          <w:rFonts w:hint="eastAsia" w:ascii="宋体" w:hAnsi="宋体" w:eastAsia="方正仿宋简体" w:cs="仿宋"/>
          <w:bCs/>
          <w:sz w:val="32"/>
          <w:szCs w:val="32"/>
        </w:rPr>
        <w:t>通过领办、督办、提级办理等方式，及时、深入、高效开展核查，确保查深查透、群众认可。</w:t>
      </w:r>
    </w:p>
    <w:p w14:paraId="46E8757A">
      <w:pPr>
        <w:ind w:firstLine="643" w:firstLineChars="200"/>
        <w:rPr>
          <w:rFonts w:eastAsia="黑体"/>
          <w:b/>
          <w:szCs w:val="32"/>
        </w:rPr>
      </w:pPr>
      <w:r>
        <w:rPr>
          <w:rFonts w:hint="eastAsia" w:eastAsia="黑体"/>
          <w:b/>
          <w:szCs w:val="32"/>
        </w:rPr>
        <w:t>五、存在的问题</w:t>
      </w:r>
    </w:p>
    <w:p w14:paraId="387E7F12">
      <w:pPr>
        <w:ind w:firstLine="640" w:firstLineChars="200"/>
        <w:rPr>
          <w:rFonts w:eastAsia="仿宋"/>
          <w:szCs w:val="32"/>
        </w:rPr>
      </w:pPr>
      <w:r>
        <w:rPr>
          <w:rFonts w:eastAsia="仿宋"/>
          <w:szCs w:val="32"/>
        </w:rPr>
        <w:t>1</w:t>
      </w:r>
      <w:r>
        <w:rPr>
          <w:rFonts w:hint="eastAsia" w:eastAsia="仿宋"/>
          <w:szCs w:val="32"/>
        </w:rPr>
        <w:t>、预算编制工作有待细化，</w:t>
      </w:r>
      <w:r>
        <w:rPr>
          <w:rFonts w:hint="eastAsia" w:eastAsia="仿宋"/>
          <w:szCs w:val="32"/>
          <w:lang w:val="en-US" w:eastAsia="zh-CN"/>
        </w:rPr>
        <w:t>年初预算准确性有待提高。</w:t>
      </w:r>
      <w:r>
        <w:rPr>
          <w:rFonts w:hint="eastAsia" w:eastAsia="仿宋"/>
          <w:szCs w:val="32"/>
        </w:rPr>
        <w:t>预算编制</w:t>
      </w:r>
      <w:r>
        <w:rPr>
          <w:rFonts w:hint="eastAsia" w:eastAsia="仿宋"/>
          <w:szCs w:val="32"/>
          <w:lang w:val="en-US" w:eastAsia="zh-CN"/>
        </w:rPr>
        <w:t>目标需进一步明确和</w:t>
      </w:r>
      <w:r>
        <w:rPr>
          <w:rFonts w:hint="eastAsia" w:eastAsia="仿宋"/>
          <w:szCs w:val="32"/>
        </w:rPr>
        <w:t>细化</w:t>
      </w:r>
      <w:r>
        <w:rPr>
          <w:rFonts w:hint="eastAsia" w:eastAsia="仿宋"/>
          <w:szCs w:val="32"/>
          <w:lang w:val="en-US" w:eastAsia="zh-CN"/>
        </w:rPr>
        <w:t>绩效目标</w:t>
      </w:r>
      <w:r>
        <w:rPr>
          <w:rFonts w:hint="eastAsia" w:eastAsia="仿宋"/>
          <w:szCs w:val="32"/>
        </w:rPr>
        <w:t>合理性需要提高，预算执行力度还要进一步加强。</w:t>
      </w:r>
    </w:p>
    <w:p w14:paraId="176589BD">
      <w:pPr>
        <w:ind w:firstLine="640" w:firstLineChars="200"/>
        <w:rPr>
          <w:rFonts w:eastAsia="仿宋"/>
          <w:szCs w:val="32"/>
        </w:rPr>
      </w:pPr>
      <w:r>
        <w:rPr>
          <w:rFonts w:eastAsia="仿宋"/>
          <w:szCs w:val="32"/>
        </w:rPr>
        <w:t>2</w:t>
      </w:r>
      <w:r>
        <w:rPr>
          <w:rFonts w:hint="eastAsia" w:eastAsia="仿宋"/>
          <w:szCs w:val="32"/>
        </w:rPr>
        <w:t>、加强财务管理，严格财务审核，健全财务管理制度，规范财务行为。</w:t>
      </w:r>
    </w:p>
    <w:p w14:paraId="2F94794A">
      <w:pPr>
        <w:ind w:firstLine="640" w:firstLineChars="200"/>
        <w:rPr>
          <w:rFonts w:eastAsia="仿宋"/>
          <w:szCs w:val="32"/>
        </w:rPr>
      </w:pPr>
      <w:r>
        <w:rPr>
          <w:rFonts w:eastAsia="仿宋"/>
          <w:szCs w:val="32"/>
        </w:rPr>
        <w:t>3</w:t>
      </w:r>
      <w:r>
        <w:rPr>
          <w:rFonts w:hint="eastAsia" w:eastAsia="仿宋"/>
          <w:szCs w:val="32"/>
        </w:rPr>
        <w:t>、完善资产管理，严格编制政府采购年初预算和计划，规范各类资产的购置审批制度、资产处置和报废审批制度，加强单位内部的资产管理工作。</w:t>
      </w:r>
    </w:p>
    <w:p w14:paraId="6E3ECAB1">
      <w:pPr>
        <w:ind w:firstLine="643" w:firstLineChars="200"/>
        <w:rPr>
          <w:rFonts w:eastAsia="黑体"/>
          <w:b/>
          <w:szCs w:val="32"/>
        </w:rPr>
      </w:pPr>
      <w:r>
        <w:rPr>
          <w:rFonts w:hint="eastAsia" w:eastAsia="黑体"/>
          <w:b/>
          <w:szCs w:val="32"/>
        </w:rPr>
        <w:t>六、相关建议</w:t>
      </w:r>
    </w:p>
    <w:p w14:paraId="4FBD6D0B">
      <w:pPr>
        <w:ind w:firstLine="640" w:firstLineChars="200"/>
        <w:rPr>
          <w:rFonts w:eastAsia="仿宋"/>
          <w:szCs w:val="32"/>
        </w:rPr>
      </w:pPr>
      <w:r>
        <w:rPr>
          <w:rFonts w:hint="eastAsia" w:eastAsia="仿宋"/>
          <w:szCs w:val="32"/>
        </w:rPr>
        <w:t>无相关建议</w:t>
      </w:r>
    </w:p>
    <w:p w14:paraId="424379A3">
      <w:pPr>
        <w:widowControl/>
        <w:jc w:val="left"/>
        <w:rPr>
          <w:rFonts w:eastAsia="仿宋"/>
          <w:szCs w:val="32"/>
        </w:rPr>
        <w:sectPr>
          <w:headerReference r:id="rId3" w:type="default"/>
          <w:footerReference r:id="rId4" w:type="default"/>
          <w:pgSz w:w="11906" w:h="16838"/>
          <w:pgMar w:top="2098" w:right="1588" w:bottom="1588" w:left="1588" w:header="851" w:footer="992" w:gutter="0"/>
          <w:cols w:space="720" w:num="1"/>
          <w:docGrid w:type="lines" w:linePitch="312" w:charSpace="0"/>
        </w:sectPr>
      </w:pPr>
    </w:p>
    <w:tbl>
      <w:tblPr>
        <w:tblStyle w:val="4"/>
        <w:tblW w:w="5000" w:type="pct"/>
        <w:tblInd w:w="-601" w:type="dxa"/>
        <w:tblLayout w:type="fixed"/>
        <w:tblCellMar>
          <w:top w:w="0" w:type="dxa"/>
          <w:left w:w="108" w:type="dxa"/>
          <w:bottom w:w="0" w:type="dxa"/>
          <w:right w:w="108" w:type="dxa"/>
        </w:tblCellMar>
      </w:tblPr>
      <w:tblGrid>
        <w:gridCol w:w="603"/>
        <w:gridCol w:w="2213"/>
        <w:gridCol w:w="2255"/>
        <w:gridCol w:w="885"/>
        <w:gridCol w:w="1036"/>
        <w:gridCol w:w="6436"/>
        <w:gridCol w:w="746"/>
      </w:tblGrid>
      <w:tr w14:paraId="0558DDE9">
        <w:tblPrEx>
          <w:tblCellMar>
            <w:top w:w="0" w:type="dxa"/>
            <w:left w:w="108" w:type="dxa"/>
            <w:bottom w:w="0" w:type="dxa"/>
            <w:right w:w="108" w:type="dxa"/>
          </w:tblCellMar>
        </w:tblPrEx>
        <w:trPr>
          <w:trHeight w:val="467" w:hRule="atLeast"/>
        </w:trPr>
        <w:tc>
          <w:tcPr>
            <w:tcW w:w="5000" w:type="pct"/>
            <w:gridSpan w:val="7"/>
            <w:vAlign w:val="center"/>
          </w:tcPr>
          <w:p w14:paraId="2D258C4F">
            <w:pPr>
              <w:widowControl/>
              <w:jc w:val="left"/>
              <w:rPr>
                <w:rFonts w:ascii="等线" w:hAnsi="宋体" w:eastAsia="等线" w:cs="宋体"/>
                <w:color w:val="000000"/>
                <w:kern w:val="0"/>
                <w:szCs w:val="32"/>
              </w:rPr>
            </w:pPr>
            <w:r>
              <w:rPr>
                <w:rFonts w:hint="eastAsia" w:ascii="等线" w:hAnsi="宋体" w:eastAsia="等线" w:cs="宋体"/>
                <w:color w:val="000000"/>
                <w:kern w:val="0"/>
                <w:szCs w:val="32"/>
              </w:rPr>
              <w:t>附件：2</w:t>
            </w:r>
          </w:p>
          <w:p w14:paraId="7D1B55EC">
            <w:pPr>
              <w:widowControl/>
              <w:jc w:val="center"/>
              <w:rPr>
                <w:rFonts w:ascii="等线" w:hAnsi="宋体" w:eastAsia="等线" w:cs="宋体"/>
                <w:color w:val="000000"/>
                <w:kern w:val="0"/>
                <w:szCs w:val="32"/>
              </w:rPr>
            </w:pPr>
            <w:r>
              <w:rPr>
                <w:rFonts w:hint="eastAsia" w:ascii="等线" w:hAnsi="宋体" w:eastAsia="等线" w:cs="宋体"/>
                <w:color w:val="000000"/>
                <w:kern w:val="0"/>
                <w:szCs w:val="32"/>
              </w:rPr>
              <w:t xml:space="preserve">2021年绩效评价信息汇总表                                                                                         </w:t>
            </w:r>
          </w:p>
        </w:tc>
      </w:tr>
      <w:tr w14:paraId="389298E5">
        <w:tblPrEx>
          <w:tblCellMar>
            <w:top w:w="0" w:type="dxa"/>
            <w:left w:w="108" w:type="dxa"/>
            <w:bottom w:w="0" w:type="dxa"/>
            <w:right w:w="108" w:type="dxa"/>
          </w:tblCellMar>
        </w:tblPrEx>
        <w:trPr>
          <w:trHeight w:val="307" w:hRule="atLeast"/>
        </w:trPr>
        <w:tc>
          <w:tcPr>
            <w:tcW w:w="5000" w:type="pct"/>
            <w:gridSpan w:val="7"/>
            <w:noWrap/>
            <w:vAlign w:val="center"/>
          </w:tcPr>
          <w:p w14:paraId="4329B557">
            <w:pPr>
              <w:widowControl/>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 xml:space="preserve">  注：含一般公共预算和政府基金项目                                                 单位：万元</w:t>
            </w:r>
          </w:p>
        </w:tc>
      </w:tr>
      <w:tr w14:paraId="250D9FC7">
        <w:tblPrEx>
          <w:tblCellMar>
            <w:top w:w="0" w:type="dxa"/>
            <w:left w:w="108" w:type="dxa"/>
            <w:bottom w:w="0" w:type="dxa"/>
            <w:right w:w="108" w:type="dxa"/>
          </w:tblCellMar>
        </w:tblPrEx>
        <w:trPr>
          <w:trHeight w:val="1266" w:hRule="atLeast"/>
        </w:trPr>
        <w:tc>
          <w:tcPr>
            <w:tcW w:w="212" w:type="pct"/>
            <w:tcBorders>
              <w:top w:val="single" w:color="auto" w:sz="4" w:space="0"/>
              <w:left w:val="single" w:color="auto" w:sz="4" w:space="0"/>
              <w:bottom w:val="single" w:color="auto" w:sz="4" w:space="0"/>
              <w:right w:val="single" w:color="auto" w:sz="4" w:space="0"/>
            </w:tcBorders>
            <w:noWrap/>
            <w:vAlign w:val="center"/>
          </w:tcPr>
          <w:p w14:paraId="6775193C">
            <w:pPr>
              <w:widowControl/>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序号</w:t>
            </w:r>
          </w:p>
        </w:tc>
        <w:tc>
          <w:tcPr>
            <w:tcW w:w="780" w:type="pct"/>
            <w:tcBorders>
              <w:top w:val="single" w:color="auto" w:sz="4" w:space="0"/>
              <w:left w:val="nil"/>
              <w:bottom w:val="single" w:color="auto" w:sz="4" w:space="0"/>
              <w:right w:val="single" w:color="auto" w:sz="4" w:space="0"/>
            </w:tcBorders>
            <w:noWrap/>
            <w:vAlign w:val="center"/>
          </w:tcPr>
          <w:p w14:paraId="66A65307">
            <w:pPr>
              <w:widowControl/>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单位名称</w:t>
            </w:r>
          </w:p>
        </w:tc>
        <w:tc>
          <w:tcPr>
            <w:tcW w:w="795" w:type="pct"/>
            <w:tcBorders>
              <w:top w:val="single" w:color="auto" w:sz="4" w:space="0"/>
              <w:left w:val="nil"/>
              <w:bottom w:val="single" w:color="auto" w:sz="4" w:space="0"/>
              <w:right w:val="single" w:color="auto" w:sz="4" w:space="0"/>
            </w:tcBorders>
            <w:noWrap/>
            <w:vAlign w:val="center"/>
          </w:tcPr>
          <w:p w14:paraId="1055F762">
            <w:pPr>
              <w:widowControl/>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项目名称</w:t>
            </w:r>
          </w:p>
        </w:tc>
        <w:tc>
          <w:tcPr>
            <w:tcW w:w="312" w:type="pct"/>
            <w:tcBorders>
              <w:top w:val="single" w:color="auto" w:sz="4" w:space="0"/>
              <w:left w:val="nil"/>
              <w:bottom w:val="single" w:color="auto" w:sz="4" w:space="0"/>
              <w:right w:val="single" w:color="auto" w:sz="4" w:space="0"/>
            </w:tcBorders>
            <w:vAlign w:val="center"/>
          </w:tcPr>
          <w:p w14:paraId="149E2918">
            <w:pPr>
              <w:widowControl/>
              <w:spacing w:line="240" w:lineRule="atLeast"/>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预算数（含调整数）</w:t>
            </w:r>
          </w:p>
        </w:tc>
        <w:tc>
          <w:tcPr>
            <w:tcW w:w="365" w:type="pct"/>
            <w:tcBorders>
              <w:top w:val="single" w:color="auto" w:sz="4" w:space="0"/>
              <w:left w:val="nil"/>
              <w:bottom w:val="single" w:color="auto" w:sz="4" w:space="0"/>
              <w:right w:val="single" w:color="auto" w:sz="4" w:space="0"/>
            </w:tcBorders>
            <w:vAlign w:val="center"/>
          </w:tcPr>
          <w:p w14:paraId="0F7C687E">
            <w:pPr>
              <w:widowControl/>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自评决算数</w:t>
            </w:r>
          </w:p>
        </w:tc>
        <w:tc>
          <w:tcPr>
            <w:tcW w:w="2270" w:type="pct"/>
            <w:tcBorders>
              <w:top w:val="single" w:color="auto" w:sz="4" w:space="0"/>
              <w:left w:val="nil"/>
              <w:bottom w:val="single" w:color="auto" w:sz="4" w:space="0"/>
              <w:right w:val="single" w:color="auto" w:sz="4" w:space="0"/>
            </w:tcBorders>
            <w:noWrap/>
            <w:vAlign w:val="center"/>
          </w:tcPr>
          <w:p w14:paraId="6B0BCDB9">
            <w:pPr>
              <w:widowControl/>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自评结论</w:t>
            </w:r>
          </w:p>
        </w:tc>
        <w:tc>
          <w:tcPr>
            <w:tcW w:w="263" w:type="pct"/>
            <w:tcBorders>
              <w:top w:val="single" w:color="auto" w:sz="4" w:space="0"/>
              <w:left w:val="nil"/>
              <w:bottom w:val="single" w:color="auto" w:sz="4" w:space="0"/>
              <w:right w:val="single" w:color="auto" w:sz="4" w:space="0"/>
            </w:tcBorders>
            <w:noWrap/>
            <w:vAlign w:val="center"/>
          </w:tcPr>
          <w:p w14:paraId="0CA998BE">
            <w:pPr>
              <w:widowControl/>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备注</w:t>
            </w:r>
          </w:p>
        </w:tc>
      </w:tr>
      <w:tr w14:paraId="36979335">
        <w:tblPrEx>
          <w:tblCellMar>
            <w:top w:w="0" w:type="dxa"/>
            <w:left w:w="108" w:type="dxa"/>
            <w:bottom w:w="0" w:type="dxa"/>
            <w:right w:w="108" w:type="dxa"/>
          </w:tblCellMar>
        </w:tblPrEx>
        <w:trPr>
          <w:trHeight w:val="461" w:hRule="atLeast"/>
        </w:trPr>
        <w:tc>
          <w:tcPr>
            <w:tcW w:w="1788" w:type="pct"/>
            <w:gridSpan w:val="3"/>
            <w:tcBorders>
              <w:top w:val="single" w:color="auto" w:sz="4" w:space="0"/>
              <w:left w:val="single" w:color="auto" w:sz="4" w:space="0"/>
              <w:bottom w:val="single" w:color="auto" w:sz="4" w:space="0"/>
              <w:right w:val="single" w:color="auto" w:sz="4" w:space="0"/>
            </w:tcBorders>
            <w:noWrap/>
            <w:vAlign w:val="center"/>
          </w:tcPr>
          <w:p w14:paraId="14F12A3C">
            <w:pPr>
              <w:widowControl/>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合计</w:t>
            </w:r>
          </w:p>
        </w:tc>
        <w:tc>
          <w:tcPr>
            <w:tcW w:w="312" w:type="pct"/>
            <w:tcBorders>
              <w:top w:val="nil"/>
              <w:left w:val="nil"/>
              <w:bottom w:val="single" w:color="auto" w:sz="4" w:space="0"/>
              <w:right w:val="single" w:color="auto" w:sz="4" w:space="0"/>
            </w:tcBorders>
            <w:noWrap/>
            <w:vAlign w:val="center"/>
          </w:tcPr>
          <w:p w14:paraId="0BFE4851">
            <w:pPr>
              <w:widowControl/>
              <w:jc w:val="center"/>
              <w:rPr>
                <w:rFonts w:hint="default" w:cs="宋体" w:asciiTheme="majorEastAsia" w:hAnsiTheme="majorEastAsia" w:eastAsiaTheme="majorEastAsia"/>
                <w:color w:val="000000"/>
                <w:kern w:val="0"/>
                <w:sz w:val="24"/>
                <w:lang w:val="en-US" w:eastAsia="zh-CN"/>
              </w:rPr>
            </w:pPr>
            <w:r>
              <w:rPr>
                <w:rFonts w:hint="eastAsia" w:cs="宋体" w:asciiTheme="majorEastAsia" w:hAnsiTheme="majorEastAsia" w:eastAsiaTheme="majorEastAsia"/>
                <w:color w:val="000000"/>
                <w:kern w:val="0"/>
                <w:sz w:val="24"/>
                <w:lang w:val="en-US" w:eastAsia="zh-CN"/>
              </w:rPr>
              <w:t>244</w:t>
            </w:r>
          </w:p>
        </w:tc>
        <w:tc>
          <w:tcPr>
            <w:tcW w:w="365" w:type="pct"/>
            <w:tcBorders>
              <w:top w:val="nil"/>
              <w:left w:val="nil"/>
              <w:bottom w:val="single" w:color="auto" w:sz="4" w:space="0"/>
              <w:right w:val="single" w:color="auto" w:sz="4" w:space="0"/>
            </w:tcBorders>
            <w:noWrap/>
            <w:vAlign w:val="center"/>
          </w:tcPr>
          <w:p w14:paraId="67DDE980">
            <w:pPr>
              <w:widowControl/>
              <w:jc w:val="center"/>
              <w:rPr>
                <w:rFonts w:hint="default" w:cs="宋体" w:asciiTheme="majorEastAsia" w:hAnsiTheme="majorEastAsia" w:eastAsiaTheme="majorEastAsia"/>
                <w:color w:val="000000"/>
                <w:kern w:val="0"/>
                <w:sz w:val="24"/>
                <w:lang w:val="en-US" w:eastAsia="zh-CN"/>
              </w:rPr>
            </w:pPr>
            <w:r>
              <w:rPr>
                <w:rFonts w:hint="eastAsia" w:cs="宋体" w:asciiTheme="majorEastAsia" w:hAnsiTheme="majorEastAsia" w:eastAsiaTheme="majorEastAsia"/>
                <w:color w:val="000000"/>
                <w:kern w:val="0"/>
                <w:sz w:val="24"/>
                <w:lang w:val="en-US" w:eastAsia="zh-CN"/>
              </w:rPr>
              <w:t>455.07</w:t>
            </w:r>
          </w:p>
        </w:tc>
        <w:tc>
          <w:tcPr>
            <w:tcW w:w="2270" w:type="pct"/>
            <w:tcBorders>
              <w:top w:val="nil"/>
              <w:left w:val="nil"/>
              <w:bottom w:val="single" w:color="auto" w:sz="4" w:space="0"/>
              <w:right w:val="single" w:color="auto" w:sz="4" w:space="0"/>
            </w:tcBorders>
            <w:noWrap/>
            <w:vAlign w:val="center"/>
          </w:tcPr>
          <w:p w14:paraId="4A706187">
            <w:pPr>
              <w:widowControl/>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　</w:t>
            </w:r>
          </w:p>
        </w:tc>
        <w:tc>
          <w:tcPr>
            <w:tcW w:w="263" w:type="pct"/>
            <w:tcBorders>
              <w:top w:val="nil"/>
              <w:left w:val="nil"/>
              <w:bottom w:val="single" w:color="auto" w:sz="4" w:space="0"/>
              <w:right w:val="single" w:color="auto" w:sz="4" w:space="0"/>
            </w:tcBorders>
            <w:noWrap/>
            <w:vAlign w:val="bottom"/>
          </w:tcPr>
          <w:p w14:paraId="4F4FF2B4">
            <w:pPr>
              <w:widowControl/>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　</w:t>
            </w:r>
          </w:p>
        </w:tc>
      </w:tr>
      <w:tr w14:paraId="03DCD631">
        <w:tblPrEx>
          <w:tblCellMar>
            <w:top w:w="0" w:type="dxa"/>
            <w:left w:w="108" w:type="dxa"/>
            <w:bottom w:w="0" w:type="dxa"/>
            <w:right w:w="108" w:type="dxa"/>
          </w:tblCellMar>
        </w:tblPrEx>
        <w:trPr>
          <w:trHeight w:val="963" w:hRule="atLeast"/>
        </w:trPr>
        <w:tc>
          <w:tcPr>
            <w:tcW w:w="212" w:type="pct"/>
            <w:tcBorders>
              <w:top w:val="nil"/>
              <w:left w:val="single" w:color="auto" w:sz="4" w:space="0"/>
              <w:bottom w:val="single" w:color="auto" w:sz="4" w:space="0"/>
              <w:right w:val="single" w:color="auto" w:sz="4" w:space="0"/>
            </w:tcBorders>
            <w:noWrap/>
            <w:vAlign w:val="center"/>
          </w:tcPr>
          <w:p w14:paraId="595342D3">
            <w:pPr>
              <w:widowControl/>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1</w:t>
            </w:r>
          </w:p>
        </w:tc>
        <w:tc>
          <w:tcPr>
            <w:tcW w:w="780" w:type="pct"/>
            <w:tcBorders>
              <w:top w:val="nil"/>
              <w:left w:val="nil"/>
              <w:bottom w:val="single" w:color="auto" w:sz="4" w:space="0"/>
              <w:right w:val="single" w:color="auto" w:sz="4" w:space="0"/>
            </w:tcBorders>
            <w:noWrap/>
            <w:vAlign w:val="center"/>
          </w:tcPr>
          <w:p w14:paraId="76CE2BC5">
            <w:pPr>
              <w:widowControl/>
              <w:jc w:val="center"/>
              <w:rPr>
                <w:rFonts w:hint="default" w:eastAsia="仿宋"/>
                <w:sz w:val="24"/>
                <w:szCs w:val="32"/>
                <w:lang w:val="en-US" w:eastAsia="zh-CN"/>
              </w:rPr>
            </w:pPr>
            <w:r>
              <w:rPr>
                <w:rFonts w:hint="eastAsia" w:eastAsia="仿宋"/>
                <w:sz w:val="24"/>
                <w:szCs w:val="32"/>
                <w:lang w:val="en-US" w:eastAsia="zh-CN"/>
              </w:rPr>
              <w:t>中国共产党遵化市纪律检查委员会</w:t>
            </w:r>
          </w:p>
        </w:tc>
        <w:tc>
          <w:tcPr>
            <w:tcW w:w="795" w:type="pct"/>
            <w:tcBorders>
              <w:top w:val="nil"/>
              <w:left w:val="nil"/>
              <w:bottom w:val="single" w:color="auto" w:sz="4" w:space="0"/>
              <w:right w:val="single" w:color="auto" w:sz="4" w:space="0"/>
            </w:tcBorders>
            <w:shd w:val="clear" w:color="auto" w:fill="FFFFFF"/>
            <w:vAlign w:val="center"/>
          </w:tcPr>
          <w:p w14:paraId="5AFB07AD">
            <w:pPr>
              <w:widowControl/>
              <w:jc w:val="center"/>
              <w:rPr>
                <w:rFonts w:hint="default" w:eastAsia="仿宋"/>
                <w:sz w:val="24"/>
                <w:szCs w:val="32"/>
                <w:lang w:val="en-US" w:eastAsia="zh-CN"/>
              </w:rPr>
            </w:pPr>
            <w:r>
              <w:rPr>
                <w:rFonts w:hint="eastAsia" w:eastAsia="仿宋"/>
                <w:sz w:val="24"/>
                <w:szCs w:val="32"/>
                <w:lang w:val="en-US" w:eastAsia="zh-CN"/>
              </w:rPr>
              <w:t>党风廉政建设及监督检查工作经费</w:t>
            </w:r>
          </w:p>
        </w:tc>
        <w:tc>
          <w:tcPr>
            <w:tcW w:w="312" w:type="pct"/>
            <w:tcBorders>
              <w:top w:val="nil"/>
              <w:left w:val="nil"/>
              <w:bottom w:val="single" w:color="auto" w:sz="4" w:space="0"/>
              <w:right w:val="single" w:color="auto" w:sz="4" w:space="0"/>
            </w:tcBorders>
            <w:noWrap/>
            <w:vAlign w:val="center"/>
          </w:tcPr>
          <w:p w14:paraId="6CA084D2">
            <w:pPr>
              <w:widowControl/>
              <w:jc w:val="center"/>
              <w:rPr>
                <w:rFonts w:hint="default" w:eastAsia="仿宋"/>
                <w:sz w:val="24"/>
                <w:szCs w:val="32"/>
                <w:lang w:val="en-US" w:eastAsia="zh-CN"/>
              </w:rPr>
            </w:pPr>
            <w:r>
              <w:rPr>
                <w:rFonts w:hint="eastAsia" w:eastAsia="仿宋"/>
                <w:sz w:val="24"/>
                <w:szCs w:val="32"/>
                <w:lang w:val="en-US" w:eastAsia="zh-CN"/>
              </w:rPr>
              <w:t>30</w:t>
            </w:r>
          </w:p>
        </w:tc>
        <w:tc>
          <w:tcPr>
            <w:tcW w:w="365" w:type="pct"/>
            <w:tcBorders>
              <w:top w:val="nil"/>
              <w:left w:val="nil"/>
              <w:bottom w:val="single" w:color="auto" w:sz="4" w:space="0"/>
              <w:right w:val="single" w:color="auto" w:sz="4" w:space="0"/>
            </w:tcBorders>
            <w:shd w:val="clear" w:color="auto" w:fill="FFFFFF"/>
            <w:vAlign w:val="center"/>
          </w:tcPr>
          <w:p w14:paraId="748B0F87">
            <w:pPr>
              <w:widowControl/>
              <w:jc w:val="center"/>
              <w:rPr>
                <w:rFonts w:hint="default" w:eastAsia="仿宋"/>
                <w:sz w:val="24"/>
                <w:szCs w:val="32"/>
                <w:lang w:val="en-US" w:eastAsia="zh-CN"/>
              </w:rPr>
            </w:pPr>
            <w:r>
              <w:rPr>
                <w:rFonts w:hint="eastAsia" w:eastAsia="仿宋"/>
                <w:sz w:val="24"/>
                <w:szCs w:val="32"/>
                <w:lang w:val="en-US" w:eastAsia="zh-CN"/>
              </w:rPr>
              <w:t>21.96</w:t>
            </w:r>
          </w:p>
        </w:tc>
        <w:tc>
          <w:tcPr>
            <w:tcW w:w="2270" w:type="pct"/>
            <w:tcBorders>
              <w:top w:val="nil"/>
              <w:left w:val="nil"/>
              <w:bottom w:val="single" w:color="auto" w:sz="4" w:space="0"/>
              <w:right w:val="single" w:color="auto" w:sz="4" w:space="0"/>
            </w:tcBorders>
            <w:noWrap/>
            <w:vAlign w:val="center"/>
          </w:tcPr>
          <w:p w14:paraId="06206DC9">
            <w:pPr>
              <w:widowControl/>
              <w:spacing w:line="280" w:lineRule="exact"/>
              <w:jc w:val="left"/>
              <w:rPr>
                <w:rFonts w:eastAsia="仿宋"/>
                <w:sz w:val="24"/>
                <w:szCs w:val="32"/>
              </w:rPr>
            </w:pPr>
            <w:r>
              <w:rPr>
                <w:rFonts w:hint="eastAsia" w:eastAsia="仿宋"/>
                <w:sz w:val="24"/>
                <w:szCs w:val="32"/>
                <w:lang w:val="en-US" w:eastAsia="zh-CN"/>
              </w:rPr>
              <w:t>保障我委</w:t>
            </w:r>
            <w:r>
              <w:rPr>
                <w:rFonts w:hint="eastAsia" w:eastAsia="仿宋"/>
                <w:sz w:val="24"/>
                <w:szCs w:val="32"/>
              </w:rPr>
              <w:t>坚定履行巡视整改日常监督职责，圆满完成省委</w:t>
            </w:r>
            <w:r>
              <w:rPr>
                <w:rFonts w:hint="eastAsia" w:eastAsia="仿宋"/>
                <w:sz w:val="24"/>
                <w:szCs w:val="32"/>
                <w:lang w:val="en-US" w:eastAsia="zh-CN"/>
              </w:rPr>
              <w:t>市委各项任务</w:t>
            </w:r>
            <w:r>
              <w:rPr>
                <w:rFonts w:hint="eastAsia" w:eastAsia="仿宋"/>
                <w:sz w:val="24"/>
                <w:szCs w:val="32"/>
              </w:rPr>
              <w:t>。</w:t>
            </w:r>
          </w:p>
        </w:tc>
        <w:tc>
          <w:tcPr>
            <w:tcW w:w="263" w:type="pct"/>
            <w:tcBorders>
              <w:top w:val="nil"/>
              <w:left w:val="nil"/>
              <w:bottom w:val="single" w:color="auto" w:sz="4" w:space="0"/>
              <w:right w:val="single" w:color="auto" w:sz="4" w:space="0"/>
            </w:tcBorders>
            <w:noWrap/>
            <w:vAlign w:val="bottom"/>
          </w:tcPr>
          <w:p w14:paraId="4128A1EE">
            <w:pPr>
              <w:widowControl/>
              <w:jc w:val="left"/>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　</w:t>
            </w:r>
          </w:p>
        </w:tc>
      </w:tr>
      <w:tr w14:paraId="37F0E603">
        <w:tblPrEx>
          <w:tblCellMar>
            <w:top w:w="0" w:type="dxa"/>
            <w:left w:w="108" w:type="dxa"/>
            <w:bottom w:w="0" w:type="dxa"/>
            <w:right w:w="108" w:type="dxa"/>
          </w:tblCellMar>
        </w:tblPrEx>
        <w:trPr>
          <w:trHeight w:val="1111" w:hRule="atLeast"/>
        </w:trPr>
        <w:tc>
          <w:tcPr>
            <w:tcW w:w="212" w:type="pct"/>
            <w:tcBorders>
              <w:top w:val="nil"/>
              <w:left w:val="single" w:color="auto" w:sz="4" w:space="0"/>
              <w:bottom w:val="single" w:color="auto" w:sz="4" w:space="0"/>
              <w:right w:val="single" w:color="auto" w:sz="4" w:space="0"/>
            </w:tcBorders>
            <w:noWrap/>
            <w:vAlign w:val="center"/>
          </w:tcPr>
          <w:p w14:paraId="682D582F">
            <w:pPr>
              <w:widowControl/>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2</w:t>
            </w:r>
          </w:p>
        </w:tc>
        <w:tc>
          <w:tcPr>
            <w:tcW w:w="780" w:type="pct"/>
            <w:tcBorders>
              <w:top w:val="nil"/>
              <w:left w:val="nil"/>
              <w:bottom w:val="single" w:color="auto" w:sz="4" w:space="0"/>
              <w:right w:val="single" w:color="auto" w:sz="4" w:space="0"/>
            </w:tcBorders>
            <w:noWrap/>
            <w:vAlign w:val="center"/>
          </w:tcPr>
          <w:p w14:paraId="052706B6">
            <w:pPr>
              <w:jc w:val="center"/>
              <w:rPr>
                <w:rFonts w:eastAsia="仿宋"/>
                <w:sz w:val="24"/>
                <w:szCs w:val="32"/>
              </w:rPr>
            </w:pPr>
            <w:r>
              <w:rPr>
                <w:rFonts w:hint="eastAsia" w:eastAsia="仿宋"/>
                <w:sz w:val="24"/>
                <w:szCs w:val="32"/>
                <w:lang w:val="en-US" w:eastAsia="zh-CN"/>
              </w:rPr>
              <w:t>中国共产党遵化市纪律检查委员会</w:t>
            </w:r>
          </w:p>
        </w:tc>
        <w:tc>
          <w:tcPr>
            <w:tcW w:w="795" w:type="pct"/>
            <w:tcBorders>
              <w:top w:val="nil"/>
              <w:left w:val="nil"/>
              <w:bottom w:val="single" w:color="auto" w:sz="4" w:space="0"/>
              <w:right w:val="single" w:color="auto" w:sz="4" w:space="0"/>
            </w:tcBorders>
            <w:shd w:val="clear" w:color="auto" w:fill="FFFFFF"/>
            <w:vAlign w:val="center"/>
          </w:tcPr>
          <w:p w14:paraId="4DD95591">
            <w:pPr>
              <w:widowControl/>
              <w:jc w:val="center"/>
              <w:rPr>
                <w:rFonts w:hint="eastAsia" w:eastAsia="仿宋"/>
                <w:sz w:val="24"/>
                <w:szCs w:val="32"/>
                <w:lang w:val="en-US" w:eastAsia="zh-CN"/>
              </w:rPr>
            </w:pPr>
            <w:r>
              <w:rPr>
                <w:rFonts w:hint="eastAsia" w:eastAsia="仿宋"/>
                <w:sz w:val="24"/>
                <w:szCs w:val="32"/>
                <w:lang w:val="en-US" w:eastAsia="zh-CN"/>
              </w:rPr>
              <w:t>留置工作经费</w:t>
            </w:r>
          </w:p>
        </w:tc>
        <w:tc>
          <w:tcPr>
            <w:tcW w:w="312" w:type="pct"/>
            <w:tcBorders>
              <w:top w:val="nil"/>
              <w:left w:val="nil"/>
              <w:bottom w:val="single" w:color="auto" w:sz="4" w:space="0"/>
              <w:right w:val="single" w:color="auto" w:sz="4" w:space="0"/>
            </w:tcBorders>
            <w:noWrap/>
            <w:vAlign w:val="center"/>
          </w:tcPr>
          <w:p w14:paraId="35BB1279">
            <w:pPr>
              <w:widowControl/>
              <w:jc w:val="center"/>
              <w:rPr>
                <w:rFonts w:hint="default" w:eastAsia="仿宋"/>
                <w:sz w:val="24"/>
                <w:szCs w:val="32"/>
                <w:lang w:val="en-US" w:eastAsia="zh-CN"/>
              </w:rPr>
            </w:pPr>
            <w:r>
              <w:rPr>
                <w:rFonts w:hint="eastAsia" w:eastAsia="仿宋"/>
                <w:sz w:val="24"/>
                <w:szCs w:val="32"/>
                <w:lang w:val="en-US" w:eastAsia="zh-CN"/>
              </w:rPr>
              <w:t>77</w:t>
            </w:r>
          </w:p>
        </w:tc>
        <w:tc>
          <w:tcPr>
            <w:tcW w:w="365" w:type="pct"/>
            <w:tcBorders>
              <w:top w:val="nil"/>
              <w:left w:val="nil"/>
              <w:bottom w:val="single" w:color="auto" w:sz="4" w:space="0"/>
              <w:right w:val="single" w:color="auto" w:sz="4" w:space="0"/>
            </w:tcBorders>
            <w:shd w:val="clear" w:color="auto" w:fill="FFFFFF"/>
            <w:vAlign w:val="center"/>
          </w:tcPr>
          <w:p w14:paraId="6AA67E65">
            <w:pPr>
              <w:widowControl/>
              <w:jc w:val="center"/>
              <w:rPr>
                <w:rFonts w:hint="default" w:eastAsia="仿宋"/>
                <w:sz w:val="24"/>
                <w:szCs w:val="32"/>
                <w:lang w:val="en-US" w:eastAsia="zh-CN"/>
              </w:rPr>
            </w:pPr>
            <w:r>
              <w:rPr>
                <w:rFonts w:hint="eastAsia" w:eastAsia="仿宋"/>
                <w:sz w:val="24"/>
                <w:szCs w:val="32"/>
                <w:lang w:val="en-US" w:eastAsia="zh-CN"/>
              </w:rPr>
              <w:t>329.11</w:t>
            </w:r>
          </w:p>
        </w:tc>
        <w:tc>
          <w:tcPr>
            <w:tcW w:w="2270" w:type="pct"/>
            <w:tcBorders>
              <w:top w:val="single" w:color="auto" w:sz="4" w:space="0"/>
              <w:left w:val="nil"/>
              <w:bottom w:val="single" w:color="auto" w:sz="4" w:space="0"/>
              <w:right w:val="single" w:color="auto" w:sz="4" w:space="0"/>
            </w:tcBorders>
            <w:vAlign w:val="center"/>
          </w:tcPr>
          <w:p w14:paraId="726F480D">
            <w:pPr>
              <w:widowControl/>
              <w:spacing w:line="280" w:lineRule="exact"/>
              <w:jc w:val="left"/>
              <w:rPr>
                <w:rFonts w:eastAsia="仿宋"/>
                <w:sz w:val="24"/>
                <w:szCs w:val="32"/>
              </w:rPr>
            </w:pPr>
            <w:r>
              <w:rPr>
                <w:rFonts w:hint="eastAsia" w:eastAsia="仿宋"/>
                <w:sz w:val="24"/>
                <w:szCs w:val="32"/>
                <w:lang w:val="en-US" w:eastAsia="zh-CN"/>
              </w:rPr>
              <w:t>保障了案件审查调查工作的顺利开展，对我市反腐败工作起到了强有力的推进作用。</w:t>
            </w:r>
          </w:p>
        </w:tc>
        <w:tc>
          <w:tcPr>
            <w:tcW w:w="263" w:type="pct"/>
            <w:tcBorders>
              <w:top w:val="nil"/>
              <w:left w:val="nil"/>
              <w:bottom w:val="single" w:color="auto" w:sz="4" w:space="0"/>
              <w:right w:val="single" w:color="auto" w:sz="4" w:space="0"/>
            </w:tcBorders>
            <w:noWrap/>
            <w:vAlign w:val="bottom"/>
          </w:tcPr>
          <w:p w14:paraId="551935BF">
            <w:pPr>
              <w:widowControl/>
              <w:jc w:val="left"/>
              <w:rPr>
                <w:rFonts w:cs="宋体" w:asciiTheme="majorEastAsia" w:hAnsiTheme="majorEastAsia" w:eastAsiaTheme="majorEastAsia"/>
                <w:color w:val="000000"/>
                <w:kern w:val="0"/>
                <w:sz w:val="24"/>
              </w:rPr>
            </w:pPr>
          </w:p>
        </w:tc>
      </w:tr>
      <w:tr w14:paraId="2DC71DC9">
        <w:tblPrEx>
          <w:tblCellMar>
            <w:top w:w="0" w:type="dxa"/>
            <w:left w:w="108" w:type="dxa"/>
            <w:bottom w:w="0" w:type="dxa"/>
            <w:right w:w="108" w:type="dxa"/>
          </w:tblCellMar>
        </w:tblPrEx>
        <w:trPr>
          <w:trHeight w:val="555" w:hRule="atLeast"/>
        </w:trPr>
        <w:tc>
          <w:tcPr>
            <w:tcW w:w="212" w:type="pct"/>
            <w:tcBorders>
              <w:top w:val="nil"/>
              <w:left w:val="single" w:color="auto" w:sz="4" w:space="0"/>
              <w:bottom w:val="single" w:color="auto" w:sz="4" w:space="0"/>
              <w:right w:val="single" w:color="auto" w:sz="4" w:space="0"/>
            </w:tcBorders>
            <w:noWrap/>
            <w:vAlign w:val="center"/>
          </w:tcPr>
          <w:p w14:paraId="7B0C73D5">
            <w:pPr>
              <w:widowControl/>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3</w:t>
            </w:r>
          </w:p>
        </w:tc>
        <w:tc>
          <w:tcPr>
            <w:tcW w:w="780" w:type="pct"/>
            <w:tcBorders>
              <w:top w:val="nil"/>
              <w:left w:val="nil"/>
              <w:bottom w:val="single" w:color="auto" w:sz="4" w:space="0"/>
              <w:right w:val="single" w:color="auto" w:sz="4" w:space="0"/>
            </w:tcBorders>
            <w:noWrap/>
            <w:vAlign w:val="center"/>
          </w:tcPr>
          <w:p w14:paraId="3DFF7E45">
            <w:pPr>
              <w:jc w:val="center"/>
              <w:rPr>
                <w:rFonts w:eastAsia="仿宋"/>
                <w:sz w:val="24"/>
                <w:szCs w:val="32"/>
              </w:rPr>
            </w:pPr>
            <w:r>
              <w:rPr>
                <w:rFonts w:hint="eastAsia" w:eastAsia="仿宋"/>
                <w:sz w:val="24"/>
                <w:szCs w:val="32"/>
                <w:lang w:val="en-US" w:eastAsia="zh-CN"/>
              </w:rPr>
              <w:t>中国共产党遵化市纪律检查委员会</w:t>
            </w:r>
          </w:p>
        </w:tc>
        <w:tc>
          <w:tcPr>
            <w:tcW w:w="795" w:type="pct"/>
            <w:tcBorders>
              <w:top w:val="nil"/>
              <w:left w:val="nil"/>
              <w:bottom w:val="single" w:color="auto" w:sz="4" w:space="0"/>
              <w:right w:val="single" w:color="auto" w:sz="4" w:space="0"/>
            </w:tcBorders>
            <w:shd w:val="clear" w:color="auto" w:fill="FFFFFF"/>
            <w:vAlign w:val="center"/>
          </w:tcPr>
          <w:p w14:paraId="45D592C7">
            <w:pPr>
              <w:widowControl/>
              <w:jc w:val="center"/>
              <w:rPr>
                <w:rFonts w:eastAsia="仿宋"/>
                <w:sz w:val="24"/>
                <w:szCs w:val="32"/>
              </w:rPr>
            </w:pPr>
            <w:r>
              <w:rPr>
                <w:rFonts w:hint="eastAsia" w:eastAsia="仿宋"/>
                <w:sz w:val="24"/>
                <w:szCs w:val="32"/>
                <w:lang w:val="en-US" w:eastAsia="zh-CN"/>
              </w:rPr>
              <w:t>乡镇纪委执纪办案工作经费</w:t>
            </w:r>
          </w:p>
        </w:tc>
        <w:tc>
          <w:tcPr>
            <w:tcW w:w="312" w:type="pct"/>
            <w:tcBorders>
              <w:top w:val="nil"/>
              <w:left w:val="nil"/>
              <w:bottom w:val="single" w:color="auto" w:sz="4" w:space="0"/>
              <w:right w:val="single" w:color="auto" w:sz="4" w:space="0"/>
            </w:tcBorders>
            <w:noWrap/>
            <w:vAlign w:val="center"/>
          </w:tcPr>
          <w:p w14:paraId="55DFA7DC">
            <w:pPr>
              <w:widowControl/>
              <w:jc w:val="center"/>
              <w:rPr>
                <w:rFonts w:hint="default" w:eastAsia="仿宋"/>
                <w:sz w:val="24"/>
                <w:szCs w:val="32"/>
                <w:lang w:val="en-US" w:eastAsia="zh-CN"/>
              </w:rPr>
            </w:pPr>
            <w:r>
              <w:rPr>
                <w:rFonts w:hint="eastAsia" w:eastAsia="仿宋"/>
                <w:sz w:val="24"/>
                <w:szCs w:val="32"/>
                <w:lang w:val="en-US" w:eastAsia="zh-CN"/>
              </w:rPr>
              <w:t>132</w:t>
            </w:r>
          </w:p>
        </w:tc>
        <w:tc>
          <w:tcPr>
            <w:tcW w:w="365" w:type="pct"/>
            <w:tcBorders>
              <w:top w:val="nil"/>
              <w:left w:val="nil"/>
              <w:bottom w:val="single" w:color="auto" w:sz="4" w:space="0"/>
              <w:right w:val="single" w:color="auto" w:sz="4" w:space="0"/>
            </w:tcBorders>
            <w:shd w:val="clear" w:color="auto" w:fill="FFFFFF"/>
            <w:vAlign w:val="center"/>
          </w:tcPr>
          <w:p w14:paraId="53E46BAF">
            <w:pPr>
              <w:widowControl/>
              <w:jc w:val="center"/>
              <w:rPr>
                <w:rFonts w:hint="default" w:eastAsia="仿宋"/>
                <w:sz w:val="24"/>
                <w:szCs w:val="32"/>
                <w:lang w:val="en-US" w:eastAsia="zh-CN"/>
              </w:rPr>
            </w:pPr>
            <w:r>
              <w:rPr>
                <w:rFonts w:hint="eastAsia" w:eastAsia="仿宋"/>
                <w:sz w:val="24"/>
                <w:szCs w:val="32"/>
                <w:lang w:val="en-US" w:eastAsia="zh-CN"/>
              </w:rPr>
              <w:t>99</w:t>
            </w:r>
          </w:p>
        </w:tc>
        <w:tc>
          <w:tcPr>
            <w:tcW w:w="2270" w:type="pct"/>
            <w:tcBorders>
              <w:top w:val="nil"/>
              <w:left w:val="nil"/>
              <w:bottom w:val="single" w:color="auto" w:sz="4" w:space="0"/>
              <w:right w:val="single" w:color="auto" w:sz="4" w:space="0"/>
            </w:tcBorders>
            <w:vAlign w:val="center"/>
          </w:tcPr>
          <w:p w14:paraId="25075355">
            <w:pPr>
              <w:widowControl/>
              <w:spacing w:line="280" w:lineRule="exact"/>
              <w:jc w:val="left"/>
              <w:rPr>
                <w:rFonts w:eastAsia="仿宋"/>
                <w:sz w:val="24"/>
                <w:szCs w:val="32"/>
              </w:rPr>
            </w:pPr>
            <w:r>
              <w:rPr>
                <w:rFonts w:hint="eastAsia" w:eastAsia="仿宋"/>
                <w:sz w:val="24"/>
                <w:szCs w:val="32"/>
                <w:lang w:val="en-US" w:eastAsia="zh-CN"/>
              </w:rPr>
              <w:t>保障了乡镇纪委及两个街道办纪委的硬件建设及工作人员业务培训等软件建设。同时保障涉农案件审查调查工作的进行，进一步优化了村镇发展环境。</w:t>
            </w:r>
          </w:p>
        </w:tc>
        <w:tc>
          <w:tcPr>
            <w:tcW w:w="263" w:type="pct"/>
            <w:tcBorders>
              <w:top w:val="nil"/>
              <w:left w:val="nil"/>
              <w:bottom w:val="single" w:color="auto" w:sz="4" w:space="0"/>
              <w:right w:val="single" w:color="auto" w:sz="4" w:space="0"/>
            </w:tcBorders>
            <w:noWrap/>
            <w:vAlign w:val="bottom"/>
          </w:tcPr>
          <w:p w14:paraId="5924DA0B">
            <w:pPr>
              <w:widowControl/>
              <w:jc w:val="left"/>
              <w:rPr>
                <w:rFonts w:cs="宋体" w:asciiTheme="majorEastAsia" w:hAnsiTheme="majorEastAsia" w:eastAsiaTheme="majorEastAsia"/>
                <w:color w:val="000000"/>
                <w:kern w:val="0"/>
                <w:sz w:val="24"/>
              </w:rPr>
            </w:pPr>
          </w:p>
        </w:tc>
      </w:tr>
      <w:tr w14:paraId="1F40A2E0">
        <w:tblPrEx>
          <w:tblCellMar>
            <w:top w:w="0" w:type="dxa"/>
            <w:left w:w="108" w:type="dxa"/>
            <w:bottom w:w="0" w:type="dxa"/>
            <w:right w:w="108" w:type="dxa"/>
          </w:tblCellMar>
        </w:tblPrEx>
        <w:trPr>
          <w:trHeight w:val="555" w:hRule="atLeast"/>
        </w:trPr>
        <w:tc>
          <w:tcPr>
            <w:tcW w:w="212" w:type="pct"/>
            <w:tcBorders>
              <w:top w:val="nil"/>
              <w:left w:val="single" w:color="auto" w:sz="4" w:space="0"/>
              <w:bottom w:val="single" w:color="auto" w:sz="4" w:space="0"/>
              <w:right w:val="single" w:color="auto" w:sz="4" w:space="0"/>
            </w:tcBorders>
            <w:noWrap/>
            <w:vAlign w:val="center"/>
          </w:tcPr>
          <w:p w14:paraId="41F1865E">
            <w:pPr>
              <w:widowControl/>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4</w:t>
            </w:r>
          </w:p>
        </w:tc>
        <w:tc>
          <w:tcPr>
            <w:tcW w:w="780" w:type="pct"/>
            <w:tcBorders>
              <w:top w:val="nil"/>
              <w:left w:val="nil"/>
              <w:bottom w:val="single" w:color="auto" w:sz="4" w:space="0"/>
              <w:right w:val="single" w:color="auto" w:sz="4" w:space="0"/>
            </w:tcBorders>
            <w:noWrap/>
            <w:vAlign w:val="center"/>
          </w:tcPr>
          <w:p w14:paraId="5C355701">
            <w:pPr>
              <w:jc w:val="center"/>
              <w:rPr>
                <w:rFonts w:eastAsia="仿宋"/>
                <w:sz w:val="24"/>
                <w:szCs w:val="32"/>
              </w:rPr>
            </w:pPr>
            <w:r>
              <w:rPr>
                <w:rFonts w:hint="eastAsia" w:eastAsia="仿宋"/>
                <w:sz w:val="24"/>
                <w:szCs w:val="32"/>
                <w:lang w:val="en-US" w:eastAsia="zh-CN"/>
              </w:rPr>
              <w:t>中国共产党遵化市纪律检查委员会</w:t>
            </w:r>
          </w:p>
          <w:p w14:paraId="44881212">
            <w:pPr>
              <w:widowControl/>
              <w:jc w:val="center"/>
              <w:rPr>
                <w:rFonts w:eastAsia="仿宋"/>
                <w:sz w:val="24"/>
                <w:szCs w:val="32"/>
              </w:rPr>
            </w:pPr>
          </w:p>
        </w:tc>
        <w:tc>
          <w:tcPr>
            <w:tcW w:w="795" w:type="pct"/>
            <w:tcBorders>
              <w:top w:val="nil"/>
              <w:left w:val="nil"/>
              <w:bottom w:val="single" w:color="auto" w:sz="4" w:space="0"/>
              <w:right w:val="single" w:color="auto" w:sz="4" w:space="0"/>
            </w:tcBorders>
            <w:vAlign w:val="center"/>
          </w:tcPr>
          <w:p w14:paraId="26BDC42F">
            <w:pPr>
              <w:widowControl/>
              <w:jc w:val="left"/>
              <w:rPr>
                <w:rFonts w:eastAsia="仿宋"/>
                <w:sz w:val="24"/>
                <w:szCs w:val="32"/>
              </w:rPr>
            </w:pPr>
            <w:r>
              <w:rPr>
                <w:rFonts w:hint="eastAsia" w:eastAsia="仿宋"/>
                <w:sz w:val="24"/>
                <w:szCs w:val="32"/>
                <w:lang w:val="en-US" w:eastAsia="zh-CN"/>
              </w:rPr>
              <w:t>纪检招商工作经费</w:t>
            </w:r>
          </w:p>
        </w:tc>
        <w:tc>
          <w:tcPr>
            <w:tcW w:w="312" w:type="pct"/>
            <w:tcBorders>
              <w:top w:val="nil"/>
              <w:left w:val="nil"/>
              <w:bottom w:val="single" w:color="auto" w:sz="4" w:space="0"/>
              <w:right w:val="single" w:color="auto" w:sz="4" w:space="0"/>
            </w:tcBorders>
            <w:noWrap/>
            <w:vAlign w:val="center"/>
          </w:tcPr>
          <w:p w14:paraId="473E2D9F">
            <w:pPr>
              <w:widowControl/>
              <w:jc w:val="center"/>
              <w:rPr>
                <w:rFonts w:hint="eastAsia" w:eastAsia="仿宋"/>
                <w:sz w:val="24"/>
                <w:szCs w:val="32"/>
                <w:lang w:eastAsia="zh-CN"/>
              </w:rPr>
            </w:pPr>
            <w:r>
              <w:rPr>
                <w:rFonts w:hint="eastAsia" w:eastAsia="仿宋"/>
                <w:sz w:val="24"/>
                <w:szCs w:val="32"/>
                <w:lang w:val="en-US" w:eastAsia="zh-CN"/>
              </w:rPr>
              <w:t>5</w:t>
            </w:r>
          </w:p>
        </w:tc>
        <w:tc>
          <w:tcPr>
            <w:tcW w:w="365" w:type="pct"/>
            <w:tcBorders>
              <w:top w:val="nil"/>
              <w:left w:val="nil"/>
              <w:bottom w:val="single" w:color="auto" w:sz="4" w:space="0"/>
              <w:right w:val="single" w:color="auto" w:sz="4" w:space="0"/>
            </w:tcBorders>
            <w:shd w:val="clear" w:color="auto" w:fill="FFFFFF"/>
            <w:vAlign w:val="center"/>
          </w:tcPr>
          <w:p w14:paraId="02B2CC36">
            <w:pPr>
              <w:widowControl/>
              <w:jc w:val="center"/>
              <w:rPr>
                <w:rFonts w:hint="default" w:eastAsia="仿宋"/>
                <w:sz w:val="24"/>
                <w:szCs w:val="32"/>
                <w:lang w:val="en-US" w:eastAsia="zh-CN"/>
              </w:rPr>
            </w:pPr>
            <w:r>
              <w:rPr>
                <w:rFonts w:hint="eastAsia" w:eastAsia="仿宋"/>
                <w:sz w:val="24"/>
                <w:szCs w:val="32"/>
                <w:lang w:val="en-US" w:eastAsia="zh-CN"/>
              </w:rPr>
              <w:t>5</w:t>
            </w:r>
          </w:p>
        </w:tc>
        <w:tc>
          <w:tcPr>
            <w:tcW w:w="2270" w:type="pct"/>
            <w:tcBorders>
              <w:top w:val="nil"/>
              <w:left w:val="nil"/>
              <w:bottom w:val="single" w:color="auto" w:sz="4" w:space="0"/>
              <w:right w:val="single" w:color="auto" w:sz="4" w:space="0"/>
            </w:tcBorders>
            <w:vAlign w:val="center"/>
          </w:tcPr>
          <w:p w14:paraId="733CFFB2">
            <w:pPr>
              <w:widowControl/>
              <w:spacing w:line="280" w:lineRule="exact"/>
              <w:jc w:val="left"/>
              <w:rPr>
                <w:rFonts w:hint="default" w:eastAsia="仿宋"/>
                <w:sz w:val="24"/>
                <w:szCs w:val="32"/>
                <w:lang w:val="en-US"/>
              </w:rPr>
            </w:pPr>
            <w:r>
              <w:rPr>
                <w:rFonts w:hint="eastAsia" w:eastAsia="仿宋"/>
                <w:sz w:val="24"/>
                <w:szCs w:val="32"/>
                <w:lang w:val="en-US" w:eastAsia="zh-CN"/>
              </w:rPr>
              <w:t>该项目用于保障我委日常工作的顺利开展，特别是用于优化我市营商环境等相关调研、案件查办、信访化解等工作，得到了群众认可。</w:t>
            </w:r>
          </w:p>
        </w:tc>
        <w:tc>
          <w:tcPr>
            <w:tcW w:w="263" w:type="pct"/>
            <w:tcBorders>
              <w:top w:val="nil"/>
              <w:left w:val="nil"/>
              <w:bottom w:val="single" w:color="auto" w:sz="4" w:space="0"/>
              <w:right w:val="single" w:color="auto" w:sz="4" w:space="0"/>
            </w:tcBorders>
            <w:noWrap/>
            <w:vAlign w:val="bottom"/>
          </w:tcPr>
          <w:p w14:paraId="161D9C8A">
            <w:pPr>
              <w:widowControl/>
              <w:jc w:val="left"/>
              <w:rPr>
                <w:rFonts w:cs="宋体" w:asciiTheme="majorEastAsia" w:hAnsiTheme="majorEastAsia" w:eastAsiaTheme="majorEastAsia"/>
                <w:color w:val="000000"/>
                <w:kern w:val="0"/>
                <w:sz w:val="24"/>
              </w:rPr>
            </w:pPr>
          </w:p>
        </w:tc>
      </w:tr>
    </w:tbl>
    <w:p w14:paraId="177AF1E1"/>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DC7DE">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DB4368B">
                <w:pPr>
                  <w:pStyle w:val="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A7B04">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D33F8"/>
    <w:multiLevelType w:val="singleLevel"/>
    <w:tmpl w:val="88BD33F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UzMzgyOGZhYzZjZmMwZmNhMjVkZTc0ZGJiYTc0ZDcifQ=="/>
  </w:docVars>
  <w:rsids>
    <w:rsidRoot w:val="00C33C84"/>
    <w:rsid w:val="0004541B"/>
    <w:rsid w:val="000C6A4F"/>
    <w:rsid w:val="00153F0F"/>
    <w:rsid w:val="00170905"/>
    <w:rsid w:val="001F3C63"/>
    <w:rsid w:val="002F7A83"/>
    <w:rsid w:val="0035701B"/>
    <w:rsid w:val="003630A6"/>
    <w:rsid w:val="00412261"/>
    <w:rsid w:val="005323C0"/>
    <w:rsid w:val="00551AF8"/>
    <w:rsid w:val="0069733A"/>
    <w:rsid w:val="006A5FC0"/>
    <w:rsid w:val="006C1AC6"/>
    <w:rsid w:val="006F7043"/>
    <w:rsid w:val="00707DF7"/>
    <w:rsid w:val="008511C7"/>
    <w:rsid w:val="008C250E"/>
    <w:rsid w:val="00AB06EB"/>
    <w:rsid w:val="00B53584"/>
    <w:rsid w:val="00BD35DC"/>
    <w:rsid w:val="00BE6B70"/>
    <w:rsid w:val="00C33C84"/>
    <w:rsid w:val="00CA0F85"/>
    <w:rsid w:val="00CE7A22"/>
    <w:rsid w:val="00CF600E"/>
    <w:rsid w:val="00D41156"/>
    <w:rsid w:val="00D45A63"/>
    <w:rsid w:val="00E80EA9"/>
    <w:rsid w:val="00EA5302"/>
    <w:rsid w:val="00EF1A36"/>
    <w:rsid w:val="00F250E1"/>
    <w:rsid w:val="00F55700"/>
    <w:rsid w:val="00F815BC"/>
    <w:rsid w:val="00FD133E"/>
    <w:rsid w:val="0658068E"/>
    <w:rsid w:val="0A96497F"/>
    <w:rsid w:val="128D521B"/>
    <w:rsid w:val="159D39C7"/>
    <w:rsid w:val="164E6A70"/>
    <w:rsid w:val="17D47A13"/>
    <w:rsid w:val="18F2402A"/>
    <w:rsid w:val="19C13BFE"/>
    <w:rsid w:val="19FE1E32"/>
    <w:rsid w:val="1AE42FC2"/>
    <w:rsid w:val="1B532356"/>
    <w:rsid w:val="1C697561"/>
    <w:rsid w:val="2304377A"/>
    <w:rsid w:val="241E3F25"/>
    <w:rsid w:val="29A90FD7"/>
    <w:rsid w:val="29DA08EE"/>
    <w:rsid w:val="2FC811E9"/>
    <w:rsid w:val="30FA6E92"/>
    <w:rsid w:val="32981347"/>
    <w:rsid w:val="333C43C8"/>
    <w:rsid w:val="36E57A6B"/>
    <w:rsid w:val="4093314D"/>
    <w:rsid w:val="483416BA"/>
    <w:rsid w:val="4B697D53"/>
    <w:rsid w:val="4D460D4B"/>
    <w:rsid w:val="51537E4E"/>
    <w:rsid w:val="51E472D0"/>
    <w:rsid w:val="52E31D12"/>
    <w:rsid w:val="546C736B"/>
    <w:rsid w:val="55FD3BFE"/>
    <w:rsid w:val="56BC4D54"/>
    <w:rsid w:val="58D123D6"/>
    <w:rsid w:val="591D4B39"/>
    <w:rsid w:val="5B294982"/>
    <w:rsid w:val="5D3D31B5"/>
    <w:rsid w:val="5DC310BE"/>
    <w:rsid w:val="5FF064B5"/>
    <w:rsid w:val="61BB5F05"/>
    <w:rsid w:val="635D0E49"/>
    <w:rsid w:val="643D355E"/>
    <w:rsid w:val="66106E6A"/>
    <w:rsid w:val="69AC6808"/>
    <w:rsid w:val="6C3D028D"/>
    <w:rsid w:val="74DA563C"/>
    <w:rsid w:val="765E35CE"/>
    <w:rsid w:val="7CC7607D"/>
    <w:rsid w:val="7D67057D"/>
    <w:rsid w:val="7DAE2D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40"/>
        <w:tab w:val="right" w:pos="8300"/>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kern w:val="2"/>
      <w:sz w:val="18"/>
      <w:szCs w:val="18"/>
    </w:rPr>
  </w:style>
  <w:style w:type="paragraph" w:customStyle="1" w:styleId="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2543</Words>
  <Characters>2678</Characters>
  <Lines>25</Lines>
  <Paragraphs>7</Paragraphs>
  <TotalTime>5</TotalTime>
  <ScaleCrop>false</ScaleCrop>
  <LinksUpToDate>false</LinksUpToDate>
  <CharactersWithSpaces>2834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2021-01-22T01:18:00Z</dcterms:created>
  <dc:creator>郑秋香</dc:creator>
  <cp:lastModifiedBy>飞奔的眼睛</cp:lastModifiedBy>
  <dcterms:modified xsi:type="dcterms:W3CDTF">2024-08-23T04:05:24Z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742B7831734D458889C8B7BC2341519E</vt:lpwstr>
  </property>
</Properties>
</file>