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552"/>
          <w:tab w:val="left" w:pos="7323"/>
          <w:tab w:val="left" w:pos="12218"/>
          <w:tab w:val="left" w:pos="14365"/>
          <w:tab w:val="left" w:pos="17759"/>
          <w:tab w:val="left" w:pos="19300"/>
          <w:tab w:val="left" w:pos="20220"/>
        </w:tabs>
        <w:rPr>
          <w:rFonts w:ascii="宋体" w:hAnsi="宋体" w:cs="Arial"/>
          <w:b/>
          <w:color w:val="000000"/>
          <w:kern w:val="0"/>
          <w:sz w:val="44"/>
          <w:szCs w:val="44"/>
        </w:rPr>
      </w:pPr>
      <w:r>
        <w:rPr>
          <w:rFonts w:ascii="宋体" w:hAnsi="宋体" w:cs="Arial"/>
          <w:b/>
          <w:color w:val="000000"/>
          <w:kern w:val="0"/>
          <w:sz w:val="44"/>
          <w:szCs w:val="44"/>
        </w:rPr>
        <w:t xml:space="preserve">              </w:t>
      </w:r>
    </w:p>
    <w:p>
      <w:pPr>
        <w:widowControl/>
        <w:tabs>
          <w:tab w:val="left" w:pos="5552"/>
          <w:tab w:val="left" w:pos="7323"/>
          <w:tab w:val="left" w:pos="12218"/>
          <w:tab w:val="left" w:pos="14365"/>
          <w:tab w:val="left" w:pos="17759"/>
          <w:tab w:val="left" w:pos="19300"/>
          <w:tab w:val="left" w:pos="20220"/>
        </w:tabs>
        <w:ind w:firstLine="4196" w:firstLineChars="950"/>
        <w:rPr>
          <w:rFonts w:ascii="宋体" w:hAnsi="宋体" w:cs="Arial"/>
          <w:b/>
          <w:color w:val="000000"/>
          <w:kern w:val="0"/>
          <w:sz w:val="44"/>
          <w:szCs w:val="44"/>
        </w:rPr>
      </w:pPr>
      <w:r>
        <w:rPr>
          <w:rFonts w:hint="eastAsia" w:ascii="宋体" w:hAnsi="宋体" w:cs="Arial"/>
          <w:b/>
          <w:color w:val="000000"/>
          <w:kern w:val="0"/>
          <w:sz w:val="44"/>
          <w:szCs w:val="44"/>
        </w:rPr>
        <w:t>遵化市东新庄镇人民政府</w:t>
      </w:r>
    </w:p>
    <w:p>
      <w:pPr>
        <w:widowControl/>
        <w:tabs>
          <w:tab w:val="left" w:pos="5552"/>
          <w:tab w:val="left" w:pos="7323"/>
          <w:tab w:val="left" w:pos="12218"/>
          <w:tab w:val="left" w:pos="14365"/>
          <w:tab w:val="left" w:pos="17759"/>
          <w:tab w:val="left" w:pos="19300"/>
          <w:tab w:val="left" w:pos="20220"/>
        </w:tabs>
        <w:ind w:firstLine="3534" w:firstLineChars="800"/>
        <w:rPr>
          <w:rFonts w:ascii="宋体" w:cs="Arial"/>
          <w:b/>
          <w:color w:val="000000"/>
          <w:kern w:val="0"/>
          <w:sz w:val="44"/>
          <w:szCs w:val="44"/>
        </w:rPr>
      </w:pPr>
      <w:r>
        <w:rPr>
          <w:rFonts w:ascii="宋体" w:hAnsi="宋体" w:cs="Arial"/>
          <w:b/>
          <w:color w:val="000000"/>
          <w:kern w:val="0"/>
          <w:sz w:val="44"/>
          <w:szCs w:val="44"/>
        </w:rPr>
        <w:t>2022</w:t>
      </w:r>
      <w:r>
        <w:rPr>
          <w:rFonts w:hint="eastAsia" w:ascii="宋体" w:hAnsi="宋体" w:cs="Arial"/>
          <w:b/>
          <w:color w:val="000000"/>
          <w:kern w:val="0"/>
          <w:sz w:val="44"/>
          <w:szCs w:val="44"/>
        </w:rPr>
        <w:t>年部门预算信息公开目录</w:t>
      </w:r>
    </w:p>
    <w:p>
      <w:pPr>
        <w:ind w:firstLine="640" w:firstLineChars="200"/>
        <w:rPr>
          <w:rFonts w:ascii="方正黑体简体" w:hAnsi="仿宋_GB2312" w:eastAsia="方正黑体简体" w:cs="仿宋_GB2312"/>
          <w:sz w:val="32"/>
          <w:szCs w:val="32"/>
        </w:rPr>
      </w:pPr>
    </w:p>
    <w:p>
      <w:pPr>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一、</w:t>
      </w:r>
      <w:r>
        <w:rPr>
          <w:rFonts w:ascii="方正黑体简体" w:hAnsi="仿宋_GB2312" w:eastAsia="方正黑体简体" w:cs="仿宋_GB2312"/>
          <w:sz w:val="32"/>
          <w:szCs w:val="32"/>
        </w:rPr>
        <w:t>2022</w:t>
      </w:r>
      <w:r>
        <w:rPr>
          <w:rFonts w:hint="eastAsia" w:ascii="方正黑体简体" w:hAnsi="仿宋_GB2312" w:eastAsia="方正黑体简体" w:cs="仿宋_GB2312"/>
          <w:sz w:val="32"/>
          <w:szCs w:val="32"/>
        </w:rPr>
        <w:t>年遵化市东新庄镇人民政府预算公开表</w:t>
      </w:r>
    </w:p>
    <w:p>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部门预算收支总表</w:t>
      </w:r>
      <w:r>
        <w:rPr>
          <w:rFonts w:ascii="方正仿宋简体" w:hAnsi="仿宋_GB2312" w:eastAsia="方正仿宋简体" w:cs="仿宋_GB2312"/>
          <w:sz w:val="32"/>
          <w:szCs w:val="32"/>
        </w:rPr>
        <w:t>……………………………………………………………………………1</w:t>
      </w:r>
    </w:p>
    <w:p>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部门预算收入总表</w:t>
      </w:r>
      <w:r>
        <w:rPr>
          <w:rFonts w:ascii="方正仿宋简体" w:hAnsi="仿宋_GB2312" w:eastAsia="方正仿宋简体" w:cs="仿宋_GB2312"/>
          <w:sz w:val="32"/>
          <w:szCs w:val="32"/>
        </w:rPr>
        <w:t>……………………………………………………………………………3</w:t>
      </w:r>
    </w:p>
    <w:p>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部门预算支出总表</w:t>
      </w:r>
      <w:r>
        <w:rPr>
          <w:rFonts w:ascii="方正仿宋简体" w:hAnsi="仿宋_GB2312" w:eastAsia="方正仿宋简体" w:cs="仿宋_GB2312"/>
          <w:sz w:val="32"/>
          <w:szCs w:val="32"/>
        </w:rPr>
        <w:t>……………………………………………………………………………5</w:t>
      </w:r>
    </w:p>
    <w:p>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部门预算财政拨款收支总表</w:t>
      </w:r>
      <w:r>
        <w:rPr>
          <w:rFonts w:ascii="方正仿宋简体" w:hAnsi="仿宋_GB2312" w:eastAsia="方正仿宋简体" w:cs="仿宋_GB2312"/>
          <w:sz w:val="32"/>
          <w:szCs w:val="32"/>
        </w:rPr>
        <w:t>…………………………………………………………………7</w:t>
      </w:r>
    </w:p>
    <w:p>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部门预算一般公共预算财政拨款支出表</w:t>
      </w:r>
      <w:r>
        <w:rPr>
          <w:rFonts w:ascii="方正仿宋简体" w:hAnsi="仿宋_GB2312" w:eastAsia="方正仿宋简体" w:cs="仿宋_GB2312"/>
          <w:sz w:val="32"/>
          <w:szCs w:val="32"/>
        </w:rPr>
        <w:t>……………………………………………………9</w:t>
      </w:r>
    </w:p>
    <w:p>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部门预算一般公共预算财政拨款基本支出表</w:t>
      </w:r>
      <w:r>
        <w:rPr>
          <w:rFonts w:ascii="方正仿宋简体" w:hAnsi="仿宋_GB2312" w:eastAsia="方正仿宋简体" w:cs="仿宋_GB2312"/>
          <w:sz w:val="32"/>
          <w:szCs w:val="32"/>
        </w:rPr>
        <w:t>………………………………………………11</w:t>
      </w:r>
    </w:p>
    <w:p>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部门预算政府性基金预算财政拨款支出表</w:t>
      </w:r>
      <w:r>
        <w:rPr>
          <w:rFonts w:ascii="方正仿宋简体" w:hAnsi="仿宋_GB2312" w:eastAsia="方正仿宋简体" w:cs="仿宋_GB2312"/>
          <w:sz w:val="32"/>
          <w:szCs w:val="32"/>
        </w:rPr>
        <w:t>…………………………………………………13</w:t>
      </w:r>
    </w:p>
    <w:p>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部门预算国有资本经营预算财政拨款支出表</w:t>
      </w:r>
      <w:r>
        <w:rPr>
          <w:rFonts w:ascii="方正仿宋简体" w:hAnsi="仿宋_GB2312" w:eastAsia="方正仿宋简体" w:cs="仿宋_GB2312"/>
          <w:sz w:val="32"/>
          <w:szCs w:val="32"/>
        </w:rPr>
        <w:t>………………………………………………14</w:t>
      </w:r>
    </w:p>
    <w:p>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部门预算财政拨款“三公”经费支出表</w:t>
      </w:r>
      <w:r>
        <w:rPr>
          <w:rFonts w:ascii="方正仿宋简体" w:hAnsi="仿宋_GB2312" w:eastAsia="方正仿宋简体" w:cs="仿宋_GB2312"/>
          <w:sz w:val="32"/>
          <w:szCs w:val="32"/>
        </w:rPr>
        <w:t>……………………………………………………1</w:t>
      </w:r>
      <w:r>
        <w:rPr>
          <w:rFonts w:hint="eastAsia" w:ascii="方正仿宋简体" w:hAnsi="仿宋_GB2312" w:eastAsia="方正仿宋简体" w:cs="仿宋_GB2312"/>
          <w:sz w:val="32"/>
          <w:szCs w:val="32"/>
        </w:rPr>
        <w:t>4</w:t>
      </w:r>
    </w:p>
    <w:p>
      <w:pPr>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二、</w:t>
      </w:r>
      <w:r>
        <w:rPr>
          <w:rFonts w:ascii="方正黑体简体" w:hAnsi="仿宋_GB2312" w:eastAsia="方正黑体简体" w:cs="仿宋_GB2312"/>
          <w:sz w:val="32"/>
          <w:szCs w:val="32"/>
        </w:rPr>
        <w:t>2022</w:t>
      </w:r>
      <w:r>
        <w:rPr>
          <w:rFonts w:hint="eastAsia" w:ascii="方正黑体简体" w:hAnsi="仿宋_GB2312" w:eastAsia="方正黑体简体" w:cs="仿宋_GB2312"/>
          <w:sz w:val="32"/>
          <w:szCs w:val="32"/>
        </w:rPr>
        <w:t>年遵化市</w:t>
      </w:r>
      <w:r>
        <w:rPr>
          <w:rFonts w:hint="eastAsia" w:ascii="方正仿宋简体" w:hAnsi="仿宋_GB2312" w:eastAsia="方正仿宋简体" w:cs="仿宋_GB2312"/>
          <w:sz w:val="32"/>
          <w:szCs w:val="32"/>
        </w:rPr>
        <w:t>东新庄镇</w:t>
      </w:r>
      <w:r>
        <w:rPr>
          <w:rFonts w:hint="eastAsia" w:ascii="方正黑体简体" w:hAnsi="仿宋_GB2312" w:eastAsia="方正黑体简体" w:cs="仿宋_GB2312"/>
          <w:sz w:val="32"/>
          <w:szCs w:val="32"/>
        </w:rPr>
        <w:t>人民政府预算公开情况说明</w:t>
      </w:r>
    </w:p>
    <w:p>
      <w:pPr>
        <w:numPr>
          <w:ilvl w:val="0"/>
          <w:numId w:val="2"/>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部门职责及机构设置情况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15</w:t>
      </w:r>
    </w:p>
    <w:p>
      <w:pPr>
        <w:ind w:firstLine="640"/>
        <w:rPr>
          <w:rFonts w:ascii="方正仿宋简体" w:hAnsi="仿宋_GB2312" w:eastAsia="方正仿宋简体" w:cs="仿宋_GB2312"/>
          <w:sz w:val="32"/>
          <w:szCs w:val="32"/>
        </w:rPr>
      </w:pPr>
      <w:r>
        <w:rPr>
          <w:rFonts w:ascii="方正仿宋简体" w:hAnsi="仿宋_GB2312" w:eastAsia="方正仿宋简体" w:cs="仿宋_GB2312"/>
          <w:sz w:val="32"/>
          <w:szCs w:val="32"/>
        </w:rPr>
        <w:t>2</w:t>
      </w:r>
      <w:r>
        <w:rPr>
          <w:rFonts w:hint="eastAsia" w:ascii="方正仿宋简体" w:hAnsi="仿宋_GB2312" w:eastAsia="方正仿宋简体" w:cs="仿宋_GB2312"/>
          <w:sz w:val="32"/>
          <w:szCs w:val="32"/>
        </w:rPr>
        <w:t>、部门预算安排的总体情况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23</w:t>
      </w:r>
    </w:p>
    <w:p>
      <w:pPr>
        <w:ind w:firstLine="640" w:firstLineChars="200"/>
        <w:rPr>
          <w:rFonts w:ascii="方正仿宋简体" w:hAnsi="仿宋_GB2312" w:eastAsia="方正仿宋简体" w:cs="仿宋_GB2312"/>
          <w:sz w:val="32"/>
          <w:szCs w:val="32"/>
        </w:rPr>
      </w:pPr>
      <w:r>
        <w:rPr>
          <w:rFonts w:ascii="方正仿宋简体" w:hAnsi="仿宋_GB2312" w:eastAsia="方正仿宋简体" w:cs="仿宋_GB2312"/>
          <w:sz w:val="32"/>
          <w:szCs w:val="32"/>
        </w:rPr>
        <w:t>3</w:t>
      </w:r>
      <w:r>
        <w:rPr>
          <w:rFonts w:hint="eastAsia" w:ascii="方正仿宋简体" w:hAnsi="仿宋_GB2312" w:eastAsia="方正仿宋简体" w:cs="仿宋_GB2312"/>
          <w:sz w:val="32"/>
          <w:szCs w:val="32"/>
        </w:rPr>
        <w:t>、机关运行经费安排情况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23</w:t>
      </w:r>
    </w:p>
    <w:p>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4</w:t>
      </w:r>
      <w:r>
        <w:rPr>
          <w:rFonts w:hint="eastAsia" w:ascii="方正仿宋简体" w:hAnsi="仿宋_GB2312" w:eastAsia="方正仿宋简体" w:cs="仿宋_GB2312"/>
          <w:sz w:val="32"/>
          <w:szCs w:val="32"/>
        </w:rPr>
        <w:t>、财政拨款“三公”经费预算情况及增减变化原因</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24</w:t>
      </w:r>
    </w:p>
    <w:p>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5</w:t>
      </w:r>
      <w:r>
        <w:rPr>
          <w:rFonts w:hint="eastAsia" w:ascii="方正仿宋简体" w:hAnsi="仿宋_GB2312" w:eastAsia="方正仿宋简体" w:cs="仿宋_GB2312"/>
          <w:sz w:val="32"/>
          <w:szCs w:val="32"/>
        </w:rPr>
        <w:t>、绩效预算信息</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24</w:t>
      </w:r>
    </w:p>
    <w:p>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6</w:t>
      </w:r>
      <w:r>
        <w:rPr>
          <w:rFonts w:hint="eastAsia" w:ascii="方正仿宋简体" w:hAnsi="仿宋_GB2312" w:eastAsia="方正仿宋简体" w:cs="仿宋_GB2312"/>
          <w:sz w:val="32"/>
          <w:szCs w:val="32"/>
        </w:rPr>
        <w:t>、政府采购预算情况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30</w:t>
      </w:r>
    </w:p>
    <w:p>
      <w:pPr>
        <w:autoSpaceDE w:val="0"/>
        <w:autoSpaceDN w:val="0"/>
        <w:adjustRightInd w:val="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 xml:space="preserve">    7</w:t>
      </w:r>
      <w:r>
        <w:rPr>
          <w:rFonts w:hint="eastAsia" w:ascii="方正仿宋简体" w:hAnsi="仿宋_GB2312" w:eastAsia="方正仿宋简体" w:cs="仿宋_GB2312"/>
          <w:sz w:val="32"/>
          <w:szCs w:val="32"/>
        </w:rPr>
        <w:t>、国有资产信息</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31</w:t>
      </w:r>
    </w:p>
    <w:p>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8</w:t>
      </w:r>
      <w:r>
        <w:rPr>
          <w:rFonts w:hint="eastAsia" w:ascii="方正仿宋简体" w:hAnsi="仿宋_GB2312" w:eastAsia="方正仿宋简体" w:cs="仿宋_GB2312"/>
          <w:sz w:val="32"/>
          <w:szCs w:val="32"/>
        </w:rPr>
        <w:t>、名词解释</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31</w:t>
      </w:r>
    </w:p>
    <w:p>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9</w:t>
      </w:r>
      <w:r>
        <w:rPr>
          <w:rFonts w:hint="eastAsia" w:ascii="方正仿宋简体" w:hAnsi="仿宋_GB2312" w:eastAsia="方正仿宋简体" w:cs="仿宋_GB2312"/>
          <w:sz w:val="32"/>
          <w:szCs w:val="32"/>
        </w:rPr>
        <w:t>、其他需要说明的事项</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32</w:t>
      </w:r>
    </w:p>
    <w:p>
      <w:pPr>
        <w:autoSpaceDE w:val="0"/>
        <w:autoSpaceDN w:val="0"/>
        <w:adjustRightInd w:val="0"/>
        <w:ind w:firstLine="640" w:firstLineChars="200"/>
        <w:jc w:val="left"/>
        <w:rPr>
          <w:rFonts w:ascii="方正仿宋简体" w:hAnsi="仿宋_GB2312" w:eastAsia="方正仿宋简体" w:cs="仿宋_GB2312"/>
          <w:sz w:val="32"/>
          <w:szCs w:val="32"/>
        </w:rPr>
      </w:pPr>
    </w:p>
    <w:p>
      <w:pPr>
        <w:autoSpaceDE w:val="0"/>
        <w:autoSpaceDN w:val="0"/>
        <w:adjustRightInd w:val="0"/>
        <w:ind w:firstLine="600" w:firstLineChars="200"/>
        <w:jc w:val="left"/>
        <w:rPr>
          <w:rFonts w:ascii="方正仿宋简体" w:hAnsi="仿宋_GB2312" w:eastAsia="方正仿宋简体" w:cs="仿宋_GB2312"/>
          <w:sz w:val="30"/>
          <w:szCs w:val="30"/>
        </w:rPr>
      </w:pPr>
    </w:p>
    <w:p>
      <w:pPr>
        <w:widowControl/>
        <w:rPr>
          <w:rFonts w:ascii="宋体" w:cs="宋体"/>
          <w:b/>
          <w:bCs/>
          <w:kern w:val="0"/>
          <w:sz w:val="40"/>
          <w:szCs w:val="40"/>
        </w:rPr>
        <w:sectPr>
          <w:headerReference r:id="rId3" w:type="default"/>
          <w:footerReference r:id="rId4" w:type="default"/>
          <w:footerReference r:id="rId5" w:type="even"/>
          <w:pgSz w:w="16840" w:h="11900" w:orient="landscape"/>
          <w:pgMar w:top="1134" w:right="1361" w:bottom="1134" w:left="1361" w:header="720" w:footer="720" w:gutter="0"/>
          <w:pgNumType w:start="1"/>
          <w:cols w:space="720" w:num="1"/>
          <w:docGrid w:linePitch="286" w:charSpace="0"/>
        </w:sectPr>
      </w:pPr>
    </w:p>
    <w:tbl>
      <w:tblPr>
        <w:tblStyle w:val="5"/>
        <w:tblW w:w="14420" w:type="dxa"/>
        <w:tblInd w:w="93" w:type="dxa"/>
        <w:tblLayout w:type="autofit"/>
        <w:tblCellMar>
          <w:top w:w="0" w:type="dxa"/>
          <w:left w:w="108" w:type="dxa"/>
          <w:bottom w:w="0" w:type="dxa"/>
          <w:right w:w="108" w:type="dxa"/>
        </w:tblCellMar>
      </w:tblPr>
      <w:tblGrid>
        <w:gridCol w:w="760"/>
        <w:gridCol w:w="4840"/>
        <w:gridCol w:w="2140"/>
        <w:gridCol w:w="4420"/>
        <w:gridCol w:w="2260"/>
      </w:tblGrid>
      <w:tr>
        <w:tblPrEx>
          <w:tblCellMar>
            <w:top w:w="0" w:type="dxa"/>
            <w:left w:w="108" w:type="dxa"/>
            <w:bottom w:w="0" w:type="dxa"/>
            <w:right w:w="108" w:type="dxa"/>
          </w:tblCellMar>
        </w:tblPrEx>
        <w:trPr>
          <w:trHeight w:val="762" w:hRule="atLeast"/>
        </w:trPr>
        <w:tc>
          <w:tcPr>
            <w:tcW w:w="14420" w:type="dxa"/>
            <w:gridSpan w:val="5"/>
            <w:tcBorders>
              <w:top w:val="nil"/>
              <w:left w:val="nil"/>
              <w:bottom w:val="nil"/>
              <w:right w:val="nil"/>
            </w:tcBorders>
            <w:vAlign w:val="center"/>
          </w:tcPr>
          <w:p>
            <w:pPr>
              <w:widowControl/>
              <w:rPr>
                <w:rFonts w:ascii="宋体" w:cs="宋体"/>
                <w:b/>
                <w:bCs/>
                <w:kern w:val="0"/>
                <w:sz w:val="28"/>
                <w:szCs w:val="28"/>
              </w:rPr>
            </w:pPr>
            <w:r>
              <w:rPr>
                <w:rFonts w:hint="eastAsia" w:ascii="宋体" w:cs="宋体"/>
                <w:b/>
                <w:bCs/>
                <w:kern w:val="0"/>
                <w:sz w:val="28"/>
                <w:szCs w:val="28"/>
              </w:rPr>
              <w:t>附表1-1</w:t>
            </w:r>
          </w:p>
          <w:p>
            <w:pPr>
              <w:widowControl/>
              <w:jc w:val="center"/>
              <w:rPr>
                <w:rFonts w:ascii="宋体" w:cs="宋体"/>
                <w:b/>
                <w:bCs/>
                <w:kern w:val="0"/>
                <w:sz w:val="44"/>
                <w:szCs w:val="44"/>
              </w:rPr>
            </w:pPr>
            <w:r>
              <w:rPr>
                <w:rFonts w:hint="eastAsia" w:ascii="宋体" w:hAnsi="宋体" w:cs="宋体"/>
                <w:b/>
                <w:bCs/>
                <w:kern w:val="0"/>
                <w:sz w:val="44"/>
                <w:szCs w:val="44"/>
              </w:rPr>
              <w:t>部门预算收支总表</w:t>
            </w:r>
          </w:p>
        </w:tc>
      </w:tr>
      <w:tr>
        <w:tblPrEx>
          <w:tblCellMar>
            <w:top w:w="0" w:type="dxa"/>
            <w:left w:w="108" w:type="dxa"/>
            <w:bottom w:w="0" w:type="dxa"/>
            <w:right w:w="108" w:type="dxa"/>
          </w:tblCellMar>
        </w:tblPrEx>
        <w:trPr>
          <w:trHeight w:val="300" w:hRule="atLeast"/>
        </w:trPr>
        <w:tc>
          <w:tcPr>
            <w:tcW w:w="7740" w:type="dxa"/>
            <w:gridSpan w:val="3"/>
            <w:tcBorders>
              <w:top w:val="nil"/>
              <w:left w:val="nil"/>
              <w:bottom w:val="nil"/>
              <w:right w:val="nil"/>
            </w:tcBorders>
            <w:shd w:val="clear" w:color="000000" w:fill="FFFFFF"/>
            <w:vAlign w:val="center"/>
          </w:tcPr>
          <w:p>
            <w:pPr>
              <w:widowControl/>
              <w:jc w:val="left"/>
              <w:rPr>
                <w:rFonts w:ascii="方正书宋_GBK" w:hAnsi="方正书宋_GBK" w:eastAsia="方正书宋_GBK" w:cs="宋体"/>
                <w:b/>
                <w:bCs/>
                <w:kern w:val="0"/>
                <w:sz w:val="22"/>
                <w:szCs w:val="22"/>
              </w:rPr>
            </w:pPr>
            <w:r>
              <w:rPr>
                <w:rFonts w:ascii="方正书宋_GBK" w:hAnsi="方正书宋_GBK" w:eastAsia="方正书宋_GBK" w:cs="宋体"/>
                <w:b/>
                <w:bCs/>
                <w:kern w:val="0"/>
                <w:sz w:val="22"/>
                <w:szCs w:val="22"/>
              </w:rPr>
              <w:t>640</w:t>
            </w:r>
            <w:r>
              <w:rPr>
                <w:rFonts w:hint="eastAsia" w:ascii="宋体" w:hAnsi="宋体" w:cs="宋体"/>
                <w:b/>
                <w:bCs/>
                <w:kern w:val="0"/>
                <w:sz w:val="22"/>
                <w:szCs w:val="22"/>
              </w:rPr>
              <w:t>遵化市东新庄镇人民政府</w:t>
            </w:r>
          </w:p>
        </w:tc>
        <w:tc>
          <w:tcPr>
            <w:tcW w:w="4420" w:type="dxa"/>
            <w:tcBorders>
              <w:top w:val="nil"/>
              <w:left w:val="nil"/>
              <w:bottom w:val="nil"/>
              <w:right w:val="nil"/>
            </w:tcBorders>
            <w:vAlign w:val="center"/>
          </w:tcPr>
          <w:p>
            <w:pPr>
              <w:widowControl/>
              <w:jc w:val="left"/>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预算年度：</w:t>
            </w:r>
            <w:r>
              <w:rPr>
                <w:rFonts w:ascii="Times New Roman" w:hAnsi="Times New Roman" w:eastAsia="方正书宋_GBK"/>
                <w:b/>
                <w:bCs/>
                <w:kern w:val="0"/>
                <w:sz w:val="22"/>
                <w:szCs w:val="22"/>
              </w:rPr>
              <w:t>2022</w:t>
            </w:r>
          </w:p>
        </w:tc>
        <w:tc>
          <w:tcPr>
            <w:tcW w:w="2260" w:type="dxa"/>
            <w:tcBorders>
              <w:top w:val="nil"/>
              <w:left w:val="nil"/>
              <w:bottom w:val="nil"/>
              <w:right w:val="nil"/>
            </w:tcBorders>
            <w:vAlign w:val="center"/>
          </w:tcPr>
          <w:p>
            <w:pPr>
              <w:widowControl/>
              <w:jc w:val="right"/>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金额单位：万元</w:t>
            </w:r>
          </w:p>
        </w:tc>
      </w:tr>
      <w:tr>
        <w:tblPrEx>
          <w:tblCellMar>
            <w:top w:w="0" w:type="dxa"/>
            <w:left w:w="108" w:type="dxa"/>
            <w:bottom w:w="0" w:type="dxa"/>
            <w:right w:w="108" w:type="dxa"/>
          </w:tblCellMar>
        </w:tblPrEx>
        <w:trPr>
          <w:trHeight w:val="360" w:hRule="atLeast"/>
        </w:trPr>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698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收入</w:t>
            </w:r>
          </w:p>
        </w:tc>
        <w:tc>
          <w:tcPr>
            <w:tcW w:w="668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支出</w:t>
            </w:r>
          </w:p>
        </w:tc>
      </w:tr>
      <w:tr>
        <w:tblPrEx>
          <w:tblCellMar>
            <w:top w:w="0" w:type="dxa"/>
            <w:left w:w="108" w:type="dxa"/>
            <w:bottom w:w="0" w:type="dxa"/>
            <w:right w:w="108" w:type="dxa"/>
          </w:tblCellMar>
        </w:tblPrEx>
        <w:trPr>
          <w:trHeight w:val="36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484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214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预算数</w:t>
            </w:r>
          </w:p>
        </w:tc>
        <w:tc>
          <w:tcPr>
            <w:tcW w:w="442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226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预算数</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484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214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442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26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一、一般公共预算拨款收入</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一、一般公共服务支出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二、政府性基金预算拨款收入</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二、外交支出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三、国有资本经营预算拨款收入</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三、国防支出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90"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四、财政专户管理资金收入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四、公共安全支出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五、事业收入</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五、教育支出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六、事业单位经营收入</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六、科学技术支出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七、上级补助收入</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七、文化旅游体育与传媒支出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八、附属单位上缴收入</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八、社会保障和就业支出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九、其他收入</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九、卫生健康支出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十、节能环保支出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十一、城乡社区支出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十二、农林水支出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xml:space="preserve">190.00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十三、交通运输支出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十四、资源勘探工业信息等支出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十五、商业服务业等支出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十六、金融支出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十七、援助其他地区支出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十八、自然资源海洋气象等支出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十九、住房保障支出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20</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二十、粮油物资储备支出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21</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二十一、国有资本经营预算支出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22</w:t>
            </w:r>
          </w:p>
        </w:tc>
        <w:tc>
          <w:tcPr>
            <w:tcW w:w="4840"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二十二、灾害防治及应急管理支出</w:t>
            </w:r>
          </w:p>
        </w:tc>
        <w:tc>
          <w:tcPr>
            <w:tcW w:w="226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23</w:t>
            </w:r>
          </w:p>
        </w:tc>
        <w:tc>
          <w:tcPr>
            <w:tcW w:w="4840"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二十三、债务还本支出</w:t>
            </w:r>
          </w:p>
        </w:tc>
        <w:tc>
          <w:tcPr>
            <w:tcW w:w="226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24</w:t>
            </w:r>
          </w:p>
        </w:tc>
        <w:tc>
          <w:tcPr>
            <w:tcW w:w="4840"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二十四、债务付息支出</w:t>
            </w:r>
          </w:p>
        </w:tc>
        <w:tc>
          <w:tcPr>
            <w:tcW w:w="226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25</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二十五、、债务发行费用支出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26</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二十六、其他支出</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27</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本年收入合计</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本年支出合计</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28</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年初财政拨款结转和结余</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年末财政拨款结转和结余</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29</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一、一般公共预算拨款</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30</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二、政府性基金预算拨款</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31</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三、国有资本经营预算拨款</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90" w:hRule="atLeast"/>
        </w:trPr>
        <w:tc>
          <w:tcPr>
            <w:tcW w:w="76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32</w:t>
            </w:r>
          </w:p>
        </w:tc>
        <w:tc>
          <w:tcPr>
            <w:tcW w:w="48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收入总计</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442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支出总计</w:t>
            </w:r>
          </w:p>
        </w:tc>
        <w:tc>
          <w:tcPr>
            <w:tcW w:w="226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r>
    </w:tbl>
    <w:p>
      <w:pPr>
        <w:autoSpaceDE w:val="0"/>
        <w:autoSpaceDN w:val="0"/>
        <w:adjustRightInd w:val="0"/>
        <w:ind w:firstLine="600" w:firstLineChars="200"/>
        <w:jc w:val="left"/>
        <w:rPr>
          <w:rFonts w:ascii="方正仿宋简体" w:hAnsi="仿宋_GB2312" w:eastAsia="方正仿宋简体" w:cs="仿宋_GB2312"/>
          <w:sz w:val="30"/>
          <w:szCs w:val="30"/>
        </w:rPr>
      </w:pPr>
    </w:p>
    <w:tbl>
      <w:tblPr>
        <w:tblStyle w:val="5"/>
        <w:tblW w:w="14440" w:type="dxa"/>
        <w:tblInd w:w="93" w:type="dxa"/>
        <w:tblLayout w:type="autofit"/>
        <w:tblCellMar>
          <w:top w:w="0" w:type="dxa"/>
          <w:left w:w="108" w:type="dxa"/>
          <w:bottom w:w="0" w:type="dxa"/>
          <w:right w:w="108" w:type="dxa"/>
        </w:tblCellMar>
      </w:tblPr>
      <w:tblGrid>
        <w:gridCol w:w="600"/>
        <w:gridCol w:w="1260"/>
        <w:gridCol w:w="4060"/>
        <w:gridCol w:w="1300"/>
        <w:gridCol w:w="1320"/>
        <w:gridCol w:w="1000"/>
        <w:gridCol w:w="940"/>
        <w:gridCol w:w="1120"/>
        <w:gridCol w:w="860"/>
        <w:gridCol w:w="1000"/>
        <w:gridCol w:w="980"/>
      </w:tblGrid>
      <w:tr>
        <w:tblPrEx>
          <w:tblCellMar>
            <w:top w:w="0" w:type="dxa"/>
            <w:left w:w="108" w:type="dxa"/>
            <w:bottom w:w="0" w:type="dxa"/>
            <w:right w:w="108" w:type="dxa"/>
          </w:tblCellMar>
        </w:tblPrEx>
        <w:trPr>
          <w:trHeight w:val="660" w:hRule="atLeast"/>
        </w:trPr>
        <w:tc>
          <w:tcPr>
            <w:tcW w:w="14440" w:type="dxa"/>
            <w:gridSpan w:val="11"/>
            <w:tcBorders>
              <w:top w:val="nil"/>
              <w:left w:val="nil"/>
              <w:bottom w:val="nil"/>
              <w:right w:val="nil"/>
            </w:tcBorders>
            <w:vAlign w:val="center"/>
          </w:tcPr>
          <w:p>
            <w:pPr>
              <w:widowControl/>
              <w:jc w:val="center"/>
              <w:rPr>
                <w:rFonts w:ascii="宋体" w:cs="宋体"/>
                <w:b/>
                <w:bCs/>
                <w:kern w:val="0"/>
                <w:sz w:val="40"/>
                <w:szCs w:val="40"/>
              </w:rPr>
            </w:pPr>
          </w:p>
          <w:p>
            <w:pPr>
              <w:widowControl/>
              <w:jc w:val="center"/>
              <w:rPr>
                <w:rFonts w:ascii="宋体" w:cs="宋体"/>
                <w:b/>
                <w:bCs/>
                <w:kern w:val="0"/>
                <w:sz w:val="40"/>
                <w:szCs w:val="40"/>
              </w:rPr>
            </w:pPr>
          </w:p>
          <w:p>
            <w:pPr>
              <w:widowControl/>
              <w:rPr>
                <w:rFonts w:ascii="宋体" w:cs="宋体"/>
                <w:b/>
                <w:bCs/>
                <w:kern w:val="0"/>
                <w:sz w:val="28"/>
                <w:szCs w:val="28"/>
              </w:rPr>
            </w:pPr>
          </w:p>
          <w:p>
            <w:pPr>
              <w:widowControl/>
              <w:rPr>
                <w:rFonts w:ascii="宋体" w:cs="宋体"/>
                <w:b/>
                <w:bCs/>
                <w:kern w:val="0"/>
                <w:sz w:val="28"/>
                <w:szCs w:val="28"/>
              </w:rPr>
            </w:pPr>
          </w:p>
          <w:p>
            <w:pPr>
              <w:widowControl/>
              <w:rPr>
                <w:rFonts w:ascii="宋体" w:cs="宋体"/>
                <w:b/>
                <w:bCs/>
                <w:kern w:val="0"/>
                <w:sz w:val="28"/>
                <w:szCs w:val="28"/>
              </w:rPr>
            </w:pPr>
          </w:p>
          <w:p>
            <w:pPr>
              <w:widowControl/>
              <w:rPr>
                <w:rFonts w:ascii="宋体" w:cs="宋体"/>
                <w:b/>
                <w:bCs/>
                <w:kern w:val="0"/>
                <w:sz w:val="28"/>
                <w:szCs w:val="28"/>
              </w:rPr>
            </w:pPr>
          </w:p>
          <w:p>
            <w:pPr>
              <w:widowControl/>
              <w:rPr>
                <w:rFonts w:ascii="宋体" w:cs="宋体"/>
                <w:b/>
                <w:bCs/>
                <w:kern w:val="0"/>
                <w:sz w:val="28"/>
                <w:szCs w:val="28"/>
              </w:rPr>
            </w:pPr>
          </w:p>
          <w:p>
            <w:pPr>
              <w:widowControl/>
              <w:rPr>
                <w:rFonts w:ascii="宋体" w:cs="宋体"/>
                <w:b/>
                <w:bCs/>
                <w:kern w:val="0"/>
                <w:sz w:val="28"/>
                <w:szCs w:val="28"/>
              </w:rPr>
            </w:pPr>
          </w:p>
          <w:p>
            <w:pPr>
              <w:widowControl/>
              <w:rPr>
                <w:rFonts w:ascii="宋体" w:cs="宋体"/>
                <w:b/>
                <w:bCs/>
                <w:kern w:val="0"/>
                <w:sz w:val="28"/>
                <w:szCs w:val="28"/>
              </w:rPr>
            </w:pPr>
          </w:p>
          <w:p>
            <w:pPr>
              <w:widowControl/>
              <w:rPr>
                <w:rFonts w:ascii="宋体" w:cs="宋体"/>
                <w:b/>
                <w:bCs/>
                <w:kern w:val="0"/>
                <w:sz w:val="28"/>
                <w:szCs w:val="28"/>
              </w:rPr>
            </w:pPr>
          </w:p>
          <w:p>
            <w:pPr>
              <w:widowControl/>
              <w:rPr>
                <w:rFonts w:ascii="宋体" w:cs="宋体"/>
                <w:b/>
                <w:bCs/>
                <w:kern w:val="0"/>
                <w:sz w:val="28"/>
                <w:szCs w:val="28"/>
              </w:rPr>
            </w:pPr>
          </w:p>
          <w:p>
            <w:pPr>
              <w:widowControl/>
              <w:rPr>
                <w:rFonts w:ascii="宋体" w:cs="宋体"/>
                <w:b/>
                <w:bCs/>
                <w:kern w:val="0"/>
                <w:sz w:val="28"/>
                <w:szCs w:val="28"/>
              </w:rPr>
            </w:pPr>
            <w:r>
              <w:rPr>
                <w:rFonts w:hint="eastAsia" w:ascii="宋体" w:cs="宋体"/>
                <w:b/>
                <w:bCs/>
                <w:kern w:val="0"/>
                <w:sz w:val="28"/>
                <w:szCs w:val="28"/>
              </w:rPr>
              <w:t>附表1-2</w:t>
            </w:r>
          </w:p>
          <w:p>
            <w:pPr>
              <w:widowControl/>
              <w:jc w:val="center"/>
              <w:rPr>
                <w:rFonts w:ascii="宋体" w:cs="宋体"/>
                <w:b/>
                <w:bCs/>
                <w:kern w:val="0"/>
                <w:sz w:val="40"/>
                <w:szCs w:val="40"/>
              </w:rPr>
            </w:pPr>
          </w:p>
          <w:p>
            <w:pPr>
              <w:widowControl/>
              <w:jc w:val="center"/>
              <w:rPr>
                <w:rFonts w:ascii="宋体" w:cs="宋体"/>
                <w:b/>
                <w:bCs/>
                <w:kern w:val="0"/>
                <w:sz w:val="40"/>
                <w:szCs w:val="40"/>
              </w:rPr>
            </w:pPr>
          </w:p>
          <w:p>
            <w:pPr>
              <w:widowControl/>
              <w:jc w:val="center"/>
              <w:rPr>
                <w:rFonts w:ascii="宋体" w:cs="宋体"/>
                <w:b/>
                <w:bCs/>
                <w:kern w:val="0"/>
                <w:sz w:val="44"/>
                <w:szCs w:val="44"/>
              </w:rPr>
            </w:pPr>
            <w:r>
              <w:rPr>
                <w:rFonts w:hint="eastAsia" w:ascii="宋体" w:hAnsi="宋体" w:cs="宋体"/>
                <w:b/>
                <w:bCs/>
                <w:kern w:val="0"/>
                <w:sz w:val="44"/>
                <w:szCs w:val="44"/>
              </w:rPr>
              <w:t>部门预算收入总表</w:t>
            </w:r>
          </w:p>
        </w:tc>
      </w:tr>
      <w:tr>
        <w:tblPrEx>
          <w:tblCellMar>
            <w:top w:w="0" w:type="dxa"/>
            <w:left w:w="108" w:type="dxa"/>
            <w:bottom w:w="0" w:type="dxa"/>
            <w:right w:w="108" w:type="dxa"/>
          </w:tblCellMar>
        </w:tblPrEx>
        <w:trPr>
          <w:trHeight w:val="420" w:hRule="atLeast"/>
        </w:trPr>
        <w:tc>
          <w:tcPr>
            <w:tcW w:w="10480" w:type="dxa"/>
            <w:gridSpan w:val="7"/>
            <w:tcBorders>
              <w:top w:val="nil"/>
              <w:left w:val="nil"/>
              <w:bottom w:val="nil"/>
              <w:right w:val="nil"/>
            </w:tcBorders>
            <w:shd w:val="clear" w:color="000000" w:fill="FFFFFF"/>
            <w:vAlign w:val="center"/>
          </w:tcPr>
          <w:p>
            <w:pPr>
              <w:widowControl/>
              <w:jc w:val="left"/>
              <w:rPr>
                <w:rFonts w:ascii="方正书宋_GBK" w:hAnsi="方正书宋_GBK" w:eastAsia="方正书宋_GBK" w:cs="宋体"/>
                <w:b/>
                <w:bCs/>
                <w:kern w:val="0"/>
                <w:sz w:val="22"/>
                <w:szCs w:val="22"/>
              </w:rPr>
            </w:pPr>
            <w:r>
              <w:rPr>
                <w:rFonts w:ascii="方正书宋_GBK" w:hAnsi="方正书宋_GBK" w:eastAsia="方正书宋_GBK" w:cs="宋体"/>
                <w:b/>
                <w:bCs/>
                <w:kern w:val="0"/>
                <w:sz w:val="22"/>
                <w:szCs w:val="22"/>
              </w:rPr>
              <w:t>640</w:t>
            </w:r>
            <w:r>
              <w:rPr>
                <w:rFonts w:hint="eastAsia" w:ascii="方正书宋_GBK" w:hAnsi="方正书宋_GBK" w:eastAsia="方正书宋_GBK" w:cs="宋体"/>
                <w:b/>
                <w:bCs/>
                <w:kern w:val="0"/>
                <w:sz w:val="22"/>
                <w:szCs w:val="22"/>
              </w:rPr>
              <w:t>遵化市东新庄镇人民政府</w:t>
            </w:r>
          </w:p>
        </w:tc>
        <w:tc>
          <w:tcPr>
            <w:tcW w:w="1980" w:type="dxa"/>
            <w:gridSpan w:val="2"/>
            <w:tcBorders>
              <w:top w:val="nil"/>
              <w:left w:val="nil"/>
              <w:bottom w:val="nil"/>
              <w:right w:val="nil"/>
            </w:tcBorders>
            <w:shd w:val="clear" w:color="000000" w:fill="FFFFFF"/>
            <w:vAlign w:val="center"/>
          </w:tcPr>
          <w:p>
            <w:pPr>
              <w:widowControl/>
              <w:jc w:val="left"/>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预算年度：</w:t>
            </w:r>
            <w:r>
              <w:rPr>
                <w:rFonts w:ascii="Times New Roman" w:hAnsi="Times New Roman" w:eastAsia="方正书宋_GBK"/>
                <w:b/>
                <w:bCs/>
                <w:kern w:val="0"/>
                <w:sz w:val="22"/>
                <w:szCs w:val="22"/>
              </w:rPr>
              <w:t>2022</w:t>
            </w:r>
          </w:p>
        </w:tc>
        <w:tc>
          <w:tcPr>
            <w:tcW w:w="1980" w:type="dxa"/>
            <w:gridSpan w:val="2"/>
            <w:tcBorders>
              <w:top w:val="nil"/>
              <w:left w:val="nil"/>
              <w:bottom w:val="nil"/>
              <w:right w:val="nil"/>
            </w:tcBorders>
            <w:vAlign w:val="center"/>
          </w:tcPr>
          <w:p>
            <w:pPr>
              <w:widowControl/>
              <w:jc w:val="right"/>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金额单位：万元</w:t>
            </w:r>
          </w:p>
        </w:tc>
      </w:tr>
      <w:tr>
        <w:tblPrEx>
          <w:tblCellMar>
            <w:top w:w="0" w:type="dxa"/>
            <w:left w:w="108" w:type="dxa"/>
            <w:bottom w:w="0" w:type="dxa"/>
            <w:right w:w="108" w:type="dxa"/>
          </w:tblCellMar>
        </w:tblPrEx>
        <w:trPr>
          <w:trHeight w:val="43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532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13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本年收入合计</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财政拨款收入</w:t>
            </w:r>
          </w:p>
        </w:tc>
        <w:tc>
          <w:tcPr>
            <w:tcW w:w="1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上级补助收入</w:t>
            </w:r>
          </w:p>
        </w:tc>
        <w:tc>
          <w:tcPr>
            <w:tcW w:w="20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事业收入</w:t>
            </w:r>
          </w:p>
        </w:tc>
        <w:tc>
          <w:tcPr>
            <w:tcW w:w="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经营收入</w:t>
            </w:r>
          </w:p>
        </w:tc>
        <w:tc>
          <w:tcPr>
            <w:tcW w:w="10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附属单位上缴收入</w:t>
            </w: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其他收入</w:t>
            </w:r>
          </w:p>
        </w:tc>
      </w:tr>
      <w:tr>
        <w:tblPrEx>
          <w:tblCellMar>
            <w:top w:w="0" w:type="dxa"/>
            <w:left w:w="108" w:type="dxa"/>
            <w:bottom w:w="0" w:type="dxa"/>
            <w:right w:w="108" w:type="dxa"/>
          </w:tblCellMar>
        </w:tblPrEx>
        <w:trPr>
          <w:trHeight w:val="81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功能分类科目编码</w:t>
            </w:r>
          </w:p>
        </w:tc>
        <w:tc>
          <w:tcPr>
            <w:tcW w:w="40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小计</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其中：财政专户收入</w:t>
            </w: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40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100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6</w:t>
            </w:r>
          </w:p>
        </w:tc>
        <w:tc>
          <w:tcPr>
            <w:tcW w:w="11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7</w:t>
            </w:r>
          </w:p>
        </w:tc>
        <w:tc>
          <w:tcPr>
            <w:tcW w:w="8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8</w:t>
            </w:r>
          </w:p>
        </w:tc>
        <w:tc>
          <w:tcPr>
            <w:tcW w:w="100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9</w:t>
            </w:r>
          </w:p>
        </w:tc>
        <w:tc>
          <w:tcPr>
            <w:tcW w:w="98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10</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合计</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201</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一般公共服务支出</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20103</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政府办公厅（室）及相关机构事务</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2010301</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行政运行</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208</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社会保障和就业支出</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20805</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行政事业单位养老支出</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2080505</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机关事业单位基本养老保险缴费支出</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64.60</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64.60</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2080506</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机关事业单位职业年金缴费支出</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210</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卫生健康支出</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21011</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行政事业单位医疗</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2101101</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行政单位医疗</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213</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农林水支出</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21307</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农村综合改革</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1260"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2130705</w:t>
            </w:r>
          </w:p>
        </w:tc>
        <w:tc>
          <w:tcPr>
            <w:tcW w:w="4060"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对村民委员会和村支部的补助</w:t>
            </w:r>
          </w:p>
        </w:tc>
        <w:tc>
          <w:tcPr>
            <w:tcW w:w="130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2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00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12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21305</w:t>
            </w:r>
          </w:p>
        </w:tc>
        <w:tc>
          <w:tcPr>
            <w:tcW w:w="40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农村基础设施建设</w:t>
            </w:r>
          </w:p>
        </w:tc>
        <w:tc>
          <w:tcPr>
            <w:tcW w:w="130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2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1260"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2130504</w:t>
            </w:r>
          </w:p>
        </w:tc>
        <w:tc>
          <w:tcPr>
            <w:tcW w:w="4060"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农村基础设施建设</w:t>
            </w:r>
          </w:p>
        </w:tc>
        <w:tc>
          <w:tcPr>
            <w:tcW w:w="130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2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00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1260"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221</w:t>
            </w:r>
          </w:p>
        </w:tc>
        <w:tc>
          <w:tcPr>
            <w:tcW w:w="4060"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住房保障支出</w:t>
            </w:r>
          </w:p>
        </w:tc>
        <w:tc>
          <w:tcPr>
            <w:tcW w:w="130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2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00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22102</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住房改革支出</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12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2210201</w:t>
            </w:r>
          </w:p>
        </w:tc>
        <w:tc>
          <w:tcPr>
            <w:tcW w:w="406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住房公积金</w:t>
            </w:r>
          </w:p>
        </w:tc>
        <w:tc>
          <w:tcPr>
            <w:tcW w:w="13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00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bl>
    <w:tbl>
      <w:tblPr>
        <w:tblStyle w:val="5"/>
        <w:tblpPr w:leftFromText="180" w:rightFromText="180" w:vertAnchor="text" w:horzAnchor="page" w:tblpX="1442" w:tblpY="97"/>
        <w:tblOverlap w:val="never"/>
        <w:tblW w:w="14000" w:type="dxa"/>
        <w:tblInd w:w="0" w:type="dxa"/>
        <w:tblLayout w:type="autofit"/>
        <w:tblCellMar>
          <w:top w:w="0" w:type="dxa"/>
          <w:left w:w="108" w:type="dxa"/>
          <w:bottom w:w="0" w:type="dxa"/>
          <w:right w:w="108" w:type="dxa"/>
        </w:tblCellMar>
      </w:tblPr>
      <w:tblGrid>
        <w:gridCol w:w="640"/>
        <w:gridCol w:w="1196"/>
        <w:gridCol w:w="3900"/>
        <w:gridCol w:w="1380"/>
        <w:gridCol w:w="1380"/>
        <w:gridCol w:w="1380"/>
        <w:gridCol w:w="1380"/>
        <w:gridCol w:w="1380"/>
        <w:gridCol w:w="1380"/>
      </w:tblGrid>
      <w:tr>
        <w:tblPrEx>
          <w:tblCellMar>
            <w:top w:w="0" w:type="dxa"/>
            <w:left w:w="108" w:type="dxa"/>
            <w:bottom w:w="0" w:type="dxa"/>
            <w:right w:w="108" w:type="dxa"/>
          </w:tblCellMar>
        </w:tblPrEx>
        <w:trPr>
          <w:trHeight w:val="690" w:hRule="atLeast"/>
        </w:trPr>
        <w:tc>
          <w:tcPr>
            <w:tcW w:w="14000" w:type="dxa"/>
            <w:gridSpan w:val="9"/>
            <w:tcBorders>
              <w:top w:val="nil"/>
              <w:left w:val="nil"/>
              <w:bottom w:val="nil"/>
              <w:right w:val="nil"/>
            </w:tcBorders>
            <w:vAlign w:val="center"/>
          </w:tcPr>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r>
              <w:rPr>
                <w:rFonts w:hint="eastAsia" w:ascii="仿宋" w:hAnsi="仿宋" w:eastAsia="仿宋" w:cs="仿宋"/>
                <w:b/>
                <w:bCs/>
                <w:kern w:val="0"/>
                <w:sz w:val="28"/>
                <w:szCs w:val="28"/>
              </w:rPr>
              <w:t>附表1-3</w:t>
            </w: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部门预算支出总表</w:t>
            </w:r>
          </w:p>
        </w:tc>
      </w:tr>
      <w:tr>
        <w:tblPrEx>
          <w:tblCellMar>
            <w:top w:w="0" w:type="dxa"/>
            <w:left w:w="108" w:type="dxa"/>
            <w:bottom w:w="0" w:type="dxa"/>
            <w:right w:w="108" w:type="dxa"/>
          </w:tblCellMar>
        </w:tblPrEx>
        <w:trPr>
          <w:trHeight w:val="375" w:hRule="atLeast"/>
        </w:trPr>
        <w:tc>
          <w:tcPr>
            <w:tcW w:w="8480" w:type="dxa"/>
            <w:gridSpan w:val="5"/>
            <w:tcBorders>
              <w:top w:val="nil"/>
              <w:left w:val="nil"/>
              <w:bottom w:val="nil"/>
              <w:right w:val="nil"/>
            </w:tcBorders>
            <w:shd w:val="clear" w:color="000000" w:fill="FFFFFF"/>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760" w:type="dxa"/>
            <w:gridSpan w:val="2"/>
            <w:tcBorders>
              <w:top w:val="nil"/>
              <w:left w:val="nil"/>
              <w:bottom w:val="nil"/>
              <w:right w:val="nil"/>
            </w:tcBorders>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760" w:type="dxa"/>
            <w:gridSpan w:val="2"/>
            <w:tcBorders>
              <w:top w:val="nil"/>
              <w:left w:val="nil"/>
              <w:bottom w:val="nil"/>
              <w:right w:val="nil"/>
            </w:tcBorders>
            <w:vAlign w:val="center"/>
          </w:tcPr>
          <w:p>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tblPrEx>
          <w:tblCellMar>
            <w:top w:w="0" w:type="dxa"/>
            <w:left w:w="108" w:type="dxa"/>
            <w:bottom w:w="0" w:type="dxa"/>
            <w:right w:w="108" w:type="dxa"/>
          </w:tblCellMar>
        </w:tblPrEx>
        <w:trPr>
          <w:trHeight w:val="405"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50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本年支出合计</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基本支出</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项目支出</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上缴上级支出</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经营支出</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对附属单位补助支出</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功能分类科目编码</w:t>
            </w:r>
          </w:p>
        </w:tc>
        <w:tc>
          <w:tcPr>
            <w:tcW w:w="390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390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138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c>
          <w:tcPr>
            <w:tcW w:w="138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6</w:t>
            </w:r>
          </w:p>
        </w:tc>
        <w:tc>
          <w:tcPr>
            <w:tcW w:w="138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7</w:t>
            </w:r>
          </w:p>
        </w:tc>
        <w:tc>
          <w:tcPr>
            <w:tcW w:w="138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8</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合计</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794.84</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201</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一般公共服务支出</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20103</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政府办公厅（室）及相关机构事务</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2010301</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行政运行</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208</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社会保障和就业支出</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20805</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行政事业单位养老支出</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2080505</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机关事业单位基本养老保险缴费支出</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64.60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64.60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2080506</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机关事业单位职业年金缴费支出</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210</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卫生健康支出</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21011</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行政事业单位医疗</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2101101</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行政单位医疗</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213</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农林水支出</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21307</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农村综合改革</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2130705</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对村民委员会和村支部的补助</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15　</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21305</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农村基础设施建设</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11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2130504</w:t>
            </w:r>
          </w:p>
        </w:tc>
        <w:tc>
          <w:tcPr>
            <w:tcW w:w="3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农村基础设施建设</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1180"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221</w:t>
            </w:r>
          </w:p>
        </w:tc>
        <w:tc>
          <w:tcPr>
            <w:tcW w:w="3900"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住房保障支出</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1180"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22102</w:t>
            </w:r>
          </w:p>
        </w:tc>
        <w:tc>
          <w:tcPr>
            <w:tcW w:w="3900"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住房改革支出</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1180"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2210201</w:t>
            </w:r>
          </w:p>
        </w:tc>
        <w:tc>
          <w:tcPr>
            <w:tcW w:w="3900" w:type="dxa"/>
            <w:tcBorders>
              <w:top w:val="nil"/>
              <w:left w:val="nil"/>
              <w:bottom w:val="single" w:color="auto" w:sz="4" w:space="0"/>
              <w:right w:val="single" w:color="auto" w:sz="4" w:space="0"/>
            </w:tcBorders>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住房公积金</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bl>
    <w:p>
      <w:pPr>
        <w:widowControl/>
        <w:tabs>
          <w:tab w:val="left" w:pos="5552"/>
          <w:tab w:val="left" w:pos="7323"/>
          <w:tab w:val="left" w:pos="12218"/>
          <w:tab w:val="left" w:pos="14365"/>
          <w:tab w:val="left" w:pos="17759"/>
          <w:tab w:val="left" w:pos="19300"/>
          <w:tab w:val="left" w:pos="20220"/>
        </w:tabs>
        <w:rPr>
          <w:rFonts w:ascii="仿宋" w:hAnsi="仿宋" w:eastAsia="仿宋" w:cs="仿宋"/>
          <w:b/>
          <w:color w:val="000000"/>
          <w:kern w:val="0"/>
          <w:sz w:val="28"/>
          <w:szCs w:val="28"/>
        </w:rPr>
      </w:pPr>
    </w:p>
    <w:p>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p>
      <w:pPr>
        <w:widowControl/>
        <w:tabs>
          <w:tab w:val="left" w:pos="5552"/>
          <w:tab w:val="left" w:pos="7323"/>
          <w:tab w:val="left" w:pos="12218"/>
          <w:tab w:val="left" w:pos="14365"/>
          <w:tab w:val="left" w:pos="17759"/>
          <w:tab w:val="left" w:pos="19300"/>
          <w:tab w:val="left" w:pos="20220"/>
        </w:tabs>
        <w:ind w:firstLine="642"/>
        <w:jc w:val="left"/>
        <w:rPr>
          <w:rFonts w:ascii="仿宋" w:hAnsi="仿宋" w:eastAsia="仿宋" w:cs="仿宋"/>
          <w:sz w:val="28"/>
          <w:szCs w:val="28"/>
        </w:rPr>
      </w:pPr>
    </w:p>
    <w:p>
      <w:pPr>
        <w:widowControl/>
        <w:rPr>
          <w:rFonts w:ascii="仿宋" w:hAnsi="仿宋" w:eastAsia="仿宋" w:cs="仿宋"/>
          <w:b/>
          <w:bCs/>
          <w:kern w:val="0"/>
          <w:sz w:val="28"/>
          <w:szCs w:val="28"/>
        </w:rPr>
      </w:pPr>
      <w:r>
        <w:rPr>
          <w:rFonts w:hint="eastAsia" w:ascii="仿宋" w:hAnsi="仿宋" w:eastAsia="仿宋" w:cs="仿宋"/>
          <w:sz w:val="28"/>
          <w:szCs w:val="28"/>
        </w:rPr>
        <w:br w:type="page"/>
      </w:r>
      <w:r>
        <w:rPr>
          <w:rFonts w:hint="eastAsia" w:ascii="仿宋" w:hAnsi="仿宋" w:eastAsia="仿宋" w:cs="仿宋"/>
          <w:sz w:val="28"/>
          <w:szCs w:val="28"/>
        </w:rPr>
        <w:t>附表1-4</w:t>
      </w:r>
    </w:p>
    <w:tbl>
      <w:tblPr>
        <w:tblStyle w:val="5"/>
        <w:tblW w:w="14440" w:type="dxa"/>
        <w:tblInd w:w="93" w:type="dxa"/>
        <w:tblLayout w:type="autofit"/>
        <w:tblCellMar>
          <w:top w:w="0" w:type="dxa"/>
          <w:left w:w="108" w:type="dxa"/>
          <w:bottom w:w="0" w:type="dxa"/>
          <w:right w:w="108" w:type="dxa"/>
        </w:tblCellMar>
      </w:tblPr>
      <w:tblGrid>
        <w:gridCol w:w="720"/>
        <w:gridCol w:w="40"/>
        <w:gridCol w:w="1600"/>
        <w:gridCol w:w="20"/>
        <w:gridCol w:w="2100"/>
        <w:gridCol w:w="1320"/>
        <w:gridCol w:w="1420"/>
        <w:gridCol w:w="140"/>
        <w:gridCol w:w="2160"/>
        <w:gridCol w:w="160"/>
        <w:gridCol w:w="40"/>
        <w:gridCol w:w="1080"/>
        <w:gridCol w:w="1020"/>
        <w:gridCol w:w="220"/>
        <w:gridCol w:w="40"/>
        <w:gridCol w:w="1060"/>
        <w:gridCol w:w="980"/>
        <w:gridCol w:w="120"/>
        <w:gridCol w:w="200"/>
      </w:tblGrid>
      <w:tr>
        <w:tblPrEx>
          <w:tblCellMar>
            <w:top w:w="0" w:type="dxa"/>
            <w:left w:w="108" w:type="dxa"/>
            <w:bottom w:w="0" w:type="dxa"/>
            <w:right w:w="108" w:type="dxa"/>
          </w:tblCellMar>
        </w:tblPrEx>
        <w:trPr>
          <w:gridAfter w:val="1"/>
          <w:wAfter w:w="200" w:type="dxa"/>
          <w:trHeight w:val="660" w:hRule="atLeast"/>
        </w:trPr>
        <w:tc>
          <w:tcPr>
            <w:tcW w:w="14240" w:type="dxa"/>
            <w:gridSpan w:val="18"/>
            <w:tcBorders>
              <w:top w:val="nil"/>
              <w:left w:val="nil"/>
              <w:bottom w:val="nil"/>
              <w:right w:val="nil"/>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部门预算财政拨款收支总表</w:t>
            </w:r>
          </w:p>
        </w:tc>
      </w:tr>
      <w:tr>
        <w:tblPrEx>
          <w:tblCellMar>
            <w:top w:w="0" w:type="dxa"/>
            <w:left w:w="108" w:type="dxa"/>
            <w:bottom w:w="0" w:type="dxa"/>
            <w:right w:w="108" w:type="dxa"/>
          </w:tblCellMar>
        </w:tblPrEx>
        <w:trPr>
          <w:gridAfter w:val="1"/>
          <w:wAfter w:w="200" w:type="dxa"/>
          <w:trHeight w:val="375" w:hRule="atLeast"/>
        </w:trPr>
        <w:tc>
          <w:tcPr>
            <w:tcW w:w="5800" w:type="dxa"/>
            <w:gridSpan w:val="6"/>
            <w:vMerge w:val="restart"/>
            <w:tcBorders>
              <w:top w:val="nil"/>
              <w:left w:val="nil"/>
              <w:bottom w:val="nil"/>
              <w:right w:val="nil"/>
            </w:tcBorders>
            <w:shd w:val="clear" w:color="000000" w:fill="FFFFFF"/>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3880" w:type="dxa"/>
            <w:gridSpan w:val="4"/>
            <w:vMerge w:val="restart"/>
            <w:tcBorders>
              <w:top w:val="nil"/>
              <w:left w:val="nil"/>
              <w:bottom w:val="nil"/>
              <w:right w:val="nil"/>
            </w:tcBorders>
            <w:vAlign w:val="center"/>
          </w:tcPr>
          <w:p>
            <w:pPr>
              <w:widowControl/>
              <w:jc w:val="center"/>
              <w:rPr>
                <w:rFonts w:ascii="仿宋" w:hAnsi="仿宋" w:eastAsia="仿宋" w:cs="仿宋"/>
                <w:b/>
                <w:bCs/>
                <w:kern w:val="0"/>
                <w:sz w:val="28"/>
                <w:szCs w:val="28"/>
              </w:rPr>
            </w:pPr>
          </w:p>
        </w:tc>
        <w:tc>
          <w:tcPr>
            <w:tcW w:w="2360" w:type="dxa"/>
            <w:gridSpan w:val="4"/>
            <w:vMerge w:val="restart"/>
            <w:tcBorders>
              <w:top w:val="nil"/>
              <w:left w:val="nil"/>
              <w:bottom w:val="nil"/>
              <w:right w:val="nil"/>
            </w:tcBorders>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200" w:type="dxa"/>
            <w:gridSpan w:val="4"/>
            <w:vMerge w:val="restart"/>
            <w:tcBorders>
              <w:top w:val="nil"/>
              <w:left w:val="nil"/>
              <w:bottom w:val="nil"/>
              <w:right w:val="nil"/>
            </w:tcBorders>
            <w:vAlign w:val="center"/>
          </w:tcPr>
          <w:p>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tblPrEx>
          <w:tblCellMar>
            <w:top w:w="0" w:type="dxa"/>
            <w:left w:w="108" w:type="dxa"/>
            <w:bottom w:w="0" w:type="dxa"/>
            <w:right w:w="108" w:type="dxa"/>
          </w:tblCellMar>
        </w:tblPrEx>
        <w:trPr>
          <w:gridAfter w:val="1"/>
          <w:wAfter w:w="200" w:type="dxa"/>
          <w:trHeight w:val="363" w:hRule="atLeast"/>
        </w:trPr>
        <w:tc>
          <w:tcPr>
            <w:tcW w:w="5800" w:type="dxa"/>
            <w:gridSpan w:val="6"/>
            <w:vMerge w:val="continue"/>
            <w:tcBorders>
              <w:top w:val="nil"/>
              <w:left w:val="nil"/>
              <w:bottom w:val="nil"/>
              <w:right w:val="nil"/>
            </w:tcBorders>
            <w:vAlign w:val="center"/>
          </w:tcPr>
          <w:p>
            <w:pPr>
              <w:widowControl/>
              <w:jc w:val="left"/>
              <w:rPr>
                <w:rFonts w:ascii="仿宋" w:hAnsi="仿宋" w:eastAsia="仿宋" w:cs="仿宋"/>
                <w:b/>
                <w:bCs/>
                <w:kern w:val="0"/>
                <w:sz w:val="28"/>
                <w:szCs w:val="28"/>
              </w:rPr>
            </w:pPr>
          </w:p>
        </w:tc>
        <w:tc>
          <w:tcPr>
            <w:tcW w:w="3880" w:type="dxa"/>
            <w:gridSpan w:val="4"/>
            <w:vMerge w:val="continue"/>
            <w:tcBorders>
              <w:top w:val="nil"/>
              <w:left w:val="nil"/>
              <w:bottom w:val="nil"/>
              <w:right w:val="nil"/>
            </w:tcBorders>
            <w:vAlign w:val="center"/>
          </w:tcPr>
          <w:p>
            <w:pPr>
              <w:widowControl/>
              <w:jc w:val="left"/>
              <w:rPr>
                <w:rFonts w:ascii="仿宋" w:hAnsi="仿宋" w:eastAsia="仿宋" w:cs="仿宋"/>
                <w:b/>
                <w:bCs/>
                <w:kern w:val="0"/>
                <w:sz w:val="28"/>
                <w:szCs w:val="28"/>
              </w:rPr>
            </w:pPr>
          </w:p>
        </w:tc>
        <w:tc>
          <w:tcPr>
            <w:tcW w:w="2360" w:type="dxa"/>
            <w:gridSpan w:val="4"/>
            <w:vMerge w:val="continue"/>
            <w:tcBorders>
              <w:top w:val="nil"/>
              <w:left w:val="nil"/>
              <w:bottom w:val="nil"/>
              <w:right w:val="nil"/>
            </w:tcBorders>
            <w:vAlign w:val="center"/>
          </w:tcPr>
          <w:p>
            <w:pPr>
              <w:widowControl/>
              <w:jc w:val="left"/>
              <w:rPr>
                <w:rFonts w:ascii="仿宋" w:hAnsi="仿宋" w:eastAsia="仿宋" w:cs="仿宋"/>
                <w:b/>
                <w:bCs/>
                <w:kern w:val="0"/>
                <w:sz w:val="28"/>
                <w:szCs w:val="28"/>
              </w:rPr>
            </w:pPr>
          </w:p>
        </w:tc>
        <w:tc>
          <w:tcPr>
            <w:tcW w:w="2200" w:type="dxa"/>
            <w:gridSpan w:val="4"/>
            <w:vMerge w:val="continue"/>
            <w:tcBorders>
              <w:top w:val="nil"/>
              <w:left w:val="nil"/>
              <w:bottom w:val="nil"/>
              <w:right w:val="nil"/>
            </w:tcBorders>
            <w:vAlign w:val="center"/>
          </w:tcPr>
          <w:p>
            <w:pPr>
              <w:widowControl/>
              <w:jc w:val="left"/>
              <w:rPr>
                <w:rFonts w:ascii="仿宋" w:hAnsi="仿宋" w:eastAsia="仿宋" w:cs="仿宋"/>
                <w:b/>
                <w:bCs/>
                <w:kern w:val="0"/>
                <w:sz w:val="28"/>
                <w:szCs w:val="28"/>
              </w:rPr>
            </w:pPr>
          </w:p>
        </w:tc>
      </w:tr>
      <w:tr>
        <w:tblPrEx>
          <w:tblCellMar>
            <w:top w:w="0" w:type="dxa"/>
            <w:left w:w="108" w:type="dxa"/>
            <w:bottom w:w="0" w:type="dxa"/>
            <w:right w:w="108" w:type="dxa"/>
          </w:tblCellMar>
        </w:tblPrEx>
        <w:trPr>
          <w:gridAfter w:val="1"/>
          <w:wAfter w:w="200" w:type="dxa"/>
          <w:trHeight w:val="81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3760"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金额</w:t>
            </w:r>
          </w:p>
        </w:tc>
        <w:tc>
          <w:tcPr>
            <w:tcW w:w="3880"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112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124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一般公共预算财政拨款</w:t>
            </w:r>
          </w:p>
        </w:tc>
        <w:tc>
          <w:tcPr>
            <w:tcW w:w="110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政府性基金预算财政拨款</w:t>
            </w:r>
          </w:p>
        </w:tc>
        <w:tc>
          <w:tcPr>
            <w:tcW w:w="110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国有资本经营预算财政拨款</w:t>
            </w:r>
          </w:p>
        </w:tc>
      </w:tr>
      <w:tr>
        <w:tblPrEx>
          <w:tblCellMar>
            <w:top w:w="0" w:type="dxa"/>
            <w:left w:w="108" w:type="dxa"/>
            <w:bottom w:w="0" w:type="dxa"/>
            <w:right w:w="108" w:type="dxa"/>
          </w:tblCellMar>
        </w:tblPrEx>
        <w:trPr>
          <w:gridAfter w:val="1"/>
          <w:wAfter w:w="200" w:type="dxa"/>
          <w:trHeight w:val="285"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376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132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388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112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124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c>
          <w:tcPr>
            <w:tcW w:w="11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6</w:t>
            </w:r>
          </w:p>
        </w:tc>
        <w:tc>
          <w:tcPr>
            <w:tcW w:w="11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7</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一、一般公共预算拨款收入</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一、一般公共服务支出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二、政府性基金预算拨款收入</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二、外交支出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三、国有资本经营预算拨款收入</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三、国防支出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四、财政专户管理资金收入</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四、公共安全支出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五、事业收入</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五、教育支出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六、事业单位经营收入</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六、科学技术支出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七、上级补助收入</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七、文化旅游体育与传媒支出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八、附属单位上级收入</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八、社会保障和就业支出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九、其他支出</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九、卫生健康支出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十、节能环保支出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十一、城乡社区支出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十二、农林水支出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十三、交通运输支出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十、资源勘探工业信息等支出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十五、商业服务业等支出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十六、金融支出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十七、援助其他地区支出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十八、自然资源海洋气象等支出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十九、住房保障支出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20</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二十、粮油物资储备支出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21</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二十一、国有资本经营预算支出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22</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二十二、灾害防治及应急管理支出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23</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二十三、债务还本支出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24</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二十四、债务付息支出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25</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二十五、债务发行费用支出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26</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二十六、其他支出</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27</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本年收入合计</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本年支出合计</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28</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年初财政拨款结转和结余</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年末财政拨款结转和结余</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29</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一、一般公共预算拨款</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30</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二、政府性基金预算拨款</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31</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三、国有资本经营预算拨款</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32</w:t>
            </w:r>
          </w:p>
        </w:tc>
        <w:tc>
          <w:tcPr>
            <w:tcW w:w="376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收入总计</w:t>
            </w:r>
          </w:p>
        </w:tc>
        <w:tc>
          <w:tcPr>
            <w:tcW w:w="13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3880" w:type="dxa"/>
            <w:gridSpan w:val="4"/>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支出总计</w:t>
            </w:r>
          </w:p>
        </w:tc>
        <w:tc>
          <w:tcPr>
            <w:tcW w:w="112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24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gridAfter w:val="2"/>
          <w:wAfter w:w="320" w:type="dxa"/>
          <w:trHeight w:val="795" w:hRule="atLeast"/>
        </w:trPr>
        <w:tc>
          <w:tcPr>
            <w:tcW w:w="14120" w:type="dxa"/>
            <w:gridSpan w:val="17"/>
            <w:tcBorders>
              <w:top w:val="nil"/>
              <w:left w:val="nil"/>
              <w:bottom w:val="nil"/>
              <w:right w:val="nil"/>
            </w:tcBorders>
            <w:vAlign w:val="center"/>
          </w:tcPr>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r>
              <w:rPr>
                <w:rFonts w:hint="eastAsia" w:ascii="仿宋" w:hAnsi="仿宋" w:eastAsia="仿宋" w:cs="仿宋"/>
                <w:b/>
                <w:bCs/>
                <w:kern w:val="0"/>
                <w:sz w:val="28"/>
                <w:szCs w:val="28"/>
              </w:rPr>
              <w:t>附表1-5</w:t>
            </w:r>
          </w:p>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部门预算一般公共预算财政拨款支出表</w:t>
            </w:r>
          </w:p>
        </w:tc>
      </w:tr>
      <w:tr>
        <w:tblPrEx>
          <w:tblCellMar>
            <w:top w:w="0" w:type="dxa"/>
            <w:left w:w="108" w:type="dxa"/>
            <w:bottom w:w="0" w:type="dxa"/>
            <w:right w:w="108" w:type="dxa"/>
          </w:tblCellMar>
        </w:tblPrEx>
        <w:trPr>
          <w:gridAfter w:val="2"/>
          <w:wAfter w:w="320" w:type="dxa"/>
          <w:trHeight w:val="285" w:hRule="atLeast"/>
        </w:trPr>
        <w:tc>
          <w:tcPr>
            <w:tcW w:w="9520" w:type="dxa"/>
            <w:gridSpan w:val="9"/>
            <w:tcBorders>
              <w:top w:val="nil"/>
              <w:left w:val="nil"/>
              <w:bottom w:val="nil"/>
              <w:right w:val="nil"/>
            </w:tcBorders>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300" w:type="dxa"/>
            <w:gridSpan w:val="4"/>
            <w:tcBorders>
              <w:top w:val="nil"/>
              <w:left w:val="nil"/>
              <w:bottom w:val="nil"/>
              <w:right w:val="nil"/>
            </w:tcBorders>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300" w:type="dxa"/>
            <w:gridSpan w:val="4"/>
            <w:tcBorders>
              <w:top w:val="nil"/>
              <w:left w:val="nil"/>
              <w:bottom w:val="nil"/>
              <w:right w:val="nil"/>
            </w:tcBorders>
            <w:vAlign w:val="center"/>
          </w:tcPr>
          <w:p>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tblPrEx>
          <w:tblCellMar>
            <w:top w:w="0" w:type="dxa"/>
            <w:left w:w="108" w:type="dxa"/>
            <w:bottom w:w="0" w:type="dxa"/>
            <w:right w:w="108" w:type="dxa"/>
          </w:tblCellMar>
        </w:tblPrEx>
        <w:trPr>
          <w:gridAfter w:val="2"/>
          <w:wAfter w:w="320" w:type="dxa"/>
          <w:trHeight w:val="495" w:hRule="atLeast"/>
        </w:trPr>
        <w:tc>
          <w:tcPr>
            <w:tcW w:w="7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6460"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科目</w:t>
            </w:r>
          </w:p>
        </w:tc>
        <w:tc>
          <w:tcPr>
            <w:tcW w:w="23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合计</w:t>
            </w:r>
          </w:p>
        </w:tc>
        <w:tc>
          <w:tcPr>
            <w:tcW w:w="230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基本支出</w:t>
            </w:r>
          </w:p>
        </w:tc>
        <w:tc>
          <w:tcPr>
            <w:tcW w:w="230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项目支出</w:t>
            </w:r>
          </w:p>
        </w:tc>
      </w:tr>
      <w:tr>
        <w:tblPrEx>
          <w:tblCellMar>
            <w:top w:w="0" w:type="dxa"/>
            <w:left w:w="108" w:type="dxa"/>
            <w:bottom w:w="0" w:type="dxa"/>
            <w:right w:w="108" w:type="dxa"/>
          </w:tblCellMar>
        </w:tblPrEx>
        <w:trPr>
          <w:gridAfter w:val="2"/>
          <w:wAfter w:w="320" w:type="dxa"/>
          <w:trHeight w:val="540" w:hRule="atLeast"/>
        </w:trPr>
        <w:tc>
          <w:tcPr>
            <w:tcW w:w="7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功能分类科目编码</w:t>
            </w:r>
          </w:p>
        </w:tc>
        <w:tc>
          <w:tcPr>
            <w:tcW w:w="484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科目名称</w:t>
            </w:r>
          </w:p>
        </w:tc>
        <w:tc>
          <w:tcPr>
            <w:tcW w:w="23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23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23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栏次</w:t>
            </w:r>
          </w:p>
        </w:tc>
        <w:tc>
          <w:tcPr>
            <w:tcW w:w="162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484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23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230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230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5</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合计</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984.84</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794.84</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190.00</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201</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一般公共服务支出</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20103</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政府办公厅（室）及相关机构事务</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2010301</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行政运行</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5</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208</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社会保障和就业支出</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67.28</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67.28</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20805</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行政事业单位养老支出</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67.28</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67.28</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7</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2080505</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机关事业单位基本养老保险缴费支出</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64.60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64.60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2080506</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机关事业单位职业年金缴费支出</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2.68</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2.68</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9</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210</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卫生健康支出</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21011</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行政事业单位医疗</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11</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2101101</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行政单位医疗</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213</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农林水支出</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190.00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190.00</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21307</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农村综合改革</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110.00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110.00</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14</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2130705</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对村民委员会和村支部的补助</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110.00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110.00</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15　</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21305</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农村基础设施建设</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80.00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80.00</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16　</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2130504</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农村基础设施建设</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80.00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80.00</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17</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221</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住房保障支出</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22102</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住房改革支出</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19</w:t>
            </w:r>
          </w:p>
        </w:tc>
        <w:tc>
          <w:tcPr>
            <w:tcW w:w="1620" w:type="dxa"/>
            <w:gridSpan w:val="2"/>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2210201</w:t>
            </w:r>
          </w:p>
        </w:tc>
        <w:tc>
          <w:tcPr>
            <w:tcW w:w="4840" w:type="dxa"/>
            <w:gridSpan w:val="3"/>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4"/>
              </w:rPr>
            </w:pPr>
            <w:r>
              <w:rPr>
                <w:rFonts w:hint="eastAsia" w:ascii="仿宋" w:hAnsi="仿宋" w:eastAsia="仿宋" w:cs="仿宋"/>
                <w:kern w:val="0"/>
                <w:sz w:val="24"/>
              </w:rPr>
              <w:t>住房公积金</w:t>
            </w:r>
          </w:p>
        </w:tc>
        <w:tc>
          <w:tcPr>
            <w:tcW w:w="2300" w:type="dxa"/>
            <w:gridSpan w:val="2"/>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4"/>
              </w:rPr>
            </w:pPr>
            <w:r>
              <w:rPr>
                <w:rFonts w:hint="eastAsia" w:ascii="仿宋" w:hAnsi="仿宋" w:eastAsia="仿宋" w:cs="仿宋"/>
                <w:kern w:val="0"/>
                <w:sz w:val="24"/>
              </w:rPr>
              <w:t>　</w:t>
            </w:r>
          </w:p>
        </w:tc>
      </w:tr>
      <w:tr>
        <w:tblPrEx>
          <w:tblCellMar>
            <w:top w:w="0" w:type="dxa"/>
            <w:left w:w="108" w:type="dxa"/>
            <w:bottom w:w="0" w:type="dxa"/>
            <w:right w:w="108" w:type="dxa"/>
          </w:tblCellMar>
        </w:tblPrEx>
        <w:trPr>
          <w:trHeight w:val="690" w:hRule="atLeast"/>
        </w:trPr>
        <w:tc>
          <w:tcPr>
            <w:tcW w:w="14440" w:type="dxa"/>
            <w:gridSpan w:val="19"/>
            <w:tcBorders>
              <w:top w:val="nil"/>
              <w:left w:val="nil"/>
              <w:bottom w:val="nil"/>
              <w:right w:val="nil"/>
            </w:tcBorders>
            <w:vAlign w:val="center"/>
          </w:tcPr>
          <w:p>
            <w:pPr>
              <w:widowControl/>
              <w:rPr>
                <w:rFonts w:ascii="仿宋" w:hAnsi="仿宋" w:eastAsia="仿宋" w:cs="仿宋"/>
                <w:b/>
                <w:bCs/>
                <w:kern w:val="0"/>
                <w:sz w:val="28"/>
                <w:szCs w:val="28"/>
              </w:rPr>
            </w:pPr>
            <w:r>
              <w:rPr>
                <w:rFonts w:hint="eastAsia" w:ascii="仿宋" w:hAnsi="仿宋" w:eastAsia="仿宋" w:cs="仿宋"/>
                <w:b/>
                <w:bCs/>
                <w:kern w:val="0"/>
                <w:sz w:val="28"/>
                <w:szCs w:val="28"/>
              </w:rPr>
              <w:t>附表1-6</w:t>
            </w: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部门预算一般公共预算财政拨款基本支出表</w:t>
            </w:r>
          </w:p>
        </w:tc>
      </w:tr>
      <w:tr>
        <w:tblPrEx>
          <w:tblCellMar>
            <w:top w:w="0" w:type="dxa"/>
            <w:left w:w="108" w:type="dxa"/>
            <w:bottom w:w="0" w:type="dxa"/>
            <w:right w:w="108" w:type="dxa"/>
          </w:tblCellMar>
        </w:tblPrEx>
        <w:trPr>
          <w:trHeight w:val="570" w:hRule="atLeast"/>
        </w:trPr>
        <w:tc>
          <w:tcPr>
            <w:tcW w:w="9720" w:type="dxa"/>
            <w:gridSpan w:val="11"/>
            <w:tcBorders>
              <w:top w:val="nil"/>
              <w:left w:val="nil"/>
              <w:bottom w:val="nil"/>
              <w:right w:val="nil"/>
            </w:tcBorders>
            <w:shd w:val="clear" w:color="000000" w:fill="FFFFFF"/>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360" w:type="dxa"/>
            <w:gridSpan w:val="4"/>
            <w:tcBorders>
              <w:top w:val="nil"/>
              <w:left w:val="nil"/>
              <w:bottom w:val="nil"/>
              <w:right w:val="nil"/>
            </w:tcBorders>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360" w:type="dxa"/>
            <w:gridSpan w:val="4"/>
            <w:tcBorders>
              <w:top w:val="nil"/>
              <w:left w:val="nil"/>
              <w:bottom w:val="nil"/>
              <w:right w:val="nil"/>
            </w:tcBorders>
            <w:vAlign w:val="center"/>
          </w:tcPr>
          <w:p>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tblPrEx>
          <w:tblCellMar>
            <w:top w:w="0" w:type="dxa"/>
            <w:left w:w="108" w:type="dxa"/>
            <w:bottom w:w="0" w:type="dxa"/>
            <w:right w:w="108" w:type="dxa"/>
          </w:tblCellMar>
        </w:tblPrEx>
        <w:trPr>
          <w:trHeight w:val="402" w:hRule="atLeast"/>
        </w:trPr>
        <w:tc>
          <w:tcPr>
            <w:tcW w:w="7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6600"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7080" w:type="dxa"/>
            <w:gridSpan w:val="11"/>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基本支出</w:t>
            </w:r>
          </w:p>
        </w:tc>
      </w:tr>
      <w:tr>
        <w:tblPrEx>
          <w:tblCellMar>
            <w:top w:w="0" w:type="dxa"/>
            <w:left w:w="108" w:type="dxa"/>
            <w:bottom w:w="0" w:type="dxa"/>
            <w:right w:w="108" w:type="dxa"/>
          </w:tblCellMar>
        </w:tblPrEx>
        <w:trPr>
          <w:trHeight w:val="555" w:hRule="atLeast"/>
        </w:trPr>
        <w:tc>
          <w:tcPr>
            <w:tcW w:w="7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60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经济分类科目编码</w:t>
            </w:r>
          </w:p>
        </w:tc>
        <w:tc>
          <w:tcPr>
            <w:tcW w:w="5000" w:type="dxa"/>
            <w:gridSpan w:val="5"/>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236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236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人员经费</w:t>
            </w:r>
          </w:p>
        </w:tc>
        <w:tc>
          <w:tcPr>
            <w:tcW w:w="236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公用经费</w:t>
            </w:r>
          </w:p>
        </w:tc>
      </w:tr>
      <w:tr>
        <w:tblPrEx>
          <w:tblCellMar>
            <w:top w:w="0" w:type="dxa"/>
            <w:left w:w="108" w:type="dxa"/>
            <w:bottom w:w="0" w:type="dxa"/>
            <w:right w:w="108" w:type="dxa"/>
          </w:tblCellMar>
        </w:tblPrEx>
        <w:trPr>
          <w:trHeight w:val="499" w:hRule="atLeast"/>
        </w:trPr>
        <w:tc>
          <w:tcPr>
            <w:tcW w:w="76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60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5000" w:type="dxa"/>
            <w:gridSpan w:val="5"/>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2360"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36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2360" w:type="dxa"/>
            <w:gridSpan w:val="4"/>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合计</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794.84</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697.42</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97.42</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301</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工资福利支出</w:t>
            </w:r>
          </w:p>
        </w:tc>
        <w:tc>
          <w:tcPr>
            <w:tcW w:w="2360" w:type="dxa"/>
            <w:gridSpan w:val="3"/>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663.21</w:t>
            </w:r>
          </w:p>
        </w:tc>
        <w:tc>
          <w:tcPr>
            <w:tcW w:w="2360" w:type="dxa"/>
            <w:gridSpan w:val="4"/>
            <w:tcBorders>
              <w:top w:val="nil"/>
              <w:left w:val="nil"/>
              <w:bottom w:val="nil"/>
              <w:right w:val="nil"/>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663.21</w:t>
            </w:r>
          </w:p>
        </w:tc>
        <w:tc>
          <w:tcPr>
            <w:tcW w:w="2360" w:type="dxa"/>
            <w:gridSpan w:val="4"/>
            <w:tcBorders>
              <w:top w:val="nil"/>
              <w:left w:val="single" w:color="auto" w:sz="4" w:space="0"/>
              <w:bottom w:val="nil"/>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30101</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基本工资</w:t>
            </w:r>
          </w:p>
        </w:tc>
        <w:tc>
          <w:tcPr>
            <w:tcW w:w="2360" w:type="dxa"/>
            <w:gridSpan w:val="3"/>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200.48</w:t>
            </w:r>
          </w:p>
        </w:tc>
        <w:tc>
          <w:tcPr>
            <w:tcW w:w="2360" w:type="dxa"/>
            <w:gridSpan w:val="4"/>
            <w:tcBorders>
              <w:top w:val="single" w:color="auto" w:sz="4" w:space="0"/>
              <w:left w:val="nil"/>
              <w:bottom w:val="single" w:color="auto" w:sz="4" w:space="0"/>
              <w:right w:val="single" w:color="auto" w:sz="4" w:space="0"/>
            </w:tcBorders>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200.48</w:t>
            </w:r>
          </w:p>
        </w:tc>
        <w:tc>
          <w:tcPr>
            <w:tcW w:w="2360" w:type="dxa"/>
            <w:gridSpan w:val="4"/>
            <w:tcBorders>
              <w:top w:val="single" w:color="auto" w:sz="4" w:space="0"/>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30102</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津贴补贴</w:t>
            </w:r>
          </w:p>
        </w:tc>
        <w:tc>
          <w:tcPr>
            <w:tcW w:w="2360" w:type="dxa"/>
            <w:gridSpan w:val="3"/>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212.37</w:t>
            </w:r>
          </w:p>
        </w:tc>
        <w:tc>
          <w:tcPr>
            <w:tcW w:w="2360" w:type="dxa"/>
            <w:gridSpan w:val="4"/>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212.37</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30103</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奖金</w:t>
            </w:r>
          </w:p>
        </w:tc>
        <w:tc>
          <w:tcPr>
            <w:tcW w:w="2360" w:type="dxa"/>
            <w:gridSpan w:val="3"/>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10</w:t>
            </w:r>
          </w:p>
        </w:tc>
        <w:tc>
          <w:tcPr>
            <w:tcW w:w="2360" w:type="dxa"/>
            <w:gridSpan w:val="4"/>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10</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30107</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绩效工资</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58.60</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58.60</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30108</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机关事业单位基本养老保险缴费</w:t>
            </w:r>
          </w:p>
        </w:tc>
        <w:tc>
          <w:tcPr>
            <w:tcW w:w="2360" w:type="dxa"/>
            <w:gridSpan w:val="3"/>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64.6</w:t>
            </w:r>
          </w:p>
        </w:tc>
        <w:tc>
          <w:tcPr>
            <w:tcW w:w="2360" w:type="dxa"/>
            <w:gridSpan w:val="4"/>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64.6</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30109</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职业年金缴费</w:t>
            </w:r>
          </w:p>
        </w:tc>
        <w:tc>
          <w:tcPr>
            <w:tcW w:w="2360" w:type="dxa"/>
            <w:gridSpan w:val="3"/>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2360" w:type="dxa"/>
            <w:gridSpan w:val="4"/>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30110</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职工基本医疗保险缴费</w:t>
            </w:r>
          </w:p>
        </w:tc>
        <w:tc>
          <w:tcPr>
            <w:tcW w:w="2360" w:type="dxa"/>
            <w:gridSpan w:val="3"/>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27.53</w:t>
            </w:r>
          </w:p>
        </w:tc>
        <w:tc>
          <w:tcPr>
            <w:tcW w:w="2360" w:type="dxa"/>
            <w:gridSpan w:val="4"/>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27.53</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30111</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公务员医疗补助缴费</w:t>
            </w:r>
          </w:p>
        </w:tc>
        <w:tc>
          <w:tcPr>
            <w:tcW w:w="2360" w:type="dxa"/>
            <w:gridSpan w:val="3"/>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31.47</w:t>
            </w:r>
          </w:p>
        </w:tc>
        <w:tc>
          <w:tcPr>
            <w:tcW w:w="2360" w:type="dxa"/>
            <w:gridSpan w:val="4"/>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31.47</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30112</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其他社会保障缴费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12.28</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12.28</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30113</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住房公积金</w:t>
            </w:r>
          </w:p>
        </w:tc>
        <w:tc>
          <w:tcPr>
            <w:tcW w:w="2360" w:type="dxa"/>
            <w:gridSpan w:val="3"/>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w:t>
            </w:r>
          </w:p>
        </w:tc>
        <w:tc>
          <w:tcPr>
            <w:tcW w:w="2360" w:type="dxa"/>
            <w:gridSpan w:val="4"/>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43.2</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17"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商品和服务支出</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97.42</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97.42</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30201</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办公费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10.20</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10.2</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30206</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电费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2.55</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2.55</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30207</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邮电费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1.82</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1.82</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30208</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取暖费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15.00</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15.00</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30211</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差旅费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2.04</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2.04</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30213</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维修(护)费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1.02</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1.02</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20</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30215</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会议费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0.26</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0.26</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21</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30216</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培训费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0.26</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0.26</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22</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30217</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公务接待费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0.69</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0.69</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23</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30228</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工会经费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4.21</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4.21</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24</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30229</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福利费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5.61</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5.61</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25</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30231</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公务用车运行维护费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26</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30239</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其他交通费用</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24.96</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24.96</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27</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30299</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其他商品和服务支出</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5.60</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5.60</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28</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303</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对个人和家庭的补助</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34.21</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34.21</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29</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30302</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退休费</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18.80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18.80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30</w:t>
            </w:r>
          </w:p>
        </w:tc>
        <w:tc>
          <w:tcPr>
            <w:tcW w:w="16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30307</w:t>
            </w:r>
          </w:p>
        </w:tc>
        <w:tc>
          <w:tcPr>
            <w:tcW w:w="5000" w:type="dxa"/>
            <w:gridSpan w:val="5"/>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医疗费补助</w:t>
            </w:r>
          </w:p>
        </w:tc>
        <w:tc>
          <w:tcPr>
            <w:tcW w:w="2360" w:type="dxa"/>
            <w:gridSpan w:val="3"/>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15.41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15.41　</w:t>
            </w:r>
          </w:p>
        </w:tc>
        <w:tc>
          <w:tcPr>
            <w:tcW w:w="2360" w:type="dxa"/>
            <w:gridSpan w:val="4"/>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bl>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r>
        <w:rPr>
          <w:rFonts w:hint="eastAsia" w:ascii="仿宋" w:hAnsi="仿宋" w:eastAsia="仿宋" w:cs="仿宋"/>
          <w:b/>
          <w:bCs/>
          <w:kern w:val="0"/>
          <w:sz w:val="28"/>
          <w:szCs w:val="28"/>
        </w:rPr>
        <w:t>附表1-7</w:t>
      </w:r>
    </w:p>
    <w:p>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tbl>
      <w:tblPr>
        <w:tblStyle w:val="5"/>
        <w:tblW w:w="14020" w:type="dxa"/>
        <w:tblInd w:w="93" w:type="dxa"/>
        <w:tblLayout w:type="autofit"/>
        <w:tblCellMar>
          <w:top w:w="0" w:type="dxa"/>
          <w:left w:w="108" w:type="dxa"/>
          <w:bottom w:w="0" w:type="dxa"/>
          <w:right w:w="108" w:type="dxa"/>
        </w:tblCellMar>
      </w:tblPr>
      <w:tblGrid>
        <w:gridCol w:w="760"/>
        <w:gridCol w:w="1460"/>
        <w:gridCol w:w="4420"/>
        <w:gridCol w:w="2460"/>
        <w:gridCol w:w="2460"/>
        <w:gridCol w:w="2460"/>
      </w:tblGrid>
      <w:tr>
        <w:tblPrEx>
          <w:tblCellMar>
            <w:top w:w="0" w:type="dxa"/>
            <w:left w:w="108" w:type="dxa"/>
            <w:bottom w:w="0" w:type="dxa"/>
            <w:right w:w="108" w:type="dxa"/>
          </w:tblCellMar>
        </w:tblPrEx>
        <w:trPr>
          <w:trHeight w:val="915" w:hRule="atLeast"/>
        </w:trPr>
        <w:tc>
          <w:tcPr>
            <w:tcW w:w="14020" w:type="dxa"/>
            <w:gridSpan w:val="6"/>
            <w:tcBorders>
              <w:top w:val="nil"/>
              <w:left w:val="nil"/>
              <w:bottom w:val="nil"/>
              <w:right w:val="nil"/>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部门预算政府基金预算财政拨款支出表</w:t>
            </w:r>
          </w:p>
        </w:tc>
      </w:tr>
      <w:tr>
        <w:tblPrEx>
          <w:tblCellMar>
            <w:top w:w="0" w:type="dxa"/>
            <w:left w:w="108" w:type="dxa"/>
            <w:bottom w:w="0" w:type="dxa"/>
            <w:right w:w="108" w:type="dxa"/>
          </w:tblCellMar>
        </w:tblPrEx>
        <w:trPr>
          <w:trHeight w:val="435" w:hRule="atLeast"/>
        </w:trPr>
        <w:tc>
          <w:tcPr>
            <w:tcW w:w="9100" w:type="dxa"/>
            <w:gridSpan w:val="4"/>
            <w:tcBorders>
              <w:top w:val="nil"/>
              <w:left w:val="nil"/>
              <w:bottom w:val="nil"/>
              <w:right w:val="nil"/>
            </w:tcBorders>
            <w:shd w:val="clear" w:color="000000" w:fill="FFFFFF"/>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460" w:type="dxa"/>
            <w:tcBorders>
              <w:top w:val="nil"/>
              <w:left w:val="nil"/>
              <w:bottom w:val="nil"/>
              <w:right w:val="nil"/>
            </w:tcBorders>
            <w:shd w:val="clear" w:color="000000" w:fill="FFFFFF"/>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460" w:type="dxa"/>
            <w:tcBorders>
              <w:top w:val="nil"/>
              <w:left w:val="nil"/>
              <w:bottom w:val="nil"/>
              <w:right w:val="nil"/>
            </w:tcBorders>
            <w:shd w:val="clear" w:color="000000" w:fill="FFFFFF"/>
            <w:vAlign w:val="center"/>
          </w:tcPr>
          <w:p>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tblPrEx>
          <w:tblCellMar>
            <w:top w:w="0" w:type="dxa"/>
            <w:left w:w="108" w:type="dxa"/>
            <w:bottom w:w="0" w:type="dxa"/>
            <w:right w:w="108" w:type="dxa"/>
          </w:tblCellMar>
        </w:tblPrEx>
        <w:trPr>
          <w:trHeight w:val="43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58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基本支出</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项目支出</w:t>
            </w:r>
          </w:p>
        </w:tc>
      </w:tr>
      <w:tr>
        <w:tblPrEx>
          <w:tblCellMar>
            <w:top w:w="0" w:type="dxa"/>
            <w:left w:w="108" w:type="dxa"/>
            <w:bottom w:w="0" w:type="dxa"/>
            <w:right w:w="108" w:type="dxa"/>
          </w:tblCellMar>
        </w:tblPrEx>
        <w:trPr>
          <w:trHeight w:val="825"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功能分类科目编码</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6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6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tblPrEx>
          <w:tblCellMar>
            <w:top w:w="0" w:type="dxa"/>
            <w:left w:w="108" w:type="dxa"/>
            <w:bottom w:w="0" w:type="dxa"/>
            <w:right w:w="108" w:type="dxa"/>
          </w:tblCellMar>
        </w:tblPrEx>
        <w:trPr>
          <w:trHeight w:val="225" w:hRule="atLeast"/>
        </w:trPr>
        <w:tc>
          <w:tcPr>
            <w:tcW w:w="760" w:type="dxa"/>
            <w:tcBorders>
              <w:top w:val="nil"/>
              <w:left w:val="nil"/>
              <w:bottom w:val="nil"/>
              <w:right w:val="nil"/>
            </w:tcBorders>
            <w:noWrap/>
          </w:tcPr>
          <w:p>
            <w:pPr>
              <w:widowControl/>
              <w:jc w:val="left"/>
              <w:rPr>
                <w:rFonts w:ascii="仿宋" w:hAnsi="仿宋" w:eastAsia="仿宋" w:cs="仿宋"/>
                <w:kern w:val="0"/>
                <w:sz w:val="28"/>
                <w:szCs w:val="28"/>
              </w:rPr>
            </w:pPr>
          </w:p>
        </w:tc>
        <w:tc>
          <w:tcPr>
            <w:tcW w:w="1460" w:type="dxa"/>
            <w:tcBorders>
              <w:top w:val="nil"/>
              <w:left w:val="nil"/>
              <w:bottom w:val="nil"/>
              <w:right w:val="nil"/>
            </w:tcBorders>
            <w:noWrap/>
          </w:tcPr>
          <w:p>
            <w:pPr>
              <w:widowControl/>
              <w:jc w:val="left"/>
              <w:rPr>
                <w:rFonts w:ascii="仿宋" w:hAnsi="仿宋" w:eastAsia="仿宋" w:cs="仿宋"/>
                <w:kern w:val="0"/>
                <w:sz w:val="28"/>
                <w:szCs w:val="28"/>
              </w:rPr>
            </w:pPr>
          </w:p>
        </w:tc>
        <w:tc>
          <w:tcPr>
            <w:tcW w:w="4420" w:type="dxa"/>
            <w:tcBorders>
              <w:top w:val="nil"/>
              <w:left w:val="nil"/>
              <w:bottom w:val="nil"/>
              <w:right w:val="nil"/>
            </w:tcBorders>
            <w:noWrap/>
          </w:tcPr>
          <w:p>
            <w:pPr>
              <w:widowControl/>
              <w:jc w:val="left"/>
              <w:rPr>
                <w:rFonts w:ascii="仿宋" w:hAnsi="仿宋" w:eastAsia="仿宋" w:cs="仿宋"/>
                <w:kern w:val="0"/>
                <w:sz w:val="28"/>
                <w:szCs w:val="28"/>
              </w:rPr>
            </w:pPr>
          </w:p>
        </w:tc>
        <w:tc>
          <w:tcPr>
            <w:tcW w:w="2460" w:type="dxa"/>
            <w:tcBorders>
              <w:top w:val="nil"/>
              <w:left w:val="nil"/>
              <w:bottom w:val="nil"/>
              <w:right w:val="nil"/>
            </w:tcBorders>
            <w:noWrap/>
          </w:tcPr>
          <w:p>
            <w:pPr>
              <w:widowControl/>
              <w:jc w:val="left"/>
              <w:rPr>
                <w:rFonts w:ascii="仿宋" w:hAnsi="仿宋" w:eastAsia="仿宋" w:cs="仿宋"/>
                <w:kern w:val="0"/>
                <w:sz w:val="28"/>
                <w:szCs w:val="28"/>
              </w:rPr>
            </w:pPr>
          </w:p>
        </w:tc>
        <w:tc>
          <w:tcPr>
            <w:tcW w:w="2460" w:type="dxa"/>
            <w:tcBorders>
              <w:top w:val="nil"/>
              <w:left w:val="nil"/>
              <w:bottom w:val="nil"/>
              <w:right w:val="nil"/>
            </w:tcBorders>
            <w:noWrap/>
          </w:tcPr>
          <w:p>
            <w:pPr>
              <w:widowControl/>
              <w:jc w:val="left"/>
              <w:rPr>
                <w:rFonts w:ascii="仿宋" w:hAnsi="仿宋" w:eastAsia="仿宋" w:cs="仿宋"/>
                <w:kern w:val="0"/>
                <w:sz w:val="28"/>
                <w:szCs w:val="28"/>
              </w:rPr>
            </w:pPr>
          </w:p>
        </w:tc>
        <w:tc>
          <w:tcPr>
            <w:tcW w:w="2460" w:type="dxa"/>
            <w:tcBorders>
              <w:top w:val="nil"/>
              <w:left w:val="nil"/>
              <w:bottom w:val="nil"/>
              <w:right w:val="nil"/>
            </w:tcBorders>
            <w:noWrap/>
          </w:tcPr>
          <w:p>
            <w:pPr>
              <w:widowControl/>
              <w:jc w:val="left"/>
              <w:rPr>
                <w:rFonts w:ascii="仿宋" w:hAnsi="仿宋" w:eastAsia="仿宋" w:cs="仿宋"/>
                <w:kern w:val="0"/>
                <w:sz w:val="28"/>
                <w:szCs w:val="28"/>
              </w:rPr>
            </w:pPr>
          </w:p>
        </w:tc>
      </w:tr>
      <w:tr>
        <w:tblPrEx>
          <w:tblCellMar>
            <w:top w:w="0" w:type="dxa"/>
            <w:left w:w="108" w:type="dxa"/>
            <w:bottom w:w="0" w:type="dxa"/>
            <w:right w:w="108" w:type="dxa"/>
          </w:tblCellMar>
        </w:tblPrEx>
        <w:trPr>
          <w:trHeight w:val="270" w:hRule="atLeast"/>
        </w:trPr>
        <w:tc>
          <w:tcPr>
            <w:tcW w:w="11560" w:type="dxa"/>
            <w:gridSpan w:val="5"/>
            <w:tcBorders>
              <w:top w:val="nil"/>
              <w:left w:val="nil"/>
              <w:bottom w:val="nil"/>
              <w:right w:val="nil"/>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注：无政府基金预算财政拨款预算，空表列示。</w:t>
            </w:r>
          </w:p>
        </w:tc>
        <w:tc>
          <w:tcPr>
            <w:tcW w:w="2460" w:type="dxa"/>
            <w:tcBorders>
              <w:top w:val="nil"/>
              <w:left w:val="nil"/>
              <w:bottom w:val="nil"/>
              <w:right w:val="nil"/>
            </w:tcBorders>
            <w:noWrap/>
          </w:tcPr>
          <w:p>
            <w:pPr>
              <w:widowControl/>
              <w:jc w:val="left"/>
              <w:rPr>
                <w:rFonts w:ascii="仿宋" w:hAnsi="仿宋" w:eastAsia="仿宋" w:cs="仿宋"/>
                <w:kern w:val="0"/>
                <w:sz w:val="28"/>
                <w:szCs w:val="28"/>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p>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p>
      <w:pPr>
        <w:widowControl/>
        <w:tabs>
          <w:tab w:val="left" w:pos="5552"/>
          <w:tab w:val="left" w:pos="7323"/>
          <w:tab w:val="left" w:pos="12218"/>
          <w:tab w:val="left" w:pos="14365"/>
          <w:tab w:val="left" w:pos="17759"/>
          <w:tab w:val="left" w:pos="19300"/>
          <w:tab w:val="left" w:pos="20220"/>
        </w:tabs>
        <w:rPr>
          <w:rFonts w:ascii="仿宋" w:hAnsi="仿宋" w:eastAsia="仿宋" w:cs="仿宋"/>
          <w:sz w:val="28"/>
          <w:szCs w:val="28"/>
        </w:rPr>
      </w:pPr>
    </w:p>
    <w:tbl>
      <w:tblPr>
        <w:tblStyle w:val="5"/>
        <w:tblW w:w="14180" w:type="dxa"/>
        <w:tblInd w:w="93" w:type="dxa"/>
        <w:tblLayout w:type="autofit"/>
        <w:tblCellMar>
          <w:top w:w="0" w:type="dxa"/>
          <w:left w:w="108" w:type="dxa"/>
          <w:bottom w:w="0" w:type="dxa"/>
          <w:right w:w="108" w:type="dxa"/>
        </w:tblCellMar>
      </w:tblPr>
      <w:tblGrid>
        <w:gridCol w:w="1000"/>
        <w:gridCol w:w="1460"/>
        <w:gridCol w:w="4280"/>
        <w:gridCol w:w="2480"/>
        <w:gridCol w:w="2480"/>
        <w:gridCol w:w="2480"/>
      </w:tblGrid>
      <w:tr>
        <w:tblPrEx>
          <w:tblCellMar>
            <w:top w:w="0" w:type="dxa"/>
            <w:left w:w="108" w:type="dxa"/>
            <w:bottom w:w="0" w:type="dxa"/>
            <w:right w:w="108" w:type="dxa"/>
          </w:tblCellMar>
        </w:tblPrEx>
        <w:trPr>
          <w:trHeight w:val="780" w:hRule="atLeast"/>
        </w:trPr>
        <w:tc>
          <w:tcPr>
            <w:tcW w:w="14180" w:type="dxa"/>
            <w:gridSpan w:val="6"/>
            <w:tcBorders>
              <w:top w:val="nil"/>
              <w:left w:val="nil"/>
              <w:bottom w:val="nil"/>
              <w:right w:val="nil"/>
            </w:tcBorders>
            <w:vAlign w:val="center"/>
          </w:tcPr>
          <w:p>
            <w:pPr>
              <w:widowControl/>
              <w:rPr>
                <w:rFonts w:ascii="仿宋" w:hAnsi="仿宋" w:eastAsia="仿宋" w:cs="仿宋"/>
                <w:b/>
                <w:bCs/>
                <w:kern w:val="0"/>
                <w:sz w:val="28"/>
                <w:szCs w:val="28"/>
              </w:rPr>
            </w:pPr>
            <w:r>
              <w:rPr>
                <w:rFonts w:hint="eastAsia" w:ascii="仿宋" w:hAnsi="仿宋" w:eastAsia="仿宋" w:cs="仿宋"/>
                <w:b/>
                <w:bCs/>
                <w:kern w:val="0"/>
                <w:sz w:val="28"/>
                <w:szCs w:val="28"/>
              </w:rPr>
              <w:t>附表1-8</w:t>
            </w:r>
          </w:p>
          <w:p>
            <w:pPr>
              <w:widowControl/>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部门预算国有资本经营预算财政拨款支出表</w:t>
            </w:r>
          </w:p>
        </w:tc>
      </w:tr>
      <w:tr>
        <w:tblPrEx>
          <w:tblCellMar>
            <w:top w:w="0" w:type="dxa"/>
            <w:left w:w="108" w:type="dxa"/>
            <w:bottom w:w="0" w:type="dxa"/>
            <w:right w:w="108" w:type="dxa"/>
          </w:tblCellMar>
        </w:tblPrEx>
        <w:trPr>
          <w:trHeight w:val="495" w:hRule="atLeast"/>
        </w:trPr>
        <w:tc>
          <w:tcPr>
            <w:tcW w:w="9220" w:type="dxa"/>
            <w:gridSpan w:val="4"/>
            <w:tcBorders>
              <w:top w:val="nil"/>
              <w:left w:val="nil"/>
              <w:bottom w:val="nil"/>
              <w:right w:val="nil"/>
            </w:tcBorders>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480" w:type="dxa"/>
            <w:tcBorders>
              <w:top w:val="nil"/>
              <w:left w:val="nil"/>
              <w:bottom w:val="nil"/>
              <w:right w:val="nil"/>
            </w:tcBorders>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480" w:type="dxa"/>
            <w:tcBorders>
              <w:top w:val="nil"/>
              <w:left w:val="nil"/>
              <w:bottom w:val="nil"/>
              <w:right w:val="nil"/>
            </w:tcBorders>
            <w:vAlign w:val="center"/>
          </w:tcPr>
          <w:p>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tblPrEx>
          <w:tblCellMar>
            <w:top w:w="0" w:type="dxa"/>
            <w:left w:w="108" w:type="dxa"/>
            <w:bottom w:w="0" w:type="dxa"/>
            <w:right w:w="108" w:type="dxa"/>
          </w:tblCellMar>
        </w:tblPrEx>
        <w:trPr>
          <w:trHeight w:val="540"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574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24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24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基本支出</w:t>
            </w:r>
          </w:p>
        </w:tc>
        <w:tc>
          <w:tcPr>
            <w:tcW w:w="24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项目支出</w:t>
            </w:r>
          </w:p>
        </w:tc>
      </w:tr>
      <w:tr>
        <w:tblPrEx>
          <w:tblCellMar>
            <w:top w:w="0" w:type="dxa"/>
            <w:left w:w="108" w:type="dxa"/>
            <w:bottom w:w="0" w:type="dxa"/>
            <w:right w:w="108" w:type="dxa"/>
          </w:tblCellMar>
        </w:tblPrEx>
        <w:trPr>
          <w:trHeight w:val="54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146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功能分类科目编码</w:t>
            </w:r>
          </w:p>
        </w:tc>
        <w:tc>
          <w:tcPr>
            <w:tcW w:w="428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46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428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248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48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248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75" w:hRule="atLeast"/>
        </w:trPr>
        <w:tc>
          <w:tcPr>
            <w:tcW w:w="11700" w:type="dxa"/>
            <w:gridSpan w:val="5"/>
            <w:tcBorders>
              <w:top w:val="single" w:color="auto" w:sz="4" w:space="0"/>
              <w:left w:val="nil"/>
              <w:bottom w:val="nil"/>
              <w:right w:val="nil"/>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注：无国有资本经营预算财政拨款预算，空表列示。</w:t>
            </w:r>
          </w:p>
        </w:tc>
        <w:tc>
          <w:tcPr>
            <w:tcW w:w="2480" w:type="dxa"/>
            <w:tcBorders>
              <w:top w:val="nil"/>
              <w:left w:val="nil"/>
              <w:bottom w:val="nil"/>
              <w:right w:val="nil"/>
            </w:tcBorders>
            <w:noWrap/>
          </w:tcPr>
          <w:p>
            <w:pPr>
              <w:widowControl/>
              <w:jc w:val="left"/>
              <w:rPr>
                <w:rFonts w:ascii="仿宋" w:hAnsi="仿宋" w:eastAsia="仿宋" w:cs="仿宋"/>
                <w:kern w:val="0"/>
                <w:sz w:val="28"/>
                <w:szCs w:val="28"/>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p>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b/>
          <w:color w:val="000000"/>
          <w:kern w:val="0"/>
          <w:sz w:val="28"/>
          <w:szCs w:val="28"/>
        </w:rPr>
      </w:pPr>
    </w:p>
    <w:tbl>
      <w:tblPr>
        <w:tblStyle w:val="5"/>
        <w:tblW w:w="14160" w:type="dxa"/>
        <w:tblInd w:w="93" w:type="dxa"/>
        <w:tblLayout w:type="autofit"/>
        <w:tblCellMar>
          <w:top w:w="0" w:type="dxa"/>
          <w:left w:w="108" w:type="dxa"/>
          <w:bottom w:w="0" w:type="dxa"/>
          <w:right w:w="108" w:type="dxa"/>
        </w:tblCellMar>
      </w:tblPr>
      <w:tblGrid>
        <w:gridCol w:w="1180"/>
        <w:gridCol w:w="3940"/>
        <w:gridCol w:w="2140"/>
        <w:gridCol w:w="2140"/>
        <w:gridCol w:w="2620"/>
        <w:gridCol w:w="2140"/>
      </w:tblGrid>
      <w:tr>
        <w:tblPrEx>
          <w:tblCellMar>
            <w:top w:w="0" w:type="dxa"/>
            <w:left w:w="108" w:type="dxa"/>
            <w:bottom w:w="0" w:type="dxa"/>
            <w:right w:w="108" w:type="dxa"/>
          </w:tblCellMar>
        </w:tblPrEx>
        <w:trPr>
          <w:trHeight w:val="720" w:hRule="atLeast"/>
        </w:trPr>
        <w:tc>
          <w:tcPr>
            <w:tcW w:w="14160" w:type="dxa"/>
            <w:gridSpan w:val="6"/>
            <w:tcBorders>
              <w:top w:val="nil"/>
              <w:left w:val="nil"/>
              <w:bottom w:val="nil"/>
              <w:right w:val="nil"/>
            </w:tcBorders>
            <w:vAlign w:val="center"/>
          </w:tcPr>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p>
          <w:p>
            <w:pPr>
              <w:widowControl/>
              <w:rPr>
                <w:rFonts w:ascii="仿宋" w:hAnsi="仿宋" w:eastAsia="仿宋" w:cs="仿宋"/>
                <w:b/>
                <w:bCs/>
                <w:kern w:val="0"/>
                <w:sz w:val="28"/>
                <w:szCs w:val="28"/>
              </w:rPr>
            </w:pPr>
            <w:r>
              <w:rPr>
                <w:rFonts w:hint="eastAsia" w:ascii="仿宋" w:hAnsi="仿宋" w:eastAsia="仿宋" w:cs="仿宋"/>
                <w:b/>
                <w:bCs/>
                <w:kern w:val="0"/>
                <w:sz w:val="28"/>
                <w:szCs w:val="28"/>
              </w:rPr>
              <w:t>附表1-9</w:t>
            </w: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部门预算财政拨款“三公”经费支出表</w:t>
            </w:r>
          </w:p>
        </w:tc>
      </w:tr>
      <w:tr>
        <w:tblPrEx>
          <w:tblCellMar>
            <w:top w:w="0" w:type="dxa"/>
            <w:left w:w="108" w:type="dxa"/>
            <w:bottom w:w="0" w:type="dxa"/>
            <w:right w:w="108" w:type="dxa"/>
          </w:tblCellMar>
        </w:tblPrEx>
        <w:trPr>
          <w:trHeight w:val="435" w:hRule="atLeast"/>
        </w:trPr>
        <w:tc>
          <w:tcPr>
            <w:tcW w:w="9400" w:type="dxa"/>
            <w:gridSpan w:val="4"/>
            <w:tcBorders>
              <w:top w:val="nil"/>
              <w:left w:val="nil"/>
              <w:bottom w:val="nil"/>
              <w:right w:val="nil"/>
            </w:tcBorders>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620" w:type="dxa"/>
            <w:tcBorders>
              <w:top w:val="nil"/>
              <w:left w:val="nil"/>
              <w:bottom w:val="nil"/>
              <w:right w:val="nil"/>
            </w:tcBorders>
            <w:vAlign w:val="center"/>
          </w:tcPr>
          <w:p>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140" w:type="dxa"/>
            <w:tcBorders>
              <w:top w:val="nil"/>
              <w:left w:val="nil"/>
              <w:bottom w:val="nil"/>
              <w:right w:val="nil"/>
            </w:tcBorders>
            <w:vAlign w:val="center"/>
          </w:tcPr>
          <w:p>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tblPrEx>
          <w:tblCellMar>
            <w:top w:w="0" w:type="dxa"/>
            <w:left w:w="108" w:type="dxa"/>
            <w:bottom w:w="0" w:type="dxa"/>
            <w:right w:w="108" w:type="dxa"/>
          </w:tblCellMar>
        </w:tblPrEx>
        <w:trPr>
          <w:trHeight w:val="390" w:hRule="atLeast"/>
        </w:trPr>
        <w:tc>
          <w:tcPr>
            <w:tcW w:w="11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39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9040"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资金来源</w:t>
            </w:r>
          </w:p>
        </w:tc>
      </w:tr>
      <w:tr>
        <w:tblPrEx>
          <w:tblCellMar>
            <w:top w:w="0" w:type="dxa"/>
            <w:left w:w="108" w:type="dxa"/>
            <w:bottom w:w="0" w:type="dxa"/>
            <w:right w:w="108" w:type="dxa"/>
          </w:tblCellMar>
        </w:tblPrEx>
        <w:trPr>
          <w:trHeight w:val="540" w:hRule="atLeast"/>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3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kern w:val="0"/>
                <w:sz w:val="28"/>
                <w:szCs w:val="28"/>
              </w:rPr>
            </w:pPr>
          </w:p>
        </w:tc>
        <w:tc>
          <w:tcPr>
            <w:tcW w:w="214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214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一般公共预算财政拨款</w:t>
            </w:r>
          </w:p>
        </w:tc>
        <w:tc>
          <w:tcPr>
            <w:tcW w:w="262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政府性基金财政拨款</w:t>
            </w:r>
          </w:p>
        </w:tc>
        <w:tc>
          <w:tcPr>
            <w:tcW w:w="214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国有资本经营预算财政拨款</w:t>
            </w:r>
          </w:p>
        </w:tc>
      </w:tr>
      <w:tr>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394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214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214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62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2140" w:type="dxa"/>
            <w:tcBorders>
              <w:top w:val="nil"/>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r>
      <w:tr>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39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合计</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23.89</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23.89</w:t>
            </w:r>
          </w:p>
        </w:tc>
        <w:tc>
          <w:tcPr>
            <w:tcW w:w="26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r>
      <w:tr>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39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一、因公出国（境）费</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6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39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二、公务用车购置及运维费</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6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39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xml:space="preserve">    其中：公务用车购置费</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6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39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 xml:space="preserve">       公务用车运行维护费</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6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394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三、公务接待费</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0.69</w:t>
            </w: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r>
              <w:rPr>
                <w:rFonts w:hint="eastAsia" w:ascii="仿宋" w:hAnsi="仿宋" w:eastAsia="仿宋" w:cs="仿宋"/>
                <w:kern w:val="0"/>
                <w:sz w:val="28"/>
                <w:szCs w:val="28"/>
              </w:rPr>
              <w:t>0.69</w:t>
            </w:r>
          </w:p>
        </w:tc>
        <w:tc>
          <w:tcPr>
            <w:tcW w:w="262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p>
        </w:tc>
        <w:tc>
          <w:tcPr>
            <w:tcW w:w="2140" w:type="dxa"/>
            <w:tcBorders>
              <w:top w:val="nil"/>
              <w:left w:val="nil"/>
              <w:bottom w:val="single" w:color="auto" w:sz="4" w:space="0"/>
              <w:right w:val="single" w:color="auto" w:sz="4" w:space="0"/>
            </w:tcBorders>
            <w:noWrap/>
            <w:vAlign w:val="center"/>
          </w:tcPr>
          <w:p>
            <w:pPr>
              <w:widowControl/>
              <w:jc w:val="right"/>
              <w:rPr>
                <w:rFonts w:ascii="仿宋" w:hAnsi="仿宋" w:eastAsia="仿宋" w:cs="仿宋"/>
                <w:kern w:val="0"/>
                <w:sz w:val="28"/>
                <w:szCs w:val="28"/>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rPr>
          <w:rFonts w:asci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4"/>
          <w:szCs w:val="44"/>
        </w:rPr>
      </w:pPr>
      <w:r>
        <w:rPr>
          <w:rFonts w:hint="eastAsia" w:ascii="宋体" w:hAnsi="宋体" w:cs="Arial"/>
          <w:b/>
          <w:color w:val="000000"/>
          <w:kern w:val="0"/>
          <w:sz w:val="44"/>
          <w:szCs w:val="44"/>
        </w:rPr>
        <w:t>遵化市东新庄镇人民政府</w:t>
      </w:r>
      <w:r>
        <w:rPr>
          <w:rFonts w:ascii="宋体" w:hAnsi="宋体" w:cs="Arial"/>
          <w:b/>
          <w:color w:val="000000"/>
          <w:kern w:val="0"/>
          <w:sz w:val="44"/>
          <w:szCs w:val="44"/>
        </w:rPr>
        <w:t>2022</w:t>
      </w:r>
      <w:r>
        <w:rPr>
          <w:rFonts w:hint="eastAsia" w:ascii="宋体" w:hAnsi="宋体" w:cs="Arial"/>
          <w:b/>
          <w:color w:val="000000"/>
          <w:kern w:val="0"/>
          <w:sz w:val="44"/>
          <w:szCs w:val="44"/>
        </w:rPr>
        <w:t>年度预算信息公开说明</w:t>
      </w:r>
    </w:p>
    <w:p>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pPr>
        <w:tabs>
          <w:tab w:val="left" w:pos="540"/>
        </w:tabs>
        <w:spacing w:line="570" w:lineRule="exact"/>
        <w:ind w:firstLine="720" w:firstLineChars="225"/>
        <w:rPr>
          <w:rFonts w:ascii="方正仿宋简体" w:hAnsi="黑体" w:eastAsia="方正仿宋简体" w:cs="黑体"/>
          <w:color w:val="000000"/>
          <w:kern w:val="0"/>
          <w:sz w:val="32"/>
          <w:szCs w:val="32"/>
        </w:rPr>
      </w:pPr>
      <w:r>
        <w:rPr>
          <w:rFonts w:hint="eastAsia" w:ascii="方正仿宋简体" w:hAnsi="黑体" w:eastAsia="方正仿宋简体" w:cs="黑体"/>
          <w:sz w:val="32"/>
          <w:szCs w:val="32"/>
        </w:rPr>
        <w:t>按照《</w:t>
      </w:r>
      <w:r>
        <w:rPr>
          <w:rFonts w:hint="eastAsia" w:ascii="方正仿宋简体" w:hAnsi="黑体" w:eastAsia="方正仿宋简体" w:cs="黑体"/>
          <w:sz w:val="32"/>
          <w:szCs w:val="32"/>
          <w:lang w:eastAsia="zh-CN"/>
        </w:rPr>
        <w:t>中华人民共和国</w:t>
      </w:r>
      <w:bookmarkStart w:id="3" w:name="_GoBack"/>
      <w:bookmarkEnd w:id="3"/>
      <w:r>
        <w:rPr>
          <w:rFonts w:hint="eastAsia" w:ascii="方正仿宋简体" w:hAnsi="黑体" w:eastAsia="方正仿宋简体" w:cs="黑体"/>
          <w:sz w:val="32"/>
          <w:szCs w:val="32"/>
        </w:rPr>
        <w:t>预算法》、《地方预决算公开操作规程》和《河北省省级预算公开办法》规定，现将遵化市东新庄镇人民政府</w:t>
      </w:r>
      <w:r>
        <w:rPr>
          <w:rFonts w:ascii="方正仿宋简体" w:hAnsi="黑体" w:eastAsia="方正仿宋简体" w:cs="黑体"/>
          <w:sz w:val="32"/>
          <w:szCs w:val="32"/>
        </w:rPr>
        <w:t>2022</w:t>
      </w:r>
      <w:r>
        <w:rPr>
          <w:rFonts w:hint="eastAsia" w:ascii="方正仿宋简体" w:hAnsi="黑体" w:eastAsia="方正仿宋简体" w:cs="黑体"/>
          <w:sz w:val="32"/>
          <w:szCs w:val="32"/>
        </w:rPr>
        <w:t>年部门预算公开如下：</w:t>
      </w:r>
    </w:p>
    <w:p>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spacing w:line="560" w:lineRule="exact"/>
        <w:ind w:firstLine="560"/>
        <w:jc w:val="left"/>
        <w:rPr>
          <w:rFonts w:ascii="方正仿宋简体" w:hAnsi="方正仿宋简体" w:eastAsia="方正仿宋简体" w:cs="方正仿宋简体"/>
          <w:sz w:val="32"/>
          <w:szCs w:val="32"/>
        </w:rPr>
      </w:pPr>
      <w:r>
        <w:rPr>
          <w:rFonts w:ascii="方正仿宋简体" w:hAnsi="黑体" w:eastAsia="方正仿宋简体" w:cs="黑体"/>
          <w:sz w:val="32"/>
          <w:szCs w:val="32"/>
        </w:rPr>
        <w:t xml:space="preserve">  </w:t>
      </w:r>
      <w:r>
        <w:rPr>
          <w:rFonts w:hint="eastAsia" w:ascii="方正仿宋简体" w:hAnsi="方正仿宋简体" w:eastAsia="方正仿宋简体" w:cs="方正仿宋简体"/>
          <w:sz w:val="32"/>
          <w:szCs w:val="32"/>
        </w:rP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2、讨论和决定本镇经济建设、政治建设、文化建设、社会建设、生态文明建设和党的建设以及乡村振兴中的重大问题。</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镇党委领导镇政府机关、群团组织和其他各类组织，加强指导和规范，支持和保证这些机关和组织依照国家法律法规以及各自章程履行职责。坚持党管武装的根本原则和制度，协调各方力量，对乡人民武装工作实行统一领导。</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6、加强镇党委自身建设和村党组织建设，以及其他隶属镇党委的党组织建设，抓好发展党员工作，加强党员队伍建设。维护和执行党的纪律，监督党员干部和其他任何工作人员严格遵守国家法律法规。</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7、按照干部管理权限，负责对干部的教育、培训、选拔、考核和监督工作。协助管理上级有关部门管理驻镇干部。做好人才服务工作。</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spacing w:line="570" w:lineRule="exact"/>
        <w:ind w:firstLine="640" w:firstLineChars="200"/>
        <w:jc w:val="left"/>
        <w:rPr>
          <w:rFonts w:ascii="黑体" w:hAnsi="黑体" w:eastAsia="黑体" w:cs="方正楷体简体"/>
          <w:sz w:val="32"/>
          <w:szCs w:val="32"/>
        </w:rPr>
      </w:pPr>
      <w:r>
        <w:rPr>
          <w:rFonts w:hint="eastAsia" w:ascii="黑体" w:hAnsi="黑体" w:eastAsia="黑体" w:cs="方正楷体简体"/>
          <w:sz w:val="32"/>
          <w:szCs w:val="32"/>
        </w:rPr>
        <w:t xml:space="preserve"> </w:t>
      </w:r>
      <w:r>
        <w:rPr>
          <w:rFonts w:hint="eastAsia" w:ascii="方正楷体简体" w:hAnsi="方正楷体简体" w:eastAsia="方正楷体简体" w:cs="方正楷体简体"/>
          <w:sz w:val="32"/>
          <w:szCs w:val="32"/>
        </w:rPr>
        <w:t>（二）机构设置</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遵化市东新庄镇人民政府编制人数</w:t>
      </w: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4名（行政编制30名、全额事业编制24名）。实有行政人数28名，全额事业人数</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1名。</w:t>
      </w:r>
    </w:p>
    <w:p>
      <w:pPr>
        <w:spacing w:line="560" w:lineRule="exact"/>
        <w:ind w:firstLine="640" w:firstLineChars="200"/>
        <w:jc w:val="left"/>
        <w:rPr>
          <w:rFonts w:ascii="方正仿宋简体" w:hAnsi="方正仿宋简体" w:eastAsia="方正仿宋简体" w:cs="方正仿宋简体"/>
          <w:sz w:val="32"/>
          <w:szCs w:val="32"/>
        </w:rPr>
      </w:pPr>
    </w:p>
    <w:p>
      <w:pPr>
        <w:jc w:val="center"/>
        <w:outlineLvl w:val="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部门机构设置情况</w:t>
      </w:r>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73"/>
        <w:gridCol w:w="3120"/>
        <w:gridCol w:w="1971"/>
        <w:gridCol w:w="4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173" w:type="dxa"/>
            <w:vMerge w:val="restart"/>
            <w:vAlign w:val="center"/>
          </w:tcPr>
          <w:p>
            <w:pPr>
              <w:spacing w:line="30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单位名称</w:t>
            </w:r>
          </w:p>
        </w:tc>
        <w:tc>
          <w:tcPr>
            <w:tcW w:w="3120" w:type="dxa"/>
            <w:vMerge w:val="restart"/>
            <w:vAlign w:val="center"/>
          </w:tcPr>
          <w:p>
            <w:pPr>
              <w:spacing w:line="30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单位性质</w:t>
            </w:r>
          </w:p>
        </w:tc>
        <w:tc>
          <w:tcPr>
            <w:tcW w:w="1971" w:type="dxa"/>
            <w:vMerge w:val="restart"/>
            <w:vAlign w:val="center"/>
          </w:tcPr>
          <w:p>
            <w:pPr>
              <w:spacing w:line="30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单位规格</w:t>
            </w:r>
          </w:p>
        </w:tc>
        <w:tc>
          <w:tcPr>
            <w:tcW w:w="4476" w:type="dxa"/>
            <w:vMerge w:val="restart"/>
            <w:vAlign w:val="center"/>
          </w:tcPr>
          <w:p>
            <w:pPr>
              <w:spacing w:line="30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173" w:type="dxa"/>
            <w:vMerge w:val="continue"/>
            <w:vAlign w:val="center"/>
          </w:tcPr>
          <w:p>
            <w:pPr>
              <w:spacing w:line="300" w:lineRule="exact"/>
              <w:jc w:val="left"/>
              <w:outlineLvl w:val="0"/>
              <w:rPr>
                <w:rFonts w:ascii="方正仿宋简体" w:hAnsi="方正仿宋简体" w:eastAsia="方正仿宋简体" w:cs="方正仿宋简体"/>
                <w:bCs/>
                <w:sz w:val="28"/>
                <w:szCs w:val="28"/>
              </w:rPr>
            </w:pPr>
          </w:p>
        </w:tc>
        <w:tc>
          <w:tcPr>
            <w:tcW w:w="3120" w:type="dxa"/>
            <w:vMerge w:val="continue"/>
            <w:vAlign w:val="center"/>
          </w:tcPr>
          <w:p>
            <w:pPr>
              <w:spacing w:line="300" w:lineRule="exact"/>
              <w:jc w:val="left"/>
              <w:outlineLvl w:val="0"/>
              <w:rPr>
                <w:rFonts w:ascii="方正仿宋简体" w:hAnsi="方正仿宋简体" w:eastAsia="方正仿宋简体" w:cs="方正仿宋简体"/>
                <w:bCs/>
                <w:sz w:val="28"/>
                <w:szCs w:val="28"/>
              </w:rPr>
            </w:pPr>
          </w:p>
        </w:tc>
        <w:tc>
          <w:tcPr>
            <w:tcW w:w="1971" w:type="dxa"/>
            <w:vMerge w:val="continue"/>
            <w:vAlign w:val="center"/>
          </w:tcPr>
          <w:p>
            <w:pPr>
              <w:spacing w:line="300" w:lineRule="exact"/>
              <w:jc w:val="left"/>
              <w:outlineLvl w:val="0"/>
              <w:rPr>
                <w:rFonts w:ascii="方正仿宋简体" w:hAnsi="方正仿宋简体" w:eastAsia="方正仿宋简体" w:cs="方正仿宋简体"/>
                <w:bCs/>
                <w:sz w:val="28"/>
                <w:szCs w:val="28"/>
              </w:rPr>
            </w:pPr>
          </w:p>
        </w:tc>
        <w:tc>
          <w:tcPr>
            <w:tcW w:w="4476" w:type="dxa"/>
            <w:vMerge w:val="continue"/>
            <w:vAlign w:val="center"/>
          </w:tcPr>
          <w:p>
            <w:pPr>
              <w:spacing w:line="300" w:lineRule="exact"/>
              <w:jc w:val="left"/>
              <w:outlineLvl w:val="0"/>
              <w:rPr>
                <w:rFonts w:ascii="方正仿宋简体" w:hAnsi="方正仿宋简体" w:eastAsia="方正仿宋简体" w:cs="方正仿宋简体"/>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5173" w:type="dxa"/>
            <w:vAlign w:val="center"/>
          </w:tcPr>
          <w:p>
            <w:pPr>
              <w:spacing w:line="300" w:lineRule="exact"/>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遵化市东新庄镇人民政府</w:t>
            </w:r>
          </w:p>
        </w:tc>
        <w:tc>
          <w:tcPr>
            <w:tcW w:w="3120" w:type="dxa"/>
            <w:vAlign w:val="center"/>
          </w:tcPr>
          <w:p>
            <w:pPr>
              <w:spacing w:line="30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行政</w:t>
            </w:r>
          </w:p>
        </w:tc>
        <w:tc>
          <w:tcPr>
            <w:tcW w:w="1971" w:type="dxa"/>
            <w:vAlign w:val="center"/>
          </w:tcPr>
          <w:p>
            <w:pPr>
              <w:spacing w:line="30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正科级</w:t>
            </w:r>
          </w:p>
        </w:tc>
        <w:tc>
          <w:tcPr>
            <w:tcW w:w="4476" w:type="dxa"/>
            <w:vAlign w:val="center"/>
          </w:tcPr>
          <w:p>
            <w:pPr>
              <w:spacing w:line="30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财政拨款</w:t>
            </w:r>
          </w:p>
        </w:tc>
      </w:tr>
    </w:tbl>
    <w:p>
      <w:pPr>
        <w:spacing w:line="560" w:lineRule="exact"/>
        <w:ind w:firstLine="640" w:firstLineChars="200"/>
        <w:jc w:val="left"/>
        <w:rPr>
          <w:rFonts w:ascii="方正仿宋简体" w:hAnsi="方正仿宋简体" w:eastAsia="方正仿宋简体" w:cs="方正仿宋简体"/>
          <w:sz w:val="32"/>
          <w:szCs w:val="32"/>
        </w:rPr>
        <w:sectPr>
          <w:pgSz w:w="16840" w:h="11900" w:orient="landscape"/>
          <w:pgMar w:top="851" w:right="1361" w:bottom="851" w:left="1361" w:header="720" w:footer="720" w:gutter="0"/>
          <w:pgNumType w:start="1"/>
          <w:cols w:space="720" w:num="1"/>
          <w:docGrid w:linePitch="286" w:charSpace="0"/>
        </w:sectPr>
      </w:pPr>
    </w:p>
    <w:p>
      <w:pPr>
        <w:spacing w:line="560" w:lineRule="exact"/>
        <w:ind w:firstLine="640" w:firstLineChars="200"/>
        <w:jc w:val="left"/>
        <w:rPr>
          <w:rFonts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spacing w:line="570" w:lineRule="exact"/>
        <w:ind w:firstLine="720" w:firstLineChars="22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按照预算管理有关规定，目前我市部门预算的编制实行综合预算制度，即全部收入和支出都反映在预算中。</w:t>
      </w:r>
    </w:p>
    <w:p>
      <w:pPr>
        <w:numPr>
          <w:ilvl w:val="0"/>
          <w:numId w:val="3"/>
        </w:num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收入说明</w:t>
      </w:r>
    </w:p>
    <w:p>
      <w:pPr>
        <w:spacing w:line="570" w:lineRule="exact"/>
        <w:ind w:left="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反映本部门当年全部收入。2022年预算收入984.84万元，其中：一般公共预算收入984.84万元，基金预算收入0万元，财政专户核拨收入0万元，其他来源收入0万元。</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东新庄镇人民政府2022年度部门预算中支出预算的总体情况。2022年支出预算984.84万元，其中：基本支出794.84万元，包括人员经费697.42万元和日常公用经费97.42万元；项目支出190万元，主要包括服务群众专项经费、革命老区专项资金。</w:t>
      </w:r>
    </w:p>
    <w:p>
      <w:pPr>
        <w:spacing w:line="570" w:lineRule="exact"/>
        <w:ind w:left="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spacing w:line="570" w:lineRule="exact"/>
        <w:ind w:left="640"/>
        <w:rPr>
          <w:rFonts w:ascii="方正仿宋简体" w:hAnsi="黑体" w:eastAsia="方正仿宋简体" w:cs="黑体"/>
          <w:sz w:val="32"/>
          <w:szCs w:val="32"/>
        </w:rPr>
      </w:pPr>
      <w:r>
        <w:rPr>
          <w:rFonts w:hint="eastAsia" w:ascii="方正仿宋简体" w:hAnsi="方正仿宋简体" w:eastAsia="方正仿宋简体" w:cs="方正仿宋简体"/>
          <w:sz w:val="32"/>
          <w:szCs w:val="32"/>
        </w:rPr>
        <w:t>2022年预算收支安排904.84万元，较2021年预算增加141.35万元，其中：基本支出增加64.35万元，主要为增加人员经费支出64.71万元；日常公用经费减少0.36万元（减少原因主要是压缩开支）。项目支出增加190万元，主要是服务群众专项经费和革命老区专项资金。</w:t>
      </w: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autoSpaceDE w:val="0"/>
        <w:autoSpaceDN w:val="0"/>
        <w:adjustRightInd w:val="0"/>
        <w:spacing w:line="570" w:lineRule="exact"/>
        <w:ind w:firstLine="640" w:firstLineChars="200"/>
        <w:jc w:val="left"/>
        <w:rPr>
          <w:rFonts w:ascii="方正黑体简体" w:hAnsi="黑体" w:eastAsia="方正黑体简体" w:cs="黑体"/>
          <w:b/>
          <w:bCs/>
          <w:sz w:val="32"/>
          <w:szCs w:val="32"/>
        </w:rPr>
      </w:pPr>
      <w:r>
        <w:rPr>
          <w:rFonts w:ascii="方正仿宋简体" w:eastAsia="方正仿宋简体"/>
          <w:sz w:val="32"/>
          <w:szCs w:val="32"/>
        </w:rPr>
        <w:t>2022</w:t>
      </w:r>
      <w:r>
        <w:rPr>
          <w:rFonts w:hint="eastAsia" w:ascii="方正仿宋简体" w:eastAsia="方正仿宋简体" w:cs="方正仿宋_GBK"/>
          <w:sz w:val="32"/>
          <w:szCs w:val="32"/>
        </w:rPr>
        <w:t>年，我镇机关运行经费共计安排</w:t>
      </w:r>
      <w:r>
        <w:rPr>
          <w:rFonts w:ascii="方正仿宋简体" w:eastAsia="方正仿宋简体"/>
          <w:sz w:val="32"/>
          <w:szCs w:val="32"/>
        </w:rPr>
        <w:t>97.42</w:t>
      </w:r>
      <w:r>
        <w:rPr>
          <w:rFonts w:hint="eastAsia" w:ascii="方正仿宋简体" w:eastAsia="方正仿宋简体" w:cs="方正仿宋_GBK"/>
          <w:sz w:val="32"/>
          <w:szCs w:val="32"/>
        </w:rPr>
        <w:t>万元，主要用于：</w:t>
      </w:r>
      <w:r>
        <w:rPr>
          <w:rFonts w:ascii="方正仿宋简体" w:hAnsi="黑体" w:eastAsia="方正仿宋简体" w:cs="黑体"/>
          <w:sz w:val="32"/>
          <w:szCs w:val="32"/>
        </w:rPr>
        <w:t>2022</w:t>
      </w:r>
      <w:r>
        <w:rPr>
          <w:rFonts w:hint="eastAsia" w:ascii="方正仿宋简体" w:hAnsi="黑体" w:eastAsia="方正仿宋简体" w:cs="黑体"/>
          <w:sz w:val="32"/>
          <w:szCs w:val="32"/>
        </w:rPr>
        <w:t>年机关办公费、电费、邮电费、取暖费、差旅费、会议费、培训费、</w:t>
      </w:r>
      <w:r>
        <w:rPr>
          <w:rFonts w:ascii="方正仿宋简体" w:hAnsi="黑体" w:eastAsia="方正仿宋简体" w:cs="黑体"/>
          <w:sz w:val="32"/>
          <w:szCs w:val="32"/>
        </w:rPr>
        <w:t xml:space="preserve"> </w:t>
      </w:r>
      <w:r>
        <w:rPr>
          <w:rFonts w:hint="eastAsia" w:ascii="方正仿宋简体" w:hAnsi="黑体" w:eastAsia="方正仿宋简体" w:cs="黑体"/>
          <w:sz w:val="32"/>
          <w:szCs w:val="32"/>
        </w:rPr>
        <w:t>公务用车运行维护费、公务接待费、</w:t>
      </w:r>
      <w:r>
        <w:rPr>
          <w:rFonts w:hint="eastAsia" w:ascii="方正仿宋简体" w:hAnsi="方正仿宋简体" w:eastAsia="方正仿宋简体" w:cs="方正仿宋简体"/>
          <w:sz w:val="32"/>
          <w:szCs w:val="32"/>
        </w:rPr>
        <w:t>其他交通费用、其他商品和服务支出、</w:t>
      </w:r>
      <w:r>
        <w:rPr>
          <w:rFonts w:hint="eastAsia" w:ascii="方正仿宋简体" w:hAnsi="黑体" w:eastAsia="方正仿宋简体" w:cs="黑体"/>
          <w:sz w:val="32"/>
          <w:szCs w:val="32"/>
        </w:rPr>
        <w:t>工会经费、福利费和离退休福利费等支出。</w:t>
      </w:r>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ascii="方正仿宋简体" w:hAnsi="黑体" w:eastAsia="方正仿宋简体" w:cs="黑体"/>
          <w:sz w:val="32"/>
          <w:szCs w:val="32"/>
        </w:rPr>
        <w:t>2022</w:t>
      </w:r>
      <w:r>
        <w:rPr>
          <w:rFonts w:hint="eastAsia" w:ascii="方正仿宋简体" w:hAnsi="黑体" w:eastAsia="方正仿宋简体" w:cs="黑体"/>
          <w:sz w:val="32"/>
          <w:szCs w:val="32"/>
        </w:rPr>
        <w:t>年我镇“三公”经费预算安排</w:t>
      </w:r>
      <w:r>
        <w:rPr>
          <w:rFonts w:ascii="方正仿宋简体" w:hAnsi="黑体" w:eastAsia="方正仿宋简体" w:cs="黑体"/>
          <w:sz w:val="32"/>
          <w:szCs w:val="32"/>
        </w:rPr>
        <w:t>23.89</w:t>
      </w:r>
      <w:r>
        <w:rPr>
          <w:rFonts w:hint="eastAsia" w:ascii="方正仿宋简体" w:hAnsi="黑体" w:eastAsia="方正仿宋简体" w:cs="黑体"/>
          <w:sz w:val="32"/>
          <w:szCs w:val="32"/>
        </w:rPr>
        <w:t>万元，较</w:t>
      </w:r>
      <w:r>
        <w:rPr>
          <w:rFonts w:ascii="方正仿宋简体" w:hAnsi="黑体" w:eastAsia="方正仿宋简体" w:cs="黑体"/>
          <w:sz w:val="32"/>
          <w:szCs w:val="32"/>
        </w:rPr>
        <w:t>2021</w:t>
      </w:r>
      <w:r>
        <w:rPr>
          <w:rFonts w:hint="eastAsia" w:ascii="方正仿宋简体" w:hAnsi="黑体" w:eastAsia="方正仿宋简体" w:cs="黑体"/>
          <w:sz w:val="32"/>
          <w:szCs w:val="32"/>
        </w:rPr>
        <w:t>年预算</w:t>
      </w:r>
      <w:r>
        <w:rPr>
          <w:rFonts w:ascii="方正仿宋简体" w:hAnsi="黑体" w:eastAsia="方正仿宋简体" w:cs="黑体"/>
          <w:sz w:val="32"/>
          <w:szCs w:val="32"/>
        </w:rPr>
        <w:t>23.99</w:t>
      </w:r>
      <w:r>
        <w:rPr>
          <w:rFonts w:hint="eastAsia" w:ascii="方正仿宋简体" w:hAnsi="黑体" w:eastAsia="方正仿宋简体" w:cs="黑体"/>
          <w:sz w:val="32"/>
          <w:szCs w:val="32"/>
        </w:rPr>
        <w:t>万元减少</w:t>
      </w:r>
      <w:r>
        <w:rPr>
          <w:rFonts w:ascii="方正仿宋简体" w:hAnsi="黑体" w:eastAsia="方正仿宋简体" w:cs="黑体"/>
          <w:sz w:val="32"/>
          <w:szCs w:val="32"/>
        </w:rPr>
        <w:t>0.1</w:t>
      </w:r>
      <w:r>
        <w:rPr>
          <w:rFonts w:hint="eastAsia" w:ascii="方正仿宋简体" w:hAnsi="黑体" w:eastAsia="方正仿宋简体" w:cs="黑体"/>
          <w:sz w:val="32"/>
          <w:szCs w:val="32"/>
        </w:rPr>
        <w:t>万元。具体安排情况为：</w:t>
      </w:r>
    </w:p>
    <w:p>
      <w:pPr>
        <w:pStyle w:val="23"/>
        <w:numPr>
          <w:ilvl w:val="0"/>
          <w:numId w:val="4"/>
        </w:numPr>
        <w:spacing w:line="570" w:lineRule="exact"/>
        <w:rPr>
          <w:rFonts w:ascii="方正仿宋简体" w:hAnsi="方正仿宋简体" w:eastAsia="方正仿宋简体" w:cs="方正仿宋简体"/>
          <w:sz w:val="32"/>
          <w:szCs w:val="32"/>
          <w:lang w:eastAsia="zh-CN"/>
        </w:rPr>
      </w:pPr>
      <w:r>
        <w:rPr>
          <w:rFonts w:hint="eastAsia" w:ascii="方正仿宋简体" w:hAnsi="黑体" w:eastAsia="方正仿宋简体" w:cs="黑体"/>
          <w:bCs/>
          <w:sz w:val="32"/>
          <w:szCs w:val="32"/>
        </w:rPr>
        <w:t>公务用车购置及运行费。共计安排</w:t>
      </w:r>
      <w:r>
        <w:rPr>
          <w:rFonts w:ascii="方正仿宋简体" w:hAnsi="黑体" w:eastAsia="方正仿宋简体" w:cs="黑体"/>
          <w:bCs/>
          <w:sz w:val="32"/>
          <w:szCs w:val="32"/>
        </w:rPr>
        <w:t>23.2</w:t>
      </w:r>
      <w:r>
        <w:rPr>
          <w:rFonts w:hint="eastAsia" w:ascii="方正仿宋简体" w:hAnsi="黑体" w:eastAsia="方正仿宋简体" w:cs="黑体"/>
          <w:bCs/>
          <w:sz w:val="32"/>
          <w:szCs w:val="32"/>
        </w:rPr>
        <w:t>万元，较</w:t>
      </w:r>
      <w:r>
        <w:rPr>
          <w:rFonts w:ascii="方正仿宋简体" w:hAnsi="黑体" w:eastAsia="方正仿宋简体" w:cs="黑体"/>
          <w:bCs/>
          <w:sz w:val="32"/>
          <w:szCs w:val="32"/>
        </w:rPr>
        <w:t>2021</w:t>
      </w:r>
      <w:r>
        <w:rPr>
          <w:rFonts w:hint="eastAsia" w:ascii="方正仿宋简体" w:hAnsi="黑体" w:eastAsia="方正仿宋简体" w:cs="黑体"/>
          <w:bCs/>
          <w:sz w:val="32"/>
          <w:szCs w:val="32"/>
        </w:rPr>
        <w:t>年预算减少</w:t>
      </w:r>
      <w:r>
        <w:rPr>
          <w:rFonts w:ascii="方正仿宋简体" w:hAnsi="黑体" w:eastAsia="方正仿宋简体" w:cs="黑体"/>
          <w:bCs/>
          <w:sz w:val="32"/>
          <w:szCs w:val="32"/>
        </w:rPr>
        <w:t>0.1</w:t>
      </w:r>
      <w:r>
        <w:rPr>
          <w:rFonts w:hint="eastAsia" w:ascii="方正仿宋简体" w:hAnsi="黑体" w:eastAsia="方正仿宋简体" w:cs="黑体"/>
          <w:bCs/>
          <w:sz w:val="32"/>
          <w:szCs w:val="32"/>
        </w:rPr>
        <w:t>万元，</w:t>
      </w:r>
      <w:r>
        <w:rPr>
          <w:rFonts w:hint="eastAsia" w:ascii="方正仿宋简体" w:hAnsi="黑体" w:eastAsia="方正仿宋简体" w:cs="黑体"/>
          <w:bCs/>
          <w:sz w:val="32"/>
          <w:szCs w:val="32"/>
          <w:lang w:eastAsia="zh-CN"/>
        </w:rPr>
        <w:t>（1）公务用车购置安排0万元，与2021年持平，无增减变化。（2）公车运行维护费安排23.2万元，比2021年减少0.1万元，</w:t>
      </w:r>
      <w:r>
        <w:rPr>
          <w:rFonts w:hint="eastAsia" w:ascii="方正仿宋简体" w:hAnsi="方正仿宋简体" w:eastAsia="方正仿宋简体" w:cs="方正仿宋简体"/>
          <w:sz w:val="32"/>
          <w:szCs w:val="32"/>
        </w:rPr>
        <w:t>原因是</w:t>
      </w:r>
      <w:r>
        <w:rPr>
          <w:rFonts w:hint="eastAsia" w:ascii="方正仿宋简体" w:hAnsi="方正仿宋简体" w:eastAsia="方正仿宋简体" w:cs="方正仿宋简体"/>
          <w:sz w:val="32"/>
          <w:szCs w:val="32"/>
          <w:lang w:eastAsia="zh-CN"/>
        </w:rPr>
        <w:t>车辆运行维护费严格按照统一定额标准，公车数量未发生增减，厉行节压缩开支。</w:t>
      </w:r>
    </w:p>
    <w:p>
      <w:pPr>
        <w:pStyle w:val="23"/>
        <w:numPr>
          <w:ilvl w:val="0"/>
          <w:numId w:val="4"/>
        </w:numPr>
        <w:spacing w:line="570" w:lineRule="exact"/>
        <w:rPr>
          <w:rFonts w:ascii="方正仿宋简体" w:hAnsi="方正仿宋简体" w:eastAsia="方正仿宋简体" w:cs="方正仿宋简体"/>
          <w:sz w:val="32"/>
          <w:szCs w:val="32"/>
        </w:rPr>
      </w:pPr>
      <w:r>
        <w:rPr>
          <w:rFonts w:hint="eastAsia" w:ascii="方正仿宋简体" w:hAnsi="黑体" w:eastAsia="方正仿宋简体" w:cs="黑体"/>
          <w:bCs/>
          <w:sz w:val="32"/>
          <w:szCs w:val="32"/>
        </w:rPr>
        <w:t>公务接待费。安排</w:t>
      </w:r>
      <w:r>
        <w:rPr>
          <w:rFonts w:ascii="方正仿宋简体" w:hAnsi="黑体" w:eastAsia="方正仿宋简体" w:cs="黑体"/>
          <w:bCs/>
          <w:sz w:val="32"/>
          <w:szCs w:val="32"/>
        </w:rPr>
        <w:t>0.69</w:t>
      </w:r>
      <w:r>
        <w:rPr>
          <w:rFonts w:hint="eastAsia" w:ascii="方正仿宋简体" w:hAnsi="黑体" w:eastAsia="方正仿宋简体" w:cs="黑体"/>
          <w:bCs/>
          <w:sz w:val="32"/>
          <w:szCs w:val="32"/>
        </w:rPr>
        <w:t>万元，较</w:t>
      </w:r>
      <w:r>
        <w:rPr>
          <w:rFonts w:ascii="方正仿宋简体" w:hAnsi="黑体" w:eastAsia="方正仿宋简体" w:cs="黑体"/>
          <w:bCs/>
          <w:sz w:val="32"/>
          <w:szCs w:val="32"/>
        </w:rPr>
        <w:t>2021</w:t>
      </w:r>
      <w:r>
        <w:rPr>
          <w:rFonts w:hint="eastAsia" w:ascii="方正仿宋简体" w:hAnsi="黑体" w:eastAsia="方正仿宋简体" w:cs="黑体"/>
          <w:bCs/>
          <w:sz w:val="32"/>
          <w:szCs w:val="32"/>
        </w:rPr>
        <w:t>年持平。</w:t>
      </w:r>
      <w:r>
        <w:rPr>
          <w:rFonts w:hint="eastAsia" w:ascii="方正仿宋简体" w:hAnsi="方正仿宋简体" w:eastAsia="方正仿宋简体" w:cs="方正仿宋简体"/>
          <w:sz w:val="32"/>
          <w:szCs w:val="32"/>
          <w:lang w:eastAsia="zh-CN"/>
        </w:rPr>
        <w:t>原因是按照统一定额标准计算，无增加变化。</w:t>
      </w:r>
    </w:p>
    <w:p>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hAnsi="黑体" w:eastAsia="方正仿宋简体" w:cs="黑体"/>
          <w:bCs/>
          <w:sz w:val="32"/>
          <w:szCs w:val="32"/>
        </w:rPr>
      </w:pPr>
      <w:r>
        <w:rPr>
          <w:rFonts w:ascii="方正仿宋简体" w:hAnsi="黑体" w:eastAsia="方正仿宋简体" w:cs="黑体"/>
          <w:bCs/>
          <w:sz w:val="32"/>
          <w:szCs w:val="32"/>
        </w:rPr>
        <w:t xml:space="preserve">  </w:t>
      </w:r>
      <w:r>
        <w:rPr>
          <w:rFonts w:hint="eastAsia" w:ascii="方正仿宋简体" w:hAnsi="黑体" w:eastAsia="方正仿宋简体" w:cs="黑体"/>
          <w:bCs/>
          <w:sz w:val="32"/>
          <w:szCs w:val="32"/>
        </w:rPr>
        <w:t xml:space="preserve"> （三）因公出国（境）费。安排0万元，与2022年持平，</w:t>
      </w:r>
      <w:r>
        <w:rPr>
          <w:rFonts w:hint="eastAsia" w:ascii="方正仿宋简体" w:hAnsi="方正仿宋简体" w:eastAsia="方正仿宋简体" w:cs="方正仿宋简体"/>
          <w:sz w:val="32"/>
          <w:szCs w:val="32"/>
        </w:rPr>
        <w:t>没有因公出国安排，所以未安排因公出国费</w:t>
      </w:r>
      <w:r>
        <w:rPr>
          <w:rFonts w:hint="eastAsia" w:ascii="方正仿宋简体" w:hAnsi="黑体" w:eastAsia="方正仿宋简体" w:cs="黑体"/>
          <w:bCs/>
          <w:sz w:val="32"/>
          <w:szCs w:val="32"/>
        </w:rPr>
        <w:t>。</w:t>
      </w:r>
    </w:p>
    <w:p>
      <w:pPr>
        <w:shd w:val="solid" w:color="FFFFFF" w:themeColor="background1" w:fill="auto"/>
        <w:spacing w:line="570" w:lineRule="exact"/>
        <w:ind w:firstLine="787" w:firstLineChars="246"/>
        <w:rPr>
          <w:rFonts w:ascii="方正黑体简体" w:hAnsi="方正黑体简体" w:eastAsia="方正黑体简体" w:cs="方正黑体简体"/>
          <w:color w:val="FFFFFF" w:themeColor="background1"/>
          <w:sz w:val="32"/>
          <w:szCs w:val="32"/>
          <w:highlight w:val="red"/>
          <w:shd w:val="clear" w:color="FFFFFF" w:fill="D9D9D9"/>
        </w:rPr>
      </w:pPr>
      <w:r>
        <w:rPr>
          <w:rFonts w:hint="eastAsia" w:ascii="方正黑体简体" w:hAnsi="方正黑体简体" w:eastAsia="方正黑体简体" w:cs="方正黑体简体"/>
          <w:sz w:val="32"/>
          <w:szCs w:val="32"/>
        </w:rPr>
        <w:t>五、绩效预算信息情况</w:t>
      </w:r>
    </w:p>
    <w:p>
      <w:pPr>
        <w:spacing w:line="620" w:lineRule="exact"/>
        <w:ind w:firstLine="560"/>
        <w:jc w:val="left"/>
        <w:rPr>
          <w:rFonts w:ascii="方正仿宋简体" w:hAnsi="方正仿宋简体" w:eastAsia="方正仿宋简体" w:cs="方正仿宋简体"/>
          <w:sz w:val="32"/>
          <w:szCs w:val="32"/>
        </w:rPr>
      </w:pPr>
      <w:r>
        <w:rPr>
          <w:rFonts w:ascii="仿宋" w:hAnsi="仿宋" w:eastAsia="仿宋" w:cs="宋体"/>
          <w:sz w:val="32"/>
          <w:szCs w:val="32"/>
        </w:rPr>
        <w:t xml:space="preserve"> </w:t>
      </w:r>
      <w:r>
        <w:rPr>
          <w:rFonts w:hint="eastAsia" w:ascii="方正仿宋简体" w:hAnsi="方正仿宋简体" w:eastAsia="方正仿宋简体" w:cs="方正仿宋简体"/>
          <w:sz w:val="32"/>
          <w:szCs w:val="32"/>
        </w:rPr>
        <w:t>第一部分</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部门整体绩效目标</w:t>
      </w:r>
    </w:p>
    <w:p>
      <w:pPr>
        <w:pStyle w:val="19"/>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1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东新庄镇总体绩效目标：我镇环境治理方面要抓好城镇乡村建设，全面提升全镇乡村宜居环境的水平，保障我镇主干道等区域配齐环卫设施，推进户分类、组收集、村运转、乡镇处理垃圾收集，改善22个村生态环境，保障我镇环保等各项检查达标；在乡镇维稳方面减少我镇社会不安定因素和矛盾纠纷，指导和督导有关部门，充分发挥人民调解、行政调解、司法调节、防范重大安全事故，保障社会稳定和谐稳定发展，保障居民安居乐业。</w:t>
      </w:r>
    </w:p>
    <w:p>
      <w:pPr>
        <w:pStyle w:val="22"/>
        <w:spacing w:line="570" w:lineRule="exact"/>
        <w:ind w:firstLine="320" w:firstLineChars="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pStyle w:val="22"/>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1、完成乡镇服务群众专项经费（东新庄镇）项目，主要用于乡镇服务群众工作。</w:t>
      </w:r>
    </w:p>
    <w:p>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绩效目标：保障各村集体环境达标,防止病毒蔓延,保障环境质量提升.</w:t>
      </w:r>
    </w:p>
    <w:p>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绩效指标：带动经济发展,人民生活环境得到改善及受益群众满意度的提升率≥95%</w:t>
      </w:r>
    </w:p>
    <w:p>
      <w:pPr>
        <w:pStyle w:val="22"/>
        <w:numPr>
          <w:ilvl w:val="0"/>
          <w:numId w:val="5"/>
        </w:num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完成乡镇2022年革命老区转移支付资金项目，主要用于乡镇南岗至北岗村通村公路沥青路面翻新硬化工程。</w:t>
      </w:r>
    </w:p>
    <w:p>
      <w:pPr>
        <w:pStyle w:val="22"/>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绩效目标:改善周边群众出行环境。</w:t>
      </w:r>
    </w:p>
    <w:p>
      <w:pPr>
        <w:pStyle w:val="22"/>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绩效目标：提高群众幸福指数。</w:t>
      </w:r>
    </w:p>
    <w:p>
      <w:pPr>
        <w:pStyle w:val="21"/>
        <w:spacing w:line="570" w:lineRule="exact"/>
        <w:ind w:firstLine="320" w:firstLineChars="100"/>
        <w:rPr>
          <w:rFonts w:ascii="方正楷体简体" w:hAnsi="方正楷体简体" w:eastAsia="方正楷体简体" w:cs="方正楷体简体"/>
          <w:sz w:val="32"/>
          <w:szCs w:val="32"/>
        </w:rPr>
      </w:pPr>
      <w:bookmarkStart w:id="2" w:name="_Toc_2_2_0000000003"/>
      <w:r>
        <w:rPr>
          <w:rFonts w:hint="eastAsia" w:ascii="方正楷体简体" w:hAnsi="方正楷体简体" w:eastAsia="方正楷体简体" w:cs="方正楷体简体"/>
          <w:sz w:val="32"/>
          <w:szCs w:val="32"/>
        </w:rPr>
        <w:t>（三）工作保障措施</w:t>
      </w:r>
      <w:bookmarkEnd w:id="2"/>
    </w:p>
    <w:p>
      <w:pPr>
        <w:pStyle w:val="21"/>
        <w:spacing w:line="570" w:lineRule="exact"/>
        <w:ind w:left="560" w:firstLine="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1、完善制度建设。</w:t>
      </w:r>
      <w:r>
        <w:rPr>
          <w:rFonts w:hint="eastAsia" w:ascii="方正仿宋简体" w:hAnsi="方正仿宋简体" w:eastAsia="方正仿宋简体" w:cs="方正仿宋简体"/>
          <w:sz w:val="32"/>
          <w:szCs w:val="32"/>
        </w:rPr>
        <w:t>制定完善预算绩效管理制度、资金管理办法、工作保障制度等，为全年预算绩效目标的实现奠定制度基础。</w:t>
      </w:r>
    </w:p>
    <w:p>
      <w:pPr>
        <w:pStyle w:val="21"/>
        <w:spacing w:line="570" w:lineRule="exact"/>
      </w:pPr>
      <w:r>
        <w:rPr>
          <w:rFonts w:hint="eastAsia" w:ascii="方正楷体简体" w:hAnsi="方正楷体简体" w:eastAsia="方正楷体简体" w:cs="方正楷体简体"/>
          <w:sz w:val="32"/>
          <w:szCs w:val="32"/>
        </w:rPr>
        <w:t>2、加强支出管理。</w:t>
      </w:r>
      <w:r>
        <w:rPr>
          <w:rFonts w:hint="eastAsia" w:ascii="方正仿宋简体" w:hAnsi="方正仿宋简体" w:eastAsia="方正仿宋简体" w:cs="方正仿宋简体"/>
          <w:sz w:val="32"/>
          <w:szCs w:val="32"/>
        </w:rPr>
        <w:t>通过优化支出结构、编细编实预算、加快履行政府采购手续、尽快启动项目、及时支付资金、6月底前细化代编预算、按规定及时下达资金等多种措施，确保支出进度达标。</w:t>
      </w:r>
    </w:p>
    <w:p>
      <w:pPr>
        <w:pStyle w:val="21"/>
        <w:spacing w:line="570" w:lineRule="exact"/>
      </w:pPr>
      <w:r>
        <w:rPr>
          <w:rFonts w:hint="eastAsia" w:ascii="方正楷体简体" w:hAnsi="方正楷体简体" w:eastAsia="方正楷体简体" w:cs="方正楷体简体"/>
          <w:sz w:val="32"/>
          <w:szCs w:val="32"/>
        </w:rPr>
        <w:t>3、加强绩效运行监控。</w:t>
      </w:r>
      <w:r>
        <w:rPr>
          <w:rFonts w:hint="eastAsia" w:ascii="方正仿宋简体" w:hAnsi="方正仿宋简体" w:eastAsia="方正仿宋简体" w:cs="方正仿宋简体"/>
          <w:sz w:val="32"/>
          <w:szCs w:val="32"/>
        </w:rPr>
        <w:t>按要求开展绩效运行监控，发现问题及时采取措施，确保绩效目标如期保质实现。</w:t>
      </w:r>
    </w:p>
    <w:p>
      <w:pPr>
        <w:pStyle w:val="21"/>
        <w:spacing w:line="570" w:lineRule="exac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4、做好绩效自评。</w:t>
      </w:r>
      <w:r>
        <w:rPr>
          <w:rFonts w:hint="eastAsia" w:ascii="方正仿宋简体" w:hAnsi="方正仿宋简体" w:eastAsia="方正仿宋简体" w:cs="方正仿宋简体"/>
          <w:sz w:val="32"/>
          <w:szCs w:val="32"/>
        </w:rPr>
        <w:t>按要求开展上年度部门预算绩效自评和重点评价工作，对评价中发现的问题及时整改，调整优化支出结构，提高财政资金使用效益。</w:t>
      </w:r>
    </w:p>
    <w:p>
      <w:pPr>
        <w:pStyle w:val="21"/>
        <w:spacing w:line="570" w:lineRule="exac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5、规范财务资产管理。</w:t>
      </w:r>
      <w:r>
        <w:rPr>
          <w:rFonts w:hint="eastAsia" w:ascii="方正仿宋简体" w:hAnsi="方正仿宋简体" w:eastAsia="方正仿宋简体" w:cs="方正仿宋简体"/>
          <w:sz w:val="32"/>
          <w:szCs w:val="32"/>
        </w:rPr>
        <w:t>完善财务管理制度，严格审批程序，加强固定资产登记、使用和报废处置管理，做到支出合理，物尽其用。</w:t>
      </w:r>
    </w:p>
    <w:p>
      <w:pPr>
        <w:pStyle w:val="21"/>
        <w:spacing w:line="570" w:lineRule="exac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6、加强内部监督。</w:t>
      </w:r>
      <w:r>
        <w:rPr>
          <w:rFonts w:hint="eastAsia" w:ascii="方正仿宋简体" w:hAnsi="方正仿宋简体" w:eastAsia="方正仿宋简体" w:cs="方正仿宋简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spacing w:line="570" w:lineRule="exact"/>
      </w:pPr>
      <w:r>
        <w:rPr>
          <w:rFonts w:hint="eastAsia" w:ascii="方正楷体简体" w:hAnsi="方正楷体简体" w:eastAsia="方正楷体简体" w:cs="方正楷体简体"/>
          <w:sz w:val="32"/>
          <w:szCs w:val="32"/>
        </w:rPr>
        <w:t>7、加强宣传培训调研等。</w:t>
      </w:r>
      <w:r>
        <w:rPr>
          <w:rFonts w:hint="eastAsia" w:ascii="方正仿宋简体" w:hAnsi="方正仿宋简体" w:eastAsia="方正仿宋简体" w:cs="方正仿宋简体"/>
          <w:sz w:val="32"/>
          <w:szCs w:val="32"/>
        </w:rPr>
        <w:t>加强人员培训，提高本部门职工业务素质；加强调研，提出优化财政资金配置、提高资金使用效益的意见意见；加大宣传力度，强化预算绩效管理意识，促进预算绩效管理水平进一步提升。</w:t>
      </w:r>
    </w:p>
    <w:p>
      <w:pPr>
        <w:spacing w:line="620" w:lineRule="exact"/>
        <w:ind w:firstLine="560"/>
        <w:jc w:val="left"/>
        <w:rPr>
          <w:rFonts w:ascii="黑体" w:hAnsi="黑体" w:eastAsia="黑体" w:cs="方正楷体简体"/>
          <w:sz w:val="32"/>
          <w:szCs w:val="32"/>
        </w:rPr>
      </w:pPr>
    </w:p>
    <w:p>
      <w:pPr>
        <w:ind w:firstLine="560"/>
        <w:jc w:val="center"/>
        <w:outlineLvl w:val="3"/>
        <w:rPr>
          <w:rFonts w:ascii="方正仿宋_GBK" w:hAnsi="方正仿宋_GBK" w:eastAsia="方正仿宋_GBK" w:cs="方正仿宋_GBK"/>
          <w:color w:val="000000"/>
          <w:sz w:val="48"/>
          <w:szCs w:val="48"/>
        </w:rPr>
      </w:pPr>
    </w:p>
    <w:p>
      <w:pPr>
        <w:ind w:firstLine="560"/>
        <w:jc w:val="center"/>
        <w:outlineLvl w:val="3"/>
        <w:rPr>
          <w:rFonts w:ascii="方正仿宋_GBK" w:hAnsi="方正仿宋_GBK" w:eastAsia="方正仿宋_GBK" w:cs="方正仿宋_GBK"/>
          <w:color w:val="000000"/>
          <w:sz w:val="48"/>
          <w:szCs w:val="48"/>
        </w:rPr>
      </w:pPr>
    </w:p>
    <w:p>
      <w:pPr>
        <w:jc w:val="left"/>
        <w:outlineLvl w:val="3"/>
        <w:rPr>
          <w:rFonts w:ascii="方正仿宋简体" w:hAnsi="方正仿宋简体" w:eastAsia="方正仿宋简体" w:cs="方正仿宋简体"/>
          <w:color w:val="000000"/>
          <w:sz w:val="28"/>
          <w:szCs w:val="28"/>
        </w:rPr>
      </w:pPr>
    </w:p>
    <w:p>
      <w:pPr>
        <w:jc w:val="left"/>
        <w:outlineLvl w:val="3"/>
        <w:rPr>
          <w:rFonts w:ascii="方正仿宋简体" w:hAnsi="方正仿宋简体" w:eastAsia="方正仿宋简体" w:cs="方正仿宋简体"/>
          <w:color w:val="000000"/>
          <w:sz w:val="28"/>
          <w:szCs w:val="28"/>
        </w:rPr>
      </w:pPr>
    </w:p>
    <w:p>
      <w:pPr>
        <w:jc w:val="left"/>
        <w:outlineLvl w:val="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1、服务群众专项经费绩效表</w:t>
      </w:r>
    </w:p>
    <w:tbl>
      <w:tblPr>
        <w:tblStyle w:val="5"/>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9"/>
        <w:gridCol w:w="1899"/>
        <w:gridCol w:w="1985"/>
        <w:gridCol w:w="2362"/>
        <w:gridCol w:w="1940"/>
        <w:gridCol w:w="1911"/>
        <w:gridCol w:w="27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1295" w:type="dxa"/>
            <w:gridSpan w:val="6"/>
            <w:tcBorders>
              <w:top w:val="single" w:color="FFFFFF" w:sz="6" w:space="0"/>
              <w:left w:val="single" w:color="FFFFFF" w:sz="6" w:space="0"/>
              <w:right w:val="single" w:color="FFFFFF" w:sz="6" w:space="0"/>
            </w:tcBorders>
            <w:vAlign w:val="center"/>
          </w:tcPr>
          <w:p>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640遵化市东新庄镇人民政府本级</w:t>
            </w:r>
          </w:p>
        </w:tc>
        <w:tc>
          <w:tcPr>
            <w:tcW w:w="2584"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项目编码</w:t>
            </w:r>
          </w:p>
        </w:tc>
        <w:tc>
          <w:tcPr>
            <w:tcW w:w="3657" w:type="dxa"/>
            <w:gridSpan w:val="2"/>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13028122P00238810001E</w:t>
            </w:r>
          </w:p>
        </w:tc>
        <w:tc>
          <w:tcPr>
            <w:tcW w:w="2224" w:type="dxa"/>
            <w:vAlign w:val="center"/>
          </w:tcPr>
          <w:p>
            <w:pPr>
              <w:pStyle w:val="12"/>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项目名称</w:t>
            </w:r>
          </w:p>
        </w:tc>
        <w:tc>
          <w:tcPr>
            <w:tcW w:w="6210" w:type="dxa"/>
            <w:gridSpan w:val="3"/>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Merge w:val="restart"/>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预算规模及资金用途</w:t>
            </w:r>
          </w:p>
        </w:tc>
        <w:tc>
          <w:tcPr>
            <w:tcW w:w="1788"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预算数</w:t>
            </w:r>
          </w:p>
        </w:tc>
        <w:tc>
          <w:tcPr>
            <w:tcW w:w="1869"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110.00</w:t>
            </w:r>
          </w:p>
        </w:tc>
        <w:tc>
          <w:tcPr>
            <w:tcW w:w="2224"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其中：财政资金</w:t>
            </w:r>
          </w:p>
        </w:tc>
        <w:tc>
          <w:tcPr>
            <w:tcW w:w="1827"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110.00</w:t>
            </w:r>
          </w:p>
        </w:tc>
        <w:tc>
          <w:tcPr>
            <w:tcW w:w="1799"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其他资金</w:t>
            </w:r>
          </w:p>
        </w:tc>
        <w:tc>
          <w:tcPr>
            <w:tcW w:w="2584"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Merge w:val="continue"/>
          </w:tcPr>
          <w:p>
            <w:pPr>
              <w:rPr>
                <w:rFonts w:ascii="方正仿宋简体" w:hAnsi="方正仿宋简体" w:eastAsia="方正仿宋简体" w:cs="方正仿宋简体"/>
                <w:bCs/>
                <w:sz w:val="24"/>
              </w:rPr>
            </w:pPr>
          </w:p>
        </w:tc>
        <w:tc>
          <w:tcPr>
            <w:tcW w:w="12091" w:type="dxa"/>
            <w:gridSpan w:val="6"/>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保障各村集体达标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Merge w:val="restart"/>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资金支出计划（%）</w:t>
            </w:r>
          </w:p>
        </w:tc>
        <w:tc>
          <w:tcPr>
            <w:tcW w:w="3657" w:type="dxa"/>
            <w:gridSpan w:val="2"/>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3月底</w:t>
            </w:r>
          </w:p>
        </w:tc>
        <w:tc>
          <w:tcPr>
            <w:tcW w:w="2224"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6月底</w:t>
            </w:r>
          </w:p>
        </w:tc>
        <w:tc>
          <w:tcPr>
            <w:tcW w:w="1827"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lang w:eastAsia="zh-CN"/>
              </w:rPr>
              <w:t>9</w:t>
            </w:r>
            <w:r>
              <w:rPr>
                <w:rFonts w:hint="eastAsia" w:ascii="方正仿宋简体" w:hAnsi="方正仿宋简体" w:eastAsia="方正仿宋简体" w:cs="方正仿宋简体"/>
                <w:b w:val="0"/>
                <w:bCs/>
                <w:sz w:val="24"/>
              </w:rPr>
              <w:t>月底</w:t>
            </w:r>
          </w:p>
        </w:tc>
        <w:tc>
          <w:tcPr>
            <w:tcW w:w="4383" w:type="dxa"/>
            <w:gridSpan w:val="2"/>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Merge w:val="continue"/>
          </w:tcPr>
          <w:p>
            <w:pPr>
              <w:rPr>
                <w:rFonts w:ascii="方正仿宋简体" w:hAnsi="方正仿宋简体" w:eastAsia="方正仿宋简体" w:cs="方正仿宋简体"/>
                <w:bCs/>
                <w:sz w:val="24"/>
              </w:rPr>
            </w:pPr>
          </w:p>
        </w:tc>
        <w:tc>
          <w:tcPr>
            <w:tcW w:w="3657" w:type="dxa"/>
            <w:gridSpan w:val="2"/>
            <w:vAlign w:val="center"/>
          </w:tcPr>
          <w:p>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lang w:eastAsia="zh-CN"/>
              </w:rPr>
              <w:t>30</w:t>
            </w:r>
            <w:r>
              <w:rPr>
                <w:rFonts w:hint="eastAsia" w:ascii="方正仿宋简体" w:hAnsi="方正仿宋简体" w:eastAsia="方正仿宋简体" w:cs="方正仿宋简体"/>
                <w:sz w:val="24"/>
              </w:rPr>
              <w:t>%</w:t>
            </w:r>
          </w:p>
        </w:tc>
        <w:tc>
          <w:tcPr>
            <w:tcW w:w="2224" w:type="dxa"/>
            <w:vAlign w:val="center"/>
          </w:tcPr>
          <w:p>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lang w:eastAsia="zh-CN"/>
              </w:rPr>
              <w:t>60</w:t>
            </w:r>
            <w:r>
              <w:rPr>
                <w:rFonts w:hint="eastAsia" w:ascii="方正仿宋简体" w:hAnsi="方正仿宋简体" w:eastAsia="方正仿宋简体" w:cs="方正仿宋简体"/>
                <w:sz w:val="24"/>
              </w:rPr>
              <w:t>%</w:t>
            </w:r>
          </w:p>
        </w:tc>
        <w:tc>
          <w:tcPr>
            <w:tcW w:w="1827" w:type="dxa"/>
            <w:vAlign w:val="center"/>
          </w:tcPr>
          <w:p>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lang w:eastAsia="zh-CN"/>
              </w:rPr>
              <w:t>90</w:t>
            </w:r>
            <w:r>
              <w:rPr>
                <w:rFonts w:hint="eastAsia" w:ascii="方正仿宋简体" w:hAnsi="方正仿宋简体" w:eastAsia="方正仿宋简体" w:cs="方正仿宋简体"/>
                <w:sz w:val="24"/>
              </w:rPr>
              <w:t>%</w:t>
            </w:r>
          </w:p>
        </w:tc>
        <w:tc>
          <w:tcPr>
            <w:tcW w:w="4383" w:type="dxa"/>
            <w:gridSpan w:val="2"/>
            <w:vAlign w:val="center"/>
          </w:tcPr>
          <w:p>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tcBorders>
              <w:bottom w:val="single" w:color="FFFFFF" w:sz="6" w:space="0"/>
            </w:tcBorders>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绩效目标</w:t>
            </w:r>
          </w:p>
        </w:tc>
        <w:tc>
          <w:tcPr>
            <w:tcW w:w="12091" w:type="dxa"/>
            <w:gridSpan w:val="6"/>
            <w:tcBorders>
              <w:bottom w:val="single" w:color="FFFFFF" w:sz="6" w:space="0"/>
            </w:tcBorders>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1.保障各村集体达标</w:t>
            </w:r>
          </w:p>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2.防止病毒蔓延，保障环境质量提升</w:t>
            </w:r>
          </w:p>
        </w:tc>
      </w:tr>
    </w:tbl>
    <w:p>
      <w:pPr>
        <w:spacing w:line="2"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color w:val="000000"/>
          <w:sz w:val="24"/>
        </w:rPr>
        <w:t xml:space="preserve"> </w:t>
      </w:r>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3"/>
        <w:gridCol w:w="4308"/>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787"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一级指标</w:t>
            </w:r>
          </w:p>
        </w:tc>
        <w:tc>
          <w:tcPr>
            <w:tcW w:w="1787"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二级指标</w:t>
            </w:r>
          </w:p>
        </w:tc>
        <w:tc>
          <w:tcPr>
            <w:tcW w:w="1864"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三级指标</w:t>
            </w:r>
          </w:p>
        </w:tc>
        <w:tc>
          <w:tcPr>
            <w:tcW w:w="4050"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绩效指标描述</w:t>
            </w:r>
          </w:p>
        </w:tc>
        <w:tc>
          <w:tcPr>
            <w:tcW w:w="1787"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指标值</w:t>
            </w:r>
          </w:p>
        </w:tc>
        <w:tc>
          <w:tcPr>
            <w:tcW w:w="2581"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restart"/>
            <w:vAlign w:val="center"/>
          </w:tcPr>
          <w:p>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产出指标</w:t>
            </w: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数量指标</w:t>
            </w:r>
          </w:p>
        </w:tc>
        <w:tc>
          <w:tcPr>
            <w:tcW w:w="186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村人居环境整治个数</w:t>
            </w:r>
          </w:p>
        </w:tc>
        <w:tc>
          <w:tcPr>
            <w:tcW w:w="4050"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辖区22个村</w:t>
            </w: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22个</w:t>
            </w:r>
          </w:p>
        </w:tc>
        <w:tc>
          <w:tcPr>
            <w:tcW w:w="2581"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pPr>
              <w:rPr>
                <w:rFonts w:ascii="方正仿宋简体" w:hAnsi="方正仿宋简体" w:eastAsia="方正仿宋简体" w:cs="方正仿宋简体"/>
                <w:sz w:val="24"/>
              </w:rPr>
            </w:pP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质量指标</w:t>
            </w:r>
          </w:p>
        </w:tc>
        <w:tc>
          <w:tcPr>
            <w:tcW w:w="186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提高环境卫生状况</w:t>
            </w:r>
          </w:p>
        </w:tc>
        <w:tc>
          <w:tcPr>
            <w:tcW w:w="4050"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环境卫生质量得到提升</w:t>
            </w: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pPr>
              <w:rPr>
                <w:rFonts w:ascii="方正仿宋简体" w:hAnsi="方正仿宋简体" w:eastAsia="方正仿宋简体" w:cs="方正仿宋简体"/>
                <w:sz w:val="24"/>
              </w:rPr>
            </w:pP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时效指标</w:t>
            </w:r>
          </w:p>
        </w:tc>
        <w:tc>
          <w:tcPr>
            <w:tcW w:w="186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设施正常使用率</w:t>
            </w:r>
          </w:p>
        </w:tc>
        <w:tc>
          <w:tcPr>
            <w:tcW w:w="4050"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垃圾桶正常使用</w:t>
            </w: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pPr>
              <w:rPr>
                <w:rFonts w:ascii="方正仿宋简体" w:hAnsi="方正仿宋简体" w:eastAsia="方正仿宋简体" w:cs="方正仿宋简体"/>
                <w:sz w:val="24"/>
              </w:rPr>
            </w:pP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成本指标</w:t>
            </w:r>
          </w:p>
        </w:tc>
        <w:tc>
          <w:tcPr>
            <w:tcW w:w="186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资金成本</w:t>
            </w:r>
          </w:p>
        </w:tc>
        <w:tc>
          <w:tcPr>
            <w:tcW w:w="4050"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资金成本</w:t>
            </w: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100%</w:t>
            </w:r>
          </w:p>
        </w:tc>
        <w:tc>
          <w:tcPr>
            <w:tcW w:w="2581"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87" w:type="dxa"/>
            <w:vMerge w:val="restart"/>
            <w:vAlign w:val="center"/>
          </w:tcPr>
          <w:p>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效益指标</w:t>
            </w: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经济效益指标</w:t>
            </w:r>
          </w:p>
        </w:tc>
        <w:tc>
          <w:tcPr>
            <w:tcW w:w="186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经济影响力</w:t>
            </w:r>
          </w:p>
        </w:tc>
        <w:tc>
          <w:tcPr>
            <w:tcW w:w="4050"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带动经济发展</w:t>
            </w: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87" w:type="dxa"/>
            <w:vMerge w:val="continue"/>
            <w:vAlign w:val="center"/>
          </w:tcPr>
          <w:p>
            <w:pPr>
              <w:rPr>
                <w:rFonts w:ascii="方正仿宋简体" w:hAnsi="方正仿宋简体" w:eastAsia="方正仿宋简体" w:cs="方正仿宋简体"/>
                <w:sz w:val="24"/>
              </w:rPr>
            </w:pP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社会效益指标</w:t>
            </w:r>
          </w:p>
        </w:tc>
        <w:tc>
          <w:tcPr>
            <w:tcW w:w="186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生活垃圾处理</w:t>
            </w:r>
          </w:p>
        </w:tc>
        <w:tc>
          <w:tcPr>
            <w:tcW w:w="4050"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垃圾收集及运输</w:t>
            </w: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pPr>
              <w:rPr>
                <w:rFonts w:ascii="方正仿宋简体" w:hAnsi="方正仿宋简体" w:eastAsia="方正仿宋简体" w:cs="方正仿宋简体"/>
                <w:sz w:val="24"/>
              </w:rPr>
            </w:pP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生态效益指标</w:t>
            </w:r>
          </w:p>
        </w:tc>
        <w:tc>
          <w:tcPr>
            <w:tcW w:w="186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生态环境质量改善</w:t>
            </w:r>
          </w:p>
        </w:tc>
        <w:tc>
          <w:tcPr>
            <w:tcW w:w="4050"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生态环境质量改善</w:t>
            </w: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pPr>
              <w:rPr>
                <w:rFonts w:ascii="方正仿宋简体" w:hAnsi="方正仿宋简体" w:eastAsia="方正仿宋简体" w:cs="方正仿宋简体"/>
                <w:sz w:val="24"/>
              </w:rPr>
            </w:pP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可持续影响指标</w:t>
            </w:r>
          </w:p>
        </w:tc>
        <w:tc>
          <w:tcPr>
            <w:tcW w:w="186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人居环境整体水平</w:t>
            </w:r>
          </w:p>
        </w:tc>
        <w:tc>
          <w:tcPr>
            <w:tcW w:w="4050"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人居生活环境得到改善</w:t>
            </w: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Align w:val="center"/>
          </w:tcPr>
          <w:p>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满意度指标</w:t>
            </w: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服务对象满意度指标</w:t>
            </w:r>
          </w:p>
        </w:tc>
        <w:tc>
          <w:tcPr>
            <w:tcW w:w="1864"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w:t>
            </w:r>
          </w:p>
        </w:tc>
        <w:tc>
          <w:tcPr>
            <w:tcW w:w="4050"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服务对象满意度提升</w:t>
            </w:r>
          </w:p>
        </w:tc>
        <w:tc>
          <w:tcPr>
            <w:tcW w:w="1787"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bl>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p>
    <w:p>
      <w:pPr>
        <w:outlineLvl w:val="3"/>
        <w:rPr>
          <w:rFonts w:ascii="方正仿宋简体" w:hAnsi="方正仿宋简体" w:eastAsia="方正仿宋简体" w:cs="方正仿宋简体"/>
          <w:sz w:val="24"/>
        </w:rPr>
      </w:pPr>
      <w:r>
        <w:rPr>
          <w:rFonts w:hint="eastAsia" w:ascii="方正仿宋简体" w:hAnsi="方正仿宋简体" w:eastAsia="方正仿宋简体" w:cs="方正仿宋简体"/>
          <w:sz w:val="28"/>
          <w:szCs w:val="28"/>
        </w:rPr>
        <w:t xml:space="preserve">2、2022年革命老区转移支付资金绩效表 </w:t>
      </w:r>
      <w:r>
        <w:rPr>
          <w:rFonts w:hint="eastAsia" w:ascii="方正仿宋简体" w:hAnsi="方正仿宋简体" w:eastAsia="方正仿宋简体" w:cs="方正仿宋简体"/>
          <w:sz w:val="24"/>
        </w:rPr>
        <w:t xml:space="preserve">  </w:t>
      </w:r>
    </w:p>
    <w:tbl>
      <w:tblPr>
        <w:tblStyle w:val="5"/>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4"/>
        <w:gridCol w:w="2104"/>
        <w:gridCol w:w="2108"/>
        <w:gridCol w:w="2103"/>
        <w:gridCol w:w="2103"/>
        <w:gridCol w:w="2115"/>
        <w:gridCol w:w="21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4" w:hRule="atLeast"/>
          <w:jc w:val="center"/>
        </w:trPr>
        <w:tc>
          <w:tcPr>
            <w:tcW w:w="11847" w:type="dxa"/>
            <w:gridSpan w:val="6"/>
            <w:tcBorders>
              <w:top w:val="single" w:color="FFFFFF" w:sz="6" w:space="0"/>
              <w:left w:val="single" w:color="FFFFFF" w:sz="6" w:space="0"/>
              <w:right w:val="single" w:color="FFFFFF" w:sz="6" w:space="0"/>
            </w:tcBorders>
            <w:vAlign w:val="center"/>
          </w:tcPr>
          <w:p>
            <w:pPr>
              <w:pStyle w:val="17"/>
              <w:tabs>
                <w:tab w:val="left" w:pos="10885"/>
              </w:tabs>
              <w:rPr>
                <w:rFonts w:ascii="方正仿宋简体" w:hAnsi="方正仿宋简体" w:eastAsia="方正仿宋简体" w:cs="方正仿宋简体"/>
                <w:b w:val="0"/>
                <w:bCs/>
                <w:sz w:val="24"/>
                <w:lang w:eastAsia="zh-CN"/>
              </w:rPr>
            </w:pPr>
            <w:r>
              <w:rPr>
                <w:rFonts w:hint="eastAsia" w:ascii="方正仿宋简体" w:hAnsi="方正仿宋简体" w:eastAsia="方正仿宋简体" w:cs="方正仿宋简体"/>
                <w:b w:val="0"/>
                <w:bCs/>
                <w:sz w:val="24"/>
              </w:rPr>
              <w:t>640遵化市东新庄镇人民政府本级</w:t>
            </w:r>
            <w:r>
              <w:rPr>
                <w:rFonts w:hint="eastAsia" w:ascii="方正仿宋简体" w:hAnsi="方正仿宋简体" w:eastAsia="方正仿宋简体" w:cs="方正仿宋简体"/>
                <w:b w:val="0"/>
                <w:bCs/>
                <w:sz w:val="24"/>
                <w:lang w:eastAsia="zh-CN"/>
              </w:rPr>
              <w:t xml:space="preserve">                                                               单位：万元</w:t>
            </w:r>
          </w:p>
        </w:tc>
        <w:tc>
          <w:tcPr>
            <w:tcW w:w="1972"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bCs/>
                <w:sz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项目编码</w:t>
            </w:r>
          </w:p>
        </w:tc>
        <w:tc>
          <w:tcPr>
            <w:tcW w:w="3948" w:type="dxa"/>
            <w:gridSpan w:val="2"/>
          </w:tcPr>
          <w:p>
            <w:pPr>
              <w:textAlignment w:val="top"/>
              <w:rPr>
                <w:rFonts w:ascii="方正仿宋简体" w:hAnsi="方正仿宋简体" w:eastAsia="方正仿宋简体" w:cs="方正仿宋简体"/>
                <w:bCs/>
                <w:color w:val="000000"/>
                <w:sz w:val="24"/>
              </w:rPr>
            </w:pPr>
            <w:r>
              <w:rPr>
                <w:rFonts w:hint="eastAsia" w:ascii="方正仿宋简体" w:hAnsi="方正仿宋简体" w:eastAsia="方正仿宋简体" w:cs="方正仿宋简体"/>
                <w:bCs/>
                <w:color w:val="000000"/>
                <w:kern w:val="0"/>
                <w:sz w:val="24"/>
              </w:rPr>
              <w:t>13028122P00362310001G</w:t>
            </w:r>
          </w:p>
        </w:tc>
        <w:tc>
          <w:tcPr>
            <w:tcW w:w="1972"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项目名称</w:t>
            </w:r>
          </w:p>
        </w:tc>
        <w:tc>
          <w:tcPr>
            <w:tcW w:w="5927" w:type="dxa"/>
            <w:gridSpan w:val="3"/>
          </w:tcPr>
          <w:p>
            <w:pPr>
              <w:textAlignment w:val="top"/>
              <w:rPr>
                <w:rFonts w:ascii="方正仿宋简体" w:hAnsi="方正仿宋简体" w:eastAsia="方正仿宋简体" w:cs="方正仿宋简体"/>
                <w:bCs/>
                <w:color w:val="000000"/>
                <w:sz w:val="24"/>
              </w:rPr>
            </w:pPr>
            <w:r>
              <w:rPr>
                <w:rFonts w:hint="eastAsia" w:ascii="方正仿宋简体" w:hAnsi="方正仿宋简体" w:eastAsia="方正仿宋简体" w:cs="方正仿宋简体"/>
                <w:bCs/>
                <w:color w:val="000000"/>
                <w:kern w:val="0"/>
                <w:sz w:val="24"/>
              </w:rPr>
              <w:t>冀财预【2021】71号2022年革命老区转移支付资金（南岗村至北岗村通村公路沥青路面翻新硬化工程）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Merge w:val="restart"/>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预算规模及资金用途</w:t>
            </w:r>
          </w:p>
        </w:tc>
        <w:tc>
          <w:tcPr>
            <w:tcW w:w="1972"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预算数</w:t>
            </w:r>
          </w:p>
        </w:tc>
        <w:tc>
          <w:tcPr>
            <w:tcW w:w="1976"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8</w:t>
            </w:r>
            <w:r>
              <w:rPr>
                <w:rFonts w:hint="eastAsia" w:ascii="方正仿宋简体" w:hAnsi="方正仿宋简体" w:eastAsia="方正仿宋简体" w:cs="方正仿宋简体"/>
                <w:bCs/>
                <w:sz w:val="24"/>
              </w:rPr>
              <w:t>0.00</w:t>
            </w:r>
          </w:p>
        </w:tc>
        <w:tc>
          <w:tcPr>
            <w:tcW w:w="1972"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其中：财政资金</w:t>
            </w:r>
          </w:p>
        </w:tc>
        <w:tc>
          <w:tcPr>
            <w:tcW w:w="1972"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8</w:t>
            </w:r>
            <w:r>
              <w:rPr>
                <w:rFonts w:hint="eastAsia" w:ascii="方正仿宋简体" w:hAnsi="方正仿宋简体" w:eastAsia="方正仿宋简体" w:cs="方正仿宋简体"/>
                <w:bCs/>
                <w:sz w:val="24"/>
              </w:rPr>
              <w:t>0.00</w:t>
            </w:r>
          </w:p>
        </w:tc>
        <w:tc>
          <w:tcPr>
            <w:tcW w:w="1983"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其他资金</w:t>
            </w:r>
          </w:p>
        </w:tc>
        <w:tc>
          <w:tcPr>
            <w:tcW w:w="1972"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Merge w:val="continue"/>
          </w:tcPr>
          <w:p>
            <w:pPr>
              <w:rPr>
                <w:rFonts w:ascii="方正仿宋简体" w:hAnsi="方正仿宋简体" w:eastAsia="方正仿宋简体" w:cs="方正仿宋简体"/>
                <w:bCs/>
                <w:sz w:val="24"/>
              </w:rPr>
            </w:pPr>
          </w:p>
        </w:tc>
        <w:tc>
          <w:tcPr>
            <w:tcW w:w="11847" w:type="dxa"/>
            <w:gridSpan w:val="6"/>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保障各村集体达标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Merge w:val="restart"/>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资金支出计划（%）</w:t>
            </w:r>
          </w:p>
        </w:tc>
        <w:tc>
          <w:tcPr>
            <w:tcW w:w="3948" w:type="dxa"/>
            <w:gridSpan w:val="2"/>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3月底</w:t>
            </w:r>
          </w:p>
        </w:tc>
        <w:tc>
          <w:tcPr>
            <w:tcW w:w="1972"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6月底</w:t>
            </w:r>
          </w:p>
        </w:tc>
        <w:tc>
          <w:tcPr>
            <w:tcW w:w="1972"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lang w:eastAsia="zh-CN"/>
              </w:rPr>
              <w:t>9</w:t>
            </w:r>
            <w:r>
              <w:rPr>
                <w:rFonts w:hint="eastAsia" w:ascii="方正仿宋简体" w:hAnsi="方正仿宋简体" w:eastAsia="方正仿宋简体" w:cs="方正仿宋简体"/>
                <w:b w:val="0"/>
                <w:bCs/>
                <w:sz w:val="24"/>
              </w:rPr>
              <w:t>月底</w:t>
            </w:r>
          </w:p>
        </w:tc>
        <w:tc>
          <w:tcPr>
            <w:tcW w:w="3955" w:type="dxa"/>
            <w:gridSpan w:val="2"/>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Merge w:val="continue"/>
          </w:tcPr>
          <w:p>
            <w:pPr>
              <w:rPr>
                <w:rFonts w:ascii="方正仿宋简体" w:hAnsi="方正仿宋简体" w:eastAsia="方正仿宋简体" w:cs="方正仿宋简体"/>
                <w:bCs/>
                <w:sz w:val="24"/>
              </w:rPr>
            </w:pPr>
          </w:p>
        </w:tc>
        <w:tc>
          <w:tcPr>
            <w:tcW w:w="3948" w:type="dxa"/>
            <w:gridSpan w:val="2"/>
            <w:vAlign w:val="center"/>
          </w:tcPr>
          <w:p>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30</w:t>
            </w:r>
            <w:r>
              <w:rPr>
                <w:rFonts w:hint="eastAsia" w:ascii="方正仿宋简体" w:hAnsi="方正仿宋简体" w:eastAsia="方正仿宋简体" w:cs="方正仿宋简体"/>
                <w:bCs/>
                <w:sz w:val="24"/>
              </w:rPr>
              <w:t>%</w:t>
            </w:r>
          </w:p>
        </w:tc>
        <w:tc>
          <w:tcPr>
            <w:tcW w:w="1972" w:type="dxa"/>
            <w:vAlign w:val="center"/>
          </w:tcPr>
          <w:p>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60</w:t>
            </w:r>
            <w:r>
              <w:rPr>
                <w:rFonts w:hint="eastAsia" w:ascii="方正仿宋简体" w:hAnsi="方正仿宋简体" w:eastAsia="方正仿宋简体" w:cs="方正仿宋简体"/>
                <w:bCs/>
                <w:sz w:val="24"/>
              </w:rPr>
              <w:t>%</w:t>
            </w:r>
          </w:p>
        </w:tc>
        <w:tc>
          <w:tcPr>
            <w:tcW w:w="1972" w:type="dxa"/>
            <w:vAlign w:val="center"/>
          </w:tcPr>
          <w:p>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90</w:t>
            </w:r>
            <w:r>
              <w:rPr>
                <w:rFonts w:hint="eastAsia" w:ascii="方正仿宋简体" w:hAnsi="方正仿宋简体" w:eastAsia="方正仿宋简体" w:cs="方正仿宋简体"/>
                <w:bCs/>
                <w:sz w:val="24"/>
              </w:rPr>
              <w:t>%</w:t>
            </w:r>
          </w:p>
        </w:tc>
        <w:tc>
          <w:tcPr>
            <w:tcW w:w="3955" w:type="dxa"/>
            <w:gridSpan w:val="2"/>
            <w:vAlign w:val="center"/>
          </w:tcPr>
          <w:p>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tcBorders>
              <w:bottom w:val="single" w:color="FFFFFF" w:sz="6" w:space="0"/>
            </w:tcBorders>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绩效目标</w:t>
            </w:r>
          </w:p>
        </w:tc>
        <w:tc>
          <w:tcPr>
            <w:tcW w:w="11847" w:type="dxa"/>
            <w:gridSpan w:val="6"/>
            <w:tcBorders>
              <w:bottom w:val="single" w:color="FFFFFF" w:sz="6" w:space="0"/>
            </w:tcBorders>
          </w:tcPr>
          <w:p>
            <w:pPr>
              <w:widowControl/>
              <w:numPr>
                <w:ilvl w:val="0"/>
                <w:numId w:val="6"/>
              </w:numPr>
              <w:jc w:val="left"/>
              <w:textAlignment w:val="top"/>
              <w:rPr>
                <w:rFonts w:ascii="方正仿宋简体" w:hAnsi="方正仿宋简体" w:eastAsia="方正仿宋简体" w:cs="方正仿宋简体"/>
                <w:bCs/>
                <w:color w:val="000000"/>
                <w:sz w:val="24"/>
              </w:rPr>
            </w:pPr>
            <w:r>
              <w:rPr>
                <w:rFonts w:hint="eastAsia" w:ascii="方正仿宋简体" w:hAnsi="方正仿宋简体" w:eastAsia="方正仿宋简体" w:cs="方正仿宋简体"/>
                <w:bCs/>
                <w:color w:val="000000"/>
                <w:kern w:val="0"/>
                <w:sz w:val="24"/>
              </w:rPr>
              <w:t>改善周边群众出行环境。2</w:t>
            </w:r>
            <w:r>
              <w:rPr>
                <w:rFonts w:hint="eastAsia" w:ascii="方正仿宋简体" w:hAnsi="方正仿宋简体" w:eastAsia="方正仿宋简体" w:cs="方正仿宋简体"/>
                <w:bCs/>
                <w:color w:val="000000"/>
                <w:sz w:val="24"/>
              </w:rPr>
              <w:t>提高群众幸福指数。</w:t>
            </w:r>
          </w:p>
        </w:tc>
      </w:tr>
    </w:tbl>
    <w:p>
      <w:pPr>
        <w:spacing w:line="2"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sz w:val="24"/>
        </w:rPr>
        <w:t xml:space="preserve"> </w:t>
      </w:r>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6"/>
        <w:gridCol w:w="4212"/>
        <w:gridCol w:w="210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971"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一级指标</w:t>
            </w:r>
          </w:p>
        </w:tc>
        <w:tc>
          <w:tcPr>
            <w:tcW w:w="1971"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二级指标</w:t>
            </w:r>
          </w:p>
        </w:tc>
        <w:tc>
          <w:tcPr>
            <w:tcW w:w="1971"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三级指标</w:t>
            </w:r>
          </w:p>
        </w:tc>
        <w:tc>
          <w:tcPr>
            <w:tcW w:w="3943"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绩效指标描述</w:t>
            </w:r>
          </w:p>
        </w:tc>
        <w:tc>
          <w:tcPr>
            <w:tcW w:w="1971"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指标值</w:t>
            </w:r>
          </w:p>
        </w:tc>
        <w:tc>
          <w:tcPr>
            <w:tcW w:w="1971" w:type="dxa"/>
            <w:vAlign w:val="center"/>
          </w:tcPr>
          <w:p>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restart"/>
            <w:vAlign w:val="center"/>
          </w:tcPr>
          <w:p>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产出指标</w:t>
            </w: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数量指标</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硬化道路长度</w:t>
            </w:r>
          </w:p>
        </w:tc>
        <w:tc>
          <w:tcPr>
            <w:tcW w:w="3943"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乡道翻修道路硬化总长度</w:t>
            </w:r>
          </w:p>
        </w:tc>
        <w:tc>
          <w:tcPr>
            <w:tcW w:w="1971" w:type="dxa"/>
            <w:vAlign w:val="center"/>
          </w:tcPr>
          <w:p>
            <w:pPr>
              <w:pStyle w:val="18"/>
              <w:rPr>
                <w:rFonts w:ascii="方正仿宋简体" w:hAnsi="方正仿宋简体" w:eastAsia="方正仿宋简体" w:cs="方正仿宋简体"/>
                <w:bCs/>
                <w:sz w:val="24"/>
                <w:lang w:eastAsia="zh-CN"/>
              </w:rPr>
            </w:pPr>
            <w:r>
              <w:rPr>
                <w:rFonts w:hint="eastAsia" w:ascii="方正仿宋简体" w:hAnsi="方正仿宋简体" w:eastAsia="方正仿宋简体" w:cs="方正仿宋简体"/>
                <w:bCs/>
                <w:sz w:val="24"/>
                <w:lang w:eastAsia="zh-CN"/>
              </w:rPr>
              <w:t>=4.6</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pPr>
              <w:rPr>
                <w:rFonts w:ascii="方正仿宋简体" w:hAnsi="方正仿宋简体" w:eastAsia="方正仿宋简体" w:cs="方正仿宋简体"/>
                <w:bCs/>
                <w:sz w:val="24"/>
              </w:rPr>
            </w:pP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质量指标</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项目建设投资保障率</w:t>
            </w:r>
          </w:p>
        </w:tc>
        <w:tc>
          <w:tcPr>
            <w:tcW w:w="3943"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道路硬化项目建设投资保障率</w:t>
            </w: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pPr>
              <w:rPr>
                <w:rFonts w:ascii="方正仿宋简体" w:hAnsi="方正仿宋简体" w:eastAsia="方正仿宋简体" w:cs="方正仿宋简体"/>
                <w:bCs/>
                <w:sz w:val="24"/>
              </w:rPr>
            </w:pP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时效指标</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按照项目进度完成资金使用率</w:t>
            </w:r>
          </w:p>
        </w:tc>
        <w:tc>
          <w:tcPr>
            <w:tcW w:w="3943"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按照修路进度完成资金使用率</w:t>
            </w: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pPr>
              <w:rPr>
                <w:rFonts w:ascii="方正仿宋简体" w:hAnsi="方正仿宋简体" w:eastAsia="方正仿宋简体" w:cs="方正仿宋简体"/>
                <w:bCs/>
                <w:sz w:val="24"/>
              </w:rPr>
            </w:pP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成本指标</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按预算资金完成率</w:t>
            </w:r>
          </w:p>
        </w:tc>
        <w:tc>
          <w:tcPr>
            <w:tcW w:w="3943"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按预算资金完成率</w:t>
            </w: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restart"/>
            <w:vAlign w:val="center"/>
          </w:tcPr>
          <w:p>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效益指标</w:t>
            </w:r>
          </w:p>
        </w:tc>
        <w:tc>
          <w:tcPr>
            <w:tcW w:w="1971" w:type="dxa"/>
            <w:vAlign w:val="center"/>
          </w:tcPr>
          <w:p>
            <w:pPr>
              <w:textAlignment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可持续影响指标</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项目持续发挥作用期限</w:t>
            </w:r>
          </w:p>
        </w:tc>
        <w:tc>
          <w:tcPr>
            <w:tcW w:w="3943"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道路修建完成持续发挥作用期限</w:t>
            </w: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r>
              <w:rPr>
                <w:rFonts w:hint="eastAsia" w:ascii="方正仿宋简体" w:hAnsi="方正仿宋简体" w:eastAsia="方正仿宋简体" w:cs="方正仿宋简体"/>
                <w:bCs/>
                <w:sz w:val="24"/>
                <w:lang w:eastAsia="zh-CN"/>
              </w:rPr>
              <w:t>0</w:t>
            </w:r>
            <w:r>
              <w:rPr>
                <w:rFonts w:hint="eastAsia" w:ascii="方正仿宋简体" w:hAnsi="方正仿宋简体" w:eastAsia="方正仿宋简体" w:cs="方正仿宋简体"/>
                <w:bCs/>
                <w:sz w:val="24"/>
              </w:rPr>
              <w:t>%</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pPr>
              <w:rPr>
                <w:rFonts w:ascii="方正仿宋简体" w:hAnsi="方正仿宋简体" w:eastAsia="方正仿宋简体" w:cs="方正仿宋简体"/>
                <w:bCs/>
                <w:sz w:val="24"/>
              </w:rPr>
            </w:pPr>
          </w:p>
        </w:tc>
        <w:tc>
          <w:tcPr>
            <w:tcW w:w="1971" w:type="dxa"/>
            <w:vAlign w:val="center"/>
          </w:tcPr>
          <w:p>
            <w:pPr>
              <w:textAlignment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经济效益指标</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带动社会资金投资比</w:t>
            </w:r>
          </w:p>
        </w:tc>
        <w:tc>
          <w:tcPr>
            <w:tcW w:w="3943"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带动社会资金投入与扶持奖励资金的比例</w:t>
            </w: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r>
              <w:rPr>
                <w:rFonts w:hint="eastAsia" w:ascii="方正仿宋简体" w:hAnsi="方正仿宋简体" w:eastAsia="方正仿宋简体" w:cs="方正仿宋简体"/>
                <w:bCs/>
                <w:sz w:val="24"/>
                <w:lang w:eastAsia="zh-CN"/>
              </w:rPr>
              <w:t>0</w:t>
            </w:r>
            <w:r>
              <w:rPr>
                <w:rFonts w:hint="eastAsia" w:ascii="方正仿宋简体" w:hAnsi="方正仿宋简体" w:eastAsia="方正仿宋简体" w:cs="方正仿宋简体"/>
                <w:bCs/>
                <w:sz w:val="24"/>
              </w:rPr>
              <w:t>%</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pPr>
              <w:rPr>
                <w:rFonts w:ascii="方正仿宋简体" w:hAnsi="方正仿宋简体" w:eastAsia="方正仿宋简体" w:cs="方正仿宋简体"/>
                <w:bCs/>
                <w:sz w:val="24"/>
              </w:rPr>
            </w:pPr>
          </w:p>
        </w:tc>
        <w:tc>
          <w:tcPr>
            <w:tcW w:w="1971" w:type="dxa"/>
            <w:vAlign w:val="center"/>
          </w:tcPr>
          <w:p>
            <w:pPr>
              <w:textAlignment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社会效益指标</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长期使用性</w:t>
            </w:r>
          </w:p>
        </w:tc>
        <w:tc>
          <w:tcPr>
            <w:tcW w:w="3943"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道路的修建能长期开展农产品交流，保障出行畅通</w:t>
            </w: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r>
              <w:rPr>
                <w:rFonts w:hint="eastAsia" w:ascii="方正仿宋简体" w:hAnsi="方正仿宋简体" w:eastAsia="方正仿宋简体" w:cs="方正仿宋简体"/>
                <w:bCs/>
                <w:sz w:val="24"/>
                <w:lang w:eastAsia="zh-CN"/>
              </w:rPr>
              <w:t>0</w:t>
            </w:r>
            <w:r>
              <w:rPr>
                <w:rFonts w:hint="eastAsia" w:ascii="方正仿宋简体" w:hAnsi="方正仿宋简体" w:eastAsia="方正仿宋简体" w:cs="方正仿宋简体"/>
                <w:bCs/>
                <w:sz w:val="24"/>
              </w:rPr>
              <w:t>%</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pPr>
              <w:rPr>
                <w:rFonts w:ascii="方正仿宋简体" w:hAnsi="方正仿宋简体" w:eastAsia="方正仿宋简体" w:cs="方正仿宋简体"/>
                <w:bCs/>
                <w:sz w:val="24"/>
              </w:rPr>
            </w:pPr>
          </w:p>
        </w:tc>
        <w:tc>
          <w:tcPr>
            <w:tcW w:w="1971" w:type="dxa"/>
            <w:vAlign w:val="center"/>
          </w:tcPr>
          <w:p>
            <w:pPr>
              <w:textAlignment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生态效益指标</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加强节约集约利用</w:t>
            </w:r>
          </w:p>
        </w:tc>
        <w:tc>
          <w:tcPr>
            <w:tcW w:w="3943"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加强节约集约利用，促进生态文明建设</w:t>
            </w: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Align w:val="center"/>
          </w:tcPr>
          <w:p>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满意度指标</w:t>
            </w: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服务对象满意度指标</w:t>
            </w:r>
          </w:p>
        </w:tc>
        <w:tc>
          <w:tcPr>
            <w:tcW w:w="1971" w:type="dxa"/>
            <w:vAlign w:val="center"/>
          </w:tcPr>
          <w:p>
            <w:pPr>
              <w:pStyle w:val="18"/>
              <w:rPr>
                <w:rFonts w:ascii="方正仿宋简体" w:hAnsi="方正仿宋简体" w:eastAsia="方正仿宋简体" w:cs="方正仿宋简体"/>
                <w:bCs/>
                <w:sz w:val="24"/>
                <w:lang w:eastAsia="zh-CN"/>
              </w:rPr>
            </w:pPr>
            <w:r>
              <w:rPr>
                <w:rFonts w:hint="eastAsia" w:ascii="方正仿宋简体" w:hAnsi="方正仿宋简体" w:eastAsia="方正仿宋简体" w:cs="方正仿宋简体"/>
                <w:bCs/>
                <w:sz w:val="24"/>
                <w:lang w:eastAsia="zh-CN"/>
              </w:rPr>
              <w:t>群众满意度</w:t>
            </w:r>
          </w:p>
        </w:tc>
        <w:tc>
          <w:tcPr>
            <w:tcW w:w="3943" w:type="dxa"/>
          </w:tcPr>
          <w:p>
            <w:pPr>
              <w:textAlignment w:val="top"/>
              <w:rPr>
                <w:rFonts w:ascii="方正仿宋简体" w:hAnsi="方正仿宋简体" w:eastAsia="方正仿宋简体" w:cs="方正仿宋简体"/>
                <w:bCs/>
                <w:color w:val="000000"/>
                <w:sz w:val="24"/>
              </w:rPr>
            </w:pPr>
            <w:r>
              <w:rPr>
                <w:rFonts w:hint="eastAsia" w:ascii="方正仿宋简体" w:hAnsi="方正仿宋简体" w:eastAsia="方正仿宋简体" w:cs="方正仿宋简体"/>
                <w:bCs/>
                <w:color w:val="000000"/>
                <w:kern w:val="0"/>
                <w:sz w:val="24"/>
              </w:rPr>
              <w:t>道路硬化后，群众满意度</w:t>
            </w:r>
          </w:p>
        </w:tc>
        <w:tc>
          <w:tcPr>
            <w:tcW w:w="1971" w:type="dxa"/>
            <w:vAlign w:val="center"/>
          </w:tcPr>
          <w:p>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bl>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spacing w:line="560" w:lineRule="exact"/>
        <w:rPr>
          <w:rFonts w:ascii="方正仿宋简体" w:hAnsi="方正仿宋简体" w:eastAsia="方正仿宋简体" w:cs="方正仿宋简体"/>
          <w:sz w:val="32"/>
          <w:szCs w:val="32"/>
        </w:rPr>
      </w:pPr>
      <w:r>
        <w:rPr>
          <w:rFonts w:ascii="方正仿宋简体" w:hAnsi="黑体" w:eastAsia="方正仿宋简体" w:cs="黑体"/>
          <w:sz w:val="32"/>
          <w:szCs w:val="32"/>
        </w:rPr>
        <w:t xml:space="preserve">     </w:t>
      </w:r>
      <w:r>
        <w:rPr>
          <w:rFonts w:hint="eastAsia" w:ascii="方正仿宋简体" w:hAnsi="方正仿宋简体" w:eastAsia="方正仿宋简体" w:cs="方正仿宋简体"/>
          <w:sz w:val="32"/>
          <w:szCs w:val="32"/>
        </w:rPr>
        <w:t>2022年，遵化市东新庄镇人民政府部门安排政府采购预算0.00万元。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单位政府采购预算</w:t>
      </w:r>
    </w:p>
    <w:tbl>
      <w:tblPr>
        <w:tblStyle w:val="5"/>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640001遵化市东新庄镇人民政府</w:t>
            </w:r>
          </w:p>
        </w:tc>
        <w:tc>
          <w:tcPr>
            <w:tcW w:w="7320" w:type="dxa"/>
            <w:gridSpan w:val="6"/>
            <w:tcBorders>
              <w:top w:val="single" w:color="FFFFFF" w:sz="6" w:space="0"/>
              <w:left w:val="single" w:color="FFFFFF" w:sz="6" w:space="0"/>
              <w:right w:val="single" w:color="FFFFFF" w:sz="6" w:space="0"/>
            </w:tcBorders>
            <w:vAlign w:val="center"/>
          </w:tcPr>
          <w:p>
            <w:pPr>
              <w:spacing w:line="56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vAlign w:val="center"/>
          </w:tcPr>
          <w:p>
            <w:pPr>
              <w:spacing w:line="300" w:lineRule="exact"/>
              <w:jc w:val="center"/>
              <w:rPr>
                <w:rFonts w:ascii="仿宋" w:hAnsi="仿宋" w:eastAsia="仿宋"/>
                <w:sz w:val="24"/>
              </w:rPr>
            </w:pPr>
            <w:r>
              <w:rPr>
                <w:rFonts w:hint="eastAsia" w:ascii="仿宋" w:hAnsi="仿宋" w:eastAsia="仿宋"/>
                <w:sz w:val="24"/>
              </w:rPr>
              <w:t>政府采购项目来源</w:t>
            </w:r>
          </w:p>
        </w:tc>
        <w:tc>
          <w:tcPr>
            <w:tcW w:w="1110" w:type="dxa"/>
            <w:vMerge w:val="restart"/>
            <w:vAlign w:val="center"/>
          </w:tcPr>
          <w:p>
            <w:pPr>
              <w:spacing w:line="300" w:lineRule="exact"/>
              <w:jc w:val="center"/>
              <w:rPr>
                <w:rFonts w:ascii="仿宋" w:hAnsi="仿宋" w:eastAsia="仿宋"/>
                <w:sz w:val="24"/>
              </w:rPr>
            </w:pPr>
            <w:r>
              <w:rPr>
                <w:rFonts w:hint="eastAsia" w:ascii="仿宋" w:hAnsi="仿宋" w:eastAsia="仿宋"/>
                <w:sz w:val="24"/>
              </w:rPr>
              <w:t>采购物品名称</w:t>
            </w:r>
          </w:p>
        </w:tc>
        <w:tc>
          <w:tcPr>
            <w:tcW w:w="1023" w:type="dxa"/>
            <w:vMerge w:val="restart"/>
            <w:vAlign w:val="center"/>
          </w:tcPr>
          <w:p>
            <w:pPr>
              <w:spacing w:line="300" w:lineRule="exact"/>
              <w:jc w:val="center"/>
              <w:rPr>
                <w:rFonts w:ascii="仿宋" w:hAnsi="仿宋" w:eastAsia="仿宋"/>
                <w:sz w:val="24"/>
              </w:rPr>
            </w:pPr>
            <w:r>
              <w:rPr>
                <w:rFonts w:hint="eastAsia" w:ascii="仿宋" w:hAnsi="仿宋" w:eastAsia="仿宋"/>
                <w:sz w:val="24"/>
              </w:rPr>
              <w:t>政府采购目录序号</w:t>
            </w:r>
          </w:p>
        </w:tc>
        <w:tc>
          <w:tcPr>
            <w:tcW w:w="709" w:type="dxa"/>
            <w:vMerge w:val="restart"/>
            <w:vAlign w:val="center"/>
          </w:tcPr>
          <w:p>
            <w:pPr>
              <w:spacing w:line="300" w:lineRule="exact"/>
              <w:jc w:val="center"/>
              <w:rPr>
                <w:rFonts w:ascii="仿宋" w:hAnsi="仿宋" w:eastAsia="仿宋"/>
                <w:sz w:val="24"/>
              </w:rPr>
            </w:pPr>
            <w:r>
              <w:rPr>
                <w:rFonts w:hint="eastAsia" w:ascii="仿宋" w:hAnsi="仿宋" w:eastAsia="仿宋"/>
                <w:sz w:val="24"/>
              </w:rPr>
              <w:t>计量</w:t>
            </w:r>
            <w:r>
              <w:rPr>
                <w:rFonts w:ascii="仿宋" w:hAnsi="仿宋" w:eastAsia="仿宋"/>
                <w:sz w:val="24"/>
              </w:rPr>
              <w:t xml:space="preserve">  </w:t>
            </w:r>
            <w:r>
              <w:rPr>
                <w:rFonts w:hint="eastAsia" w:ascii="仿宋" w:hAnsi="仿宋" w:eastAsia="仿宋"/>
                <w:sz w:val="24"/>
              </w:rPr>
              <w:t>单位</w:t>
            </w:r>
          </w:p>
        </w:tc>
        <w:tc>
          <w:tcPr>
            <w:tcW w:w="668" w:type="dxa"/>
            <w:vMerge w:val="restart"/>
            <w:vAlign w:val="center"/>
          </w:tcPr>
          <w:p>
            <w:pPr>
              <w:spacing w:line="300" w:lineRule="exact"/>
              <w:jc w:val="center"/>
              <w:rPr>
                <w:rFonts w:ascii="仿宋" w:hAnsi="仿宋" w:eastAsia="仿宋"/>
                <w:sz w:val="24"/>
              </w:rPr>
            </w:pPr>
            <w:r>
              <w:rPr>
                <w:rFonts w:hint="eastAsia" w:ascii="仿宋" w:hAnsi="仿宋" w:eastAsia="仿宋"/>
                <w:sz w:val="24"/>
              </w:rPr>
              <w:t>数量</w:t>
            </w:r>
          </w:p>
        </w:tc>
        <w:tc>
          <w:tcPr>
            <w:tcW w:w="630" w:type="dxa"/>
            <w:vMerge w:val="restart"/>
            <w:vAlign w:val="center"/>
          </w:tcPr>
          <w:p>
            <w:pPr>
              <w:spacing w:line="300" w:lineRule="exact"/>
              <w:jc w:val="center"/>
              <w:rPr>
                <w:rFonts w:ascii="仿宋" w:hAnsi="仿宋" w:eastAsia="仿宋"/>
                <w:sz w:val="24"/>
              </w:rPr>
            </w:pPr>
            <w:r>
              <w:rPr>
                <w:rFonts w:hint="eastAsia" w:ascii="仿宋" w:hAnsi="仿宋" w:eastAsia="仿宋"/>
                <w:sz w:val="24"/>
              </w:rPr>
              <w:t>单价</w:t>
            </w:r>
          </w:p>
        </w:tc>
        <w:tc>
          <w:tcPr>
            <w:tcW w:w="7320" w:type="dxa"/>
            <w:gridSpan w:val="6"/>
            <w:vAlign w:val="center"/>
          </w:tcPr>
          <w:p>
            <w:pPr>
              <w:spacing w:line="300" w:lineRule="exact"/>
              <w:jc w:val="center"/>
              <w:rPr>
                <w:rFonts w:ascii="仿宋" w:hAnsi="仿宋" w:eastAsia="仿宋"/>
                <w:sz w:val="24"/>
              </w:rPr>
            </w:pPr>
            <w:r>
              <w:rPr>
                <w:rFonts w:hint="eastAsia" w:ascii="仿宋" w:hAnsi="仿宋" w:eastAsia="仿宋"/>
                <w:sz w:val="24"/>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vAlign w:val="center"/>
          </w:tcPr>
          <w:p>
            <w:pPr>
              <w:spacing w:line="300" w:lineRule="exact"/>
              <w:jc w:val="center"/>
              <w:rPr>
                <w:rFonts w:ascii="仿宋" w:hAnsi="仿宋" w:eastAsia="仿宋"/>
                <w:sz w:val="24"/>
              </w:rPr>
            </w:pPr>
            <w:r>
              <w:rPr>
                <w:rFonts w:hint="eastAsia" w:ascii="仿宋" w:hAnsi="仿宋" w:eastAsia="仿宋"/>
                <w:sz w:val="24"/>
              </w:rPr>
              <w:t>项目名称</w:t>
            </w:r>
          </w:p>
        </w:tc>
        <w:tc>
          <w:tcPr>
            <w:tcW w:w="790" w:type="dxa"/>
            <w:vAlign w:val="center"/>
          </w:tcPr>
          <w:p>
            <w:pPr>
              <w:spacing w:line="300" w:lineRule="exact"/>
              <w:jc w:val="center"/>
              <w:rPr>
                <w:rFonts w:ascii="仿宋" w:hAnsi="仿宋" w:eastAsia="仿宋"/>
                <w:sz w:val="24"/>
              </w:rPr>
            </w:pPr>
            <w:r>
              <w:rPr>
                <w:rFonts w:hint="eastAsia" w:ascii="仿宋" w:hAnsi="仿宋" w:eastAsia="仿宋"/>
                <w:sz w:val="24"/>
              </w:rPr>
              <w:t>预算资金</w:t>
            </w:r>
          </w:p>
        </w:tc>
        <w:tc>
          <w:tcPr>
            <w:tcW w:w="1110" w:type="dxa"/>
            <w:vMerge w:val="continue"/>
            <w:vAlign w:val="center"/>
          </w:tcPr>
          <w:p>
            <w:pPr>
              <w:spacing w:line="300" w:lineRule="exact"/>
              <w:jc w:val="left"/>
              <w:rPr>
                <w:rFonts w:ascii="仿宋" w:hAnsi="仿宋" w:eastAsia="仿宋"/>
                <w:sz w:val="24"/>
              </w:rPr>
            </w:pPr>
          </w:p>
        </w:tc>
        <w:tc>
          <w:tcPr>
            <w:tcW w:w="1023" w:type="dxa"/>
            <w:vMerge w:val="continue"/>
            <w:vAlign w:val="center"/>
          </w:tcPr>
          <w:p>
            <w:pPr>
              <w:spacing w:line="300" w:lineRule="exact"/>
              <w:jc w:val="left"/>
              <w:rPr>
                <w:rFonts w:ascii="仿宋" w:hAnsi="仿宋" w:eastAsia="仿宋"/>
                <w:sz w:val="24"/>
              </w:rPr>
            </w:pPr>
          </w:p>
        </w:tc>
        <w:tc>
          <w:tcPr>
            <w:tcW w:w="709" w:type="dxa"/>
            <w:vMerge w:val="continue"/>
            <w:vAlign w:val="center"/>
          </w:tcPr>
          <w:p>
            <w:pPr>
              <w:spacing w:line="300" w:lineRule="exact"/>
              <w:jc w:val="left"/>
              <w:rPr>
                <w:rFonts w:ascii="仿宋" w:hAnsi="仿宋" w:eastAsia="仿宋"/>
                <w:sz w:val="24"/>
              </w:rPr>
            </w:pPr>
          </w:p>
        </w:tc>
        <w:tc>
          <w:tcPr>
            <w:tcW w:w="668" w:type="dxa"/>
            <w:vMerge w:val="continue"/>
            <w:vAlign w:val="center"/>
          </w:tcPr>
          <w:p>
            <w:pPr>
              <w:spacing w:line="300" w:lineRule="exact"/>
              <w:jc w:val="left"/>
              <w:rPr>
                <w:rFonts w:ascii="仿宋" w:hAnsi="仿宋" w:eastAsia="仿宋"/>
                <w:sz w:val="24"/>
              </w:rPr>
            </w:pPr>
          </w:p>
        </w:tc>
        <w:tc>
          <w:tcPr>
            <w:tcW w:w="630" w:type="dxa"/>
            <w:vMerge w:val="continue"/>
            <w:vAlign w:val="center"/>
          </w:tcPr>
          <w:p>
            <w:pPr>
              <w:spacing w:line="300" w:lineRule="exact"/>
              <w:jc w:val="left"/>
              <w:rPr>
                <w:rFonts w:ascii="仿宋" w:hAnsi="仿宋" w:eastAsia="仿宋"/>
                <w:sz w:val="24"/>
              </w:rPr>
            </w:pPr>
          </w:p>
        </w:tc>
        <w:tc>
          <w:tcPr>
            <w:tcW w:w="1650" w:type="dxa"/>
            <w:vAlign w:val="center"/>
          </w:tcPr>
          <w:p>
            <w:pPr>
              <w:spacing w:line="300" w:lineRule="exact"/>
              <w:jc w:val="center"/>
              <w:rPr>
                <w:rFonts w:ascii="仿宋" w:hAnsi="仿宋" w:eastAsia="仿宋"/>
                <w:sz w:val="24"/>
              </w:rPr>
            </w:pPr>
            <w:r>
              <w:rPr>
                <w:rFonts w:hint="eastAsia" w:ascii="仿宋" w:hAnsi="仿宋" w:eastAsia="仿宋"/>
                <w:sz w:val="24"/>
              </w:rPr>
              <w:t>合计</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一般公共预算拨款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基金预算拨款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国有资本经营预算拨款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财政专户核拨</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1055" w:type="dxa"/>
            <w:vAlign w:val="center"/>
          </w:tcPr>
          <w:p>
            <w:pPr>
              <w:spacing w:line="300" w:lineRule="exact"/>
              <w:jc w:val="center"/>
              <w:rPr>
                <w:rFonts w:ascii="仿宋" w:hAnsi="仿宋" w:eastAsia="仿宋"/>
                <w:sz w:val="24"/>
              </w:rPr>
            </w:pPr>
          </w:p>
        </w:tc>
        <w:tc>
          <w:tcPr>
            <w:tcW w:w="790" w:type="dxa"/>
            <w:vAlign w:val="center"/>
          </w:tcPr>
          <w:p>
            <w:pPr>
              <w:spacing w:line="300" w:lineRule="exact"/>
              <w:jc w:val="right"/>
              <w:rPr>
                <w:rFonts w:ascii="仿宋" w:hAnsi="仿宋" w:eastAsia="仿宋"/>
                <w:sz w:val="24"/>
              </w:rPr>
            </w:pPr>
          </w:p>
        </w:tc>
        <w:tc>
          <w:tcPr>
            <w:tcW w:w="1110" w:type="dxa"/>
            <w:vAlign w:val="center"/>
          </w:tcPr>
          <w:p>
            <w:pPr>
              <w:spacing w:line="300" w:lineRule="exact"/>
              <w:jc w:val="left"/>
              <w:rPr>
                <w:rFonts w:ascii="仿宋" w:hAnsi="仿宋" w:eastAsia="仿宋"/>
                <w:sz w:val="24"/>
              </w:rPr>
            </w:pPr>
          </w:p>
        </w:tc>
        <w:tc>
          <w:tcPr>
            <w:tcW w:w="1023" w:type="dxa"/>
            <w:vAlign w:val="center"/>
          </w:tcPr>
          <w:p>
            <w:pPr>
              <w:spacing w:line="300" w:lineRule="exact"/>
              <w:jc w:val="left"/>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668" w:type="dxa"/>
            <w:vAlign w:val="center"/>
          </w:tcPr>
          <w:p>
            <w:pPr>
              <w:spacing w:line="300" w:lineRule="exact"/>
              <w:jc w:val="right"/>
              <w:rPr>
                <w:rFonts w:ascii="仿宋" w:hAnsi="仿宋" w:eastAsia="仿宋"/>
                <w:sz w:val="24"/>
              </w:rPr>
            </w:pPr>
          </w:p>
        </w:tc>
        <w:tc>
          <w:tcPr>
            <w:tcW w:w="630" w:type="dxa"/>
            <w:vAlign w:val="center"/>
          </w:tcPr>
          <w:p>
            <w:pPr>
              <w:spacing w:line="300" w:lineRule="exact"/>
              <w:jc w:val="right"/>
              <w:rPr>
                <w:rFonts w:ascii="仿宋" w:hAnsi="仿宋" w:eastAsia="仿宋"/>
                <w:sz w:val="24"/>
              </w:rPr>
            </w:pPr>
          </w:p>
        </w:tc>
        <w:tc>
          <w:tcPr>
            <w:tcW w:w="1650"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r>
    </w:tbl>
    <w:p>
      <w:pPr>
        <w:tabs>
          <w:tab w:val="left" w:pos="4338"/>
        </w:tabs>
        <w:spacing w:line="560" w:lineRule="exact"/>
        <w:rPr>
          <w:rFonts w:ascii="宋体" w:hAnsi="宋体" w:cs="宋体"/>
          <w:sz w:val="32"/>
          <w:szCs w:val="32"/>
        </w:rPr>
      </w:pPr>
    </w:p>
    <w:p>
      <w:pPr>
        <w:tabs>
          <w:tab w:val="left" w:pos="4338"/>
        </w:tabs>
        <w:spacing w:line="560" w:lineRule="exact"/>
        <w:ind w:firstLine="63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注：无政府采购预算财政拨款预算，空表列示。</w:t>
      </w:r>
    </w:p>
    <w:p>
      <w:pPr>
        <w:spacing w:line="560" w:lineRule="exact"/>
        <w:rPr>
          <w:rFonts w:ascii="方正仿宋简体" w:hAnsi="黑体" w:eastAsia="方正仿宋简体" w:cs="黑体"/>
          <w:sz w:val="32"/>
          <w:szCs w:val="32"/>
        </w:rPr>
      </w:pPr>
      <w:r>
        <w:rPr>
          <w:rFonts w:ascii="方正仿宋简体" w:hAnsi="黑体" w:eastAsia="方正仿宋简体" w:cs="黑体"/>
          <w:sz w:val="32"/>
          <w:szCs w:val="32"/>
        </w:rPr>
        <w:t xml:space="preserve">  </w:t>
      </w:r>
      <w:r>
        <w:rPr>
          <w:rFonts w:hint="eastAsia" w:ascii="方正仿宋简体" w:hAnsi="黑体" w:eastAsia="方正仿宋简体" w:cs="黑体"/>
          <w:sz w:val="32"/>
          <w:szCs w:val="32"/>
        </w:rPr>
        <w:t xml:space="preserve">  </w:t>
      </w:r>
    </w:p>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spacing w:line="560" w:lineRule="exact"/>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七、国有资产信息情况</w:t>
      </w:r>
      <w:r>
        <w:rPr>
          <w:rFonts w:hint="eastAsia" w:ascii="方正黑体简体" w:hAnsi="方正黑体简体" w:eastAsia="方正黑体简体" w:cs="方正黑体简体"/>
          <w:bCs/>
          <w:color w:val="000000"/>
          <w:sz w:val="32"/>
          <w:szCs w:val="32"/>
        </w:rPr>
        <w:tab/>
      </w:r>
    </w:p>
    <w:p>
      <w:pPr>
        <w:spacing w:line="560" w:lineRule="exact"/>
        <w:ind w:firstLine="660"/>
        <w:rPr>
          <w:rFonts w:ascii="方正仿宋简体" w:hAnsi="黑体" w:eastAsia="方正仿宋简体" w:cs="黑体"/>
          <w:sz w:val="32"/>
          <w:szCs w:val="32"/>
        </w:rPr>
      </w:pPr>
      <w:r>
        <w:rPr>
          <w:rFonts w:hint="eastAsia" w:ascii="方正仿宋简体" w:hAnsi="黑体" w:eastAsia="方正仿宋简体" w:cs="黑体"/>
          <w:sz w:val="32"/>
          <w:szCs w:val="32"/>
        </w:rPr>
        <w:t>遵化市东新庄镇上年末固定资产金额为</w:t>
      </w:r>
      <w:r>
        <w:rPr>
          <w:rFonts w:ascii="方正仿宋简体" w:hAnsi="黑体" w:eastAsia="方正仿宋简体" w:cs="黑体"/>
          <w:sz w:val="32"/>
          <w:szCs w:val="32"/>
        </w:rPr>
        <w:t>700.21</w:t>
      </w:r>
      <w:r>
        <w:rPr>
          <w:rFonts w:hint="eastAsia" w:ascii="方正仿宋简体" w:hAnsi="黑体" w:eastAsia="方正仿宋简体" w:cs="黑体"/>
          <w:sz w:val="32"/>
          <w:szCs w:val="32"/>
        </w:rPr>
        <w:t>万元（详见下表）。本年度未安排国有资产购置情况。</w:t>
      </w:r>
      <w:r>
        <w:rPr>
          <w:rFonts w:ascii="方正仿宋简体" w:hAnsi="黑体" w:eastAsia="方正仿宋简体" w:cs="黑体"/>
          <w:sz w:val="32"/>
          <w:szCs w:val="32"/>
        </w:rPr>
        <w:t xml:space="preserve"> </w:t>
      </w:r>
    </w:p>
    <w:tbl>
      <w:tblPr>
        <w:tblStyle w:val="5"/>
        <w:tblW w:w="14740" w:type="dxa"/>
        <w:jc w:val="center"/>
        <w:tblLayout w:type="fixed"/>
        <w:tblCellMar>
          <w:top w:w="0" w:type="dxa"/>
          <w:left w:w="108" w:type="dxa"/>
          <w:bottom w:w="0" w:type="dxa"/>
          <w:right w:w="108" w:type="dxa"/>
        </w:tblCellMar>
      </w:tblPr>
      <w:tblGrid>
        <w:gridCol w:w="5712"/>
        <w:gridCol w:w="3449"/>
        <w:gridCol w:w="5579"/>
      </w:tblGrid>
      <w:tr>
        <w:tblPrEx>
          <w:tblCellMar>
            <w:top w:w="0" w:type="dxa"/>
            <w:left w:w="108" w:type="dxa"/>
            <w:bottom w:w="0" w:type="dxa"/>
            <w:right w:w="108" w:type="dxa"/>
          </w:tblCellMar>
        </w:tblPrEx>
        <w:trPr>
          <w:trHeight w:val="599" w:hRule="atLeast"/>
          <w:jc w:val="center"/>
        </w:trPr>
        <w:tc>
          <w:tcPr>
            <w:tcW w:w="13482" w:type="dxa"/>
            <w:gridSpan w:val="3"/>
            <w:tcBorders>
              <w:top w:val="nil"/>
              <w:left w:val="nil"/>
              <w:bottom w:val="nil"/>
              <w:right w:val="nil"/>
            </w:tcBorders>
            <w:vAlign w:val="center"/>
          </w:tcPr>
          <w:p>
            <w:pPr>
              <w:widowControl/>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tblPrEx>
          <w:tblCellMar>
            <w:top w:w="0" w:type="dxa"/>
            <w:left w:w="108" w:type="dxa"/>
            <w:bottom w:w="0" w:type="dxa"/>
            <w:right w:w="108" w:type="dxa"/>
          </w:tblCellMar>
        </w:tblPrEx>
        <w:trPr>
          <w:trHeight w:val="353" w:hRule="atLeast"/>
          <w:jc w:val="center"/>
        </w:trPr>
        <w:tc>
          <w:tcPr>
            <w:tcW w:w="8379" w:type="dxa"/>
            <w:gridSpan w:val="2"/>
            <w:tcBorders>
              <w:top w:val="nil"/>
              <w:left w:val="nil"/>
              <w:bottom w:val="nil"/>
              <w:right w:val="nil"/>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编制部门：遵化市东新庄镇人民政府</w:t>
            </w:r>
          </w:p>
        </w:tc>
        <w:tc>
          <w:tcPr>
            <w:tcW w:w="5103" w:type="dxa"/>
            <w:tcBorders>
              <w:top w:val="nil"/>
              <w:left w:val="nil"/>
              <w:bottom w:val="nil"/>
              <w:right w:val="nil"/>
            </w:tcBorders>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截止时间：</w:t>
            </w:r>
            <w:r>
              <w:rPr>
                <w:rFonts w:ascii="方正仿宋简体" w:hAnsi="黑体" w:eastAsia="方正仿宋简体" w:cs="黑体"/>
                <w:kern w:val="0"/>
                <w:sz w:val="28"/>
                <w:szCs w:val="28"/>
              </w:rPr>
              <w:t>2021</w:t>
            </w:r>
            <w:r>
              <w:rPr>
                <w:rFonts w:hint="eastAsia" w:ascii="方正仿宋简体" w:hAnsi="黑体" w:eastAsia="方正仿宋简体" w:cs="黑体"/>
                <w:kern w:val="0"/>
                <w:sz w:val="28"/>
                <w:szCs w:val="28"/>
              </w:rPr>
              <w:t>年</w:t>
            </w:r>
            <w:r>
              <w:rPr>
                <w:rFonts w:ascii="方正仿宋简体" w:hAnsi="黑体" w:eastAsia="方正仿宋简体" w:cs="黑体"/>
                <w:kern w:val="0"/>
                <w:sz w:val="28"/>
                <w:szCs w:val="28"/>
              </w:rPr>
              <w:t>12</w:t>
            </w:r>
            <w:r>
              <w:rPr>
                <w:rFonts w:hint="eastAsia" w:ascii="方正仿宋简体" w:hAnsi="黑体" w:eastAsia="方正仿宋简体" w:cs="黑体"/>
                <w:kern w:val="0"/>
                <w:sz w:val="28"/>
                <w:szCs w:val="28"/>
              </w:rPr>
              <w:t>月</w:t>
            </w:r>
            <w:r>
              <w:rPr>
                <w:rFonts w:ascii="方正仿宋简体" w:hAnsi="黑体" w:eastAsia="方正仿宋简体" w:cs="黑体"/>
                <w:kern w:val="0"/>
                <w:sz w:val="28"/>
                <w:szCs w:val="28"/>
              </w:rPr>
              <w:t>31</w:t>
            </w:r>
            <w:r>
              <w:rPr>
                <w:rFonts w:hint="eastAsia" w:ascii="方正仿宋简体" w:hAnsi="黑体" w:eastAsia="方正仿宋简体" w:cs="黑体"/>
                <w:kern w:val="0"/>
                <w:sz w:val="28"/>
                <w:szCs w:val="28"/>
              </w:rPr>
              <w:t>日</w:t>
            </w:r>
            <w:r>
              <w:rPr>
                <w:rFonts w:ascii="方正仿宋简体" w:hAnsi="黑体" w:eastAsia="方正仿宋简体" w:cs="黑体"/>
                <w:kern w:val="0"/>
                <w:sz w:val="28"/>
                <w:szCs w:val="28"/>
              </w:rPr>
              <w:t xml:space="preserve">  </w:t>
            </w:r>
          </w:p>
        </w:tc>
      </w:tr>
      <w:tr>
        <w:tblPrEx>
          <w:tblCellMar>
            <w:top w:w="0" w:type="dxa"/>
            <w:left w:w="108" w:type="dxa"/>
            <w:bottom w:w="0" w:type="dxa"/>
            <w:right w:w="108" w:type="dxa"/>
          </w:tblCellMar>
        </w:tblPrEx>
        <w:trPr>
          <w:trHeight w:val="624" w:hRule="atLeast"/>
          <w:jc w:val="center"/>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w:t>
            </w:r>
            <w:r>
              <w:rPr>
                <w:rFonts w:ascii="方正仿宋简体" w:hAnsi="黑体" w:eastAsia="方正仿宋简体" w:cs="黑体"/>
                <w:b/>
                <w:bCs/>
                <w:kern w:val="0"/>
                <w:sz w:val="28"/>
                <w:szCs w:val="28"/>
              </w:rPr>
              <w:t xml:space="preserve">   </w:t>
            </w:r>
            <w:r>
              <w:rPr>
                <w:rFonts w:hint="eastAsia" w:ascii="方正仿宋简体" w:hAnsi="黑体" w:eastAsia="方正仿宋简体" w:cs="黑体"/>
                <w:b/>
                <w:bCs/>
                <w:kern w:val="0"/>
                <w:sz w:val="28"/>
                <w:szCs w:val="28"/>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ascii="方正仿宋简体" w:hAnsi="黑体" w:eastAsia="方正仿宋简体" w:cs="黑体"/>
                <w:sz w:val="28"/>
                <w:szCs w:val="28"/>
              </w:rPr>
              <w:t>700.21</w:t>
            </w:r>
          </w:p>
        </w:tc>
      </w:tr>
      <w:tr>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1</w:t>
            </w:r>
            <w:r>
              <w:rPr>
                <w:rFonts w:hint="eastAsia" w:ascii="方正仿宋简体" w:hAnsi="黑体" w:eastAsia="方正仿宋简体" w:cs="黑体"/>
                <w:kern w:val="0"/>
                <w:sz w:val="28"/>
                <w:szCs w:val="28"/>
              </w:rPr>
              <w:t>、房屋（平方米）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ascii="方正仿宋简体" w:hAnsi="黑体" w:eastAsia="方正仿宋简体" w:cs="黑体"/>
                <w:sz w:val="28"/>
                <w:szCs w:val="28"/>
              </w:rPr>
              <w:t>1530</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ascii="方正仿宋简体" w:hAnsi="黑体" w:eastAsia="方正仿宋简体" w:cs="黑体"/>
                <w:sz w:val="28"/>
                <w:szCs w:val="28"/>
              </w:rPr>
              <w:t>58.40</w:t>
            </w:r>
          </w:p>
        </w:tc>
      </w:tr>
      <w:tr>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 xml:space="preserve">   </w:t>
            </w:r>
            <w:r>
              <w:rPr>
                <w:rFonts w:hint="eastAsia" w:ascii="方正仿宋简体" w:hAnsi="黑体" w:eastAsia="方正仿宋简体" w:cs="黑体"/>
                <w:kern w:val="0"/>
                <w:sz w:val="28"/>
                <w:szCs w:val="28"/>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ascii="方正仿宋简体" w:hAnsi="黑体" w:eastAsia="方正仿宋简体" w:cs="黑体"/>
                <w:sz w:val="28"/>
                <w:szCs w:val="28"/>
              </w:rPr>
              <w:t>1530</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ascii="方正仿宋简体" w:hAnsi="黑体" w:eastAsia="方正仿宋简体" w:cs="黑体"/>
                <w:sz w:val="28"/>
                <w:szCs w:val="28"/>
              </w:rPr>
              <w:t>58.40</w:t>
            </w:r>
          </w:p>
        </w:tc>
      </w:tr>
      <w:tr>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2</w:t>
            </w:r>
            <w:r>
              <w:rPr>
                <w:rFonts w:hint="eastAsia" w:ascii="方正仿宋简体" w:hAnsi="黑体" w:eastAsia="方正仿宋简体" w:cs="黑体"/>
                <w:kern w:val="0"/>
                <w:sz w:val="28"/>
                <w:szCs w:val="28"/>
              </w:rPr>
              <w:t>、车辆（台、辆）</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ascii="方正仿宋简体" w:hAnsi="黑体" w:eastAsia="方正仿宋简体" w:cs="黑体"/>
                <w:sz w:val="28"/>
                <w:szCs w:val="28"/>
              </w:rPr>
              <w:t>4</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ascii="方正仿宋简体" w:hAnsi="黑体" w:eastAsia="方正仿宋简体" w:cs="黑体"/>
                <w:sz w:val="28"/>
                <w:szCs w:val="28"/>
              </w:rPr>
              <w:t>87.61</w:t>
            </w:r>
          </w:p>
        </w:tc>
      </w:tr>
      <w:tr>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3</w:t>
            </w:r>
            <w:r>
              <w:rPr>
                <w:rFonts w:hint="eastAsia" w:ascii="方正仿宋简体" w:hAnsi="黑体" w:eastAsia="方正仿宋简体" w:cs="黑体"/>
                <w:kern w:val="0"/>
                <w:sz w:val="28"/>
                <w:szCs w:val="28"/>
              </w:rPr>
              <w:t>、单价在</w:t>
            </w:r>
            <w:r>
              <w:rPr>
                <w:rFonts w:ascii="方正仿宋简体" w:hAnsi="黑体" w:eastAsia="方正仿宋简体" w:cs="黑体"/>
                <w:kern w:val="0"/>
                <w:sz w:val="28"/>
                <w:szCs w:val="28"/>
              </w:rPr>
              <w:t>20</w:t>
            </w:r>
            <w:r>
              <w:rPr>
                <w:rFonts w:hint="eastAsia" w:ascii="方正仿宋简体" w:hAnsi="黑体" w:eastAsia="方正仿宋简体" w:cs="黑体"/>
                <w:kern w:val="0"/>
                <w:sz w:val="28"/>
                <w:szCs w:val="28"/>
              </w:rPr>
              <w:t>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r>
      <w:tr>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4</w:t>
            </w:r>
            <w:r>
              <w:rPr>
                <w:rFonts w:hint="eastAsia" w:ascii="方正仿宋简体" w:hAnsi="黑体" w:eastAsia="方正仿宋简体" w:cs="黑体"/>
                <w:kern w:val="0"/>
                <w:sz w:val="28"/>
                <w:szCs w:val="28"/>
              </w:rPr>
              <w:t>、其他固定资产</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ascii="方正仿宋简体" w:hAnsi="黑体" w:eastAsia="方正仿宋简体" w:cs="黑体"/>
                <w:sz w:val="28"/>
                <w:szCs w:val="28"/>
              </w:rPr>
              <w:t>1428</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ascii="方正仿宋简体" w:hAnsi="黑体" w:eastAsia="方正仿宋简体" w:cs="黑体"/>
                <w:sz w:val="28"/>
                <w:szCs w:val="28"/>
              </w:rPr>
              <w:t>554.20</w:t>
            </w:r>
          </w:p>
        </w:tc>
      </w:tr>
    </w:tbl>
    <w:p>
      <w:pPr>
        <w:spacing w:line="570" w:lineRule="exact"/>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八、专业名词解释</w:t>
      </w:r>
    </w:p>
    <w:p>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3、其他收入：指除上述“财政拨款收入”、“事业收入”等以外的收入。主要是按规定动用的租房收入、存款利息收入等。</w:t>
      </w:r>
    </w:p>
    <w:p>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6、上缴上级支出：指所属单位上缴上级的支出。</w:t>
      </w:r>
    </w:p>
    <w:p>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0" w:lineRule="exact"/>
        <w:rPr>
          <w:rFonts w:ascii="方正黑体简体" w:hAnsi="方正黑体简体" w:eastAsia="方正黑体简体" w:cs="方正黑体简体"/>
          <w:bCs/>
          <w:color w:val="000000"/>
          <w:sz w:val="32"/>
          <w:szCs w:val="32"/>
        </w:rPr>
      </w:pPr>
      <w:r>
        <w:rPr>
          <w:rFonts w:ascii="黑体" w:hAnsi="黑体" w:eastAsia="黑体" w:cs="黑体"/>
          <w:sz w:val="28"/>
          <w:szCs w:val="28"/>
        </w:rPr>
        <w:t xml:space="preserve"> </w:t>
      </w:r>
      <w:r>
        <w:rPr>
          <w:rFonts w:hint="eastAsia" w:ascii="方正黑体简体" w:hAnsi="方正黑体简体" w:eastAsia="方正黑体简体" w:cs="方正黑体简体"/>
          <w:bCs/>
          <w:color w:val="000000"/>
          <w:sz w:val="32"/>
          <w:szCs w:val="32"/>
        </w:rPr>
        <w:t xml:space="preserve">   九、其他需要说明的事项</w:t>
      </w:r>
    </w:p>
    <w:p>
      <w:pPr>
        <w:adjustRightInd w:val="0"/>
        <w:snapToGrid w:val="0"/>
        <w:spacing w:line="570" w:lineRule="exact"/>
        <w:rPr>
          <w:rFonts w:ascii="方正仿宋简体" w:hAnsi="方正仿宋简体" w:eastAsia="方正仿宋简体" w:cs="方正仿宋简体"/>
          <w:sz w:val="32"/>
          <w:szCs w:val="32"/>
        </w:rPr>
      </w:pPr>
      <w:r>
        <w:rPr>
          <w:rFonts w:ascii="方正仿宋简体" w:hAnsi="黑体" w:eastAsia="方正仿宋简体" w:cs="黑体"/>
          <w:sz w:val="32"/>
          <w:szCs w:val="32"/>
        </w:rPr>
        <w:t xml:space="preserve">   </w:t>
      </w:r>
      <w:r>
        <w:rPr>
          <w:rFonts w:hint="eastAsia" w:ascii="方正仿宋简体" w:hAnsi="方正仿宋简体" w:eastAsia="方正仿宋简体" w:cs="方正仿宋简体"/>
          <w:sz w:val="32"/>
          <w:szCs w:val="32"/>
        </w:rPr>
        <w:t xml:space="preserve"> 1、遵化市东新庄镇人民政府2022年部门预算中未安排政府性基金预算，故政府性基金预算支出表为空。</w:t>
      </w:r>
    </w:p>
    <w:p>
      <w:pPr>
        <w:adjustRightInd w:val="0"/>
        <w:snapToGrid w:val="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2、遵化市东新庄镇人民政府2022年部门预算中未安排国有资本经营预算，故国有资本经营预算支出表为空。</w:t>
      </w:r>
    </w:p>
    <w:p>
      <w:pPr>
        <w:adjustRightInd w:val="0"/>
        <w:snapToGrid w:val="0"/>
        <w:spacing w:line="560" w:lineRule="exact"/>
        <w:rPr>
          <w:rFonts w:ascii="方正仿宋简体" w:hAnsi="黑体" w:eastAsia="方正仿宋简体" w:cs="黑体"/>
          <w:sz w:val="32"/>
          <w:szCs w:val="32"/>
        </w:rPr>
      </w:pPr>
    </w:p>
    <w:p>
      <w:pPr>
        <w:tabs>
          <w:tab w:val="left" w:pos="925"/>
        </w:tabs>
        <w:rPr>
          <w:rFonts w:ascii="黑体" w:hAnsi="黑体" w:eastAsia="黑体" w:cs="黑体"/>
          <w:kern w:val="0"/>
          <w:sz w:val="28"/>
          <w:szCs w:val="28"/>
        </w:rPr>
      </w:pPr>
    </w:p>
    <w:sectPr>
      <w:headerReference r:id="rId6" w:type="default"/>
      <w:pgSz w:w="16839" w:h="11907" w:orient="landscape"/>
      <w:pgMar w:top="340" w:right="1020" w:bottom="454"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黑体简体">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9B6E0"/>
    <w:multiLevelType w:val="singleLevel"/>
    <w:tmpl w:val="D6E9B6E0"/>
    <w:lvl w:ilvl="0" w:tentative="0">
      <w:start w:val="1"/>
      <w:numFmt w:val="chineseCounting"/>
      <w:suff w:val="nothing"/>
      <w:lvlText w:val="（%1）"/>
      <w:lvlJc w:val="left"/>
      <w:rPr>
        <w:rFonts w:hint="eastAsia"/>
      </w:rPr>
    </w:lvl>
  </w:abstractNum>
  <w:abstractNum w:abstractNumId="1">
    <w:nsid w:val="44F99E4B"/>
    <w:multiLevelType w:val="singleLevel"/>
    <w:tmpl w:val="44F99E4B"/>
    <w:lvl w:ilvl="0" w:tentative="0">
      <w:start w:val="2"/>
      <w:numFmt w:val="decimal"/>
      <w:suff w:val="nothing"/>
      <w:lvlText w:val="%1、"/>
      <w:lvlJc w:val="left"/>
    </w:lvl>
  </w:abstractNum>
  <w:abstractNum w:abstractNumId="2">
    <w:nsid w:val="589A8F38"/>
    <w:multiLevelType w:val="singleLevel"/>
    <w:tmpl w:val="589A8F38"/>
    <w:lvl w:ilvl="0" w:tentative="0">
      <w:start w:val="1"/>
      <w:numFmt w:val="decimal"/>
      <w:suff w:val="nothing"/>
      <w:lvlText w:val="%1、"/>
      <w:lvlJc w:val="left"/>
      <w:rPr>
        <w:rFonts w:cs="Times New Roman"/>
      </w:rPr>
    </w:lvl>
  </w:abstractNum>
  <w:abstractNum w:abstractNumId="3">
    <w:nsid w:val="589A9132"/>
    <w:multiLevelType w:val="singleLevel"/>
    <w:tmpl w:val="589A9132"/>
    <w:lvl w:ilvl="0" w:tentative="0">
      <w:start w:val="1"/>
      <w:numFmt w:val="decimal"/>
      <w:suff w:val="nothing"/>
      <w:lvlText w:val="%1、"/>
      <w:lvlJc w:val="left"/>
      <w:rPr>
        <w:rFonts w:cs="Times New Roman"/>
      </w:rPr>
    </w:lvl>
  </w:abstractNum>
  <w:abstractNum w:abstractNumId="4">
    <w:nsid w:val="6D312DB8"/>
    <w:multiLevelType w:val="multilevel"/>
    <w:tmpl w:val="6D312DB8"/>
    <w:lvl w:ilvl="0" w:tentative="0">
      <w:start w:val="1"/>
      <w:numFmt w:val="decimal"/>
      <w:lvlText w:val="%1、"/>
      <w:lvlJc w:val="left"/>
      <w:pPr>
        <w:ind w:left="135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6F3C2CA6"/>
    <w:multiLevelType w:val="singleLevel"/>
    <w:tmpl w:val="6F3C2CA6"/>
    <w:lvl w:ilvl="0" w:tentative="0">
      <w:start w:val="1"/>
      <w:numFmt w:val="decimal"/>
      <w:lvlText w:val="%1."/>
      <w:lvlJc w:val="left"/>
      <w:pPr>
        <w:tabs>
          <w:tab w:val="left" w:pos="312"/>
        </w:tabs>
      </w:pPr>
      <w:rPr>
        <w:rFonts w:cs="Times New Roman"/>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EzYTI1NzJmZWNiNDMwMWUxYWQ3YmVhN2ZjZDE1MWIifQ=="/>
  </w:docVars>
  <w:rsids>
    <w:rsidRoot w:val="00172A27"/>
    <w:rsid w:val="0001226B"/>
    <w:rsid w:val="00035DEA"/>
    <w:rsid w:val="00067665"/>
    <w:rsid w:val="00085BCA"/>
    <w:rsid w:val="000B0629"/>
    <w:rsid w:val="000E21EC"/>
    <w:rsid w:val="00115E5B"/>
    <w:rsid w:val="0013626C"/>
    <w:rsid w:val="00161E75"/>
    <w:rsid w:val="00172A27"/>
    <w:rsid w:val="0017508F"/>
    <w:rsid w:val="00175255"/>
    <w:rsid w:val="001B09DA"/>
    <w:rsid w:val="001C697B"/>
    <w:rsid w:val="001E274E"/>
    <w:rsid w:val="001F4D71"/>
    <w:rsid w:val="00215D95"/>
    <w:rsid w:val="00257CA0"/>
    <w:rsid w:val="00263BA6"/>
    <w:rsid w:val="0029182A"/>
    <w:rsid w:val="002A379A"/>
    <w:rsid w:val="002C39A3"/>
    <w:rsid w:val="002D69A3"/>
    <w:rsid w:val="002E1444"/>
    <w:rsid w:val="0030473B"/>
    <w:rsid w:val="00307515"/>
    <w:rsid w:val="0031543A"/>
    <w:rsid w:val="00352863"/>
    <w:rsid w:val="003B7F63"/>
    <w:rsid w:val="003C74E2"/>
    <w:rsid w:val="003D1018"/>
    <w:rsid w:val="004263EF"/>
    <w:rsid w:val="00436299"/>
    <w:rsid w:val="00443E04"/>
    <w:rsid w:val="0045765C"/>
    <w:rsid w:val="004D0531"/>
    <w:rsid w:val="004F235E"/>
    <w:rsid w:val="00571FD0"/>
    <w:rsid w:val="005975E3"/>
    <w:rsid w:val="005A6880"/>
    <w:rsid w:val="005B6343"/>
    <w:rsid w:val="005F0B48"/>
    <w:rsid w:val="006533AA"/>
    <w:rsid w:val="00667781"/>
    <w:rsid w:val="006A3E24"/>
    <w:rsid w:val="007070CB"/>
    <w:rsid w:val="007312E3"/>
    <w:rsid w:val="00753ECE"/>
    <w:rsid w:val="0076003E"/>
    <w:rsid w:val="007B567A"/>
    <w:rsid w:val="007D4C28"/>
    <w:rsid w:val="007E7715"/>
    <w:rsid w:val="007F5723"/>
    <w:rsid w:val="008042AC"/>
    <w:rsid w:val="00877EB2"/>
    <w:rsid w:val="008D15FF"/>
    <w:rsid w:val="008F027C"/>
    <w:rsid w:val="008F11B0"/>
    <w:rsid w:val="0093046B"/>
    <w:rsid w:val="00967515"/>
    <w:rsid w:val="009B21A0"/>
    <w:rsid w:val="00A039F6"/>
    <w:rsid w:val="00A073B1"/>
    <w:rsid w:val="00A121B7"/>
    <w:rsid w:val="00A70D71"/>
    <w:rsid w:val="00AE14DF"/>
    <w:rsid w:val="00B62C39"/>
    <w:rsid w:val="00B77445"/>
    <w:rsid w:val="00B90C5D"/>
    <w:rsid w:val="00BB0B82"/>
    <w:rsid w:val="00BB42E5"/>
    <w:rsid w:val="00BB730A"/>
    <w:rsid w:val="00BF047B"/>
    <w:rsid w:val="00C233B4"/>
    <w:rsid w:val="00C547DC"/>
    <w:rsid w:val="00C86D90"/>
    <w:rsid w:val="00C9759C"/>
    <w:rsid w:val="00CE5D98"/>
    <w:rsid w:val="00CF3462"/>
    <w:rsid w:val="00DB4521"/>
    <w:rsid w:val="00DB5F69"/>
    <w:rsid w:val="00DE59C3"/>
    <w:rsid w:val="00E1147B"/>
    <w:rsid w:val="00E26BEE"/>
    <w:rsid w:val="00E50D2B"/>
    <w:rsid w:val="00E516D1"/>
    <w:rsid w:val="00E673A2"/>
    <w:rsid w:val="00EB62F8"/>
    <w:rsid w:val="00EB7EF5"/>
    <w:rsid w:val="00EC732D"/>
    <w:rsid w:val="00F1081C"/>
    <w:rsid w:val="00F61F85"/>
    <w:rsid w:val="00F65A3A"/>
    <w:rsid w:val="00FA6731"/>
    <w:rsid w:val="00FE14E4"/>
    <w:rsid w:val="045C3040"/>
    <w:rsid w:val="069F1465"/>
    <w:rsid w:val="0AD760BD"/>
    <w:rsid w:val="18350323"/>
    <w:rsid w:val="1AEB2B74"/>
    <w:rsid w:val="1DDF7DF0"/>
    <w:rsid w:val="22EF526F"/>
    <w:rsid w:val="22FD3172"/>
    <w:rsid w:val="25342807"/>
    <w:rsid w:val="2BE37EE8"/>
    <w:rsid w:val="328A226F"/>
    <w:rsid w:val="390216FE"/>
    <w:rsid w:val="3C435076"/>
    <w:rsid w:val="3C9D09A1"/>
    <w:rsid w:val="3E276591"/>
    <w:rsid w:val="3E786769"/>
    <w:rsid w:val="41D67834"/>
    <w:rsid w:val="45BA21B7"/>
    <w:rsid w:val="4A5D3242"/>
    <w:rsid w:val="4D5F68AB"/>
    <w:rsid w:val="4D9D63AF"/>
    <w:rsid w:val="56C42C68"/>
    <w:rsid w:val="570056E0"/>
    <w:rsid w:val="580820D2"/>
    <w:rsid w:val="59B644A1"/>
    <w:rsid w:val="5C7B7358"/>
    <w:rsid w:val="6C7F48B4"/>
    <w:rsid w:val="6F1E3A76"/>
    <w:rsid w:val="7C1754B8"/>
    <w:rsid w:val="7D2E362E"/>
    <w:rsid w:val="7D7D6C87"/>
    <w:rsid w:val="7E300A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20"/>
    <w:semiHidden/>
    <w:qFormat/>
    <w:uiPriority w:val="99"/>
    <w:pPr>
      <w:snapToGrid w:val="0"/>
      <w:jc w:val="left"/>
    </w:pPr>
    <w:rPr>
      <w:sz w:val="18"/>
      <w:szCs w:val="18"/>
    </w:rPr>
  </w:style>
  <w:style w:type="character" w:styleId="7">
    <w:name w:val="page number"/>
    <w:basedOn w:val="6"/>
    <w:qFormat/>
    <w:uiPriority w:val="99"/>
    <w:rPr>
      <w:rFonts w:cs="Times New Roman"/>
    </w:rPr>
  </w:style>
  <w:style w:type="character" w:styleId="8">
    <w:name w:val="footnote reference"/>
    <w:basedOn w:val="6"/>
    <w:semiHidden/>
    <w:qFormat/>
    <w:uiPriority w:val="99"/>
    <w:rPr>
      <w:rFonts w:cs="Times New Roman"/>
      <w:vertAlign w:val="superscript"/>
    </w:rPr>
  </w:style>
  <w:style w:type="character" w:customStyle="1" w:styleId="9">
    <w:name w:val="页脚 Char"/>
    <w:basedOn w:val="6"/>
    <w:link w:val="2"/>
    <w:qFormat/>
    <w:locked/>
    <w:uiPriority w:val="99"/>
    <w:rPr>
      <w:rFonts w:cs="Times New Roman"/>
      <w:kern w:val="2"/>
      <w:sz w:val="18"/>
      <w:szCs w:val="18"/>
    </w:rPr>
  </w:style>
  <w:style w:type="character" w:customStyle="1" w:styleId="10">
    <w:name w:val="页眉 Char"/>
    <w:basedOn w:val="6"/>
    <w:link w:val="3"/>
    <w:qFormat/>
    <w:locked/>
    <w:uiPriority w:val="99"/>
    <w:rPr>
      <w:rFonts w:cs="Times New Roman"/>
      <w:kern w:val="2"/>
      <w:sz w:val="18"/>
      <w:szCs w:val="18"/>
    </w:rPr>
  </w:style>
  <w:style w:type="paragraph" w:customStyle="1" w:styleId="11">
    <w:name w:val="插入文本样式-插入部门职责文件"/>
    <w:basedOn w:val="1"/>
    <w:qFormat/>
    <w:uiPriority w:val="99"/>
    <w:pPr>
      <w:widowControl/>
      <w:spacing w:line="500" w:lineRule="exact"/>
      <w:ind w:firstLine="560"/>
      <w:jc w:val="left"/>
    </w:pPr>
    <w:rPr>
      <w:rFonts w:ascii="Times New Roman" w:hAnsi="Times New Roman" w:eastAsia="方正仿宋_GBK"/>
      <w:kern w:val="0"/>
      <w:sz w:val="28"/>
      <w:lang w:eastAsia="uk-UA"/>
    </w:rPr>
  </w:style>
  <w:style w:type="paragraph" w:customStyle="1" w:styleId="12">
    <w:name w:val="单元格样式1"/>
    <w:basedOn w:val="1"/>
    <w:qFormat/>
    <w:uiPriority w:val="99"/>
    <w:pPr>
      <w:widowControl/>
      <w:jc w:val="center"/>
    </w:pPr>
    <w:rPr>
      <w:rFonts w:ascii="方正书宋_GBK" w:hAnsi="方正书宋_GBK" w:eastAsia="方正书宋_GBK" w:cs="方正书宋_GBK"/>
      <w:b/>
      <w:kern w:val="0"/>
      <w:lang w:eastAsia="uk-UA"/>
    </w:rPr>
  </w:style>
  <w:style w:type="paragraph" w:customStyle="1" w:styleId="13">
    <w:name w:val="样式 样式 正文缩进正文（首行缩进两字）正文2 + 首行缩进:  2 字符 + 首行缩进:  2 字符"/>
    <w:basedOn w:val="1"/>
    <w:qFormat/>
    <w:uiPriority w:val="99"/>
    <w:pPr>
      <w:snapToGrid w:val="0"/>
      <w:spacing w:line="324" w:lineRule="auto"/>
      <w:ind w:firstLine="600"/>
    </w:pPr>
    <w:rPr>
      <w:rFonts w:ascii="Times New Roman" w:cs="宋体"/>
      <w:sz w:val="28"/>
      <w:szCs w:val="20"/>
    </w:rPr>
  </w:style>
  <w:style w:type="paragraph" w:customStyle="1" w:styleId="14">
    <w:name w:val="正文1"/>
    <w:basedOn w:val="1"/>
    <w:next w:val="13"/>
    <w:qFormat/>
    <w:uiPriority w:val="99"/>
    <w:pPr>
      <w:snapToGrid w:val="0"/>
      <w:spacing w:line="324" w:lineRule="auto"/>
      <w:ind w:firstLine="200" w:firstLineChars="200"/>
      <w:jc w:val="left"/>
    </w:pPr>
    <w:rPr>
      <w:rFonts w:cs="宋体"/>
      <w:kern w:val="0"/>
    </w:rPr>
  </w:style>
  <w:style w:type="paragraph" w:customStyle="1" w:styleId="15">
    <w:name w:val="单元格样式4"/>
    <w:basedOn w:val="1"/>
    <w:qFormat/>
    <w:uiPriority w:val="99"/>
    <w:pPr>
      <w:widowControl/>
      <w:jc w:val="right"/>
    </w:pPr>
    <w:rPr>
      <w:rFonts w:ascii="方正书宋_GBK" w:hAnsi="方正书宋_GBK" w:eastAsia="方正书宋_GBK" w:cs="方正书宋_GBK"/>
      <w:kern w:val="0"/>
      <w:lang w:eastAsia="uk-UA"/>
    </w:rPr>
  </w:style>
  <w:style w:type="paragraph" w:customStyle="1" w:styleId="16">
    <w:name w:val="单元格样式3"/>
    <w:basedOn w:val="1"/>
    <w:qFormat/>
    <w:uiPriority w:val="99"/>
    <w:pPr>
      <w:widowControl/>
      <w:jc w:val="center"/>
    </w:pPr>
    <w:rPr>
      <w:rFonts w:ascii="方正书宋_GBK" w:hAnsi="方正书宋_GBK" w:eastAsia="方正书宋_GBK" w:cs="方正书宋_GBK"/>
      <w:kern w:val="0"/>
      <w:lang w:eastAsia="uk-UA"/>
    </w:rPr>
  </w:style>
  <w:style w:type="paragraph" w:customStyle="1" w:styleId="17">
    <w:name w:val="单元格样式5"/>
    <w:basedOn w:val="1"/>
    <w:qFormat/>
    <w:uiPriority w:val="99"/>
    <w:pPr>
      <w:widowControl/>
      <w:jc w:val="left"/>
    </w:pPr>
    <w:rPr>
      <w:rFonts w:ascii="方正书宋_GBK" w:hAnsi="方正书宋_GBK" w:eastAsia="方正书宋_GBK" w:cs="方正书宋_GBK"/>
      <w:b/>
      <w:kern w:val="0"/>
      <w:lang w:eastAsia="uk-UA"/>
    </w:rPr>
  </w:style>
  <w:style w:type="paragraph" w:customStyle="1" w:styleId="18">
    <w:name w:val="单元格样式2"/>
    <w:basedOn w:val="1"/>
    <w:qFormat/>
    <w:uiPriority w:val="99"/>
    <w:pPr>
      <w:widowControl/>
      <w:jc w:val="left"/>
    </w:pPr>
    <w:rPr>
      <w:rFonts w:ascii="方正书宋_GBK" w:hAnsi="方正书宋_GBK" w:eastAsia="方正书宋_GBK" w:cs="方正书宋_GBK"/>
      <w:kern w:val="0"/>
      <w:lang w:eastAsia="uk-UA"/>
    </w:rPr>
  </w:style>
  <w:style w:type="paragraph" w:customStyle="1" w:styleId="19">
    <w:name w:val="插入文本样式-插入总体目标文件"/>
    <w:basedOn w:val="1"/>
    <w:qFormat/>
    <w:uiPriority w:val="99"/>
    <w:pPr>
      <w:widowControl/>
      <w:spacing w:line="500" w:lineRule="exact"/>
      <w:ind w:firstLine="560"/>
      <w:jc w:val="left"/>
    </w:pPr>
    <w:rPr>
      <w:rFonts w:ascii="Times New Roman" w:hAnsi="Times New Roman" w:eastAsia="方正仿宋_GBK"/>
      <w:kern w:val="0"/>
      <w:sz w:val="28"/>
      <w:lang w:eastAsia="uk-UA"/>
    </w:rPr>
  </w:style>
  <w:style w:type="character" w:customStyle="1" w:styleId="20">
    <w:name w:val="脚注文本 Char"/>
    <w:basedOn w:val="6"/>
    <w:link w:val="4"/>
    <w:semiHidden/>
    <w:qFormat/>
    <w:locked/>
    <w:uiPriority w:val="99"/>
    <w:rPr>
      <w:rFonts w:cs="Times New Roman"/>
      <w:kern w:val="2"/>
      <w:sz w:val="18"/>
      <w:szCs w:val="18"/>
    </w:rPr>
  </w:style>
  <w:style w:type="paragraph" w:customStyle="1" w:styleId="21">
    <w:name w:val="插入文本样式-插入实现年度发展规划目标的保障措施文件"/>
    <w:basedOn w:val="1"/>
    <w:qFormat/>
    <w:uiPriority w:val="99"/>
    <w:pPr>
      <w:spacing w:line="500" w:lineRule="exact"/>
      <w:ind w:firstLine="560"/>
      <w:jc w:val="left"/>
    </w:pPr>
    <w:rPr>
      <w:rFonts w:ascii="Times New Roman" w:hAnsi="Times New Roman" w:eastAsia="方正仿宋_GBK"/>
      <w:sz w:val="28"/>
      <w:szCs w:val="22"/>
    </w:rPr>
  </w:style>
  <w:style w:type="paragraph" w:customStyle="1" w:styleId="22">
    <w:name w:val="插入文本样式-插入职责分类绩效目标文件"/>
    <w:basedOn w:val="1"/>
    <w:qFormat/>
    <w:uiPriority w:val="99"/>
    <w:pPr>
      <w:spacing w:line="500" w:lineRule="exact"/>
      <w:ind w:firstLine="560"/>
      <w:jc w:val="left"/>
    </w:pPr>
    <w:rPr>
      <w:rFonts w:ascii="Times New Roman" w:hAnsi="Times New Roman" w:eastAsia="方正仿宋_GBK"/>
      <w:sz w:val="28"/>
      <w:szCs w:val="22"/>
    </w:rPr>
  </w:style>
  <w:style w:type="paragraph" w:customStyle="1" w:styleId="23">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12079</Words>
  <Characters>13872</Characters>
  <Lines>43</Lines>
  <Paragraphs>33</Paragraphs>
  <TotalTime>110</TotalTime>
  <ScaleCrop>false</ScaleCrop>
  <LinksUpToDate>false</LinksUpToDate>
  <CharactersWithSpaces>14637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2015-11-16T02:52:00Z</dcterms:created>
  <dc:creator>Microsoft</dc:creator>
  <cp:lastModifiedBy>Administrator</cp:lastModifiedBy>
  <cp:lastPrinted>2022-03-24T03:18:00Z</cp:lastPrinted>
  <dcterms:modified xsi:type="dcterms:W3CDTF">2024-03-20T06:51:17Z</dcterms:modified>
  <dc:title>***镇人民政府2016年度预算情况说明</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DD6DC09A8687402E8DD96234D968FFDE</vt:lpwstr>
  </property>
</Properties>
</file>