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560" w:lineRule="exact"/>
        <w:ind w:firstLineChars="200" w:firstLine="880"/>
        <w:jc w:val="center"/>
        <w:rPr>
          <w:rFonts w:ascii="宋体" w:cs="Times New Roman" w:hint="eastAsia"/>
          <w:b/>
          <w:sz w:val="44"/>
          <w:szCs w:val="44"/>
          <w:lang w:bidi="ar-SA"/>
        </w:rPr>
      </w:pPr>
      <w:bookmarkStart w:id="0" w:name="_GoBack"/>
      <w:bookmarkEnd w:id="0"/>
      <w:r>
        <w:rPr>
          <w:rFonts w:ascii="宋体" w:cs="Times New Roman" w:hint="eastAsia"/>
          <w:b/>
          <w:sz w:val="44"/>
          <w:szCs w:val="44"/>
          <w:lang w:bidi="ar-SA"/>
        </w:rPr>
        <w:t>遵化市供销合作社</w:t>
      </w:r>
      <w:r>
        <w:rPr>
          <w:rFonts w:ascii="宋体" w:cs="Times New Roman" w:hint="eastAsia"/>
          <w:b/>
          <w:sz w:val="44"/>
          <w:szCs w:val="44"/>
          <w:lang w:bidi="ar-SA"/>
        </w:rPr>
        <w:t>201</w:t>
      </w:r>
      <w:r>
        <w:rPr>
          <w:rFonts w:ascii="宋体" w:cs="Times New Roman" w:hint="eastAsia"/>
          <w:b/>
          <w:sz w:val="44"/>
          <w:szCs w:val="44"/>
          <w:lang w:val="en-US" w:eastAsia="zh-CN" w:bidi="ar-SA"/>
        </w:rPr>
        <w:t>9</w:t>
      </w:r>
      <w:r>
        <w:rPr>
          <w:rFonts w:ascii="宋体" w:cs="Times New Roman" w:hint="eastAsia"/>
          <w:b/>
          <w:sz w:val="44"/>
          <w:szCs w:val="44"/>
          <w:lang w:bidi="ar-SA"/>
        </w:rPr>
        <w:t>年部门预算信息公开</w:t>
      </w:r>
    </w:p>
    <w:p>
      <w:pPr>
        <w:spacing w:line="560" w:lineRule="exact"/>
        <w:ind w:firstLineChars="200" w:firstLine="640"/>
        <w:rPr>
          <w:rFonts w:ascii="仿宋" w:eastAsia="仿宋" w:cs="Times New Roman" w:hAnsi="仿宋" w:hint="eastAsia"/>
          <w:sz w:val="32"/>
          <w:szCs w:val="32"/>
          <w:lang w:bidi="ar-SA"/>
        </w:rPr>
      </w:pP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w:t>
      </w:r>
      <w:r>
        <w:rPr>
          <w:rFonts w:ascii="仿宋" w:eastAsia="仿宋" w:cs="Times New Roman" w:hAnsi="仿宋" w:hint="eastAsia"/>
          <w:sz w:val="28"/>
          <w:szCs w:val="28"/>
          <w:lang w:bidi="ar-SA"/>
        </w:rPr>
        <w:t>《</w:t>
      </w:r>
      <w:r>
        <w:rPr>
          <w:rFonts w:ascii="仿宋" w:eastAsia="仿宋" w:cs="Times New Roman" w:hAnsi="仿宋" w:hint="eastAsia"/>
          <w:sz w:val="28"/>
          <w:szCs w:val="28"/>
          <w:lang w:bidi="ar-SA"/>
        </w:rPr>
        <w:t>中华人民共和国</w:t>
      </w:r>
      <w:r>
        <w:rPr>
          <w:rFonts w:ascii="仿宋" w:eastAsia="仿宋" w:cs="Times New Roman" w:hAnsi="仿宋" w:hint="eastAsia"/>
          <w:sz w:val="28"/>
          <w:szCs w:val="28"/>
          <w:lang w:bidi="ar-SA"/>
        </w:rPr>
        <w:t>预算法》、</w:t>
      </w:r>
      <w:r>
        <w:rPr>
          <w:rFonts w:ascii="仿宋" w:eastAsia="仿宋" w:cs="Times New Roman" w:hAnsi="仿宋" w:hint="eastAsia"/>
          <w:sz w:val="28"/>
          <w:szCs w:val="28"/>
          <w:lang w:bidi="ar-SA"/>
        </w:rPr>
        <w:t>《地方预决算公开操作规程》和《河北省省级预算公开办法》</w:t>
      </w:r>
      <w:r>
        <w:rPr>
          <w:rFonts w:ascii="仿宋" w:eastAsia="仿宋" w:cs="Times New Roman" w:hAnsi="仿宋" w:hint="eastAsia"/>
          <w:sz w:val="28"/>
          <w:szCs w:val="28"/>
          <w:lang w:bidi="ar-SA"/>
        </w:rPr>
        <w:t>规定</w:t>
      </w:r>
      <w:r>
        <w:rPr>
          <w:rFonts w:ascii="仿宋" w:eastAsia="仿宋" w:cs="Times New Roman" w:hAnsi="仿宋" w:hint="eastAsia"/>
          <w:sz w:val="28"/>
          <w:szCs w:val="28"/>
          <w:lang w:bidi="ar-SA"/>
        </w:rPr>
        <w:t>，现将</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年部门预算公开如下：</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一、部门职责及机构设置情况</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部门职责：</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 xml:space="preserve">（一）根据《中共遵化市委遵化市人民政府关于大力推进供销合作社改革与发展的实施意见》等有关文件，本单位主要职责是：   </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1.承担全市农村流通服务网络体系建设，组建企业经营集团，以多元投资模式发展配送中心，开展农业生产资料、农产品、再生资源回收利用、日用工业品的新型连锁经营。</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统领全市农村合作经济组织建设，进行统一组织、协调、指导、考核和管理，负责制定、落实农村合作经济组织发展规划。积极发展和吸纳各类农村合作经济组织，提高农民组织化程度，参与和推动有关农村经济和农村合作经济组织政策的制定，促进全市合作经济的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3.承担村镇社区综合服务中心的建设，延伸服务网络，大力发展村级综合服务站，完善农村综合服务体系。</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4.承担农资、食盐等物资的储备供应工作。</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5.负责全市食盐专营及食盐批发、零售各个环节的计划和许可证管理。负责市场工业用盐供应的组织管理和全市盐业流通领域行政执法管理工作。</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6..组织和指导全系统企业改革，承担对改制企业的监督、管理和服务的职能。负责和指导全系统供销社企业的财务、会计、审计、统计工作，负责管理运营本级社资产。</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7.对全系统所属企业行使出资人职能，负责企业党建、廉政建设，按干部管理权限考察任免干部。依法享有所有者的资产收益、重大问题决策和选择管理者的权力。</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机构设置：</w:t>
      </w:r>
    </w:p>
    <w:p>
      <w:pPr>
        <w:spacing w:line="560" w:lineRule="exact"/>
        <w:ind w:firstLineChars="200" w:firstLine="640"/>
        <w:jc w:val="center"/>
        <w:rPr>
          <w:rFonts w:ascii="仿宋" w:eastAsia="仿宋" w:cs="Times New Roman" w:hAnsi="仿宋" w:hint="eastAsia"/>
          <w:sz w:val="32"/>
          <w:szCs w:val="32"/>
          <w:lang w:bidi="ar-SA"/>
        </w:rPr>
      </w:pPr>
      <w:r>
        <w:rPr>
          <w:rFonts w:ascii="仿宋" w:eastAsia="仿宋" w:cs="Times New Roman" w:hAnsi="仿宋" w:hint="eastAsia"/>
          <w:b/>
          <w:sz w:val="32"/>
          <w:szCs w:val="32"/>
          <w:lang w:bidi="ar-SA"/>
        </w:rPr>
        <w:t>部门</w:t>
      </w:r>
      <w:r>
        <w:rPr>
          <w:rFonts w:ascii="仿宋" w:eastAsia="仿宋" w:cs="Times New Roman" w:hAnsi="仿宋" w:hint="eastAsia"/>
          <w:b/>
          <w:sz w:val="32"/>
          <w:szCs w:val="32"/>
          <w:lang w:bidi="ar-SA"/>
        </w:rPr>
        <w:t>机构设置情况</w:t>
      </w:r>
    </w:p>
    <w:tbl>
      <w:tblPr>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717"/>
        <w:gridCol w:w="2286"/>
        <w:gridCol w:w="2857"/>
        <w:gridCol w:w="3200"/>
      </w:tblGrid>
      <w:tr>
        <w:trPr>
          <w:trHeight w:hRule="exact" w:val="312"/>
          <w:tblHeader/>
        </w:trPr>
        <w:tc>
          <w:tcPr>
            <w:tcW w:w="5717"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单位名称</w:t>
            </w:r>
          </w:p>
        </w:tc>
        <w:tc>
          <w:tcPr>
            <w:tcW w:w="2286"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单位性质</w:t>
            </w:r>
          </w:p>
        </w:tc>
        <w:tc>
          <w:tcPr>
            <w:tcW w:w="2857"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单位规格</w:t>
            </w:r>
          </w:p>
        </w:tc>
        <w:tc>
          <w:tcPr>
            <w:tcW w:w="3200"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经费保障形式</w:t>
            </w:r>
          </w:p>
        </w:tc>
      </w:tr>
      <w:tr>
        <w:trPr>
          <w:trHeight w:hRule="exact" w:val="356"/>
          <w:tblHeader/>
        </w:trPr>
        <w:tc>
          <w:tcPr>
            <w:tcW w:w="5717" w:type="dxa"/>
            <w:vMerge/>
            <w:tcBorders>
              <w:tl2br w:val="nil"/>
              <w:tr2bl w:val="nil"/>
            </w:tcBorders>
            <w:vAlign w:val="center"/>
          </w:tcPr>
          <w:p/>
        </w:tc>
        <w:tc>
          <w:tcPr>
            <w:tcW w:w="2286" w:type="dxa"/>
            <w:vMerge/>
            <w:tcBorders>
              <w:tl2br w:val="nil"/>
              <w:tr2bl w:val="nil"/>
            </w:tcBorders>
            <w:vAlign w:val="center"/>
          </w:tcPr>
          <w:p/>
        </w:tc>
        <w:tc>
          <w:tcPr>
            <w:tcW w:w="2857" w:type="dxa"/>
            <w:vMerge/>
            <w:tcBorders>
              <w:tl2br w:val="nil"/>
              <w:tr2bl w:val="nil"/>
            </w:tcBorders>
            <w:vAlign w:val="center"/>
          </w:tcPr>
          <w:p/>
        </w:tc>
        <w:tc>
          <w:tcPr>
            <w:tcW w:w="3200" w:type="dxa"/>
            <w:vMerge/>
            <w:tcBorders>
              <w:tl2br w:val="nil"/>
              <w:tr2bl w:val="nil"/>
            </w:tcBorders>
            <w:vAlign w:val="center"/>
          </w:tcPr>
          <w:p/>
        </w:tc>
      </w:tr>
      <w:tr>
        <w:trPr>
          <w:trHeight w:hRule="exact" w:val="626"/>
        </w:trPr>
        <w:tc>
          <w:tcPr>
            <w:tcW w:w="5717"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遵化市供销合作社机关</w:t>
            </w:r>
          </w:p>
        </w:tc>
        <w:tc>
          <w:tcPr>
            <w:tcW w:w="2286"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事业</w:t>
            </w:r>
          </w:p>
        </w:tc>
        <w:tc>
          <w:tcPr>
            <w:tcW w:w="2857"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正科级</w:t>
            </w:r>
          </w:p>
        </w:tc>
        <w:tc>
          <w:tcPr>
            <w:tcW w:w="3200"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财政拨款</w:t>
            </w:r>
          </w:p>
        </w:tc>
      </w:tr>
    </w:tbl>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遵化市供销合作社机关设7个职能科室，分别为：综合办公室、财务审计科、信访保卫监察科、人事教育科、合作指导科、</w:t>
      </w:r>
      <w:r>
        <w:rPr>
          <w:rFonts w:ascii="仿宋" w:eastAsia="仿宋" w:cs="Times New Roman" w:hAnsi="仿宋" w:hint="eastAsia"/>
          <w:sz w:val="28"/>
          <w:szCs w:val="28"/>
          <w:lang w:eastAsia="zh-CN" w:bidi="ar-SA"/>
        </w:rPr>
        <w:t>农村产权交易中心</w:t>
      </w:r>
      <w:r>
        <w:rPr>
          <w:rFonts w:ascii="仿宋" w:eastAsia="仿宋" w:cs="Times New Roman" w:hAnsi="仿宋" w:hint="eastAsia"/>
          <w:sz w:val="28"/>
          <w:szCs w:val="28"/>
          <w:lang w:bidi="ar-SA"/>
        </w:rPr>
        <w:t xml:space="preserve">、资产运营管理中心。纳入遵化市供销合作社部门预算编报范围的预算单位共1家，即遵化市供销合作社机关本级。 </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二、部门预算安排的总体情况</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按照预算管理有关规定，目前我省部门预算的编制实行综合预算制度，即全部收入和支出都反映</w:t>
      </w:r>
      <w:r>
        <w:rPr>
          <w:rFonts w:ascii="仿宋" w:eastAsia="仿宋" w:cs="Times New Roman" w:hAnsi="仿宋" w:hint="eastAsia"/>
          <w:sz w:val="28"/>
          <w:szCs w:val="28"/>
          <w:lang w:bidi="ar-SA"/>
        </w:rPr>
        <w:t>在</w:t>
      </w:r>
      <w:r>
        <w:rPr>
          <w:rFonts w:ascii="仿宋" w:eastAsia="仿宋" w:cs="Times New Roman" w:hAnsi="仿宋" w:hint="eastAsia"/>
          <w:sz w:val="28"/>
          <w:szCs w:val="28"/>
          <w:lang w:bidi="ar-SA"/>
        </w:rPr>
        <w:t>预算中。</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的收支包含在部门预算中。</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1、收入说明</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反映本部门当年全部收入。201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年预算收入</w:t>
      </w:r>
      <w:r>
        <w:rPr>
          <w:rFonts w:ascii="仿宋" w:eastAsia="仿宋" w:cs="Times New Roman" w:hAnsi="仿宋" w:hint="eastAsia"/>
          <w:sz w:val="28"/>
          <w:szCs w:val="28"/>
          <w:lang w:val="en-US" w:eastAsia="zh-CN" w:bidi="ar-SA"/>
        </w:rPr>
        <w:t>268.11</w:t>
      </w:r>
      <w:r>
        <w:rPr>
          <w:rFonts w:ascii="仿宋" w:eastAsia="仿宋" w:cs="Times New Roman" w:hAnsi="仿宋" w:hint="eastAsia"/>
          <w:sz w:val="28"/>
          <w:szCs w:val="28"/>
          <w:lang w:bidi="ar-SA"/>
        </w:rPr>
        <w:t>万元，其中：一般公共预算收入</w:t>
      </w:r>
      <w:r>
        <w:rPr>
          <w:rFonts w:ascii="仿宋" w:eastAsia="仿宋" w:cs="Times New Roman" w:hAnsi="仿宋" w:hint="eastAsia"/>
          <w:sz w:val="28"/>
          <w:szCs w:val="28"/>
          <w:lang w:val="en-US" w:eastAsia="zh-CN" w:bidi="ar-SA"/>
        </w:rPr>
        <w:t>268.11</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，基金预算收入</w:t>
      </w:r>
      <w:r>
        <w:rPr>
          <w:rFonts w:ascii="仿宋" w:eastAsia="仿宋" w:cs="Times New Roman" w:hAnsi="仿宋" w:hint="eastAsia"/>
          <w:sz w:val="28"/>
          <w:szCs w:val="28"/>
          <w:lang w:bidi="ar-SA"/>
        </w:rPr>
        <w:t>0</w:t>
      </w:r>
      <w:r>
        <w:rPr>
          <w:rFonts w:ascii="仿宋" w:eastAsia="仿宋" w:cs="Times New Roman" w:hAnsi="仿宋" w:hint="eastAsia"/>
          <w:sz w:val="28"/>
          <w:szCs w:val="28"/>
          <w:lang w:bidi="ar-SA"/>
        </w:rPr>
        <w:t>万元，财政专户核拨收入</w:t>
      </w:r>
      <w:r>
        <w:rPr>
          <w:rFonts w:ascii="仿宋" w:eastAsia="仿宋" w:cs="Times New Roman" w:hAnsi="仿宋" w:hint="eastAsia"/>
          <w:sz w:val="28"/>
          <w:szCs w:val="28"/>
          <w:lang w:bidi="ar-SA"/>
        </w:rPr>
        <w:t>0</w:t>
      </w:r>
      <w:r>
        <w:rPr>
          <w:rFonts w:ascii="仿宋" w:eastAsia="仿宋" w:cs="Times New Roman" w:hAnsi="仿宋" w:hint="eastAsia"/>
          <w:sz w:val="28"/>
          <w:szCs w:val="28"/>
          <w:lang w:bidi="ar-SA"/>
        </w:rPr>
        <w:t>万元，其他来源收入0万元。</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2、支出说明</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收支预算总表支出栏、基本支出表、项目支出表按经济分类和支出功能分类科目编制，反映</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年度部门预算中支出预算的总体情况。201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年支出预算</w:t>
      </w:r>
      <w:r>
        <w:rPr>
          <w:rFonts w:ascii="仿宋" w:eastAsia="仿宋" w:cs="Times New Roman" w:hAnsi="仿宋" w:hint="eastAsia"/>
          <w:sz w:val="28"/>
          <w:szCs w:val="28"/>
          <w:lang w:val="en-US" w:eastAsia="zh-CN" w:bidi="ar-SA"/>
        </w:rPr>
        <w:t>268.11</w:t>
      </w:r>
      <w:r>
        <w:rPr>
          <w:rFonts w:ascii="仿宋" w:eastAsia="仿宋" w:cs="Times New Roman" w:hAnsi="仿宋" w:hint="eastAsia"/>
          <w:sz w:val="28"/>
          <w:szCs w:val="28"/>
          <w:lang w:bidi="ar-SA"/>
        </w:rPr>
        <w:t>万元，其中</w:t>
      </w:r>
      <w:r>
        <w:rPr>
          <w:rFonts w:ascii="仿宋" w:eastAsia="仿宋" w:cs="Times New Roman" w:hAnsi="仿宋" w:hint="eastAsia"/>
          <w:sz w:val="28"/>
          <w:szCs w:val="28"/>
          <w:lang w:bidi="ar-SA"/>
        </w:rPr>
        <w:t>：</w:t>
      </w:r>
      <w:r>
        <w:rPr>
          <w:rFonts w:ascii="仿宋" w:eastAsia="仿宋" w:cs="Times New Roman" w:hAnsi="仿宋" w:hint="eastAsia"/>
          <w:sz w:val="28"/>
          <w:szCs w:val="28"/>
          <w:lang w:bidi="ar-SA"/>
        </w:rPr>
        <w:t>基本支出</w:t>
      </w:r>
      <w:r>
        <w:rPr>
          <w:rFonts w:ascii="仿宋" w:eastAsia="仿宋" w:cs="Times New Roman" w:hAnsi="仿宋" w:hint="eastAsia"/>
          <w:sz w:val="28"/>
          <w:szCs w:val="28"/>
          <w:lang w:val="en-US" w:eastAsia="zh-CN" w:bidi="ar-SA"/>
        </w:rPr>
        <w:t>221.11</w:t>
      </w:r>
      <w:r>
        <w:rPr>
          <w:rFonts w:ascii="仿宋" w:eastAsia="仿宋" w:cs="Times New Roman" w:hAnsi="仿宋" w:hint="eastAsia"/>
          <w:sz w:val="28"/>
          <w:szCs w:val="28"/>
          <w:lang w:bidi="ar-SA"/>
        </w:rPr>
        <w:t>万元，包括人员经费</w:t>
      </w:r>
      <w:r>
        <w:rPr>
          <w:rFonts w:ascii="仿宋" w:eastAsia="仿宋" w:cs="Times New Roman" w:hAnsi="仿宋" w:hint="eastAsia"/>
          <w:sz w:val="28"/>
          <w:szCs w:val="28"/>
          <w:lang w:val="en-US" w:eastAsia="zh-CN" w:bidi="ar-SA"/>
        </w:rPr>
        <w:t>204.41</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和日常公用经费</w:t>
      </w:r>
      <w:r>
        <w:rPr>
          <w:rFonts w:ascii="仿宋" w:eastAsia="仿宋" w:cs="Times New Roman" w:hAnsi="仿宋" w:hint="eastAsia"/>
          <w:sz w:val="28"/>
          <w:szCs w:val="28"/>
          <w:lang w:bidi="ar-SA"/>
        </w:rPr>
        <w:t>1</w:t>
      </w:r>
      <w:r>
        <w:rPr>
          <w:rFonts w:ascii="仿宋" w:eastAsia="仿宋" w:cs="Times New Roman" w:hAnsi="仿宋" w:hint="eastAsia"/>
          <w:sz w:val="28"/>
          <w:szCs w:val="28"/>
          <w:lang w:val="en-US" w:eastAsia="zh-CN" w:bidi="ar-SA"/>
        </w:rPr>
        <w:t>6.7</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；项目支出</w:t>
      </w:r>
      <w:r>
        <w:rPr>
          <w:rFonts w:ascii="仿宋" w:eastAsia="仿宋" w:cs="Times New Roman" w:hAnsi="仿宋" w:hint="eastAsia"/>
          <w:sz w:val="28"/>
          <w:szCs w:val="28"/>
          <w:lang w:val="en-US" w:eastAsia="zh-CN" w:bidi="ar-SA"/>
        </w:rPr>
        <w:t>47</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全部为</w:t>
      </w:r>
      <w:r>
        <w:rPr>
          <w:rFonts w:ascii="仿宋" w:eastAsia="仿宋" w:cs="Times New Roman" w:hAnsi="仿宋" w:hint="eastAsia"/>
          <w:sz w:val="28"/>
          <w:szCs w:val="28"/>
          <w:lang w:bidi="ar-SA"/>
        </w:rPr>
        <w:t>本级支出，</w:t>
      </w:r>
      <w:r>
        <w:rPr>
          <w:rFonts w:ascii="仿宋" w:eastAsia="仿宋" w:cs="Times New Roman" w:hAnsi="仿宋" w:hint="eastAsia"/>
          <w:sz w:val="28"/>
          <w:szCs w:val="28"/>
          <w:lang w:bidi="ar-SA"/>
        </w:rPr>
        <w:t>包括农合联经费</w:t>
      </w:r>
      <w:r>
        <w:rPr>
          <w:rFonts w:ascii="仿宋" w:eastAsia="仿宋" w:cs="Times New Roman" w:hAnsi="仿宋" w:hint="eastAsia"/>
          <w:sz w:val="28"/>
          <w:szCs w:val="28"/>
          <w:lang w:val="en-US" w:eastAsia="zh-CN" w:bidi="ar-SA"/>
        </w:rPr>
        <w:t>7</w:t>
      </w:r>
      <w:r>
        <w:rPr>
          <w:rFonts w:ascii="仿宋" w:eastAsia="仿宋" w:cs="Times New Roman" w:hAnsi="仿宋" w:hint="eastAsia"/>
          <w:sz w:val="28"/>
          <w:szCs w:val="28"/>
          <w:lang w:bidi="ar-SA"/>
        </w:rPr>
        <w:t>万元、市农村产权流转交易中心经费</w:t>
      </w:r>
      <w:r>
        <w:rPr>
          <w:rFonts w:ascii="仿宋" w:eastAsia="仿宋" w:cs="Times New Roman" w:hAnsi="仿宋" w:hint="eastAsia"/>
          <w:sz w:val="28"/>
          <w:szCs w:val="28"/>
          <w:lang w:val="en-US" w:eastAsia="zh-CN" w:bidi="ar-SA"/>
        </w:rPr>
        <w:t>23</w:t>
      </w:r>
      <w:r>
        <w:rPr>
          <w:rFonts w:ascii="仿宋" w:eastAsia="仿宋" w:cs="Times New Roman" w:hAnsi="仿宋" w:hint="eastAsia"/>
          <w:sz w:val="28"/>
          <w:szCs w:val="28"/>
          <w:lang w:bidi="ar-SA"/>
        </w:rPr>
        <w:t>万元、</w:t>
      </w:r>
      <w:r>
        <w:rPr>
          <w:rFonts w:ascii="仿宋" w:eastAsia="仿宋" w:cs="Times New Roman" w:hAnsi="仿宋" w:hint="eastAsia"/>
          <w:sz w:val="28"/>
          <w:szCs w:val="28"/>
          <w:lang w:eastAsia="zh-CN" w:bidi="ar-SA"/>
        </w:rPr>
        <w:t>供销社改制等退经费</w:t>
      </w:r>
      <w:r>
        <w:rPr>
          <w:rFonts w:ascii="仿宋" w:eastAsia="仿宋" w:cs="Times New Roman" w:hAnsi="仿宋" w:hint="eastAsia"/>
          <w:sz w:val="28"/>
          <w:szCs w:val="28"/>
          <w:lang w:val="en-US" w:eastAsia="zh-CN" w:bidi="ar-SA"/>
        </w:rPr>
        <w:t>17</w:t>
      </w:r>
      <w:r>
        <w:rPr>
          <w:rFonts w:ascii="仿宋" w:eastAsia="仿宋" w:cs="Times New Roman" w:hAnsi="仿宋" w:hint="eastAsia"/>
          <w:sz w:val="28"/>
          <w:szCs w:val="28"/>
          <w:lang w:bidi="ar-SA"/>
        </w:rPr>
        <w:t>万元。</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3、比上年增减情况</w:t>
      </w:r>
    </w:p>
    <w:p>
      <w:pPr>
        <w:spacing w:line="560" w:lineRule="exact"/>
        <w:ind w:firstLineChars="200" w:firstLine="560"/>
        <w:rPr>
          <w:rFonts w:ascii="仿宋" w:eastAsia="仿宋" w:cs="Times New Roman" w:hAnsi="仿宋" w:hint="eastAsia"/>
          <w:sz w:val="28"/>
          <w:szCs w:val="28"/>
          <w:lang w:val="en-US" w:eastAsia="zh-CN" w:bidi="ar-SA"/>
        </w:rPr>
      </w:pPr>
      <w:r>
        <w:rPr>
          <w:rFonts w:ascii="仿宋" w:eastAsia="仿宋" w:cs="Times New Roman" w:hAnsi="仿宋" w:hint="eastAsia"/>
          <w:sz w:val="28"/>
          <w:szCs w:val="28"/>
          <w:lang w:bidi="ar-SA"/>
        </w:rPr>
        <w:t>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年预算收支安排</w:t>
      </w:r>
      <w:r>
        <w:rPr>
          <w:rFonts w:ascii="仿宋" w:eastAsia="仿宋" w:cs="Times New Roman" w:hAnsi="仿宋" w:hint="eastAsia"/>
          <w:sz w:val="28"/>
          <w:szCs w:val="28"/>
          <w:lang w:val="en-US" w:eastAsia="zh-CN" w:bidi="ar-SA"/>
        </w:rPr>
        <w:t>268.11</w:t>
      </w:r>
      <w:r>
        <w:rPr>
          <w:rFonts w:ascii="仿宋" w:eastAsia="仿宋" w:cs="Times New Roman" w:hAnsi="仿宋" w:hint="eastAsia"/>
          <w:sz w:val="28"/>
          <w:szCs w:val="28"/>
          <w:lang w:bidi="ar-SA"/>
        </w:rPr>
        <w:t>万元，较201</w:t>
      </w:r>
      <w:r>
        <w:rPr>
          <w:rFonts w:ascii="仿宋" w:eastAsia="仿宋" w:cs="Times New Roman" w:hAnsi="仿宋" w:hint="eastAsia"/>
          <w:sz w:val="28"/>
          <w:szCs w:val="28"/>
          <w:lang w:val="en-US" w:eastAsia="zh-CN" w:bidi="ar-SA"/>
        </w:rPr>
        <w:t>8</w:t>
      </w:r>
      <w:r>
        <w:rPr>
          <w:rFonts w:ascii="仿宋" w:eastAsia="仿宋" w:cs="Times New Roman" w:hAnsi="仿宋" w:hint="eastAsia"/>
          <w:sz w:val="28"/>
          <w:szCs w:val="28"/>
          <w:lang w:bidi="ar-SA"/>
        </w:rPr>
        <w:t>年</w:t>
      </w:r>
      <w:r>
        <w:rPr>
          <w:rFonts w:ascii="仿宋" w:eastAsia="仿宋" w:cs="Times New Roman" w:hAnsi="仿宋" w:hint="eastAsia"/>
          <w:sz w:val="28"/>
          <w:szCs w:val="28"/>
          <w:lang w:eastAsia="zh-CN" w:bidi="ar-SA"/>
        </w:rPr>
        <w:t>预算</w:t>
      </w:r>
      <w:r>
        <w:rPr>
          <w:rFonts w:ascii="仿宋" w:eastAsia="仿宋" w:cs="Times New Roman" w:hAnsi="仿宋" w:hint="eastAsia"/>
          <w:sz w:val="28"/>
          <w:szCs w:val="28"/>
          <w:lang w:val="en-US" w:eastAsia="zh-CN" w:bidi="ar-SA"/>
        </w:rPr>
        <w:t>325.23万元</w:t>
      </w:r>
      <w:r>
        <w:rPr>
          <w:rFonts w:ascii="仿宋" w:eastAsia="仿宋" w:cs="Times New Roman" w:hAnsi="仿宋" w:hint="eastAsia"/>
          <w:sz w:val="28"/>
          <w:szCs w:val="28"/>
          <w:lang w:eastAsia="zh-CN" w:bidi="ar-SA"/>
        </w:rPr>
        <w:t>减少</w:t>
      </w:r>
      <w:r>
        <w:rPr>
          <w:rFonts w:ascii="仿宋" w:eastAsia="仿宋" w:cs="Times New Roman" w:hAnsi="仿宋" w:hint="eastAsia"/>
          <w:sz w:val="28"/>
          <w:szCs w:val="28"/>
          <w:lang w:val="en-US" w:eastAsia="zh-CN" w:bidi="ar-SA"/>
        </w:rPr>
        <w:t>57.12</w:t>
      </w:r>
      <w:r>
        <w:rPr>
          <w:rFonts w:ascii="仿宋" w:eastAsia="仿宋" w:cs="Times New Roman" w:hAnsi="仿宋" w:hint="eastAsia"/>
          <w:sz w:val="28"/>
          <w:szCs w:val="28"/>
          <w:lang w:bidi="ar-SA"/>
        </w:rPr>
        <w:t>万元，其中：基本支出</w:t>
      </w:r>
      <w:r>
        <w:rPr>
          <w:rFonts w:ascii="仿宋" w:eastAsia="仿宋" w:cs="Times New Roman" w:hAnsi="仿宋" w:hint="eastAsia"/>
          <w:sz w:val="28"/>
          <w:szCs w:val="28"/>
          <w:lang w:bidi="ar-SA"/>
        </w:rPr>
        <w:t>减少</w:t>
      </w:r>
      <w:r>
        <w:rPr>
          <w:rFonts w:ascii="仿宋" w:eastAsia="仿宋" w:cs="Times New Roman" w:hAnsi="仿宋" w:hint="eastAsia"/>
          <w:sz w:val="28"/>
          <w:szCs w:val="28"/>
          <w:lang w:val="en-US" w:eastAsia="zh-CN" w:bidi="ar-SA"/>
        </w:rPr>
        <w:t>12.62</w:t>
      </w:r>
      <w:r>
        <w:rPr>
          <w:rFonts w:ascii="仿宋" w:eastAsia="仿宋" w:cs="Times New Roman" w:hAnsi="仿宋" w:hint="eastAsia"/>
          <w:sz w:val="28"/>
          <w:szCs w:val="28"/>
          <w:lang w:bidi="ar-SA"/>
        </w:rPr>
        <w:t>万元，主要为</w:t>
      </w:r>
      <w:r>
        <w:rPr>
          <w:rFonts w:ascii="仿宋" w:eastAsia="仿宋" w:cs="Times New Roman" w:hAnsi="仿宋" w:hint="eastAsia"/>
          <w:sz w:val="28"/>
          <w:szCs w:val="28"/>
          <w:lang w:bidi="ar-SA"/>
        </w:rPr>
        <w:t>在职人员正常退休，在职人员总数减少，导致</w:t>
      </w:r>
      <w:r>
        <w:rPr>
          <w:rFonts w:ascii="仿宋" w:eastAsia="仿宋" w:cs="Times New Roman" w:hAnsi="仿宋" w:hint="eastAsia"/>
          <w:sz w:val="28"/>
          <w:szCs w:val="28"/>
          <w:lang w:bidi="ar-SA"/>
        </w:rPr>
        <w:t>人员经费</w:t>
      </w:r>
      <w:r>
        <w:rPr>
          <w:rFonts w:ascii="仿宋" w:eastAsia="仿宋" w:cs="Times New Roman" w:hAnsi="仿宋" w:hint="eastAsia"/>
          <w:sz w:val="28"/>
          <w:szCs w:val="28"/>
          <w:lang w:bidi="ar-SA"/>
        </w:rPr>
        <w:t>减少</w:t>
      </w:r>
      <w:r>
        <w:rPr>
          <w:rFonts w:ascii="仿宋" w:eastAsia="仿宋" w:cs="Times New Roman" w:hAnsi="仿宋" w:hint="eastAsia"/>
          <w:sz w:val="28"/>
          <w:szCs w:val="28"/>
          <w:lang w:val="en-US" w:eastAsia="zh-CN" w:bidi="ar-SA"/>
        </w:rPr>
        <w:t>11.8</w:t>
      </w:r>
      <w:r>
        <w:rPr>
          <w:rFonts w:ascii="仿宋" w:eastAsia="仿宋" w:cs="Times New Roman" w:hAnsi="仿宋" w:hint="eastAsia"/>
          <w:sz w:val="28"/>
          <w:szCs w:val="28"/>
          <w:lang w:bidi="ar-SA"/>
        </w:rPr>
        <w:t>万元和公用经费</w:t>
      </w:r>
      <w:r>
        <w:rPr>
          <w:rFonts w:ascii="仿宋" w:eastAsia="仿宋" w:cs="Times New Roman" w:hAnsi="仿宋" w:hint="eastAsia"/>
          <w:sz w:val="28"/>
          <w:szCs w:val="28"/>
          <w:lang w:bidi="ar-SA"/>
        </w:rPr>
        <w:t>支出</w:t>
      </w:r>
      <w:r>
        <w:rPr>
          <w:rFonts w:ascii="仿宋" w:eastAsia="仿宋" w:cs="Times New Roman" w:hAnsi="仿宋" w:hint="eastAsia"/>
          <w:sz w:val="28"/>
          <w:szCs w:val="28"/>
          <w:lang w:bidi="ar-SA"/>
        </w:rPr>
        <w:t>减少</w:t>
      </w:r>
      <w:r>
        <w:rPr>
          <w:rFonts w:ascii="仿宋" w:eastAsia="仿宋" w:cs="Times New Roman" w:hAnsi="仿宋" w:hint="eastAsia"/>
          <w:sz w:val="28"/>
          <w:szCs w:val="28"/>
          <w:lang w:val="en-US" w:eastAsia="zh-CN" w:bidi="ar-SA"/>
        </w:rPr>
        <w:t>0.82</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；项目支出</w:t>
      </w:r>
      <w:r>
        <w:rPr>
          <w:rFonts w:ascii="仿宋" w:eastAsia="仿宋" w:cs="Times New Roman" w:hAnsi="仿宋" w:hint="eastAsia"/>
          <w:sz w:val="28"/>
          <w:szCs w:val="28"/>
          <w:lang w:eastAsia="zh-CN" w:bidi="ar-SA"/>
        </w:rPr>
        <w:t>减少</w:t>
      </w:r>
      <w:r>
        <w:rPr>
          <w:rFonts w:ascii="仿宋" w:eastAsia="仿宋" w:cs="Times New Roman" w:hAnsi="仿宋" w:hint="eastAsia"/>
          <w:sz w:val="28"/>
          <w:szCs w:val="28"/>
          <w:lang w:val="en-US" w:eastAsia="zh-CN" w:bidi="ar-SA"/>
        </w:rPr>
        <w:t>44.5</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，主要今年市农村产权流转交易中心经费项目</w:t>
      </w:r>
      <w:r>
        <w:rPr>
          <w:rFonts w:ascii="仿宋" w:eastAsia="仿宋" w:cs="Times New Roman" w:hAnsi="仿宋" w:hint="eastAsia"/>
          <w:sz w:val="28"/>
          <w:szCs w:val="28"/>
          <w:lang w:val="en-US" w:eastAsia="zh-CN" w:bidi="ar-SA"/>
        </w:rPr>
        <w:t>23</w:t>
      </w:r>
      <w:r>
        <w:rPr>
          <w:rFonts w:ascii="仿宋" w:eastAsia="仿宋" w:cs="Times New Roman" w:hAnsi="仿宋" w:hint="eastAsia"/>
          <w:sz w:val="28"/>
          <w:szCs w:val="28"/>
          <w:lang w:bidi="ar-SA"/>
        </w:rPr>
        <w:t>万元，</w:t>
      </w:r>
      <w:r>
        <w:rPr>
          <w:rFonts w:ascii="仿宋" w:eastAsia="仿宋" w:cs="Times New Roman" w:hAnsi="仿宋" w:hint="eastAsia"/>
          <w:sz w:val="28"/>
          <w:szCs w:val="28"/>
          <w:lang w:eastAsia="zh-CN" w:bidi="ar-SA"/>
        </w:rPr>
        <w:t>较去年增加</w:t>
      </w:r>
      <w:r>
        <w:rPr>
          <w:rFonts w:ascii="仿宋" w:eastAsia="仿宋" w:cs="Times New Roman" w:hAnsi="仿宋" w:hint="eastAsia"/>
          <w:sz w:val="28"/>
          <w:szCs w:val="28"/>
          <w:lang w:val="en-US" w:eastAsia="zh-CN" w:bidi="ar-SA"/>
        </w:rPr>
        <w:t>0.3万元，变化幅度不大；农合联经费今年预算7万元，较去年9万元减少2万元，原因为压缩项目支出导致；供销社改制等退经费（即</w:t>
      </w:r>
      <w:r>
        <w:rPr>
          <w:rFonts w:ascii="仿宋" w:eastAsia="仿宋" w:cs="Times New Roman" w:hAnsi="仿宋" w:hint="eastAsia"/>
          <w:sz w:val="28"/>
          <w:szCs w:val="28"/>
          <w:lang w:bidi="ar-SA"/>
        </w:rPr>
        <w:t>改制五年等退人员医疗保险费</w:t>
      </w:r>
      <w:r>
        <w:rPr>
          <w:rFonts w:ascii="仿宋" w:eastAsia="仿宋" w:cs="Times New Roman" w:hAnsi="仿宋" w:hint="eastAsia"/>
          <w:sz w:val="28"/>
          <w:szCs w:val="28"/>
          <w:lang w:eastAsia="zh-CN" w:bidi="ar-SA"/>
        </w:rPr>
        <w:t>）</w:t>
      </w:r>
      <w:r>
        <w:rPr>
          <w:rFonts w:ascii="仿宋" w:eastAsia="仿宋" w:cs="Times New Roman" w:hAnsi="仿宋" w:hint="eastAsia"/>
          <w:sz w:val="28"/>
          <w:szCs w:val="28"/>
          <w:lang w:bidi="ar-SA"/>
        </w:rPr>
        <w:t>项目</w:t>
      </w:r>
      <w:r>
        <w:rPr>
          <w:rFonts w:ascii="仿宋" w:eastAsia="仿宋" w:cs="Times New Roman" w:hAnsi="仿宋" w:hint="eastAsia"/>
          <w:sz w:val="28"/>
          <w:szCs w:val="28"/>
          <w:lang w:val="en-US" w:eastAsia="zh-CN" w:bidi="ar-SA"/>
        </w:rPr>
        <w:t>17万元，较去年59.8万元减少42.8万元，减少72%，减少原因为改制五年等退人员因退休减少缴费导致。</w:t>
      </w:r>
    </w:p>
    <w:p>
      <w:pPr>
        <w:spacing w:line="560" w:lineRule="exact"/>
        <w:ind w:firstLineChars="200"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三、机关运行经费安排情况</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年，我社</w:t>
      </w:r>
      <w:r>
        <w:rPr>
          <w:rFonts w:ascii="仿宋" w:eastAsia="仿宋" w:cs="Times New Roman" w:hAnsi="仿宋" w:hint="eastAsia"/>
          <w:sz w:val="28"/>
          <w:szCs w:val="28"/>
          <w:lang w:bidi="ar-SA"/>
        </w:rPr>
        <w:t>机关</w:t>
      </w:r>
      <w:r>
        <w:rPr>
          <w:rFonts w:ascii="仿宋" w:eastAsia="仿宋" w:cs="Times New Roman" w:hAnsi="仿宋" w:hint="eastAsia"/>
          <w:sz w:val="28"/>
          <w:szCs w:val="28"/>
          <w:lang w:bidi="ar-SA"/>
        </w:rPr>
        <w:t>运行经费共计安排1</w:t>
      </w:r>
      <w:r>
        <w:rPr>
          <w:rFonts w:ascii="仿宋" w:eastAsia="仿宋" w:cs="Times New Roman" w:hAnsi="仿宋" w:hint="eastAsia"/>
          <w:sz w:val="28"/>
          <w:szCs w:val="28"/>
          <w:lang w:val="en-US" w:eastAsia="zh-CN" w:bidi="ar-SA"/>
        </w:rPr>
        <w:t>6.7</w:t>
      </w:r>
      <w:r>
        <w:rPr>
          <w:rFonts w:ascii="仿宋" w:eastAsia="仿宋" w:cs="Times New Roman" w:hAnsi="仿宋" w:hint="eastAsia"/>
          <w:sz w:val="28"/>
          <w:szCs w:val="28"/>
          <w:lang w:bidi="ar-SA"/>
        </w:rPr>
        <w:t>万元（办公费0.</w:t>
      </w:r>
      <w:r>
        <w:rPr>
          <w:rFonts w:ascii="仿宋" w:eastAsia="仿宋" w:cs="Times New Roman" w:hAnsi="仿宋" w:hint="eastAsia"/>
          <w:sz w:val="28"/>
          <w:szCs w:val="28"/>
          <w:lang w:val="en-US" w:eastAsia="zh-CN" w:bidi="ar-SA"/>
        </w:rPr>
        <w:t>45</w:t>
      </w:r>
      <w:r>
        <w:rPr>
          <w:rFonts w:ascii="仿宋" w:eastAsia="仿宋" w:cs="Times New Roman" w:hAnsi="仿宋" w:hint="eastAsia"/>
          <w:sz w:val="28"/>
          <w:szCs w:val="28"/>
          <w:lang w:bidi="ar-SA"/>
        </w:rPr>
        <w:t>万元、电费0.3</w:t>
      </w:r>
      <w:r>
        <w:rPr>
          <w:rFonts w:ascii="仿宋" w:eastAsia="仿宋" w:cs="Times New Roman" w:hAnsi="仿宋" w:hint="eastAsia"/>
          <w:sz w:val="28"/>
          <w:szCs w:val="28"/>
          <w:lang w:val="en-US" w:eastAsia="zh-CN" w:bidi="ar-SA"/>
        </w:rPr>
        <w:t>0</w:t>
      </w:r>
      <w:r>
        <w:rPr>
          <w:rFonts w:ascii="仿宋" w:eastAsia="仿宋" w:cs="Times New Roman" w:hAnsi="仿宋" w:hint="eastAsia"/>
          <w:sz w:val="28"/>
          <w:szCs w:val="28"/>
          <w:lang w:bidi="ar-SA"/>
        </w:rPr>
        <w:t>万元、邮电费0.5</w:t>
      </w:r>
      <w:r>
        <w:rPr>
          <w:rFonts w:ascii="仿宋" w:eastAsia="仿宋" w:cs="Times New Roman" w:hAnsi="仿宋" w:hint="eastAsia"/>
          <w:sz w:val="28"/>
          <w:szCs w:val="28"/>
          <w:lang w:val="en-US" w:eastAsia="zh-CN" w:bidi="ar-SA"/>
        </w:rPr>
        <w:t>1</w:t>
      </w:r>
      <w:r>
        <w:rPr>
          <w:rFonts w:ascii="仿宋" w:eastAsia="仿宋" w:cs="Times New Roman" w:hAnsi="仿宋" w:hint="eastAsia"/>
          <w:sz w:val="28"/>
          <w:szCs w:val="28"/>
          <w:lang w:bidi="ar-SA"/>
        </w:rPr>
        <w:t>万元、取暖费9.40万元、差旅费0.3</w:t>
      </w:r>
      <w:r>
        <w:rPr>
          <w:rFonts w:ascii="仿宋" w:eastAsia="仿宋" w:cs="Times New Roman" w:hAnsi="仿宋" w:hint="eastAsia"/>
          <w:sz w:val="28"/>
          <w:szCs w:val="28"/>
          <w:lang w:val="en-US" w:eastAsia="zh-CN" w:bidi="ar-SA"/>
        </w:rPr>
        <w:t>0</w:t>
      </w:r>
      <w:r>
        <w:rPr>
          <w:rFonts w:ascii="仿宋" w:eastAsia="仿宋" w:cs="Times New Roman" w:hAnsi="仿宋" w:hint="eastAsia"/>
          <w:sz w:val="28"/>
          <w:szCs w:val="28"/>
          <w:lang w:bidi="ar-SA"/>
        </w:rPr>
        <w:t>万元、会议费</w:t>
      </w:r>
      <w:r>
        <w:rPr>
          <w:rFonts w:ascii="仿宋" w:eastAsia="仿宋" w:cs="Times New Roman" w:hAnsi="仿宋" w:hint="eastAsia"/>
          <w:sz w:val="28"/>
          <w:szCs w:val="28"/>
          <w:lang w:val="en-US" w:eastAsia="zh-CN" w:bidi="ar-SA"/>
        </w:rPr>
        <w:t>0.08</w:t>
      </w:r>
      <w:r>
        <w:rPr>
          <w:rFonts w:ascii="仿宋" w:eastAsia="仿宋" w:cs="Times New Roman" w:hAnsi="仿宋" w:hint="eastAsia"/>
          <w:sz w:val="28"/>
          <w:szCs w:val="28"/>
          <w:lang w:bidi="ar-SA"/>
        </w:rPr>
        <w:t>万元、培训费</w:t>
      </w:r>
      <w:r>
        <w:rPr>
          <w:rFonts w:ascii="仿宋" w:eastAsia="仿宋" w:cs="Times New Roman" w:hAnsi="仿宋" w:hint="eastAsia"/>
          <w:sz w:val="28"/>
          <w:szCs w:val="28"/>
          <w:lang w:val="en-US" w:eastAsia="zh-CN" w:bidi="ar-SA"/>
        </w:rPr>
        <w:t>0.08</w:t>
      </w:r>
      <w:r>
        <w:rPr>
          <w:rFonts w:ascii="仿宋" w:eastAsia="仿宋" w:cs="Times New Roman" w:hAnsi="仿宋" w:hint="eastAsia"/>
          <w:sz w:val="28"/>
          <w:szCs w:val="28"/>
          <w:lang w:bidi="ar-SA"/>
        </w:rPr>
        <w:t>万元、公务接待费0.04万元、工会经费1.</w:t>
      </w:r>
      <w:r>
        <w:rPr>
          <w:rFonts w:ascii="仿宋" w:eastAsia="仿宋" w:cs="Times New Roman" w:hAnsi="仿宋" w:hint="eastAsia"/>
          <w:sz w:val="28"/>
          <w:szCs w:val="28"/>
          <w:lang w:val="en-US" w:eastAsia="zh-CN" w:bidi="ar-SA"/>
        </w:rPr>
        <w:t>25</w:t>
      </w:r>
      <w:r>
        <w:rPr>
          <w:rFonts w:ascii="仿宋" w:eastAsia="仿宋" w:cs="Times New Roman" w:hAnsi="仿宋" w:hint="eastAsia"/>
          <w:sz w:val="28"/>
          <w:szCs w:val="28"/>
          <w:lang w:bidi="ar-SA"/>
        </w:rPr>
        <w:t>万元、福利费1.</w:t>
      </w:r>
      <w:r>
        <w:rPr>
          <w:rFonts w:ascii="仿宋" w:eastAsia="仿宋" w:cs="Times New Roman" w:hAnsi="仿宋" w:hint="eastAsia"/>
          <w:sz w:val="28"/>
          <w:szCs w:val="28"/>
          <w:lang w:val="en-US" w:eastAsia="zh-CN" w:bidi="ar-SA"/>
        </w:rPr>
        <w:t>33</w:t>
      </w:r>
      <w:r>
        <w:rPr>
          <w:rFonts w:ascii="仿宋" w:eastAsia="仿宋" w:cs="Times New Roman" w:hAnsi="仿宋" w:hint="eastAsia"/>
          <w:sz w:val="28"/>
          <w:szCs w:val="28"/>
          <w:lang w:bidi="ar-SA"/>
        </w:rPr>
        <w:t>万元、公务用车运行维护费2.05万元、其他商品和服务支出0.91万元）</w:t>
      </w:r>
      <w:r>
        <w:rPr>
          <w:rFonts w:ascii="仿宋" w:eastAsia="仿宋" w:cs="Times New Roman" w:hAnsi="仿宋" w:hint="eastAsia"/>
          <w:sz w:val="28"/>
          <w:szCs w:val="28"/>
          <w:lang w:bidi="ar-SA"/>
        </w:rPr>
        <w:t>，主要用于日常</w:t>
      </w:r>
      <w:r>
        <w:rPr>
          <w:rFonts w:ascii="仿宋" w:eastAsia="仿宋" w:cs="Times New Roman" w:hAnsi="仿宋" w:hint="eastAsia"/>
          <w:sz w:val="28"/>
          <w:szCs w:val="28"/>
          <w:lang w:bidi="ar-SA"/>
        </w:rPr>
        <w:t>办公运转</w:t>
      </w:r>
      <w:r>
        <w:rPr>
          <w:rFonts w:ascii="仿宋" w:eastAsia="仿宋" w:cs="Times New Roman" w:hAnsi="仿宋" w:hint="eastAsia"/>
          <w:sz w:val="28"/>
          <w:szCs w:val="28"/>
          <w:lang w:bidi="ar-SA"/>
        </w:rPr>
        <w:t>、电费、取暖费</w:t>
      </w:r>
      <w:r>
        <w:rPr>
          <w:rFonts w:ascii="仿宋" w:eastAsia="仿宋" w:cs="Times New Roman" w:hAnsi="仿宋" w:hint="eastAsia"/>
          <w:sz w:val="28"/>
          <w:szCs w:val="28"/>
          <w:lang w:bidi="ar-SA"/>
        </w:rPr>
        <w:t>、公务用车运行维护费等</w:t>
      </w:r>
      <w:r>
        <w:rPr>
          <w:rFonts w:ascii="仿宋" w:eastAsia="仿宋" w:cs="Times New Roman" w:hAnsi="仿宋" w:hint="eastAsia"/>
          <w:sz w:val="28"/>
          <w:szCs w:val="28"/>
          <w:lang w:bidi="ar-SA"/>
        </w:rPr>
        <w:t>日常运行支出。</w:t>
      </w:r>
    </w:p>
    <w:p>
      <w:pPr>
        <w:autoSpaceDE w:val="0"/>
        <w:autoSpaceDN w:val="0"/>
        <w:adjustRightInd w:val="0"/>
        <w:spacing w:line="560" w:lineRule="exact"/>
        <w:ind w:left="198"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四、财政拨款</w:t>
      </w:r>
      <w:r>
        <w:rPr>
          <w:rFonts w:ascii="黑体" w:eastAsia="黑体" w:cs="Times New Roman" w:hAnsi="黑体" w:hint="eastAsia"/>
          <w:sz w:val="32"/>
          <w:szCs w:val="32"/>
          <w:lang w:bidi="ar-SA"/>
        </w:rPr>
        <w:t>“</w:t>
      </w:r>
      <w:r>
        <w:rPr>
          <w:rFonts w:ascii="黑体" w:eastAsia="黑体" w:cs="Times New Roman" w:hAnsi="黑体" w:hint="eastAsia"/>
          <w:sz w:val="32"/>
          <w:szCs w:val="32"/>
          <w:lang w:bidi="ar-SA"/>
        </w:rPr>
        <w:t>三公</w:t>
      </w:r>
      <w:r>
        <w:rPr>
          <w:rFonts w:ascii="黑体" w:eastAsia="黑体" w:cs="Times New Roman" w:hAnsi="黑体" w:hint="eastAsia"/>
          <w:sz w:val="32"/>
          <w:szCs w:val="32"/>
          <w:lang w:bidi="ar-SA"/>
        </w:rPr>
        <w:t>”</w:t>
      </w:r>
      <w:r>
        <w:rPr>
          <w:rFonts w:ascii="黑体" w:eastAsia="黑体" w:cs="Times New Roman" w:hAnsi="黑体" w:hint="eastAsia"/>
          <w:sz w:val="32"/>
          <w:szCs w:val="32"/>
          <w:lang w:bidi="ar-SA"/>
        </w:rPr>
        <w:t>经费预算情况及增减变化原因</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9</w:t>
      </w:r>
      <w:r>
        <w:rPr>
          <w:rFonts w:ascii="仿宋" w:eastAsia="仿宋" w:cs="Times New Roman" w:hAnsi="仿宋" w:hint="eastAsia"/>
          <w:color w:val="auto"/>
          <w:sz w:val="28"/>
          <w:szCs w:val="28"/>
          <w:lang w:bidi="ar-SA"/>
        </w:rPr>
        <w:t>年我部门“三公”经费预算安排2.09万元，与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8</w:t>
      </w:r>
      <w:r>
        <w:rPr>
          <w:rFonts w:ascii="仿宋" w:eastAsia="仿宋" w:cs="Times New Roman" w:hAnsi="仿宋" w:hint="eastAsia"/>
          <w:color w:val="auto"/>
          <w:sz w:val="28"/>
          <w:szCs w:val="28"/>
          <w:lang w:bidi="ar-SA"/>
        </w:rPr>
        <w:t>年相比持平，无增减变化。具体安排情况为：</w:t>
      </w:r>
      <w:r>
        <w:rPr>
          <w:rFonts w:ascii="仿宋" w:eastAsia="仿宋" w:cs="Times New Roman" w:hAnsi="仿宋" w:hint="eastAsia"/>
          <w:color w:val="auto"/>
          <w:sz w:val="28"/>
          <w:szCs w:val="28"/>
          <w:lang w:bidi="ar-SA"/>
        </w:rPr>
        <w:t xml:space="preserve"> </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（一）公务用车购置及运行费。共计安排2.05万元，与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8</w:t>
      </w:r>
      <w:r>
        <w:rPr>
          <w:rFonts w:ascii="仿宋" w:eastAsia="仿宋" w:cs="Times New Roman" w:hAnsi="仿宋" w:hint="eastAsia"/>
          <w:color w:val="auto"/>
          <w:sz w:val="28"/>
          <w:szCs w:val="28"/>
          <w:lang w:bidi="ar-SA"/>
        </w:rPr>
        <w:t>年持平，无增减变化。其中①公务用车购置安排</w:t>
      </w:r>
      <w:r>
        <w:rPr>
          <w:rFonts w:ascii="仿宋" w:eastAsia="仿宋" w:cs="Times New Roman" w:hAnsi="仿宋" w:hint="eastAsia"/>
          <w:color w:val="auto"/>
          <w:sz w:val="28"/>
          <w:szCs w:val="28"/>
          <w:lang w:bidi="ar-SA"/>
        </w:rPr>
        <w:t>0</w:t>
      </w:r>
      <w:r>
        <w:rPr>
          <w:rFonts w:ascii="仿宋" w:eastAsia="仿宋" w:cs="Times New Roman" w:hAnsi="仿宋" w:hint="eastAsia"/>
          <w:color w:val="auto"/>
          <w:sz w:val="28"/>
          <w:szCs w:val="28"/>
          <w:lang w:bidi="ar-SA"/>
        </w:rPr>
        <w:t>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8</w:t>
      </w:r>
      <w:r>
        <w:rPr>
          <w:rFonts w:ascii="仿宋" w:eastAsia="仿宋" w:cs="Times New Roman" w:hAnsi="仿宋" w:hint="eastAsia"/>
          <w:color w:val="auto"/>
          <w:sz w:val="28"/>
          <w:szCs w:val="28"/>
          <w:lang w:bidi="ar-SA"/>
        </w:rPr>
        <w:t>年持平，无增减变化。②公车运行维护经费安排2.05万元，与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8</w:t>
      </w:r>
      <w:r>
        <w:rPr>
          <w:rFonts w:ascii="仿宋" w:eastAsia="仿宋" w:cs="Times New Roman" w:hAnsi="仿宋" w:hint="eastAsia"/>
          <w:color w:val="auto"/>
          <w:sz w:val="28"/>
          <w:szCs w:val="28"/>
          <w:lang w:bidi="ar-SA"/>
        </w:rPr>
        <w:t>年持平，无增减变化。</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（二）公务接待费。安排0.04万元，与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8</w:t>
      </w:r>
      <w:r>
        <w:rPr>
          <w:rFonts w:ascii="仿宋" w:eastAsia="仿宋" w:cs="Times New Roman" w:hAnsi="仿宋" w:hint="eastAsia"/>
          <w:color w:val="auto"/>
          <w:sz w:val="28"/>
          <w:szCs w:val="28"/>
          <w:lang w:bidi="ar-SA"/>
        </w:rPr>
        <w:t>年持平，无增减变化</w:t>
      </w:r>
      <w:r>
        <w:rPr>
          <w:rFonts w:ascii="仿宋" w:eastAsia="仿宋" w:cs="Times New Roman" w:hAnsi="仿宋" w:hint="eastAsia"/>
          <w:color w:val="auto"/>
          <w:sz w:val="28"/>
          <w:szCs w:val="28"/>
          <w:lang w:bidi="ar-SA"/>
        </w:rPr>
        <w:t>。</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（三）因公出国（境）费安排</w:t>
      </w:r>
      <w:r>
        <w:rPr>
          <w:rFonts w:ascii="仿宋" w:eastAsia="仿宋" w:cs="Times New Roman" w:hAnsi="仿宋" w:hint="eastAsia"/>
          <w:color w:val="auto"/>
          <w:sz w:val="28"/>
          <w:szCs w:val="28"/>
          <w:lang w:bidi="ar-SA"/>
        </w:rPr>
        <w:t>0</w:t>
      </w:r>
      <w:r>
        <w:rPr>
          <w:rFonts w:ascii="仿宋" w:eastAsia="仿宋" w:cs="Times New Roman" w:hAnsi="仿宋" w:hint="eastAsia"/>
          <w:color w:val="auto"/>
          <w:sz w:val="28"/>
          <w:szCs w:val="28"/>
          <w:lang w:bidi="ar-SA"/>
        </w:rPr>
        <w:t>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8</w:t>
      </w:r>
      <w:r>
        <w:rPr>
          <w:rFonts w:ascii="仿宋" w:eastAsia="仿宋" w:cs="Times New Roman" w:hAnsi="仿宋" w:hint="eastAsia"/>
          <w:color w:val="auto"/>
          <w:sz w:val="28"/>
          <w:szCs w:val="28"/>
          <w:lang w:bidi="ar-SA"/>
        </w:rPr>
        <w:t>年持平，无增减变化。</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五、绩效预算信息</w:t>
      </w:r>
    </w:p>
    <w:p>
      <w:pPr>
        <w:adjustRightInd w:val="0"/>
        <w:snapToGrid w:val="0"/>
        <w:spacing w:line="560" w:lineRule="exact"/>
        <w:ind w:firstLineChars="200" w:firstLine="640"/>
        <w:rPr>
          <w:rFonts w:ascii="楷体" w:eastAsia="楷体" w:cs="Times New Roman" w:hAnsi="楷体" w:hint="eastAsia"/>
          <w:b/>
          <w:sz w:val="32"/>
          <w:szCs w:val="32"/>
          <w:lang w:bidi="ar-SA"/>
        </w:rPr>
      </w:pPr>
      <w:bookmarkStart w:id="1" w:name="_Toc471398463"/>
      <w:r>
        <w:rPr>
          <w:rFonts w:ascii="楷体" w:eastAsia="楷体" w:cs="Times New Roman" w:hAnsi="楷体" w:hint="eastAsia"/>
          <w:b/>
          <w:sz w:val="32"/>
          <w:szCs w:val="32"/>
          <w:lang w:bidi="ar-SA"/>
        </w:rPr>
        <w:t>总体绩效目标：</w:t>
      </w:r>
    </w:p>
    <w:p>
      <w:pPr>
        <w:adjustRightInd w:val="0"/>
        <w:snapToGrid w:val="0"/>
        <w:spacing w:line="560" w:lineRule="exact"/>
        <w:ind w:firstLine="561"/>
        <w:rPr>
          <w:rFonts w:ascii="仿宋" w:eastAsia="仿宋" w:cs="Times New Roman" w:hAnsi="仿宋" w:hint="eastAsia"/>
          <w:sz w:val="28"/>
          <w:szCs w:val="28"/>
          <w:lang w:bidi="ar-SA"/>
        </w:rPr>
      </w:pPr>
      <w:r>
        <w:rPr>
          <w:rFonts w:ascii="仿宋" w:eastAsia="仿宋" w:cs="Times New Roman" w:hAnsi="仿宋" w:hint="eastAsia"/>
          <w:sz w:val="28"/>
          <w:szCs w:val="28"/>
          <w:lang w:bidi="ar-SA"/>
        </w:rPr>
        <w:t>1.</w:t>
      </w:r>
      <w:r>
        <w:rPr>
          <w:rFonts w:ascii="仿宋" w:eastAsia="仿宋" w:cs="Times New Roman" w:hAnsi="仿宋" w:hint="eastAsia"/>
          <w:sz w:val="28"/>
          <w:szCs w:val="28"/>
          <w:lang w:eastAsia="zh-CN" w:bidi="ar-SA"/>
        </w:rPr>
        <w:t>继续</w:t>
      </w:r>
      <w:r>
        <w:rPr>
          <w:rFonts w:ascii="仿宋" w:eastAsia="仿宋" w:cs="Times New Roman" w:hAnsi="仿宋" w:hint="eastAsia"/>
          <w:sz w:val="28"/>
          <w:szCs w:val="28"/>
          <w:lang w:bidi="ar-SA"/>
        </w:rPr>
        <w:t>按照国务院、河北省、唐山市及遵化市各级党委政府关于加快供销社综合改革与发展有关文件精神，做好供销社综合改革与发展各项工作，确保供销社事业逐步发展和壮大；</w:t>
      </w:r>
    </w:p>
    <w:p>
      <w:pPr>
        <w:adjustRightInd w:val="0"/>
        <w:snapToGrid w:val="0"/>
        <w:spacing w:line="560" w:lineRule="exact"/>
        <w:ind w:firstLine="561"/>
        <w:rPr>
          <w:rFonts w:ascii="仿宋" w:eastAsia="仿宋" w:cs="Times New Roman" w:hAnsi="仿宋" w:hint="eastAsia"/>
          <w:sz w:val="28"/>
          <w:szCs w:val="28"/>
          <w:lang w:bidi="ar-SA"/>
        </w:rPr>
      </w:pPr>
      <w:r>
        <w:rPr>
          <w:rFonts w:ascii="仿宋" w:eastAsia="仿宋" w:cs="Times New Roman" w:hAnsi="仿宋" w:hint="eastAsia"/>
          <w:sz w:val="28"/>
          <w:szCs w:val="28"/>
          <w:lang w:bidi="ar-SA"/>
        </w:rPr>
        <w:t>2.充分发挥好为“三农”服务职能作用，以强化基层社和创新联合社治理机制为重点，推进体制改革与机制创新，继续抓好新型乡镇供销合作社建设、农合联建设、农民专业合作社联合社建设、电子商务建设</w:t>
      </w:r>
      <w:r>
        <w:rPr>
          <w:rFonts w:ascii="仿宋" w:eastAsia="仿宋" w:cs="Times New Roman" w:hAnsi="仿宋" w:hint="eastAsia"/>
          <w:sz w:val="28"/>
          <w:szCs w:val="28"/>
          <w:lang w:eastAsia="zh-CN" w:bidi="ar-SA"/>
        </w:rPr>
        <w:t>等</w:t>
      </w:r>
      <w:r>
        <w:rPr>
          <w:rFonts w:ascii="仿宋" w:eastAsia="仿宋" w:cs="Times New Roman" w:hAnsi="仿宋" w:hint="eastAsia"/>
          <w:sz w:val="28"/>
          <w:szCs w:val="28"/>
          <w:lang w:bidi="ar-SA"/>
        </w:rPr>
        <w:t>，组织新型乡镇供销合作社、农民专业合作社、农产品经纪人、农资营销人员等搞好观摩交流、学习培训、规范提升等各项工作；</w:t>
      </w:r>
    </w:p>
    <w:p>
      <w:pPr>
        <w:adjustRightInd w:val="0"/>
        <w:snapToGrid w:val="0"/>
        <w:spacing w:line="560" w:lineRule="exact"/>
        <w:ind w:firstLine="561"/>
        <w:rPr>
          <w:rFonts w:ascii="仿宋" w:eastAsia="仿宋" w:cs="Times New Roman" w:hAnsi="仿宋" w:hint="eastAsia"/>
          <w:sz w:val="28"/>
          <w:szCs w:val="28"/>
          <w:lang w:eastAsia="zh-CN" w:bidi="ar-SA"/>
        </w:rPr>
      </w:pPr>
      <w:r>
        <w:rPr>
          <w:rFonts w:ascii="仿宋" w:eastAsia="仿宋" w:cs="Times New Roman" w:hAnsi="仿宋" w:hint="eastAsia"/>
          <w:sz w:val="28"/>
          <w:szCs w:val="28"/>
          <w:lang w:bidi="ar-SA"/>
        </w:rPr>
        <w:t>3.</w:t>
      </w:r>
      <w:r>
        <w:rPr>
          <w:rFonts w:ascii="仿宋" w:eastAsia="仿宋" w:cs="Times New Roman" w:hAnsi="仿宋" w:hint="eastAsia"/>
          <w:sz w:val="28"/>
          <w:szCs w:val="28"/>
          <w:lang w:eastAsia="zh-CN" w:bidi="ar-SA"/>
        </w:rPr>
        <w:t>为深入推进农村综合改革，按照政府主导、供销社主办、市场化运作的原则，继续做好农村产权流转交易中心各项工作，在去年中心成立的基础上，做好业务宣传，争取早日开展农村产权交易各项业务，进一步规范农村产权交易行为，激活农村生产要素，提高农民财产收入，努力解决当前农村农民生产经营融资难等问题。</w:t>
      </w:r>
    </w:p>
    <w:p>
      <w:pPr>
        <w:adjustRightInd w:val="0"/>
        <w:snapToGrid w:val="0"/>
        <w:spacing w:line="560" w:lineRule="exact"/>
        <w:ind w:firstLine="561"/>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4.</w:t>
      </w:r>
      <w:r>
        <w:rPr>
          <w:rFonts w:ascii="仿宋" w:eastAsia="仿宋" w:cs="Times New Roman" w:hAnsi="仿宋" w:hint="eastAsia"/>
          <w:sz w:val="28"/>
          <w:szCs w:val="28"/>
          <w:lang w:bidi="ar-SA"/>
        </w:rPr>
        <w:t>继续做好供销社系统企业改制工作，努力解决好改制企业历史遗留和现实面临的各种问题，维护和扩大改制成果，为供销社改革与发展夯实基础；</w:t>
      </w:r>
    </w:p>
    <w:p>
      <w:pPr>
        <w:adjustRightInd w:val="0"/>
        <w:snapToGrid w:val="0"/>
        <w:spacing w:line="560" w:lineRule="exact"/>
        <w:ind w:firstLine="561"/>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5</w:t>
      </w:r>
      <w:r>
        <w:rPr>
          <w:rFonts w:ascii="仿宋" w:eastAsia="仿宋" w:cs="Times New Roman" w:hAnsi="仿宋" w:hint="eastAsia"/>
          <w:sz w:val="28"/>
          <w:szCs w:val="28"/>
          <w:lang w:bidi="ar-SA"/>
        </w:rPr>
        <w:t>.抓好食盐管理各项工作，组织开展好全市盐业执法执纪活动，打击盐业违法行为，确保食盐供应、流通等环节安全，维护好全市食盐市场的安全稳定，积极按上级要求做好盐业体制改革各项工作；</w:t>
      </w:r>
    </w:p>
    <w:p>
      <w:pPr>
        <w:adjustRightInd w:val="0"/>
        <w:snapToGrid w:val="0"/>
        <w:spacing w:line="560" w:lineRule="exact"/>
        <w:ind w:firstLine="561"/>
        <w:rPr>
          <w:rFonts w:ascii="宋体" w:cs="宋体" w:hint="eastAsia"/>
          <w:bCs/>
          <w:sz w:val="28"/>
          <w:szCs w:val="28"/>
          <w:lang w:bidi="ar-SA"/>
        </w:rPr>
      </w:pPr>
      <w:r>
        <w:rPr>
          <w:rFonts w:ascii="仿宋" w:eastAsia="仿宋" w:cs="Times New Roman" w:hAnsi="仿宋" w:hint="eastAsia"/>
          <w:sz w:val="28"/>
          <w:szCs w:val="28"/>
          <w:lang w:val="en-US" w:eastAsia="zh-CN" w:bidi="ar-SA"/>
        </w:rPr>
        <w:t>6</w:t>
      </w:r>
      <w:r>
        <w:rPr>
          <w:rFonts w:ascii="仿宋" w:eastAsia="仿宋" w:cs="Times New Roman" w:hAnsi="仿宋" w:hint="eastAsia"/>
          <w:sz w:val="28"/>
          <w:szCs w:val="28"/>
          <w:lang w:bidi="ar-SA"/>
        </w:rPr>
        <w:t>.抓好供销社机关运行工作，做好各项政务性、事务性工作，做好信访接待、安全维稳、业务宣传、机关财务和资产管理、政务信息公开、人事管理等各项工作，保障机关工作正常、高效运转。</w:t>
      </w:r>
    </w:p>
    <w:p>
      <w:pPr>
        <w:spacing w:line="560" w:lineRule="exact"/>
        <w:ind w:firstLine="560"/>
        <w:rPr>
          <w:rFonts w:ascii="楷体" w:eastAsia="楷体" w:hAnsi="楷体" w:hint="eastAsia"/>
          <w:b/>
          <w:sz w:val="32"/>
          <w:szCs w:val="32"/>
        </w:rPr>
      </w:pPr>
      <w:r>
        <w:rPr>
          <w:rFonts w:ascii="楷体" w:eastAsia="楷体" w:hAnsi="楷体" w:hint="eastAsia"/>
          <w:b/>
          <w:sz w:val="32"/>
          <w:szCs w:val="32"/>
        </w:rPr>
        <w:t>职责分类绩效目标：</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确保供销社各项事业改革、发展和壮大，发挥供销社在商业流通服务的作用，加快服务创新、经营创新和业态创新，以创新新型乡镇供销社、组建农民专业合作社联合社、发展现代流通网络建设等为主的供销社综合改革，更好发挥为“三农”服务宗旨；</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贯彻落实党和政府有关服务“三农”方针政策，推进供销社体制创新和机制创新，以供销社体系为依托，发挥好农村经济组织联合会的带动作用，逐步建立和完善适应中国特色农业现代化需要的组织体系和服务机制，大力发展新型基层社、农民专业合作社联合社，创新农村金融体系建设，使供销社系统成为党和政府密切联系群众的桥梁和纽带，切实在农业现代化中更好地发挥作用；</w:t>
      </w:r>
    </w:p>
    <w:p>
      <w:pPr>
        <w:spacing w:line="560" w:lineRule="exact"/>
        <w:ind w:firstLineChars="200" w:firstLine="560"/>
        <w:rPr>
          <w:rFonts w:ascii="仿宋" w:eastAsia="仿宋" w:cs="Times New Roman" w:hAnsi="仿宋" w:hint="eastAsia"/>
          <w:sz w:val="28"/>
          <w:szCs w:val="28"/>
          <w:lang w:eastAsia="zh-CN" w:bidi="ar-SA"/>
        </w:rPr>
      </w:pPr>
      <w:r>
        <w:rPr>
          <w:rFonts w:ascii="仿宋" w:eastAsia="仿宋" w:cs="Times New Roman" w:hAnsi="仿宋" w:hint="eastAsia"/>
          <w:sz w:val="28"/>
          <w:szCs w:val="28"/>
          <w:lang w:bidi="ar-SA"/>
        </w:rPr>
        <w:t>3.</w:t>
      </w:r>
      <w:r>
        <w:rPr>
          <w:rFonts w:ascii="仿宋" w:eastAsia="仿宋" w:cs="Times New Roman" w:hAnsi="仿宋" w:hint="eastAsia"/>
          <w:sz w:val="28"/>
          <w:szCs w:val="28"/>
          <w:lang w:eastAsia="zh-CN" w:bidi="ar-SA"/>
        </w:rPr>
        <w:t>充分发挥市农村产权交易中心的职能作用，推动农村产权交易健康发展，做好信息发布、组织产权交易、成交确认、抵押融资等一体的为农服务平台建设，规范农村产权交易、流转行为，完善服务功能，引导农村产权流转交易市场的健康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4.</w:t>
      </w:r>
      <w:r>
        <w:rPr>
          <w:rFonts w:ascii="仿宋" w:eastAsia="仿宋" w:cs="Times New Roman" w:hAnsi="仿宋" w:hint="eastAsia"/>
          <w:sz w:val="28"/>
          <w:szCs w:val="28"/>
          <w:lang w:bidi="ar-SA"/>
        </w:rPr>
        <w:t>进一步巩固和维护供销社全系统改制成果，从维护职工切身合法权益，维护全市稳定工作大局出发，通过多种方式、多途径筹措资金，争取各级、各部门大力支持等形式，努力解决改制企业历史遗留的各项改制难题，维护信访安全稳定；</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5</w:t>
      </w:r>
      <w:r>
        <w:rPr>
          <w:rFonts w:ascii="仿宋" w:eastAsia="仿宋" w:cs="Times New Roman" w:hAnsi="仿宋" w:hint="eastAsia"/>
          <w:sz w:val="28"/>
          <w:szCs w:val="28"/>
          <w:lang w:bidi="ar-SA"/>
        </w:rPr>
        <w:t>.加大对私盐等盐业违法行为的打击力度，规范盐业行政执法执纪行为，保障全市食盐供应及时、充足、到位，确保食盐市场稳定、安全。按照上级各部门安排，积极推进盐业体制改革工作，完成上级交办的盐业体制改革各项任务；</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sz w:val="28"/>
          <w:szCs w:val="28"/>
          <w:lang w:val="en-US" w:eastAsia="zh-CN" w:bidi="ar-SA"/>
        </w:rPr>
        <w:t>6</w:t>
      </w:r>
      <w:r>
        <w:rPr>
          <w:rFonts w:ascii="仿宋" w:eastAsia="仿宋" w:cs="Times New Roman" w:hAnsi="仿宋" w:hint="eastAsia"/>
          <w:sz w:val="28"/>
          <w:szCs w:val="28"/>
          <w:lang w:bidi="ar-SA"/>
        </w:rPr>
        <w:t>.确保供销社各项业务谋划到位，顺利开展，做好社有资产运营和管理、信访接待、安全维稳、政务信息公开、财务及人事管理等各项事务性、政务性工作，保障机关工作正常高效运转。</w:t>
      </w:r>
    </w:p>
    <w:p>
      <w:pPr>
        <w:jc w:val="center"/>
        <w:outlineLvl w:val="0"/>
        <w:rPr>
          <w:rFonts w:ascii="方正小标宋_GBK" w:eastAsia="方正小标宋_GBK" w:hAnsi="方正小标宋_GBK" w:hint="eastAsia"/>
          <w:b/>
          <w:bCs/>
          <w:sz w:val="32"/>
        </w:rPr>
      </w:pPr>
      <w:bookmarkStart w:id="2" w:name="_Toc506412672"/>
    </w:p>
    <w:p>
      <w:pPr>
        <w:jc w:val="center"/>
        <w:outlineLvl w:val="0"/>
        <w:rPr>
          <w:rFonts w:ascii="方正小标宋_GBK" w:eastAsia="方正小标宋_GBK" w:hAnsi="方正小标宋_GBK" w:hint="eastAsia"/>
          <w:b/>
          <w:bCs/>
          <w:sz w:val="32"/>
        </w:rPr>
      </w:pPr>
      <w:r>
        <w:rPr>
          <w:rFonts w:ascii="方正小标宋_GBK" w:eastAsia="方正小标宋_GBK" w:hAnsi="方正小标宋_GBK" w:hint="eastAsia"/>
          <w:b/>
          <w:bCs/>
          <w:sz w:val="32"/>
        </w:rPr>
        <w:t>部门职责-工作活动绩效目标</w:t>
      </w:r>
      <w:bookmarkEnd w:id="2"/>
    </w:p>
    <w:p>
      <w:pPr>
        <w:spacing w:line="300" w:lineRule="exact"/>
        <w:jc w:val="left"/>
        <w:outlineLvl w:val="0"/>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l2br w:val="nil"/>
              <w:tr2bl w:val="nil"/>
            </w:tcBorders>
            <w:vAlign w:val="center"/>
          </w:tcPr>
          <w:p>
            <w:pPr>
              <w:spacing w:line="300" w:lineRule="exact"/>
              <w:jc w:val="left"/>
              <w:rPr>
                <w:rFonts w:ascii="方正小标宋_GBK" w:eastAsia="方正小标宋_GBK" w:hAnsi="方正小标宋_GBK" w:hint="eastAsia"/>
                <w:sz w:val="24"/>
              </w:rPr>
            </w:pPr>
            <w:r>
              <w:rPr>
                <w:rFonts w:ascii="方正小标宋_GBK" w:eastAsia="方正小标宋_GBK" w:hAnsi="方正小标宋_GBK" w:hint="eastAsia"/>
                <w:sz w:val="24"/>
              </w:rPr>
              <w:t>975</w:t>
            </w:r>
            <w:r>
              <w:rPr>
                <w:rFonts w:ascii="方正小标宋_GBK" w:eastAsia="方正小标宋_GBK" w:hAnsi="方正小标宋_GBK" w:hint="eastAsia"/>
                <w:sz w:val="24"/>
              </w:rPr>
              <w:t>遵化市供销合作社部门</w:t>
            </w:r>
          </w:p>
        </w:tc>
        <w:tc>
          <w:tcPr>
            <w:tcW w:w="2948" w:type="dxa"/>
            <w:gridSpan w:val="4"/>
            <w:tcBorders>
              <w:top w:val="single" w:sz="6" w:space="0" w:color="FFFFFF"/>
              <w:left w:val="single" w:sz="6" w:space="0" w:color="FFFFFF"/>
              <w:right w:val="single" w:sz="6" w:space="0" w:color="FFFFFF"/>
              <w:tl2br w:val="nil"/>
              <w:tr2bl w:val="nil"/>
            </w:tcBorders>
            <w:vAlign w:val="center"/>
          </w:tcPr>
          <w:p>
            <w:pPr>
              <w:spacing w:line="300" w:lineRule="exact"/>
              <w:jc w:val="right"/>
              <w:rPr>
                <w:rFonts w:ascii="方正书宋_GBK" w:eastAsia="方正书宋_GBK" w:hAnsi="方正书宋_GBK" w:hint="eastAsia"/>
                <w:sz w:val="24"/>
              </w:rPr>
            </w:pPr>
            <w:r>
              <w:rPr>
                <w:rFonts w:ascii="方正书宋_GBK" w:eastAsia="方正书宋_GBK" w:hAnsi="方正书宋_GBK" w:hint="eastAsia"/>
                <w:sz w:val="24"/>
              </w:rPr>
              <w:t>单位：万元</w:t>
            </w:r>
          </w:p>
        </w:tc>
      </w:tr>
      <w:tr>
        <w:trPr>
          <w:trHeight w:val="227"/>
          <w:tblHeader/>
        </w:trPr>
        <w:tc>
          <w:tcPr>
            <w:tcW w:w="2341" w:type="dxa"/>
            <w:vMerge w:val="restart"/>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职责活动</w:t>
            </w:r>
          </w:p>
        </w:tc>
        <w:tc>
          <w:tcPr>
            <w:tcW w:w="1276" w:type="dxa"/>
            <w:vMerge w:val="restart"/>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年度预算数</w:t>
            </w:r>
          </w:p>
        </w:tc>
        <w:tc>
          <w:tcPr>
            <w:tcW w:w="2976" w:type="dxa"/>
            <w:vMerge w:val="restart"/>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内容描述</w:t>
            </w:r>
          </w:p>
        </w:tc>
        <w:tc>
          <w:tcPr>
            <w:tcW w:w="2976" w:type="dxa"/>
            <w:vMerge w:val="restart"/>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绩效目标</w:t>
            </w:r>
          </w:p>
        </w:tc>
        <w:tc>
          <w:tcPr>
            <w:tcW w:w="1417" w:type="dxa"/>
            <w:vMerge w:val="restart"/>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绩效指标</w:t>
            </w:r>
          </w:p>
        </w:tc>
        <w:tc>
          <w:tcPr>
            <w:tcW w:w="2948" w:type="dxa"/>
            <w:gridSpan w:val="4"/>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评价标准</w:t>
            </w:r>
          </w:p>
        </w:tc>
      </w:tr>
      <w:tr>
        <w:trPr>
          <w:trHeight w:val="227"/>
          <w:tblHeader/>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vMerge/>
            <w:tcBorders>
              <w:tl2br w:val="nil"/>
              <w:tr2bl w:val="nil"/>
            </w:tcBorders>
            <w:vAlign w:val="center"/>
          </w:tcPr>
          <w:p/>
        </w:tc>
        <w:tc>
          <w:tcPr>
            <w:tcW w:w="737" w:type="dxa"/>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优</w:t>
            </w:r>
          </w:p>
        </w:tc>
        <w:tc>
          <w:tcPr>
            <w:tcW w:w="737" w:type="dxa"/>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良</w:t>
            </w:r>
          </w:p>
        </w:tc>
        <w:tc>
          <w:tcPr>
            <w:tcW w:w="737" w:type="dxa"/>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中</w:t>
            </w:r>
          </w:p>
        </w:tc>
        <w:tc>
          <w:tcPr>
            <w:tcW w:w="737" w:type="dxa"/>
            <w:tcBorders>
              <w:tl2br w:val="nil"/>
              <w:tr2bl w:val="nil"/>
            </w:tcBorders>
            <w:vAlign w:val="center"/>
          </w:tcPr>
          <w:p>
            <w:pPr>
              <w:spacing w:line="300" w:lineRule="exact"/>
              <w:jc w:val="center"/>
              <w:rPr>
                <w:rFonts w:ascii="方正书宋_GBK" w:eastAsia="方正书宋_GBK" w:hAnsi="方正书宋_GBK" w:hint="eastAsia"/>
                <w:b/>
              </w:rPr>
            </w:pPr>
            <w:r>
              <w:rPr>
                <w:rFonts w:ascii="方正书宋_GBK" w:eastAsia="方正书宋_GBK" w:hAnsi="方正书宋_GBK" w:hint="eastAsia"/>
                <w:b/>
              </w:rPr>
              <w:t>差</w:t>
            </w: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一、供销流通管理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23.00</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贯彻落实党和政府商业流通有关方针政策，负责行业管理，开展教育培训，维护合法权益</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确保供销社事业改革、发展和壮大、发挥供销社在商业流通服务的作用</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　　</w:t>
            </w:r>
            <w:r>
              <w:rPr>
                <w:rFonts w:ascii="方正书宋_GBK" w:eastAsia="方正书宋_GBK" w:hAnsi="方正书宋_GBK" w:hint="eastAsia"/>
                <w:b/>
              </w:rPr>
              <w:t>1</w:t>
            </w:r>
            <w:r>
              <w:rPr>
                <w:rFonts w:ascii="方正书宋_GBK" w:eastAsia="方正书宋_GBK" w:hAnsi="方正书宋_GBK" w:hint="eastAsia"/>
                <w:b/>
              </w:rPr>
              <w:t>、社有资产运营管理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指导社有资产运营管理，对社有资产进行监督检查，确保社有资产的安全和增值</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确保社有资产管理规范、科学，社有资产运行平稳、安全、高效。</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社有资产利用率</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90%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85%</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75%</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75%</w:t>
            </w: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　　</w:t>
            </w:r>
            <w:r>
              <w:rPr>
                <w:rFonts w:ascii="方正书宋_GBK" w:eastAsia="方正书宋_GBK" w:hAnsi="方正书宋_GBK" w:hint="eastAsia"/>
                <w:b/>
              </w:rPr>
              <w:t>2</w:t>
            </w:r>
            <w:r>
              <w:rPr>
                <w:rFonts w:ascii="方正书宋_GBK" w:eastAsia="方正书宋_GBK" w:hAnsi="方正书宋_GBK" w:hint="eastAsia"/>
                <w:b/>
              </w:rPr>
              <w:t>、发展现代流通网络建设及管理</w:t>
            </w:r>
          </w:p>
        </w:tc>
        <w:tc>
          <w:tcPr>
            <w:tcW w:w="12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23.00</w:t>
            </w: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落实供销社系统现代流通网络建设，加快服务创新、经营创新和业态创新，优化网络布局，完善网络体系，发挥一网多用、双向流通的作用，在农资供应、农产品流通、农村服务等重点领域和环节为农民提供便利实惠、安全优质的服务。</w:t>
            </w: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健全农资、农副产品、日用消费品、再生资源回收利用四大网络，加快形成连锁化、规模化、品牌化经营服务新格局。</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全市供销社流通网络购销总额增长率</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2%</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1.5%</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1%</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1%</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连锁经营销售额占全市供销社销售额比重</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3%</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2%</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1%</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1%</w:t>
            </w: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二、服务三农事务管理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贯彻落实党和政府有关服务</w:t>
            </w:r>
            <w:r>
              <w:rPr>
                <w:rFonts w:ascii="方正书宋_GBK" w:eastAsia="方正书宋_GBK" w:hAnsi="方正书宋_GBK" w:hint="eastAsia"/>
                <w:cs/>
              </w:rPr>
              <w:t>“</w:t>
            </w:r>
            <w:r>
              <w:rPr>
                <w:rFonts w:ascii="方正书宋_GBK" w:eastAsia="方正书宋_GBK" w:hAnsi="方正书宋_GBK" w:hint="eastAsia"/>
              </w:rPr>
              <w:t>三农</w:t>
            </w:r>
            <w:r>
              <w:rPr>
                <w:rFonts w:ascii="方正书宋_GBK" w:eastAsia="方正书宋_GBK" w:hAnsi="方正书宋_GBK" w:hint="eastAsia"/>
                <w:cs/>
              </w:rPr>
              <w:t>”</w:t>
            </w:r>
            <w:r>
              <w:rPr>
                <w:rFonts w:ascii="方正书宋_GBK" w:eastAsia="方正书宋_GBK" w:hAnsi="方正书宋_GBK" w:hint="eastAsia"/>
              </w:rPr>
              <w:t>方针政策，以供销合作社体系为依托，自下而上组建农民合作社联合社、创新组织体系、服务体系和农村金融体系</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紧紧围绕</w:t>
            </w:r>
            <w:r>
              <w:rPr>
                <w:rFonts w:ascii="方正书宋_GBK" w:eastAsia="方正书宋_GBK" w:hAnsi="方正书宋_GBK" w:hint="eastAsia"/>
                <w:cs/>
              </w:rPr>
              <w:t>“</w:t>
            </w:r>
            <w:r>
              <w:rPr>
                <w:rFonts w:ascii="方正书宋_GBK" w:eastAsia="方正书宋_GBK" w:hAnsi="方正书宋_GBK" w:hint="eastAsia"/>
              </w:rPr>
              <w:t>三农</w:t>
            </w:r>
            <w:r>
              <w:rPr>
                <w:rFonts w:ascii="方正书宋_GBK" w:eastAsia="方正书宋_GBK" w:hAnsi="方正书宋_GBK" w:hint="eastAsia"/>
                <w:cs/>
              </w:rPr>
              <w:t>”</w:t>
            </w:r>
            <w:r>
              <w:rPr>
                <w:rFonts w:ascii="方正书宋_GBK" w:eastAsia="方正书宋_GBK" w:hAnsi="方正书宋_GBK" w:hint="eastAsia"/>
              </w:rPr>
              <w:t>工作大局，以密切与农民利益联结为核心，以提升为农服务能力为根本，以强化基层社和创新联合社治理机制为重点，按照政事分开、社企分开的方向，推进体制改革和机制创新，加快建成适应社会主义市场经济需要、适应城乡发展一体化需要、适应中国特色农业现代化需要的组织体系和服务机制。</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　　</w:t>
            </w:r>
            <w:r>
              <w:rPr>
                <w:rFonts w:ascii="方正书宋_GBK" w:eastAsia="方正书宋_GBK" w:hAnsi="方正书宋_GBK" w:hint="eastAsia"/>
                <w:b/>
              </w:rPr>
              <w:t>1</w:t>
            </w:r>
            <w:r>
              <w:rPr>
                <w:rFonts w:ascii="方正书宋_GBK" w:eastAsia="方正书宋_GBK" w:hAnsi="方正书宋_GBK" w:hint="eastAsia"/>
                <w:b/>
              </w:rPr>
              <w:t>、组织体系建设</w:t>
            </w:r>
          </w:p>
        </w:tc>
        <w:tc>
          <w:tcPr>
            <w:tcW w:w="1276" w:type="dxa"/>
            <w:vMerge w:val="restart"/>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以供销合作社体系为依托，自下而上组建农民合作社联合社</w:t>
            </w: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组建农民合作社联合社</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带动区域内产业发展个数</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3</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2</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0</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联合农民专业合作社个数</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6</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5</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3</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2</w:t>
            </w: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三、服务三农事务管理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7.00</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贯彻落实党和政府有关</w:t>
            </w:r>
            <w:r>
              <w:rPr>
                <w:rFonts w:ascii="方正书宋_GBK" w:eastAsia="方正书宋_GBK" w:hAnsi="方正书宋_GBK" w:hint="eastAsia"/>
              </w:rPr>
              <w:t xml:space="preserve"> </w:t>
            </w:r>
            <w:r>
              <w:rPr>
                <w:rFonts w:ascii="方正书宋_GBK" w:eastAsia="方正书宋_GBK" w:hAnsi="方正书宋_GBK" w:hint="eastAsia"/>
              </w:rPr>
              <w:t>服务</w:t>
            </w:r>
            <w:r>
              <w:rPr>
                <w:rFonts w:ascii="方正书宋_GBK" w:eastAsia="方正书宋_GBK" w:hAnsi="方正书宋_GBK" w:hint="eastAsia"/>
                <w:cs/>
              </w:rPr>
              <w:t>“</w:t>
            </w:r>
            <w:r>
              <w:rPr>
                <w:rFonts w:ascii="方正书宋_GBK" w:eastAsia="方正书宋_GBK" w:hAnsi="方正书宋_GBK" w:hint="eastAsia"/>
              </w:rPr>
              <w:t>三农</w:t>
            </w:r>
            <w:r>
              <w:rPr>
                <w:rFonts w:ascii="方正书宋_GBK" w:eastAsia="方正书宋_GBK" w:hAnsi="方正书宋_GBK" w:hint="eastAsia"/>
                <w:cs/>
              </w:rPr>
              <w:t>”</w:t>
            </w:r>
            <w:r>
              <w:rPr>
                <w:rFonts w:ascii="方正书宋_GBK" w:eastAsia="方正书宋_GBK" w:hAnsi="方正书宋_GBK" w:hint="eastAsia"/>
              </w:rPr>
              <w:t>方针政策，以供销合作社体系为依托，自下而上组建农民合作社联合社、创新组织体系、服务体系和农村金融体系</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紧紧围绕</w:t>
            </w:r>
            <w:r>
              <w:rPr>
                <w:rFonts w:ascii="方正书宋_GBK" w:eastAsia="方正书宋_GBK" w:hAnsi="方正书宋_GBK" w:hint="eastAsia"/>
                <w:cs/>
              </w:rPr>
              <w:t>“</w:t>
            </w:r>
            <w:r>
              <w:rPr>
                <w:rFonts w:ascii="方正书宋_GBK" w:eastAsia="方正书宋_GBK" w:hAnsi="方正书宋_GBK" w:hint="eastAsia"/>
              </w:rPr>
              <w:t>三农</w:t>
            </w:r>
            <w:r>
              <w:rPr>
                <w:rFonts w:ascii="方正书宋_GBK" w:eastAsia="方正书宋_GBK" w:hAnsi="方正书宋_GBK" w:hint="eastAsia"/>
                <w:cs/>
              </w:rPr>
              <w:t>”</w:t>
            </w:r>
            <w:r>
              <w:rPr>
                <w:rFonts w:ascii="方正书宋_GBK" w:eastAsia="方正书宋_GBK" w:hAnsi="方正书宋_GBK" w:hint="eastAsia"/>
              </w:rPr>
              <w:t>工作大局，以密切与农民利益联结为核心，以提升为农服务能力为根本，以强化基层社和创新联合社治理机制为重点，按照政事分开、社企分开的方向，推进体制改革和机制创新，加快建成适应社会主义市场经济需要、适应城乡发展一体化需要、适应中国特色农业现代化需要的组织体系和服务机制。</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　　</w:t>
            </w:r>
            <w:r>
              <w:rPr>
                <w:rFonts w:ascii="方正书宋_GBK" w:eastAsia="方正书宋_GBK" w:hAnsi="方正书宋_GBK" w:hint="eastAsia"/>
                <w:b/>
              </w:rPr>
              <w:t>1</w:t>
            </w:r>
            <w:r>
              <w:rPr>
                <w:rFonts w:ascii="方正书宋_GBK" w:eastAsia="方正书宋_GBK" w:hAnsi="方正书宋_GBK" w:hint="eastAsia"/>
                <w:b/>
              </w:rPr>
              <w:t>、服务体系建设</w:t>
            </w:r>
          </w:p>
        </w:tc>
        <w:tc>
          <w:tcPr>
            <w:tcW w:w="12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7.00</w:t>
            </w: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供销合作社要把为农服务放在首位。面向农业现代化、面向农民生产生活，推动供销合作社由流通服务向全程农业社会化服务延伸、向全方位城乡社区服务拓展，</w:t>
            </w:r>
            <w:r>
              <w:rPr>
                <w:rFonts w:ascii="方正书宋_GBK" w:eastAsia="方正书宋_GBK" w:hAnsi="方正书宋_GBK" w:hint="eastAsia"/>
              </w:rPr>
              <w:t xml:space="preserve"> </w:t>
            </w:r>
            <w:r>
              <w:rPr>
                <w:rFonts w:ascii="方正书宋_GBK" w:eastAsia="方正书宋_GBK" w:hAnsi="方正书宋_GBK" w:hint="eastAsia"/>
              </w:rPr>
              <w:t>加快形成综合性、规模化、可持续的为农服务体系，在农资供应、农产品流通、农民技能培训等重点领域和环节为农民提供便利实惠、安全优质的服务</w:t>
            </w: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把供销社系统倒灶成为与农民联结更紧密、为农服务更完备、市场化运行更高效的合作经济组织体系，成为服务农民生产生活的生力军和综合平台，成为党和政府密切联系农民群众的桥梁和纽带。</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示范性培训新型农民和农村实用技能人才人次</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200</w:t>
            </w:r>
            <w:r>
              <w:rPr>
                <w:rFonts w:ascii="方正书宋_GBK" w:eastAsia="方正书宋_GBK" w:hAnsi="方正书宋_GBK" w:hint="eastAsia"/>
              </w:rPr>
              <w:t>以上</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150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100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100</w:t>
            </w:r>
            <w:r>
              <w:rPr>
                <w:rFonts w:ascii="方正书宋_GBK" w:eastAsia="方正书宋_GBK" w:hAnsi="方正书宋_GBK" w:hint="eastAsia"/>
              </w:rPr>
              <w:t>以下</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服务体系覆盖率</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20%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15%</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5%</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5%</w:t>
            </w: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四、服务三农事务管理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贯彻落实党和政府有关</w:t>
            </w:r>
            <w:r>
              <w:rPr>
                <w:rFonts w:ascii="方正书宋_GBK" w:eastAsia="方正书宋_GBK" w:hAnsi="方正书宋_GBK" w:hint="eastAsia"/>
              </w:rPr>
              <w:t xml:space="preserve"> </w:t>
            </w:r>
            <w:r>
              <w:rPr>
                <w:rFonts w:ascii="方正书宋_GBK" w:eastAsia="方正书宋_GBK" w:hAnsi="方正书宋_GBK" w:hint="eastAsia"/>
              </w:rPr>
              <w:t>服务</w:t>
            </w:r>
            <w:r>
              <w:rPr>
                <w:rFonts w:ascii="方正书宋_GBK" w:eastAsia="方正书宋_GBK" w:hAnsi="方正书宋_GBK" w:hint="eastAsia"/>
                <w:cs/>
              </w:rPr>
              <w:t>“</w:t>
            </w:r>
            <w:r>
              <w:rPr>
                <w:rFonts w:ascii="方正书宋_GBK" w:eastAsia="方正书宋_GBK" w:hAnsi="方正书宋_GBK" w:hint="eastAsia"/>
              </w:rPr>
              <w:t>三农</w:t>
            </w:r>
            <w:r>
              <w:rPr>
                <w:rFonts w:ascii="方正书宋_GBK" w:eastAsia="方正书宋_GBK" w:hAnsi="方正书宋_GBK" w:hint="eastAsia"/>
                <w:cs/>
              </w:rPr>
              <w:t>”</w:t>
            </w:r>
            <w:r>
              <w:rPr>
                <w:rFonts w:ascii="方正书宋_GBK" w:eastAsia="方正书宋_GBK" w:hAnsi="方正书宋_GBK" w:hint="eastAsia"/>
              </w:rPr>
              <w:t>方针政策，以供销合作社体系为依托，自下而上组建农民合作社联合社、创新组织体系、服务体系和农村金融体系</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紧紧围绕</w:t>
            </w:r>
            <w:r>
              <w:rPr>
                <w:rFonts w:ascii="方正书宋_GBK" w:eastAsia="方正书宋_GBK" w:hAnsi="方正书宋_GBK" w:hint="eastAsia"/>
                <w:cs/>
              </w:rPr>
              <w:t>“</w:t>
            </w:r>
            <w:r>
              <w:rPr>
                <w:rFonts w:ascii="方正书宋_GBK" w:eastAsia="方正书宋_GBK" w:hAnsi="方正书宋_GBK" w:hint="eastAsia"/>
              </w:rPr>
              <w:t>三农</w:t>
            </w:r>
            <w:r>
              <w:rPr>
                <w:rFonts w:ascii="方正书宋_GBK" w:eastAsia="方正书宋_GBK" w:hAnsi="方正书宋_GBK" w:hint="eastAsia"/>
                <w:cs/>
              </w:rPr>
              <w:t>”</w:t>
            </w:r>
            <w:r>
              <w:rPr>
                <w:rFonts w:ascii="方正书宋_GBK" w:eastAsia="方正书宋_GBK" w:hAnsi="方正书宋_GBK" w:hint="eastAsia"/>
              </w:rPr>
              <w:t>工作大局，以密切与农民利益联结为核心，以提升为农服务能力为根本，以强化基层社和创新联合社治理机制为重点，按照政事分开、社企分开的方向，推进体制改革和机制创新，加快建成适应社会主义市场经济需要、适应城乡发展一体化需要、适应中国特色农业现代化需要的组织体系和服务机制。</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　　</w:t>
            </w:r>
            <w:r>
              <w:rPr>
                <w:rFonts w:ascii="方正书宋_GBK" w:eastAsia="方正书宋_GBK" w:hAnsi="方正书宋_GBK" w:hint="eastAsia"/>
                <w:b/>
              </w:rPr>
              <w:t>1</w:t>
            </w:r>
            <w:r>
              <w:rPr>
                <w:rFonts w:ascii="方正书宋_GBK" w:eastAsia="方正书宋_GBK" w:hAnsi="方正书宋_GBK" w:hint="eastAsia"/>
                <w:b/>
              </w:rPr>
              <w:t>、创新农村金融体系建设</w:t>
            </w:r>
          </w:p>
        </w:tc>
        <w:tc>
          <w:tcPr>
            <w:tcW w:w="1276" w:type="dxa"/>
            <w:vMerge w:val="restart"/>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创新金融服务方式和手段，创建农村合作金融服务体系，以企业为主体，以市场为导向，通过组织上积极引导、利益上不断凝聚、服务上广泛吸引，整合投资管理、农村产权交易、农村资金互助、小额贷款、村镇银行、互联网金融、融资担保、合作保险、金融租赁和农产品电商等业态，稳步开展农村合作金融服务，实现服务三农、普惠金融目标，真正将供销社打造成上下贯通、利益链接、一体化运营的为农服务的生力军和综合平台</w:t>
            </w: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创建农村合作金融体系</w:t>
            </w:r>
            <w:r>
              <w:rPr>
                <w:rFonts w:ascii="方正书宋_GBK" w:eastAsia="方正书宋_GBK" w:hAnsi="方正书宋_GBK" w:hint="eastAsia"/>
              </w:rPr>
              <w:t>,</w:t>
            </w:r>
            <w:r>
              <w:rPr>
                <w:rFonts w:ascii="方正书宋_GBK" w:eastAsia="方正书宋_GBK" w:hAnsi="方正书宋_GBK" w:hint="eastAsia"/>
              </w:rPr>
              <w:t>拓宽</w:t>
            </w:r>
            <w:r>
              <w:rPr>
                <w:rFonts w:ascii="方正书宋_GBK" w:eastAsia="方正书宋_GBK" w:hAnsi="方正书宋_GBK" w:hint="eastAsia"/>
                <w:cs/>
              </w:rPr>
              <w:t>“</w:t>
            </w:r>
            <w:r>
              <w:rPr>
                <w:rFonts w:ascii="方正书宋_GBK" w:eastAsia="方正书宋_GBK" w:hAnsi="方正书宋_GBK" w:hint="eastAsia"/>
              </w:rPr>
              <w:t>三农</w:t>
            </w:r>
            <w:r>
              <w:rPr>
                <w:rFonts w:ascii="方正书宋_GBK" w:eastAsia="方正书宋_GBK" w:hAnsi="方正书宋_GBK" w:hint="eastAsia"/>
                <w:cs/>
              </w:rPr>
              <w:t>”</w:t>
            </w:r>
            <w:r>
              <w:rPr>
                <w:rFonts w:ascii="方正书宋_GBK" w:eastAsia="方正书宋_GBK" w:hAnsi="方正书宋_GBK" w:hint="eastAsia"/>
              </w:rPr>
              <w:t>融资的渠道，按照统一要求、标准、计划，完成各项工作的建设任务，实现供销社合作金融体系上下贯通、利益链接、一体化运营。初步实现供销金融超市全县基层全覆盖</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金融超市和村级助农服务网点数量（家）</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3</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2</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1</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&lt;1</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建设金融超市和村级助农服务网点数量（家）</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3</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2</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1</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&lt;1</w:t>
            </w: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五、盐务管理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组织开展全市盐业行政执法活动，打击盐业违法行为、对直属企业进行改革和管理</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保障食盐在供应、流通环节的安全</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　　</w:t>
            </w:r>
            <w:r>
              <w:rPr>
                <w:rFonts w:ascii="方正书宋_GBK" w:eastAsia="方正书宋_GBK" w:hAnsi="方正书宋_GBK" w:hint="eastAsia"/>
                <w:b/>
              </w:rPr>
              <w:t>1</w:t>
            </w:r>
            <w:r>
              <w:rPr>
                <w:rFonts w:ascii="方正书宋_GBK" w:eastAsia="方正书宋_GBK" w:hAnsi="方正书宋_GBK" w:hint="eastAsia"/>
                <w:b/>
              </w:rPr>
              <w:t>、盐业体制改革</w:t>
            </w:r>
          </w:p>
        </w:tc>
        <w:tc>
          <w:tcPr>
            <w:tcW w:w="1276" w:type="dxa"/>
            <w:vMerge w:val="restart"/>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按照市政府安排推动盐业体制改革工作</w:t>
            </w: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完成市政府交办的改革任务</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企业人员安置分流工作完成率</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100%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80%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60%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60%</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市政府改革任务完成率</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100%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80%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60%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60%</w:t>
            </w: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　　</w:t>
            </w:r>
            <w:r>
              <w:rPr>
                <w:rFonts w:ascii="方正书宋_GBK" w:eastAsia="方正书宋_GBK" w:hAnsi="方正书宋_GBK" w:hint="eastAsia"/>
                <w:b/>
              </w:rPr>
              <w:t>2</w:t>
            </w:r>
            <w:r>
              <w:rPr>
                <w:rFonts w:ascii="方正书宋_GBK" w:eastAsia="方正书宋_GBK" w:hAnsi="方正书宋_GBK" w:hint="eastAsia"/>
                <w:b/>
              </w:rPr>
              <w:t>、组织实施盐政执法</w:t>
            </w:r>
          </w:p>
        </w:tc>
        <w:tc>
          <w:tcPr>
            <w:tcW w:w="1276" w:type="dxa"/>
            <w:vMerge w:val="restart"/>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组织开展全市盐业行政执法活动，打击盐业违法行为，查处重大盐业违法案件。规范盐业行政执法案件程序和执法案卷；追究执法过错责任，纠正违法执法行为</w:t>
            </w:r>
          </w:p>
        </w:tc>
        <w:tc>
          <w:tcPr>
            <w:tcW w:w="2976" w:type="dxa"/>
            <w:vMerge w:val="restart"/>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全市盐业违法行为得到有效打击和遏制，实现食盐安全供应和流通。</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盐业执法人员培训考核通过率</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100%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98%</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96%</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96%</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食盐产品合格率</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100%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98%</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96%</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96%</w:t>
            </w: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六、供销合作政务管理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17.00</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负责供销合作社系统综合业务管理和机关综合事务管理</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确保各项业务工作谋划到位、顺利开展</w:t>
            </w:r>
            <w:r>
              <w:rPr>
                <w:rFonts w:ascii="方正书宋_GBK" w:eastAsia="方正书宋_GBK" w:hAnsi="方正书宋_GBK" w:hint="eastAsia"/>
              </w:rPr>
              <w:t>,</w:t>
            </w:r>
            <w:r>
              <w:rPr>
                <w:rFonts w:ascii="方正书宋_GBK" w:eastAsia="方正书宋_GBK" w:hAnsi="方正书宋_GBK" w:hint="eastAsia"/>
              </w:rPr>
              <w:t>保障机关工作正常高效运转</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　　</w:t>
            </w:r>
            <w:r>
              <w:rPr>
                <w:rFonts w:ascii="方正书宋_GBK" w:eastAsia="方正书宋_GBK" w:hAnsi="方正书宋_GBK" w:hint="eastAsia"/>
                <w:b/>
              </w:rPr>
              <w:t>1</w:t>
            </w:r>
            <w:r>
              <w:rPr>
                <w:rFonts w:ascii="方正书宋_GBK" w:eastAsia="方正书宋_GBK" w:hAnsi="方正书宋_GBK" w:hint="eastAsia"/>
                <w:b/>
              </w:rPr>
              <w:t>、综合业务管理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17.00</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制订系统发展战略和规划、指导系统业务活动和综合改革试点及事业发展；开展行业调查研究，制定相关行业政策、法规规章制度；处理好遗留问题做好信访接待、安全维稳、业务宣传、政务信息公开等工作。</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确保各项业务工作谋划到位、顺利开展</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系统业务活动完成率</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100%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80%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60%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60%</w:t>
            </w: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七、供销合作政务管理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负责供销合作社系统综合业务管理和机关综合事务管理</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确保各项业务工作谋划到位、顺利开展</w:t>
            </w:r>
            <w:r>
              <w:rPr>
                <w:rFonts w:ascii="方正书宋_GBK" w:eastAsia="方正书宋_GBK" w:hAnsi="方正书宋_GBK" w:hint="eastAsia"/>
              </w:rPr>
              <w:t>,</w:t>
            </w:r>
            <w:r>
              <w:rPr>
                <w:rFonts w:ascii="方正书宋_GBK" w:eastAsia="方正书宋_GBK" w:hAnsi="方正书宋_GBK" w:hint="eastAsia"/>
              </w:rPr>
              <w:t>保障机关工作正常高效运转</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p>
        </w:tc>
      </w:tr>
      <w:tr>
        <w:trPr>
          <w:trHeight w:val="227"/>
        </w:trPr>
        <w:tc>
          <w:tcPr>
            <w:tcW w:w="2341" w:type="dxa"/>
            <w:tcBorders>
              <w:tl2br w:val="nil"/>
              <w:tr2bl w:val="nil"/>
            </w:tcBorders>
            <w:vAlign w:val="center"/>
          </w:tcPr>
          <w:p>
            <w:pPr>
              <w:spacing w:line="300" w:lineRule="exact"/>
              <w:jc w:val="left"/>
              <w:rPr>
                <w:rFonts w:ascii="方正书宋_GBK" w:eastAsia="方正书宋_GBK" w:hAnsi="方正书宋_GBK" w:hint="eastAsia"/>
                <w:b/>
              </w:rPr>
            </w:pPr>
            <w:r>
              <w:rPr>
                <w:rFonts w:ascii="方正书宋_GBK" w:eastAsia="方正书宋_GBK" w:hAnsi="方正书宋_GBK" w:hint="eastAsia"/>
                <w:b/>
              </w:rPr>
              <w:t>　　</w:t>
            </w:r>
            <w:r>
              <w:rPr>
                <w:rFonts w:ascii="方正书宋_GBK" w:eastAsia="方正书宋_GBK" w:hAnsi="方正书宋_GBK" w:hint="eastAsia"/>
                <w:b/>
              </w:rPr>
              <w:t>1</w:t>
            </w:r>
            <w:r>
              <w:rPr>
                <w:rFonts w:ascii="方正书宋_GBK" w:eastAsia="方正书宋_GBK" w:hAnsi="方正书宋_GBK" w:hint="eastAsia"/>
                <w:b/>
              </w:rPr>
              <w:t>、综合事务管理</w:t>
            </w:r>
          </w:p>
        </w:tc>
        <w:tc>
          <w:tcPr>
            <w:tcW w:w="1276" w:type="dxa"/>
            <w:tcBorders>
              <w:tl2br w:val="nil"/>
              <w:tr2bl w:val="nil"/>
            </w:tcBorders>
            <w:vAlign w:val="center"/>
          </w:tcPr>
          <w:p>
            <w:pPr>
              <w:spacing w:line="300" w:lineRule="exact"/>
              <w:jc w:val="left"/>
              <w:rPr>
                <w:rFonts w:ascii="方正书宋_GBK" w:eastAsia="方正书宋_GBK" w:hAnsi="方正书宋_GBK" w:hint="eastAsia"/>
              </w:rPr>
            </w:pP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会议组织管理、信息化建设与维护、机关财务和资产管理、解决处理好改制遗留问题、标准化建设、基建及维修、设备购置、人事管理、机关党工委工作、老干部工作等。</w:t>
            </w:r>
          </w:p>
        </w:tc>
        <w:tc>
          <w:tcPr>
            <w:tcW w:w="2976"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保障机关工作正常高效运转</w:t>
            </w:r>
          </w:p>
        </w:tc>
        <w:tc>
          <w:tcPr>
            <w:tcW w:w="1417" w:type="dxa"/>
            <w:tcBorders>
              <w:tl2br w:val="nil"/>
              <w:tr2bl w:val="nil"/>
            </w:tcBorders>
            <w:vAlign w:val="center"/>
          </w:tcPr>
          <w:p>
            <w:pPr>
              <w:spacing w:line="300" w:lineRule="exact"/>
              <w:jc w:val="left"/>
              <w:rPr>
                <w:rFonts w:ascii="方正书宋_GBK" w:eastAsia="方正书宋_GBK" w:hAnsi="方正书宋_GBK" w:hint="eastAsia"/>
              </w:rPr>
            </w:pPr>
            <w:r>
              <w:rPr>
                <w:rFonts w:ascii="方正书宋_GBK" w:eastAsia="方正书宋_GBK" w:hAnsi="方正书宋_GBK" w:hint="eastAsia"/>
              </w:rPr>
              <w:t>综合行政事务办结率</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100%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80%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60%</w:t>
            </w:r>
          </w:p>
        </w:tc>
        <w:tc>
          <w:tcPr>
            <w:tcW w:w="737" w:type="dxa"/>
            <w:tcBorders>
              <w:tl2br w:val="nil"/>
              <w:tr2bl w:val="nil"/>
            </w:tcBorders>
            <w:vAlign w:val="center"/>
          </w:tcPr>
          <w:p>
            <w:pPr>
              <w:spacing w:line="300" w:lineRule="exact"/>
              <w:jc w:val="center"/>
              <w:rPr>
                <w:rFonts w:ascii="方正书宋_GBK" w:eastAsia="方正书宋_GBK" w:hAnsi="方正书宋_GBK" w:hint="eastAsia"/>
              </w:rPr>
            </w:pPr>
            <w:r>
              <w:rPr>
                <w:rFonts w:ascii="方正书宋_GBK" w:eastAsia="方正书宋_GBK" w:hAnsi="方正书宋_GBK" w:hint="eastAsia"/>
              </w:rPr>
              <w:t>＜</w:t>
            </w:r>
            <w:r>
              <w:rPr>
                <w:rFonts w:ascii="方正书宋_GBK" w:eastAsia="方正书宋_GBK" w:hAnsi="方正书宋_GBK" w:hint="eastAsia"/>
              </w:rPr>
              <w:t>60%</w:t>
            </w:r>
          </w:p>
        </w:tc>
      </w:tr>
    </w:tbl>
    <w:p>
      <w:pPr>
        <w:pStyle w:val="22"/>
        <w:ind w:firstLineChars="200" w:firstLine="480"/>
        <w:rPr>
          <w:rFonts w:hint="eastAsia"/>
        </w:rPr>
      </w:pPr>
      <w:r>
        <w:rPr>
          <w:rFonts w:ascii="方正楷体_GBK" w:eastAsia="方正楷体_GBK" w:hAnsi="方正楷体_GBK" w:hint="eastAsia"/>
          <w:sz w:val="24"/>
        </w:rPr>
        <w:t>备注：表中的年度预算数为项目支出，部门工作活动虽未安排项目支出，但由基本支出保障，由于基本支出无法拆分到相应的工作活动，因此部分工作活动没有列示年度预算数。</w:t>
      </w:r>
    </w:p>
    <w:p>
      <w:pPr>
        <w:spacing w:line="300" w:lineRule="exact"/>
        <w:jc w:val="left"/>
        <w:outlineLvl w:val="0"/>
        <w:sectPr>
          <w:footerReference w:type="default" r:id="rId2"/>
          <w:pgSz w:w="16839" w:h="11907" w:orient="landscape"/>
          <w:pgMar w:top="1020" w:right="1361" w:bottom="1020" w:left="1361" w:header="851" w:footer="992" w:gutter="0"/>
          <w:pgNumType/>
          <w:docGrid w:type="lines" w:linePitch="312" w:charSpace="0"/>
        </w:sectPr>
      </w:pPr>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bookmarkEnd w:id="1"/>
      <w:r>
        <w:rPr>
          <w:rFonts w:ascii="黑体" w:eastAsia="黑体" w:cs="Times New Roman" w:hAnsi="黑体" w:hint="eastAsia"/>
          <w:sz w:val="32"/>
          <w:szCs w:val="32"/>
          <w:lang w:bidi="ar-SA"/>
        </w:rPr>
        <w:t>六、政府采购预算情况</w:t>
      </w:r>
    </w:p>
    <w:p>
      <w:pPr>
        <w:spacing w:line="560" w:lineRule="exact"/>
        <w:ind w:firstLineChars="300" w:firstLine="840"/>
        <w:rPr>
          <w:rFonts w:ascii="仿宋" w:eastAsia="仿宋" w:cs="Times New Roman" w:hAnsi="仿宋" w:hint="eastAsia"/>
          <w:color w:val="FF0000"/>
          <w:sz w:val="28"/>
          <w:szCs w:val="28"/>
          <w:lang w:bidi="ar-SA"/>
          <w:highlight w:val="red"/>
        </w:rPr>
      </w:pPr>
      <w:bookmarkStart w:id="3" w:name="_Toc471398468"/>
      <w:r>
        <w:rPr>
          <w:rFonts w:ascii="仿宋" w:eastAsia="仿宋" w:cs="Times New Roman" w:hAnsi="仿宋" w:hint="eastAsia"/>
          <w:sz w:val="28"/>
          <w:szCs w:val="28"/>
          <w:lang w:bidi="ar-SA"/>
        </w:rPr>
        <w:t>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年纳入政府采购的预算</w:t>
      </w:r>
      <w:r>
        <w:rPr>
          <w:rFonts w:ascii="仿宋" w:eastAsia="仿宋" w:cs="Times New Roman" w:hAnsi="仿宋" w:hint="eastAsia"/>
          <w:sz w:val="28"/>
          <w:szCs w:val="28"/>
          <w:lang w:val="en-US" w:eastAsia="zh-CN" w:bidi="ar-SA"/>
        </w:rPr>
        <w:t>0万元，</w:t>
      </w:r>
      <w:r>
        <w:rPr>
          <w:rFonts w:ascii="仿宋" w:eastAsia="仿宋" w:cs="Times New Roman" w:hAnsi="仿宋" w:hint="eastAsia"/>
          <w:sz w:val="28"/>
          <w:szCs w:val="28"/>
          <w:lang w:bidi="ar-SA"/>
        </w:rPr>
        <w:t>相较于201</w:t>
      </w:r>
      <w:r>
        <w:rPr>
          <w:rFonts w:ascii="仿宋" w:eastAsia="仿宋" w:cs="Times New Roman" w:hAnsi="仿宋" w:hint="eastAsia"/>
          <w:sz w:val="28"/>
          <w:szCs w:val="28"/>
          <w:lang w:val="en-US" w:eastAsia="zh-CN" w:bidi="ar-SA"/>
        </w:rPr>
        <w:t>8</w:t>
      </w:r>
      <w:r>
        <w:rPr>
          <w:rFonts w:ascii="仿宋" w:eastAsia="仿宋" w:cs="Times New Roman" w:hAnsi="仿宋" w:hint="eastAsia"/>
          <w:sz w:val="28"/>
          <w:szCs w:val="28"/>
          <w:lang w:bidi="ar-SA"/>
        </w:rPr>
        <w:t>年</w:t>
      </w:r>
      <w:r>
        <w:rPr>
          <w:rFonts w:ascii="仿宋" w:eastAsia="仿宋" w:cs="Times New Roman" w:hAnsi="仿宋" w:hint="eastAsia"/>
          <w:sz w:val="28"/>
          <w:szCs w:val="28"/>
          <w:lang w:val="en-US" w:eastAsia="zh-CN" w:bidi="ar-SA"/>
        </w:rPr>
        <w:t>1.35万元</w:t>
      </w:r>
      <w:r>
        <w:rPr>
          <w:rFonts w:ascii="仿宋" w:eastAsia="仿宋" w:cs="Times New Roman" w:hAnsi="仿宋" w:hint="eastAsia"/>
          <w:sz w:val="28"/>
          <w:szCs w:val="28"/>
          <w:lang w:bidi="ar-SA"/>
        </w:rPr>
        <w:t>减少</w:t>
      </w:r>
      <w:r>
        <w:rPr>
          <w:rFonts w:ascii="仿宋" w:eastAsia="仿宋" w:cs="Times New Roman" w:hAnsi="仿宋" w:hint="eastAsia"/>
          <w:sz w:val="28"/>
          <w:szCs w:val="28"/>
          <w:lang w:val="en-US" w:eastAsia="zh-CN" w:bidi="ar-SA"/>
        </w:rPr>
        <w:t>1.35</w:t>
      </w:r>
      <w:r>
        <w:rPr>
          <w:rFonts w:ascii="仿宋" w:eastAsia="仿宋" w:cs="Times New Roman" w:hAnsi="仿宋" w:hint="eastAsia"/>
          <w:sz w:val="28"/>
          <w:szCs w:val="28"/>
          <w:lang w:bidi="ar-SA"/>
        </w:rPr>
        <w:t>万元，主要为</w:t>
      </w:r>
      <w:r>
        <w:rPr>
          <w:rFonts w:ascii="仿宋" w:eastAsia="仿宋" w:cs="Times New Roman" w:hAnsi="仿宋" w:hint="eastAsia"/>
          <w:sz w:val="28"/>
          <w:szCs w:val="28"/>
          <w:lang w:val="en-US" w:eastAsia="zh-CN" w:bidi="ar-SA"/>
        </w:rPr>
        <w:t>2018年列入政府采购预算项目内的车辆设备的维修和保养服务1.0万元、保险服务0.35万元，今年未被列入政府采购预算</w:t>
      </w:r>
      <w:r>
        <w:rPr>
          <w:rFonts w:ascii="仿宋" w:eastAsia="仿宋" w:cs="Times New Roman" w:hAnsi="仿宋" w:hint="eastAsia"/>
          <w:sz w:val="28"/>
          <w:szCs w:val="28"/>
          <w:lang w:bidi="ar-SA"/>
        </w:rPr>
        <w:t>。</w:t>
      </w:r>
      <w:bookmarkEnd w:id="3"/>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七、国有资产信息</w:t>
      </w:r>
    </w:p>
    <w:p>
      <w:pPr>
        <w:spacing w:line="560" w:lineRule="exact"/>
        <w:ind w:firstLineChars="300" w:firstLine="840"/>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遵化市供销合作社部门上年末固定资产金额为</w:t>
      </w:r>
      <w:r>
        <w:rPr>
          <w:rFonts w:ascii="仿宋" w:eastAsia="仿宋" w:cs="Times New Roman" w:hAnsi="仿宋" w:hint="eastAsia"/>
          <w:b/>
          <w:sz w:val="28"/>
          <w:szCs w:val="28"/>
          <w:lang w:bidi="ar-SA"/>
        </w:rPr>
        <w:t>102.44万元（详见下表）</w:t>
      </w:r>
      <w:r>
        <w:rPr>
          <w:rFonts w:ascii="仿宋" w:eastAsia="仿宋" w:cs="Times New Roman" w:hAnsi="仿宋" w:hint="eastAsia"/>
          <w:sz w:val="28"/>
          <w:szCs w:val="28"/>
          <w:lang w:bidi="ar-SA"/>
        </w:rPr>
        <w:t>，本年度未安排固定资产采购预算。</w:t>
      </w:r>
    </w:p>
    <w:p>
      <w:pPr>
        <w:spacing w:line="560" w:lineRule="exact"/>
        <w:ind w:firstLineChars="300" w:firstLine="840"/>
        <w:rPr>
          <w:rFonts w:ascii="仿宋" w:eastAsia="仿宋" w:cs="Times New Roman" w:hAnsi="仿宋" w:hint="eastAsia"/>
          <w:sz w:val="28"/>
          <w:szCs w:val="28"/>
          <w:lang w:bidi="ar-SA"/>
        </w:rPr>
      </w:pPr>
    </w:p>
    <w:tbl>
      <w:tblPr>
        <w:jc w:val="left"/>
        <w:tblInd w:w="10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4"/>
        <w:gridCol w:w="3155"/>
        <w:gridCol w:w="5103"/>
      </w:tblGrid>
      <w:tr>
        <w:trPr>
          <w:trHeight w:val="534"/>
        </w:trPr>
        <w:tc>
          <w:tcPr>
            <w:tcW w:w="13482" w:type="dxa"/>
            <w:gridSpan w:val="3"/>
            <w:tcBorders>
              <w:top w:val="nil"/>
              <w:left w:val="nil"/>
              <w:bottom w:val="nil"/>
              <w:right w:val="nil"/>
              <w:tl2br w:val="nil"/>
              <w:tr2bl w:val="nil"/>
            </w:tcBorders>
            <w:vAlign w:val="center"/>
          </w:tcPr>
          <w:p>
            <w:pPr>
              <w:widowControl/>
              <w:jc w:val="center"/>
              <w:rPr>
                <w:rFonts w:ascii="宋体" w:cs="宋体" w:hint="eastAsia"/>
                <w:b/>
                <w:bCs/>
                <w:kern w:val="0"/>
                <w:sz w:val="32"/>
                <w:szCs w:val="32"/>
                <w:lang w:bidi="ar-SA"/>
              </w:rPr>
            </w:pPr>
            <w:r>
              <w:rPr>
                <w:rFonts w:ascii="宋体" w:cs="宋体" w:hint="eastAsia"/>
                <w:b/>
                <w:bCs/>
                <w:kern w:val="0"/>
                <w:sz w:val="32"/>
                <w:szCs w:val="32"/>
                <w:lang w:bidi="ar-SA"/>
              </w:rPr>
              <w:t>遵化市供销合作社部门固定资产占用情况表</w:t>
            </w:r>
          </w:p>
        </w:tc>
      </w:tr>
      <w:tr>
        <w:trPr>
          <w:trHeight w:val="510"/>
        </w:trPr>
        <w:tc>
          <w:tcPr>
            <w:tcW w:w="8379" w:type="dxa"/>
            <w:gridSpan w:val="2"/>
            <w:tcBorders>
              <w:top w:val="nil"/>
              <w:left w:val="nil"/>
              <w:bottom w:val="nil"/>
              <w:right w:val="nil"/>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编制部门：遵化市供销合作社</w:t>
            </w:r>
          </w:p>
        </w:tc>
        <w:tc>
          <w:tcPr>
            <w:tcW w:w="5103" w:type="dxa"/>
            <w:tcBorders>
              <w:top w:val="nil"/>
              <w:left w:val="nil"/>
              <w:bottom w:val="nil"/>
              <w:right w:val="nil"/>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截止时间：</w:t>
            </w:r>
            <w:r>
              <w:rPr>
                <w:rFonts w:ascii="宋体" w:cs="宋体" w:hint="eastAsia"/>
                <w:kern w:val="0"/>
                <w:sz w:val="22"/>
                <w:lang w:bidi="ar-SA"/>
              </w:rPr>
              <w:t>201</w:t>
            </w:r>
            <w:r>
              <w:rPr>
                <w:rFonts w:ascii="宋体" w:cs="宋体" w:hint="eastAsia"/>
                <w:kern w:val="0"/>
                <w:sz w:val="22"/>
                <w:lang w:val="en-US" w:eastAsia="zh-CN" w:bidi="ar-SA"/>
              </w:rPr>
              <w:t>8</w:t>
            </w:r>
            <w:r>
              <w:rPr>
                <w:rFonts w:ascii="宋体" w:cs="宋体" w:hint="eastAsia"/>
                <w:kern w:val="0"/>
                <w:sz w:val="22"/>
                <w:lang w:bidi="ar-SA"/>
              </w:rPr>
              <w:t>年</w:t>
            </w:r>
            <w:r>
              <w:rPr>
                <w:rFonts w:ascii="宋体" w:cs="宋体" w:hint="eastAsia"/>
                <w:kern w:val="0"/>
                <w:sz w:val="22"/>
                <w:lang w:bidi="ar-SA"/>
              </w:rPr>
              <w:t>12</w:t>
            </w:r>
            <w:r>
              <w:rPr>
                <w:rFonts w:ascii="宋体" w:cs="宋体" w:hint="eastAsia"/>
                <w:kern w:val="0"/>
                <w:sz w:val="22"/>
                <w:lang w:bidi="ar-SA"/>
              </w:rPr>
              <w:t>月</w:t>
            </w:r>
            <w:r>
              <w:rPr>
                <w:rFonts w:ascii="宋体" w:cs="宋体" w:hint="eastAsia"/>
                <w:kern w:val="0"/>
                <w:sz w:val="22"/>
                <w:lang w:bidi="ar-SA"/>
              </w:rPr>
              <w:t>31</w:t>
            </w:r>
            <w:r>
              <w:rPr>
                <w:rFonts w:ascii="宋体" w:cs="宋体" w:hint="eastAsia"/>
                <w:kern w:val="0"/>
                <w:sz w:val="22"/>
                <w:lang w:bidi="ar-SA"/>
              </w:rPr>
              <w:t>日</w:t>
            </w:r>
            <w:r>
              <w:rPr>
                <w:rFonts w:ascii="宋体" w:cs="宋体" w:hint="eastAsia"/>
                <w:kern w:val="0"/>
                <w:sz w:val="22"/>
                <w:lang w:bidi="ar-SA"/>
              </w:rPr>
              <w:t xml:space="preserve">  </w:t>
            </w:r>
          </w:p>
        </w:tc>
      </w:tr>
      <w:tr>
        <w:trPr>
          <w:trHeight w:hRule="exact" w:val="567"/>
        </w:trPr>
        <w:tc>
          <w:tcPr>
            <w:tcW w:w="5224"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项</w:t>
            </w:r>
            <w:r>
              <w:rPr>
                <w:rFonts w:ascii="宋体" w:cs="宋体" w:hint="eastAsia"/>
                <w:b/>
                <w:bCs/>
                <w:kern w:val="0"/>
                <w:sz w:val="22"/>
                <w:lang w:bidi="ar-SA"/>
              </w:rPr>
              <w:t xml:space="preserve">   </w:t>
            </w:r>
            <w:r>
              <w:rPr>
                <w:rFonts w:ascii="宋体" w:cs="宋体" w:hint="eastAsia"/>
                <w:b/>
                <w:bCs/>
                <w:kern w:val="0"/>
                <w:sz w:val="22"/>
                <w:lang w:bidi="ar-SA"/>
              </w:rPr>
              <w:t>目</w:t>
            </w:r>
          </w:p>
        </w:tc>
        <w:tc>
          <w:tcPr>
            <w:tcW w:w="3155"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数量</w:t>
            </w:r>
          </w:p>
        </w:tc>
        <w:tc>
          <w:tcPr>
            <w:tcW w:w="5103"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价值（金额单位：万元）</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宋体" w:cs="宋体" w:hint="eastAsia"/>
                <w:kern w:val="0"/>
                <w:sz w:val="22"/>
                <w:lang w:bidi="ar-SA"/>
              </w:rPr>
            </w:pPr>
            <w:r>
              <w:rPr>
                <w:rFonts w:ascii="宋体" w:cs="宋体" w:hint="eastAsia"/>
                <w:kern w:val="0"/>
                <w:sz w:val="22"/>
                <w:lang w:bidi="ar-SA"/>
              </w:rPr>
              <w:t>资产总额</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sz w:val="22"/>
              </w:rPr>
              <w:t>——</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102.44</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1</w:t>
            </w:r>
            <w:r>
              <w:rPr>
                <w:rFonts w:ascii="宋体" w:cs="宋体" w:hint="eastAsia"/>
                <w:kern w:val="0"/>
                <w:sz w:val="22"/>
                <w:lang w:bidi="ar-SA"/>
              </w:rPr>
              <w:t>、房屋（平方米）</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 xml:space="preserve">   </w:t>
            </w:r>
            <w:r>
              <w:rPr>
                <w:rFonts w:ascii="宋体" w:cs="宋体" w:hint="eastAsia"/>
                <w:kern w:val="0"/>
                <w:sz w:val="22"/>
                <w:lang w:bidi="ar-SA"/>
              </w:rPr>
              <w:t>其中：办公用房（平方米）</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2</w:t>
            </w:r>
            <w:r>
              <w:rPr>
                <w:rFonts w:ascii="宋体" w:cs="宋体" w:hint="eastAsia"/>
                <w:kern w:val="0"/>
                <w:sz w:val="22"/>
                <w:lang w:bidi="ar-SA"/>
              </w:rPr>
              <w:t>、车辆（台、辆）</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1</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23.17</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3</w:t>
            </w:r>
            <w:r>
              <w:rPr>
                <w:rFonts w:ascii="宋体" w:cs="宋体" w:hint="eastAsia"/>
                <w:kern w:val="0"/>
                <w:sz w:val="22"/>
                <w:lang w:bidi="ar-SA"/>
              </w:rPr>
              <w:t>、单价在</w:t>
            </w:r>
            <w:r>
              <w:rPr>
                <w:rFonts w:ascii="宋体" w:cs="宋体" w:hint="eastAsia"/>
                <w:kern w:val="0"/>
                <w:sz w:val="22"/>
                <w:lang w:bidi="ar-SA"/>
              </w:rPr>
              <w:t>20</w:t>
            </w:r>
            <w:r>
              <w:rPr>
                <w:rFonts w:ascii="宋体" w:cs="宋体" w:hint="eastAsia"/>
                <w:kern w:val="0"/>
                <w:sz w:val="22"/>
                <w:lang w:bidi="ar-SA"/>
              </w:rPr>
              <w:t>万元以上的设备</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　</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p>
        </w:tc>
      </w:tr>
      <w:tr>
        <w:trPr>
          <w:trHeight w:hRule="exact" w:val="567"/>
        </w:trPr>
        <w:tc>
          <w:tcPr>
            <w:tcW w:w="5224"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4</w:t>
            </w:r>
            <w:r>
              <w:rPr>
                <w:rFonts w:ascii="宋体" w:cs="宋体" w:hint="eastAsia"/>
                <w:kern w:val="0"/>
                <w:sz w:val="22"/>
                <w:lang w:bidi="ar-SA"/>
              </w:rPr>
              <w:t>、其他固定资产</w:t>
            </w:r>
          </w:p>
        </w:tc>
        <w:tc>
          <w:tcPr>
            <w:tcW w:w="3155" w:type="dxa"/>
            <w:tcBorders>
              <w:top w:val="single" w:sz="4" w:space="0" w:color="auto"/>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lang w:val="en-US" w:eastAsia="zh-CN"/>
              </w:rPr>
              <w:t>13</w:t>
            </w:r>
            <w:r>
              <w:rPr>
                <w:rFonts w:hint="eastAsia"/>
                <w:sz w:val="22"/>
              </w:rPr>
              <w:t>　</w:t>
            </w:r>
          </w:p>
        </w:tc>
        <w:tc>
          <w:tcPr>
            <w:tcW w:w="5103" w:type="dxa"/>
            <w:tcBorders>
              <w:top w:val="single" w:sz="4" w:space="0" w:color="auto"/>
              <w:left w:val="nil"/>
              <w:bottom w:val="single" w:sz="4" w:space="0" w:color="auto"/>
              <w:right w:val="single" w:sz="4" w:space="0" w:color="auto"/>
              <w:tl2br w:val="nil"/>
              <w:tr2bl w:val="nil"/>
            </w:tcBorders>
            <w:vAlign w:val="center"/>
          </w:tcPr>
          <w:p>
            <w:pPr>
              <w:jc w:val="center"/>
              <w:rPr>
                <w:rFonts w:hint="eastAsia"/>
                <w:sz w:val="22"/>
              </w:rPr>
            </w:pPr>
            <w:r>
              <w:rPr>
                <w:rFonts w:hint="eastAsia"/>
                <w:sz w:val="22"/>
              </w:rPr>
              <w:t>79.27</w:t>
            </w:r>
          </w:p>
          <w:p>
            <w:pPr>
              <w:rPr>
                <w:rFonts w:ascii="宋体" w:cs="宋体" w:hint="eastAsia"/>
                <w:sz w:val="22"/>
                <w:lang w:bidi="ar-SA"/>
              </w:rPr>
            </w:pPr>
          </w:p>
        </w:tc>
      </w:tr>
    </w:tbl>
    <w:p>
      <w:pPr>
        <w:spacing w:line="560" w:lineRule="exact"/>
        <w:ind w:firstLineChars="300" w:firstLine="840"/>
        <w:rPr>
          <w:rFonts w:ascii="仿宋" w:eastAsia="仿宋" w:cs="Times New Roman" w:hAnsi="仿宋" w:hint="eastAsia"/>
          <w:color w:val="000000"/>
          <w:sz w:val="28"/>
          <w:szCs w:val="28"/>
          <w:lang w:bidi="ar-SA"/>
        </w:rPr>
      </w:pPr>
      <w:r>
        <w:rPr>
          <w:rFonts w:ascii="仿宋" w:eastAsia="仿宋" w:cs="Times New Roman" w:hAnsi="仿宋" w:hint="eastAsia"/>
          <w:color w:val="000000"/>
          <w:sz w:val="28"/>
          <w:szCs w:val="28"/>
          <w:lang w:bidi="ar-SA"/>
        </w:rPr>
        <w:t>说明：房屋为0平方米，原因为供销社机关为借用场地办公。</w:t>
      </w:r>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八、名词解释</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1、一般</w:t>
      </w:r>
      <w:r>
        <w:rPr>
          <w:rFonts w:ascii="仿宋" w:eastAsia="仿宋" w:cs="Times New Roman" w:hAnsi="仿宋" w:hint="eastAsia"/>
          <w:sz w:val="28"/>
          <w:szCs w:val="28"/>
          <w:lang w:bidi="ar-SA"/>
        </w:rPr>
        <w:t>公</w:t>
      </w:r>
      <w:r>
        <w:rPr>
          <w:rFonts w:ascii="仿宋" w:eastAsia="仿宋" w:cs="Times New Roman" w:hAnsi="仿宋" w:hint="eastAsia"/>
          <w:sz w:val="28"/>
          <w:szCs w:val="28"/>
          <w:lang w:bidi="ar-SA"/>
        </w:rPr>
        <w:t>共预算拨款收入：指</w:t>
      </w:r>
      <w:r>
        <w:rPr>
          <w:rFonts w:ascii="仿宋" w:eastAsia="仿宋" w:cs="Times New Roman" w:hAnsi="仿宋" w:hint="eastAsia"/>
          <w:sz w:val="28"/>
          <w:szCs w:val="28"/>
          <w:lang w:bidi="ar-SA"/>
        </w:rPr>
        <w:t>市</w:t>
      </w:r>
      <w:r>
        <w:rPr>
          <w:rFonts w:ascii="仿宋" w:eastAsia="仿宋" w:cs="Times New Roman" w:hAnsi="仿宋" w:hint="eastAsia"/>
          <w:sz w:val="28"/>
          <w:szCs w:val="28"/>
          <w:lang w:bidi="ar-SA"/>
        </w:rPr>
        <w:t>级财政当年拨付的资金。</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2、事业收入：指事业单位开展专业业务活动及辅助活动所取得的收入。</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3、其他收入：指除“</w:t>
      </w:r>
      <w:r>
        <w:rPr>
          <w:rFonts w:ascii="仿宋" w:eastAsia="仿宋" w:cs="Times New Roman" w:hAnsi="仿宋" w:hint="eastAsia"/>
          <w:sz w:val="28"/>
          <w:szCs w:val="28"/>
          <w:lang w:bidi="ar-SA"/>
        </w:rPr>
        <w:t>一般公共预算</w:t>
      </w:r>
      <w:r>
        <w:rPr>
          <w:rFonts w:ascii="仿宋" w:eastAsia="仿宋" w:cs="Times New Roman" w:hAnsi="仿宋" w:hint="eastAsia"/>
          <w:sz w:val="28"/>
          <w:szCs w:val="28"/>
          <w:lang w:bidi="ar-SA"/>
        </w:rPr>
        <w:t>拨款收入”、“事业收入”等以外的收入。主要是按规定动用的租房收入、存款利息收入等。</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4、基本支出：</w:t>
      </w:r>
      <w:r>
        <w:rPr>
          <w:rFonts w:ascii="仿宋" w:eastAsia="仿宋" w:cs="Times New Roman" w:hAnsi="仿宋" w:hint="eastAsia"/>
          <w:sz w:val="28"/>
          <w:szCs w:val="28"/>
          <w:lang w:bidi="ar-SA"/>
        </w:rPr>
        <w:t>指为保障机构正常运转、完成日常工作任务而发生的人员支出和公用支出。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5、项目支出：</w:t>
      </w:r>
      <w:r>
        <w:rPr>
          <w:rFonts w:ascii="仿宋" w:eastAsia="仿宋" w:cs="Times New Roman" w:hAnsi="仿宋" w:hint="eastAsia"/>
          <w:sz w:val="28"/>
          <w:szCs w:val="28"/>
          <w:lang w:bidi="ar-SA"/>
        </w:rPr>
        <w:t>指在基本支出之外为完成特定行政任务和事业发展目标所发生的支出。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6、上缴上级支出：</w:t>
      </w:r>
      <w:r>
        <w:rPr>
          <w:rFonts w:ascii="仿宋" w:eastAsia="仿宋" w:cs="Times New Roman" w:hAnsi="仿宋" w:hint="eastAsia"/>
          <w:sz w:val="28"/>
          <w:szCs w:val="28"/>
          <w:lang w:bidi="ar-SA"/>
        </w:rPr>
        <w:t>指下级单位上缴上级的支出。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7、“三公”经费：纳入省级财政预算管理的“三公”经费，是指省级部门用财政拨款安排的因公出国（境）费、公务用车购置及运</w:t>
      </w:r>
      <w:r>
        <w:rPr>
          <w:rFonts w:ascii="仿宋" w:eastAsia="仿宋" w:cs="Times New Roman" w:hAnsi="仿宋" w:hint="eastAsia"/>
          <w:sz w:val="28"/>
          <w:szCs w:val="28"/>
          <w:lang w:bidi="ar-SA"/>
        </w:rPr>
        <w:t>维</w:t>
      </w:r>
      <w:r>
        <w:rPr>
          <w:rFonts w:ascii="仿宋" w:eastAsia="仿宋" w:cs="Times New Roman" w:hAnsi="仿宋" w:hint="eastAsia"/>
          <w:sz w:val="28"/>
          <w:szCs w:val="28"/>
          <w:lang w:bidi="ar-SA"/>
        </w:rPr>
        <w:t>费和公务接待费。其中，因公出国（境）费反映单位公务出国（境）的住宿费、旅费、伙食补助费、杂费、培训费等支出；公务用车购置及运</w:t>
      </w:r>
      <w:r>
        <w:rPr>
          <w:rFonts w:ascii="仿宋" w:eastAsia="仿宋" w:cs="Times New Roman" w:hAnsi="仿宋" w:hint="eastAsia"/>
          <w:sz w:val="28"/>
          <w:szCs w:val="28"/>
          <w:lang w:bidi="ar-SA"/>
        </w:rPr>
        <w:t>维</w:t>
      </w:r>
      <w:r>
        <w:rPr>
          <w:rFonts w:ascii="仿宋" w:eastAsia="仿宋" w:cs="Times New Roman" w:hAnsi="仿宋" w:hint="eastAsia"/>
          <w:sz w:val="28"/>
          <w:szCs w:val="28"/>
          <w:lang w:bidi="ar-SA"/>
        </w:rPr>
        <w:t>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8、机关运行费：</w:t>
      </w:r>
      <w:r>
        <w:rPr>
          <w:rFonts w:ascii="仿宋" w:eastAsia="仿宋" w:cs="Times New Roman" w:hAnsi="仿宋" w:hint="eastAsia"/>
          <w:sz w:val="28"/>
          <w:szCs w:val="28"/>
          <w:lang w:bidi="ar-SA"/>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eastAsia="仿宋" w:cs="Times New Roman" w:hAnsi="仿宋" w:hint="eastAsia"/>
          <w:sz w:val="28"/>
          <w:szCs w:val="28"/>
          <w:lang w:bidi="ar-SA"/>
        </w:rPr>
        <w:t>其他费用。</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9、上年结转：指以前年度尚未完成、结转到本年仍按原规定用途继续使用的资金。</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10、事业单位经营支出：指事业单位在专业业务活动及其辅助活动之外开展非独立核算经营活动发生的支出。</w:t>
      </w:r>
    </w:p>
    <w:p>
      <w:pPr>
        <w:tabs>
          <w:tab w:val="left" w:pos="11490"/>
        </w:tabs>
        <w:spacing w:line="560" w:lineRule="exact"/>
        <w:ind w:firstLineChars="200" w:firstLine="640"/>
        <w:rPr>
          <w:rFonts w:ascii="仿宋" w:eastAsia="仿宋" w:cs="Times New Roman" w:hAnsi="仿宋" w:hint="eastAsia"/>
          <w:sz w:val="32"/>
          <w:szCs w:val="32"/>
          <w:lang w:bidi="ar-SA"/>
        </w:rPr>
      </w:pPr>
      <w:r>
        <w:rPr>
          <w:rFonts w:ascii="黑体" w:eastAsia="黑体" w:cs="Times New Roman" w:hAnsi="黑体" w:hint="eastAsia"/>
          <w:sz w:val="32"/>
          <w:szCs w:val="32"/>
          <w:lang w:bidi="ar-SA"/>
        </w:rPr>
        <w:t>九、其他需要说明的事项</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1、遵化市供销合作社201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年部门预算中未安排政府性基金预算，故政府性基金预算支出表为空。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2、遵化市供销合作社201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年部门预算中未安排国有资本经营预算，故国有资本经营预算支出表为空。</w:t>
      </w:r>
    </w:p>
    <w:sectPr>
      <w:headerReference w:type="default" r:id="rId3"/>
      <w:headerReference w:type="even" r:id="rId4"/>
      <w:headerReference w:type="first" r:id="rId5"/>
      <w:footerReference w:type="default" r:id="rId6"/>
      <w:footerReference w:type="even" r:id="rId7"/>
      <w:footerReference w:type="first" r:id="rId8"/>
      <w:pgSz w:w="16838" w:h="11906" w:orient="landscape"/>
      <w:pgMar w:top="1800" w:right="1440" w:bottom="1800"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roman"/>
    <w:pitch w:val="variable"/>
    <w:sig w:usb0="20007A87" w:usb1="80000000" w:usb2="00000008" w:usb3="00000000" w:csb0="000001FF" w:csb1="00000000"/>
  </w:font>
  <w:font w:name="仿宋">
    <w:altName w:val="宋体"/>
    <w:panose1 w:val="02010609060101010101"/>
    <w:charset w:val="86"/>
    <w:family w:val="modern"/>
    <w:pitch w:val="variable"/>
    <w:sig w:usb0="800002BF" w:usb1="38CF7CFA" w:usb2="00000016" w:usb3="00000000" w:csb0="00040001" w:csb1="00000000"/>
  </w:font>
  <w:font w:name="黑体">
    <w:panose1 w:val="02010600030101010101"/>
    <w:charset w:val="86"/>
    <w:family w:val="auto"/>
    <w:pitch w:val="variable"/>
    <w:sig w:usb0="00000001" w:usb1="080E0000" w:usb2="00000000" w:usb3="00000000" w:csb0="00040000" w:csb1="00000000"/>
  </w:font>
  <w:font w:name="楷体">
    <w:altName w:val="宋体"/>
    <w:panose1 w:val="02010609060101010101"/>
    <w:charset w:val="86"/>
    <w:family w:val="modern"/>
    <w:pitch w:val="variable"/>
    <w:sig w:usb0="800002BF" w:usb1="38CF7CFA" w:usb2="00000016" w:usb3="00000000" w:csb0="00040001" w:csb1="00000000"/>
  </w:font>
  <w:font w:name="方正小标宋_GBK">
    <w:altName w:val="宋体"/>
    <w:panose1 w:val="00000000000000000000"/>
    <w:charset w:val="86"/>
    <w:family w:val="roman"/>
    <w:pitch w:val="variable"/>
    <w:sig w:usb0="00000001" w:usb1="080E0000" w:usb2="00000010" w:usb3="00000000" w:csb0="00040000" w:csb1="00000000"/>
  </w:font>
  <w:font w:name="方正书宋_GBK">
    <w:altName w:val="宋体"/>
    <w:panose1 w:val="00000000000000000000"/>
    <w:charset w:val="86"/>
    <w:family w:val="roman"/>
    <w:pitch w:val="variable"/>
    <w:sig w:usb0="00000001" w:usb1="080E0000" w:usb2="00000010" w:usb3="00000000" w:csb0="00040000" w:csb1="00000000"/>
  </w:font>
  <w:font w:name="方正楷体_GBK">
    <w:altName w:val="宋体"/>
    <w:panose1 w:val="00000000000000000000"/>
    <w:charset w:val="86"/>
    <w:family w:val="roman"/>
    <w:pitch w:val="variable"/>
    <w:sig w:usb0="00000000" w:usb1="00000000" w:usb2="00000000" w:usb3="00000000" w:csb0="00040001" w:csb1="00000000"/>
  </w:font>
  <w:font w:name="Arial">
    <w:panose1 w:val="020B0604020202020204"/>
    <w:charset w:val="00"/>
    <w:family w:val="auto"/>
    <w:pitch w:val="variable"/>
    <w:sig w:usb0="00007A87" w:usb1="80000000" w:usb2="00000008" w:usb3="00000000" w:csb0="400001FF" w:csb1="FFFF0000"/>
  </w:font>
  <w:font w:name="Calibri">
    <w:altName w:val="Century Gothic"/>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pPr>
    <w:r>
      <w:rPr>
        <w:sz w:val="18"/>
      </w:rPr>
      <mc:AlternateContent>
        <mc:Choice Requires="wps">
          <w:drawing>
            <wp:anchor distT="0" distB="0" distL="114300" distR="114300" simplePos="0" relativeHeight="13" behindDoc="0" locked="0" layoutInCell="1" hidden="0" allowOverlap="1">
              <wp:simplePos x="0" y="0"/>
              <wp:positionH relativeFrom="margin">
                <wp:align>center</wp:align>
              </wp:positionH>
              <wp:positionV relativeFrom="paragraph">
                <wp:posOffset>0</wp:posOffset>
              </wp:positionV>
              <wp:extent cx="76200" cy="131433"/>
              <wp:effectExtent l="0" t="0" r="0" b="0"/>
              <wp:wrapNone/>
              <wp:docPr id="2" name="文本框 1"/>
              <wp:cNvGraphicFramePr>
                <a:graphicFrameLocks noChangeAspect="0"/>
              </wp:cNvGraphicFramePr>
              <a:graphic>
                <a:graphicData uri="http://schemas.microsoft.com/office/word/2010/wordprocessingShape">
                  <wps:wsp>
                    <wps:cNvSpPr/>
                    <wps:spPr>
                      <a:xfrm rot="0">
                        <a:off x="0" y="0"/>
                        <a:ext cx="76200" cy="131433"/>
                      </a:xfrm>
                      <a:prstGeom prst="rect"/>
                      <a:noFill/>
                      <a:ln w="9525" cmpd="sng" cap="flat">
                        <a:noFill/>
                        <a:prstDash val="solid"/>
                        <a:miter/>
                      </a:ln>
                    </wps:spPr>
                    <wps:txbx id="1">
                      <w:txbxContent>
                        <w:p>
                          <w:pPr>
                            <w:pStyle w:val="20"/>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1" o:spid="_x0000_s2" filled="f" stroked="f" style="position:absolute;margin-left:0.0pt;margin-top:0.0pt;width:6.0pt;height:10.349121pt;z-index:13;mso-position-horizontal:center;mso-position-horizontal-relative:margin;mso-position-vertical:absolute;mso-wrap-style:none;">
              <v:stroke color="#000000"/>
              <v:textbox id="848" inset="0mm,0mm,0mm,0mm" o:insetmode="custom" style="layout-flow:horizontal;v-text-anchor:top;mso-fit-shape-to-text:t;">
                <w:txbxContent>
                  <w:p>
                    <w:pPr>
                      <w:pStyle w:val="20"/>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114300" cy="131433"/>
              <wp:effectExtent l="0" t="0" r="0" b="0"/>
              <wp:wrapNone/>
              <wp:docPr id="3" name="文本框 2"/>
              <wp:cNvGraphicFramePr>
                <a:graphicFrameLocks noChangeAspect="0"/>
              </wp:cNvGraphicFramePr>
              <a:graphic>
                <a:graphicData uri="http://schemas.microsoft.com/office/word/2010/wordprocessingShape">
                  <wps:wsp>
                    <wps:cNvSpPr/>
                    <wps:spPr>
                      <a:xfrm rot="0">
                        <a:off x="0" y="0"/>
                        <a:ext cx="114300" cy="131433"/>
                      </a:xfrm>
                      <a:prstGeom prst="rect"/>
                      <a:noFill/>
                      <a:ln w="9525" cmpd="sng" cap="flat">
                        <a:noFill/>
                        <a:prstDash val="solid"/>
                        <a:miter/>
                      </a:ln>
                    </wps:spPr>
                    <wps:txbx id="3">
                      <w:txbxContent>
                        <w:p>
                          <w:pPr>
                            <w:pStyle w:val="20"/>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2" o:spid="_x0000_s4" filled="f" stroked="f" style="position:absolute;margin-left:0.0pt;margin-top:0.0pt;width:9.0pt;height:10.349121pt;z-index:15;mso-position-horizontal:center;mso-position-horizontal-relative:margin;mso-position-vertical:absolute;mso-wrap-style:none;">
              <v:stroke color="#000000"/>
              <v:textbox id="849" inset="0mm,0mm,0mm,0mm" o:insetmode="custom" style="layout-flow:horizontal;v-text-anchor:top;mso-fit-shape-to-text:t;">
                <w:txbxContent>
                  <w:p>
                    <w:pPr>
                      <w:pStyle w:val="20"/>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lear" w:pos="4153"/>
        <w:tab w:val="clear" w:pos="8306"/>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lear" w:pos="4153"/>
        <w:tab w:val="clear" w:pos="8306"/>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compat>
    <w:spaceForUL/>
    <w:balanceSingleByteDoubleByteWidth/>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黑体" w:hAnsi="宋体"/>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黑体" w:hAnsi="宋体"/>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黑体"/>
      <w:b/>
      <w:bCs/>
      <w:sz w:val="32"/>
      <w:szCs w:val="32"/>
    </w:rPr>
  </w:style>
  <w:style w:type="character" w:customStyle="1" w:styleId="2Char">
    <w:name w:val="heading 2 Char"/>
    <w:basedOn w:val="10"/>
    <w:link w:val="2"/>
    <w:rPr>
      <w:rFonts w:ascii="Times New Roman" w:eastAsia="黑体" w:cs="黑体" w:hAnsi="黑体"/>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黑体" w:hAnsi="宋体"/>
      <w:b/>
      <w:bCs/>
      <w:kern w:val="2"/>
      <w:sz w:val="32"/>
      <w:szCs w:val="32"/>
      <w:lang w:val="en-US" w:eastAsia="zh-CN" w:bidi="ar-SA"/>
    </w:rPr>
  </w:style>
  <w:style w:type="character" w:default="1" w:styleId="10">
    <w:name w:val="Default Paragraph Font"/>
    <w:qFormat/>
  </w:style>
  <w:style w:type="character" w:styleId="15">
    <w:name w:val="footnote reference"/>
    <w:qFormat/>
    <w:basedOn w:val="10"/>
    <w:rPr>
      <w:vertAlign w:val="superscript"/>
    </w:rPr>
  </w:style>
  <w:style w:type="character" w:styleId="16">
    <w:name w:val="page number"/>
    <w:qFormat/>
    <w:basedOn w:val="10"/>
  </w:style>
  <w:style w:type="character" w:customStyle="1" w:styleId="17">
    <w:name w:val="Balloon Text Char"/>
    <w:qFormat/>
    <w:basedOn w:val="10"/>
    <w:locked/>
    <w:rPr>
      <w:rFonts w:cs="Times New Roman"/>
      <w:sz w:val="18"/>
      <w:szCs w:val="18"/>
      <w:lang w:bidi="ar-SA"/>
    </w:rPr>
  </w:style>
  <w:style w:type="character" w:customStyle="1" w:styleId="18">
    <w:name w:val="Footer Char"/>
    <w:qFormat/>
    <w:basedOn w:val="10"/>
    <w:locked/>
    <w:rPr>
      <w:rFonts w:ascii="Times New Roman" w:eastAsia="宋体" w:cs="Times New Roman" w:hAnsi="宋体"/>
      <w:sz w:val="18"/>
      <w:szCs w:val="18"/>
      <w:lang w:bidi="ar-SA"/>
    </w:rPr>
  </w:style>
  <w:style w:type="character" w:customStyle="1" w:styleId="19">
    <w:name w:val="Header Char"/>
    <w:qFormat/>
    <w:basedOn w:val="10"/>
    <w:locked/>
    <w:rPr>
      <w:rFonts w:ascii="Times New Roman" w:eastAsia="宋体" w:cs="Times New Roman" w:hAnsi="宋体"/>
      <w:sz w:val="18"/>
      <w:szCs w:val="18"/>
      <w:lang w:bidi="ar-SA"/>
    </w:rPr>
  </w:style>
  <w:style w:type="paragraph" w:styleId="20">
    <w:name w:val="footer"/>
    <w:qFormat/>
    <w:basedOn w:val="0"/>
    <w:pPr>
      <w:tabs>
        <w:tab w:val="center" w:pos="4153"/>
        <w:tab w:val="right" w:pos="8306"/>
      </w:tabs>
      <w:snapToGrid w:val="0"/>
      <w:jc w:val="left"/>
    </w:pPr>
    <w:rPr>
      <w:rFonts w:ascii="Times New Roman" w:eastAsia="宋体" w:cs="Times New Roman" w:hAnsi="宋体"/>
      <w:sz w:val="18"/>
      <w:szCs w:val="18"/>
      <w:lang w:bidi="ar-SA"/>
    </w:rPr>
  </w:style>
  <w:style w:type="paragraph" w:styleId="21">
    <w:name w:val="header"/>
    <w:qFormat/>
    <w:basedOn w:val="0"/>
    <w:pPr>
      <w:pBdr>
        <w:bottom w:val="single" w:sz="6" w:space="1" w:color="auto"/>
      </w:pBdr>
      <w:tabs>
        <w:tab w:val="center" w:pos="4153"/>
        <w:tab w:val="right" w:pos="8306"/>
      </w:tabs>
      <w:snapToGrid w:val="0"/>
      <w:jc w:val="center"/>
    </w:pPr>
    <w:rPr>
      <w:rFonts w:ascii="Times New Roman" w:eastAsia="宋体" w:cs="Times New Roman" w:hAnsi="宋体"/>
      <w:sz w:val="18"/>
      <w:szCs w:val="18"/>
      <w:bdr w:val="none" w:sz="0" w:space="0" w:color="auto"/>
      <w:lang w:bidi="ar-SA"/>
    </w:rPr>
  </w:style>
  <w:style w:type="paragraph" w:styleId="22">
    <w:name w:val="footnote text"/>
    <w:qFormat/>
    <w:basedOn w:val="0"/>
    <w:pPr>
      <w:snapToGrid w:val="0"/>
      <w:jc w:val="left"/>
    </w:pPr>
    <w:rPr>
      <w:rFonts w:cs="Times New Roman"/>
      <w:sz w:val="18"/>
      <w:szCs w:val="18"/>
      <w:lang w:bidi="ar-SA"/>
    </w:rPr>
  </w:style>
  <w:style w:type="paragraph" w:styleId="23">
    <w:name w:val="Balloon Text"/>
    <w:qFormat/>
    <w:basedOn w:val="0"/>
    <w:rPr>
      <w:sz w:val="18"/>
      <w:szCs w:val="18"/>
    </w:rPr>
  </w:style>
  <w:style w:type="paragraph" w:styleId="24">
    <w:name w:val="toc 1"/>
    <w:qFormat/>
    <w:basedOn w:val="0"/>
    <w:next w:val="0"/>
    <w:rPr>
      <w:rFonts w:ascii="Times New Roman" w:eastAsia="宋体" w:cs="Times New Roman" w:hAnsi="宋体"/>
      <w:szCs w:val="24"/>
      <w:lang w:bidi="ar-SA"/>
    </w:rPr>
  </w:style>
  <w:style w:type="paragraph" w:styleId="25">
    <w:name w:val="toc 2"/>
    <w:qFormat/>
    <w:basedOn w:val="0"/>
    <w:next w:val="0"/>
    <w:pPr>
      <w:ind w:leftChars="200" w:left="200"/>
    </w:pPr>
    <w:rPr>
      <w:rFonts w:ascii="Times New Roman" w:eastAsia="宋体" w:cs="Times New Roman" w:hAnsi="宋体"/>
      <w:szCs w:val="24"/>
      <w:lang w:bidi="ar-SA"/>
    </w:rPr>
  </w:style>
  <w:style w:type="paragraph" w:customStyle="1" w:styleId="26">
    <w:name w:val="Default"/>
    <w:qFormat/>
    <w:pPr>
      <w:widowControl w:val="0"/>
      <w:autoSpaceDE w:val="0"/>
      <w:autoSpaceDN w:val="0"/>
      <w:adjustRightInd w:val="0"/>
    </w:pPr>
    <w:rPr>
      <w:rFonts w:ascii="Times New Roman" w:eastAsia="宋体" w:cs="Times New Roman" w:hAnsi="宋体"/>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fontTable" Target="fontTable.xml"/><Relationship Id="rId11" Type="http://schemas.openxmlformats.org/officeDocument/2006/relationships/customXml" Target="../customXml/item1.xml"/><Relationship Id="rId1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38643F78-AD6E-451A-AAC3-1161E457EE8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14090583</TotalTime>
  <Application>Yozo_Office27021597764231189</Application>
  <Pages>13</Pages>
  <Words>0</Words>
  <Characters>5487</Characters>
  <Lines>0</Lines>
  <Paragraphs>76</Paragraphs>
  <CharactersWithSpaces>7316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user</dc:title>
  <dc:creator>guest</dc:creator>
  <cp:lastModifiedBy>Administrator</cp:lastModifiedBy>
  <cp:revision>7</cp:revision>
  <cp:lastPrinted>2018-03-05T10:25:00Z</cp:lastPrinted>
  <dcterms:created xsi:type="dcterms:W3CDTF">2018-01-29T01:48:00Z</dcterms:created>
  <dcterms:modified xsi:type="dcterms:W3CDTF">2024-08-23T05:34:00Z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2052-11.1.0.8527</vt:lpwstr>
  </property>
</Properties>
</file>