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rFonts w:ascii="Times New Roman" w:hAnsi="Times New Roman"/>
          <w:sz w:val="44"/>
          <w:szCs w:val="44"/>
        </w:rPr>
      </w:pPr>
      <w:bookmarkStart w:id="0" w:name="_GoBack"/>
      <w:bookmarkEnd w:id="0"/>
    </w:p>
    <w:p>
      <w:pPr>
        <w:jc w:val="center"/>
        <w:rPr>
          <w:rFonts w:ascii="Times New Roman" w:hAnsi="Times New Roman"/>
          <w:sz w:val="44"/>
          <w:szCs w:val="44"/>
        </w:rPr>
      </w:pPr>
    </w:p>
    <w:p>
      <w:pPr>
        <w:jc w:val="center"/>
        <w:rPr>
          <w:rFonts w:ascii="Times New Roman" w:hAnsi="Times New Roman"/>
          <w:sz w:val="44"/>
          <w:szCs w:val="44"/>
        </w:rPr>
      </w:pPr>
      <w:r>
        <w:rPr>
          <w:rFonts w:ascii="Times New Roman" w:hAnsi="Times New Roman"/>
          <w:sz w:val="44"/>
          <w:szCs w:val="44"/>
        </w:rPr>
        <w:t>预算部门</w:t>
      </w:r>
      <w:r>
        <w:rPr>
          <w:rFonts w:ascii="Times New Roman" w:hAnsi="Times New Roman" w:hint="eastAsia"/>
          <w:sz w:val="44"/>
          <w:szCs w:val="44"/>
        </w:rPr>
        <w:t>整体</w:t>
      </w:r>
      <w:r>
        <w:rPr>
          <w:rFonts w:ascii="Times New Roman" w:hAnsi="Times New Roman"/>
          <w:sz w:val="44"/>
          <w:szCs w:val="44"/>
        </w:rPr>
        <w:t>绩效自评报告</w:t>
      </w:r>
    </w:p>
    <w:p>
      <w:pPr>
        <w:jc w:val="center"/>
        <w:rPr>
          <w:rFonts w:ascii="Times New Roman" w:eastAsia="仿宋" w:hAnsi="仿宋"/>
          <w:sz w:val="30"/>
          <w:szCs w:val="30"/>
        </w:rPr>
      </w:pPr>
      <w:r>
        <w:rPr>
          <w:rFonts w:ascii="Times New Roman" w:eastAsia="仿宋" w:hAnsi="仿宋"/>
          <w:sz w:val="30"/>
          <w:szCs w:val="30"/>
        </w:rPr>
        <w:t>（20</w:t>
      </w:r>
      <w:r>
        <w:rPr>
          <w:rFonts w:ascii="Times New Roman" w:eastAsia="仿宋" w:hAnsi="仿宋" w:hint="eastAsia"/>
          <w:sz w:val="30"/>
          <w:szCs w:val="30"/>
        </w:rPr>
        <w:t>20</w:t>
      </w:r>
      <w:r>
        <w:rPr>
          <w:rFonts w:ascii="Times New Roman" w:eastAsia="仿宋" w:hAnsi="仿宋"/>
          <w:sz w:val="30"/>
          <w:szCs w:val="30"/>
        </w:rPr>
        <w:t>年度）</w:t>
      </w:r>
    </w:p>
    <w:p>
      <w:pPr>
        <w:rPr>
          <w:rFonts w:ascii="Times New Roman" w:eastAsia="仿宋" w:hAnsi="仿宋"/>
        </w:rPr>
      </w:pPr>
    </w:p>
    <w:p>
      <w:pPr>
        <w:rPr>
          <w:rFonts w:ascii="Times New Roman" w:eastAsia="仿宋" w:hAnsi="仿宋"/>
        </w:rPr>
      </w:pPr>
    </w:p>
    <w:p>
      <w:pPr>
        <w:ind w:firstLineChars="100" w:firstLine="320"/>
        <w:rPr>
          <w:rFonts w:ascii="Times New Roman" w:eastAsia="仿宋" w:hAnsi="仿宋"/>
          <w:sz w:val="32"/>
          <w:szCs w:val="32"/>
        </w:rPr>
      </w:pPr>
      <w:r>
        <w:rPr>
          <w:rFonts w:ascii="方正仿宋简体" w:eastAsia="方正仿宋简体" w:hAnsi="方正仿宋简体" w:hint="eastAsia"/>
          <w:sz w:val="32"/>
          <w:szCs w:val="32"/>
        </w:rPr>
        <w:t>评价方式：</w:t>
      </w:r>
      <w:r>
        <w:rPr>
          <w:rFonts w:ascii="Times New Roman" w:eastAsia="仿宋" w:hAnsi="仿宋"/>
          <w:sz w:val="32"/>
          <w:szCs w:val="32"/>
        </w:rPr>
        <w:sym w:font="Wingdings" w:char="FE"/>
      </w:r>
      <w:r>
        <w:rPr>
          <w:rFonts w:ascii="方正仿宋简体" w:eastAsia="方正仿宋简体" w:hAnsi="方正仿宋简体" w:hint="eastAsia"/>
          <w:sz w:val="32"/>
          <w:szCs w:val="32"/>
        </w:rPr>
        <w:t>直接组织评价</w:t>
      </w:r>
      <w:r>
        <w:rPr>
          <w:rFonts w:ascii="Times New Roman" w:eastAsia="仿宋" w:hAnsi="仿宋"/>
          <w:sz w:val="32"/>
          <w:szCs w:val="32"/>
        </w:rPr>
        <w:t xml:space="preserve">        </w:t>
      </w:r>
      <w:r>
        <w:rPr>
          <w:rFonts w:ascii="Times New Roman" w:eastAsia="仿宋" w:hAnsi="仿宋"/>
          <w:b/>
          <w:sz w:val="44"/>
          <w:szCs w:val="44"/>
        </w:rPr>
        <w:t>□</w:t>
      </w:r>
      <w:r>
        <w:rPr>
          <w:rFonts w:ascii="方正仿宋简体" w:eastAsia="方正仿宋简体" w:hAnsi="方正仿宋简体" w:hint="eastAsia"/>
          <w:sz w:val="32"/>
          <w:szCs w:val="32"/>
        </w:rPr>
        <w:t>委托评价</w:t>
      </w:r>
    </w:p>
    <w:p>
      <w:pPr>
        <w:rPr>
          <w:rFonts w:ascii="Times New Roman" w:eastAsia="仿宋" w:hAnsi="仿宋"/>
        </w:rPr>
      </w:pPr>
    </w:p>
    <w:p>
      <w:pPr>
        <w:rPr>
          <w:rFonts w:ascii="Times New Roman" w:eastAsia="仿宋" w:hAnsi="仿宋"/>
        </w:rPr>
      </w:pPr>
    </w:p>
    <w:p>
      <w:pPr>
        <w:rPr>
          <w:rFonts w:ascii="Times New Roman" w:eastAsia="仿宋" w:hAnsi="仿宋"/>
        </w:rPr>
      </w:pPr>
    </w:p>
    <w:p>
      <w:pPr>
        <w:ind w:firstLineChars="600" w:firstLine="1920"/>
        <w:rPr>
          <w:rFonts w:ascii="Times New Roman" w:eastAsia="仿宋" w:hAnsi="仿宋"/>
          <w:sz w:val="32"/>
          <w:szCs w:val="32"/>
        </w:rPr>
      </w:pPr>
    </w:p>
    <w:p>
      <w:pPr>
        <w:ind w:firstLineChars="600" w:firstLine="1920"/>
        <w:rPr>
          <w:rFonts w:ascii="Times New Roman" w:eastAsia="仿宋" w:hAnsi="仿宋"/>
          <w:sz w:val="32"/>
          <w:szCs w:val="32"/>
        </w:rPr>
      </w:pPr>
    </w:p>
    <w:p>
      <w:pPr>
        <w:ind w:firstLineChars="600" w:firstLine="1920"/>
        <w:rPr>
          <w:rFonts w:ascii="Times New Roman" w:eastAsia="仿宋" w:hAnsi="仿宋"/>
          <w:sz w:val="32"/>
          <w:szCs w:val="32"/>
        </w:rPr>
      </w:pPr>
    </w:p>
    <w:p>
      <w:pPr>
        <w:ind w:firstLineChars="200" w:firstLine="640"/>
        <w:rPr>
          <w:rFonts w:ascii="方正仿宋简体" w:eastAsia="方正仿宋简体" w:hAnsi="方正仿宋简体" w:hint="eastAsia"/>
          <w:sz w:val="32"/>
          <w:szCs w:val="32"/>
          <w:u w:val="single"/>
          <w:lang w:val="en-US" w:eastAsia="zh-CN"/>
        </w:rPr>
      </w:pPr>
      <w:r>
        <w:rPr>
          <w:rFonts w:ascii="方正仿宋简体" w:eastAsia="方正仿宋简体" w:hAnsi="方正仿宋简体" w:hint="eastAsia"/>
          <w:sz w:val="32"/>
          <w:szCs w:val="32"/>
        </w:rPr>
        <w:t>部门名称：</w:t>
      </w:r>
      <w:r>
        <w:rPr>
          <w:rFonts w:ascii="方正仿宋简体" w:eastAsia="方正仿宋简体" w:hAnsi="方正仿宋简体" w:hint="eastAsia"/>
          <w:sz w:val="32"/>
          <w:szCs w:val="32"/>
          <w:u w:val="single"/>
        </w:rPr>
        <w:t xml:space="preserve">       遵化市</w:t>
      </w:r>
      <w:r>
        <w:rPr>
          <w:rFonts w:ascii="方正仿宋简体" w:eastAsia="方正仿宋简体" w:hAnsi="方正仿宋简体" w:hint="eastAsia"/>
          <w:sz w:val="32"/>
          <w:szCs w:val="32"/>
          <w:u w:val="single"/>
          <w:lang w:val="en-US" w:eastAsia="zh-CN"/>
        </w:rPr>
        <w:t>供销合作社</w:t>
      </w:r>
      <w:r>
        <w:rPr>
          <w:rFonts w:ascii="方正仿宋简体" w:eastAsia="方正仿宋简体" w:hAnsi="方正仿宋简体" w:hint="eastAsia"/>
          <w:sz w:val="32"/>
          <w:szCs w:val="32"/>
          <w:u w:val="single"/>
        </w:rPr>
        <w:t xml:space="preserve">      </w:t>
      </w:r>
      <w:r>
        <w:rPr>
          <w:rFonts w:ascii="方正仿宋简体" w:eastAsia="方正仿宋简体" w:hAnsi="方正仿宋简体" w:hint="eastAsia"/>
          <w:sz w:val="32"/>
          <w:szCs w:val="32"/>
          <w:u w:val="single"/>
          <w:lang w:val="en-US" w:eastAsia="zh-CN"/>
        </w:rPr>
        <w:t xml:space="preserve"> </w:t>
      </w:r>
    </w:p>
    <w:p>
      <w:pPr>
        <w:ind w:firstLineChars="200" w:firstLine="640"/>
        <w:rPr>
          <w:rFonts w:ascii="Times New Roman" w:eastAsia="仿宋" w:hAnsi="仿宋"/>
          <w:sz w:val="32"/>
          <w:szCs w:val="32"/>
          <w:lang w:val="en-US" w:eastAsia="zh-CN"/>
        </w:rPr>
      </w:pPr>
      <w:r>
        <w:rPr>
          <w:rFonts w:ascii="方正仿宋简体" w:eastAsia="方正仿宋简体" w:hAnsi="方正仿宋简体" w:hint="eastAsia"/>
          <w:sz w:val="32"/>
          <w:szCs w:val="32"/>
        </w:rPr>
        <w:t>联系电话：</w:t>
      </w:r>
      <w:r>
        <w:rPr>
          <w:rFonts w:ascii="Times New Roman" w:eastAsia="仿宋" w:hAnsi="仿宋"/>
          <w:sz w:val="32"/>
          <w:szCs w:val="32"/>
          <w:u w:val="single"/>
        </w:rPr>
        <w:t xml:space="preserve">  </w:t>
      </w:r>
      <w:r>
        <w:rPr>
          <w:rFonts w:ascii="Times New Roman" w:eastAsia="仿宋" w:hAnsi="仿宋" w:hint="eastAsia"/>
          <w:sz w:val="32"/>
          <w:szCs w:val="32"/>
          <w:u w:val="single"/>
        </w:rPr>
        <w:t xml:space="preserve">      0315</w:t>
      </w:r>
      <w:r>
        <w:rPr>
          <w:rFonts w:ascii="Times New Roman" w:eastAsia="仿宋" w:hAnsi="仿宋" w:hint="eastAsia"/>
          <w:sz w:val="32"/>
          <w:szCs w:val="32"/>
          <w:u w:val="single"/>
          <w:lang w:val="en-US" w:eastAsia="zh-CN"/>
        </w:rPr>
        <w:t>-6611967</w:t>
      </w:r>
      <w:r>
        <w:rPr>
          <w:rFonts w:ascii="Times New Roman" w:eastAsia="仿宋" w:hAnsi="仿宋"/>
          <w:sz w:val="32"/>
          <w:szCs w:val="32"/>
          <w:u w:val="single"/>
        </w:rPr>
        <w:t xml:space="preserve">  </w:t>
      </w:r>
      <w:r>
        <w:rPr>
          <w:rFonts w:ascii="Times New Roman" w:eastAsia="仿宋" w:hAnsi="仿宋" w:hint="eastAsia"/>
          <w:sz w:val="32"/>
          <w:szCs w:val="32"/>
          <w:u w:val="single"/>
        </w:rPr>
        <w:t xml:space="preserve">    </w:t>
      </w:r>
      <w:r>
        <w:rPr>
          <w:rFonts w:ascii="Times New Roman" w:eastAsia="仿宋" w:hAnsi="仿宋" w:hint="eastAsia"/>
          <w:sz w:val="32"/>
          <w:szCs w:val="32"/>
          <w:u w:val="single"/>
          <w:lang w:val="en-US" w:eastAsia="zh-CN"/>
        </w:rPr>
        <w:t xml:space="preserve">    </w:t>
      </w:r>
    </w:p>
    <w:p>
      <w:pPr>
        <w:ind w:firstLineChars="450" w:firstLine="1440"/>
        <w:rPr>
          <w:rFonts w:ascii="Times New Roman" w:eastAsia="仿宋" w:hAnsi="仿宋"/>
          <w:sz w:val="32"/>
          <w:szCs w:val="32"/>
        </w:rPr>
      </w:pPr>
    </w:p>
    <w:p>
      <w:pPr>
        <w:ind w:firstLineChars="450" w:firstLine="1440"/>
        <w:rPr>
          <w:rFonts w:ascii="Times New Roman" w:eastAsia="仿宋" w:hAnsi="仿宋"/>
          <w:sz w:val="32"/>
          <w:szCs w:val="32"/>
        </w:rPr>
      </w:pPr>
    </w:p>
    <w:p>
      <w:pPr>
        <w:ind w:firstLineChars="450" w:firstLine="1440"/>
        <w:rPr>
          <w:rFonts w:ascii="Times New Roman" w:eastAsia="仿宋" w:hAnsi="仿宋"/>
          <w:sz w:val="32"/>
          <w:szCs w:val="32"/>
        </w:rPr>
      </w:pPr>
    </w:p>
    <w:p>
      <w:pPr>
        <w:ind w:firstLineChars="450" w:firstLine="1440"/>
        <w:rPr>
          <w:rFonts w:ascii="Times New Roman" w:eastAsia="仿宋" w:hAnsi="仿宋"/>
          <w:sz w:val="32"/>
          <w:szCs w:val="32"/>
        </w:rPr>
      </w:pPr>
    </w:p>
    <w:p>
      <w:pPr>
        <w:ind w:firstLineChars="450" w:firstLine="1440"/>
        <w:rPr>
          <w:rFonts w:ascii="Times New Roman" w:eastAsia="仿宋" w:hAnsi="仿宋"/>
          <w:sz w:val="32"/>
          <w:szCs w:val="32"/>
        </w:rPr>
      </w:pPr>
    </w:p>
    <w:p>
      <w:pPr>
        <w:ind w:firstLineChars="450" w:firstLine="1440"/>
        <w:rPr>
          <w:rFonts w:ascii="Times New Roman" w:eastAsia="仿宋" w:hAnsi="仿宋"/>
          <w:sz w:val="32"/>
          <w:szCs w:val="32"/>
        </w:rPr>
      </w:pPr>
    </w:p>
    <w:p>
      <w:pPr>
        <w:jc w:val="center"/>
        <w:rPr>
          <w:rFonts w:ascii="宋体" w:eastAsia="方正仿宋简体" w:hAnsi="方正仿宋简体" w:hint="eastAsia"/>
          <w:sz w:val="32"/>
          <w:szCs w:val="32"/>
        </w:rPr>
      </w:pPr>
      <w:r>
        <w:rPr>
          <w:rFonts w:ascii="宋体" w:eastAsia="方正仿宋简体" w:hAnsi="方正仿宋简体" w:hint="eastAsia"/>
          <w:sz w:val="32"/>
          <w:szCs w:val="32"/>
        </w:rPr>
        <w:t xml:space="preserve">填报日期：2021年 4月 </w:t>
      </w:r>
      <w:r>
        <w:rPr>
          <w:rFonts w:ascii="宋体" w:eastAsia="方正仿宋简体" w:hAnsi="方正仿宋简体" w:hint="eastAsia"/>
          <w:sz w:val="32"/>
          <w:szCs w:val="32"/>
          <w:lang w:val="en-US" w:eastAsia="zh-CN"/>
        </w:rPr>
        <w:t>28</w:t>
      </w:r>
      <w:r>
        <w:rPr>
          <w:rFonts w:ascii="宋体" w:eastAsia="方正仿宋简体" w:hAnsi="方正仿宋简体" w:hint="eastAsia"/>
          <w:sz w:val="32"/>
          <w:szCs w:val="32"/>
        </w:rPr>
        <w:t>日</w:t>
      </w:r>
    </w:p>
    <w:p>
      <w:pPr>
        <w:jc w:val="center"/>
        <w:rPr>
          <w:rFonts w:ascii="宋体" w:eastAsia="方正仿宋简体" w:hAnsi="方正仿宋简体" w:hint="eastAsia"/>
          <w:sz w:val="32"/>
          <w:szCs w:val="32"/>
        </w:rPr>
      </w:pPr>
      <w:r>
        <w:rPr>
          <w:rFonts w:ascii="宋体" w:eastAsia="方正仿宋简体" w:hAnsi="方正仿宋简体" w:hint="eastAsia"/>
          <w:sz w:val="32"/>
          <w:szCs w:val="32"/>
        </w:rPr>
        <w:t>遵化市财政局编制</w:t>
      </w:r>
    </w:p>
    <w:p>
      <w:pPr>
        <w:widowControl/>
        <w:jc w:val="left"/>
        <w:rPr>
          <w:rFonts w:ascii="方正仿宋简体" w:eastAsia="方正仿宋简体" w:cs="方正仿宋简体" w:hAnsi="方正仿宋简体" w:hint="eastAsia"/>
          <w:sz w:val="32"/>
          <w:szCs w:val="32"/>
          <w:lang w:bidi="ar-SA"/>
        </w:rPr>
      </w:pPr>
      <w:r>
        <w:rPr>
          <w:rFonts w:ascii="宋体" w:hint="eastAsia"/>
          <w:b/>
          <w:sz w:val="44"/>
          <w:szCs w:val="44"/>
        </w:rPr>
        <w:br w:type="page"/>
      </w:r>
      <w:r>
        <w:rPr>
          <w:rFonts w:ascii="方正仿宋简体" w:eastAsia="方正仿宋简体" w:cs="方正仿宋简体" w:hAnsi="方正仿宋简体" w:hint="eastAsia"/>
          <w:sz w:val="32"/>
          <w:szCs w:val="32"/>
          <w:lang w:bidi="ar-SA"/>
        </w:rPr>
        <w:t>附件：1</w:t>
      </w:r>
    </w:p>
    <w:p>
      <w:pPr>
        <w:tabs>
          <w:tab w:val="left" w:pos="4828"/>
        </w:tabs>
        <w:ind w:firstLineChars="500" w:firstLine="2200"/>
        <w:jc w:val="left"/>
        <w:rPr>
          <w:rFonts w:ascii="方正小标宋简体" w:eastAsia="方正小标宋简体" w:hAnsi="方正小标宋简体" w:hint="eastAsia"/>
          <w:sz w:val="44"/>
          <w:szCs w:val="44"/>
        </w:rPr>
      </w:pPr>
      <w:r>
        <w:rPr>
          <w:rFonts w:ascii="方正小标宋简体" w:eastAsia="方正小标宋简体" w:hAnsi="方正小标宋简体" w:hint="eastAsia"/>
          <w:sz w:val="44"/>
          <w:szCs w:val="44"/>
        </w:rPr>
        <w:t>部门整体绩效评价报告</w:t>
      </w:r>
    </w:p>
    <w:p>
      <w:pPr>
        <w:spacing w:line="600" w:lineRule="atLeast"/>
        <w:ind w:firstLineChars="200" w:firstLine="640"/>
        <w:rPr>
          <w:rFonts w:eastAsia="黑体" w:hAnsi="黑体"/>
          <w:b/>
          <w:sz w:val="32"/>
          <w:szCs w:val="32"/>
        </w:rPr>
      </w:pPr>
    </w:p>
    <w:p>
      <w:pPr>
        <w:spacing w:line="600" w:lineRule="atLeast"/>
        <w:ind w:firstLineChars="200" w:firstLine="640"/>
        <w:rPr>
          <w:rFonts w:ascii="宋体" w:eastAsia="黑体" w:hAnsi="黑体"/>
          <w:sz w:val="32"/>
          <w:szCs w:val="32"/>
        </w:rPr>
      </w:pPr>
      <w:r>
        <w:rPr>
          <w:rFonts w:ascii="宋体" w:eastAsia="黑体" w:hAnsi="黑体"/>
          <w:sz w:val="32"/>
          <w:szCs w:val="32"/>
        </w:rPr>
        <w:t>一、部门</w:t>
      </w:r>
      <w:r>
        <w:rPr>
          <w:rFonts w:ascii="宋体" w:eastAsia="黑体" w:hAnsi="黑体" w:hint="eastAsia"/>
          <w:sz w:val="32"/>
          <w:szCs w:val="32"/>
        </w:rPr>
        <w:t>整体</w:t>
      </w:r>
      <w:r>
        <w:rPr>
          <w:rFonts w:ascii="宋体" w:eastAsia="黑体" w:hAnsi="黑体"/>
          <w:sz w:val="32"/>
          <w:szCs w:val="32"/>
        </w:rPr>
        <w:t>概况</w:t>
      </w:r>
    </w:p>
    <w:p>
      <w:pPr>
        <w:spacing w:line="600" w:lineRule="atLeast"/>
        <w:ind w:firstLineChars="200" w:firstLine="640"/>
        <w:rPr>
          <w:rFonts w:ascii="宋体" w:eastAsia="仿宋" w:hAnsi="仿宋"/>
          <w:sz w:val="32"/>
          <w:szCs w:val="32"/>
        </w:rPr>
      </w:pPr>
      <w:r>
        <w:rPr>
          <w:rFonts w:ascii="宋体" w:eastAsia="仿宋" w:hAnsi="仿宋"/>
          <w:sz w:val="32"/>
          <w:szCs w:val="32"/>
        </w:rPr>
        <w:t>本部门20</w:t>
      </w:r>
      <w:r>
        <w:rPr>
          <w:rFonts w:ascii="宋体" w:eastAsia="仿宋" w:hAnsi="仿宋" w:hint="eastAsia"/>
          <w:sz w:val="32"/>
          <w:szCs w:val="32"/>
        </w:rPr>
        <w:t>20</w:t>
      </w:r>
      <w:r>
        <w:rPr>
          <w:rFonts w:ascii="宋体" w:eastAsia="仿宋" w:hAnsi="仿宋"/>
          <w:sz w:val="32"/>
          <w:szCs w:val="32"/>
        </w:rPr>
        <w:t>年度申请预算</w:t>
      </w:r>
      <w:r>
        <w:rPr>
          <w:rFonts w:ascii="宋体" w:eastAsia="仿宋" w:hAnsi="仿宋" w:hint="eastAsia"/>
          <w:sz w:val="32"/>
          <w:szCs w:val="32"/>
        </w:rPr>
        <w:t>资金</w:t>
      </w:r>
      <w:r>
        <w:rPr>
          <w:rFonts w:ascii="仿宋" w:eastAsia="仿宋" w:cs="Times New Roman" w:hAnsi="仿宋" w:hint="eastAsia"/>
          <w:sz w:val="28"/>
          <w:szCs w:val="28"/>
          <w:lang w:val="en-US" w:eastAsia="zh-CN" w:bidi="ar-SA"/>
        </w:rPr>
        <w:t>2559.11</w:t>
      </w:r>
      <w:r>
        <w:rPr>
          <w:rFonts w:ascii="宋体" w:eastAsia="仿宋" w:hAnsi="仿宋" w:hint="eastAsia"/>
          <w:sz w:val="32"/>
          <w:szCs w:val="32"/>
        </w:rPr>
        <w:t>万元，实际支出</w:t>
      </w:r>
      <w:r>
        <w:rPr>
          <w:rFonts w:ascii="宋体" w:eastAsia="仿宋" w:hAnsi="仿宋" w:hint="eastAsia"/>
          <w:sz w:val="32"/>
          <w:szCs w:val="32"/>
          <w:lang w:val="en-US" w:eastAsia="zh-CN"/>
        </w:rPr>
        <w:t xml:space="preserve"> </w:t>
      </w:r>
      <w:r>
        <w:rPr>
          <w:rFonts w:ascii="仿宋_GB2312" w:eastAsia="仿宋_GB2312" w:hAnsi="仿宋_GB2312" w:hint="eastAsia"/>
          <w:sz w:val="32"/>
          <w:szCs w:val="32"/>
          <w:lang w:val="en-US" w:eastAsia="zh-CN"/>
        </w:rPr>
        <w:t>2542.54</w:t>
      </w:r>
      <w:r>
        <w:rPr>
          <w:rFonts w:ascii="宋体" w:eastAsia="仿宋" w:hAnsi="仿宋" w:hint="eastAsia"/>
          <w:sz w:val="32"/>
          <w:szCs w:val="32"/>
        </w:rPr>
        <w:t>万元，预算执行率</w:t>
      </w:r>
      <w:r>
        <w:rPr>
          <w:rFonts w:ascii="宋体" w:eastAsia="仿宋" w:hAnsi="仿宋" w:hint="eastAsia"/>
          <w:sz w:val="32"/>
          <w:szCs w:val="32"/>
          <w:lang w:val="en-US" w:eastAsia="zh-CN"/>
        </w:rPr>
        <w:t xml:space="preserve">99.35 </w:t>
      </w:r>
      <w:r>
        <w:rPr>
          <w:rFonts w:ascii="宋体" w:eastAsia="仿宋" w:hAnsi="仿宋"/>
          <w:sz w:val="32"/>
          <w:szCs w:val="32"/>
        </w:rPr>
        <w:t>%</w:t>
      </w:r>
      <w:r>
        <w:rPr>
          <w:rFonts w:ascii="宋体" w:eastAsia="仿宋" w:hAnsi="仿宋" w:hint="eastAsia"/>
          <w:sz w:val="32"/>
          <w:szCs w:val="32"/>
        </w:rPr>
        <w:t>。其中：专项</w:t>
      </w:r>
      <w:r>
        <w:rPr>
          <w:rFonts w:ascii="宋体" w:eastAsia="仿宋" w:hAnsi="仿宋"/>
          <w:sz w:val="32"/>
          <w:szCs w:val="32"/>
        </w:rPr>
        <w:t>项目</w:t>
      </w:r>
      <w:r>
        <w:rPr>
          <w:rFonts w:ascii="宋体" w:eastAsia="仿宋" w:hAnsi="仿宋" w:hint="eastAsia"/>
          <w:sz w:val="32"/>
          <w:szCs w:val="32"/>
          <w:lang w:val="en-US" w:eastAsia="zh-CN"/>
        </w:rPr>
        <w:t>5</w:t>
      </w:r>
      <w:r>
        <w:rPr>
          <w:rFonts w:ascii="宋体" w:eastAsia="仿宋" w:hAnsi="仿宋"/>
          <w:sz w:val="32"/>
          <w:szCs w:val="32"/>
        </w:rPr>
        <w:t>个，金额合计</w:t>
      </w:r>
      <w:r>
        <w:rPr>
          <w:rFonts w:ascii="宋体" w:eastAsia="仿宋" w:hAnsi="仿宋" w:hint="eastAsia"/>
          <w:sz w:val="32"/>
          <w:szCs w:val="32"/>
          <w:lang w:val="en-US" w:eastAsia="zh-CN"/>
        </w:rPr>
        <w:t xml:space="preserve">2327.29 </w:t>
      </w:r>
      <w:r>
        <w:rPr>
          <w:rFonts w:ascii="宋体" w:eastAsia="仿宋" w:hAnsi="仿宋"/>
          <w:sz w:val="32"/>
          <w:szCs w:val="32"/>
        </w:rPr>
        <w:t>万元，实际</w:t>
      </w:r>
      <w:r>
        <w:rPr>
          <w:rFonts w:ascii="宋体" w:eastAsia="仿宋" w:hAnsi="仿宋" w:hint="eastAsia"/>
          <w:sz w:val="32"/>
          <w:szCs w:val="32"/>
        </w:rPr>
        <w:t>支出</w:t>
      </w:r>
      <w:r>
        <w:rPr>
          <w:rFonts w:ascii="宋体" w:eastAsia="仿宋" w:hAnsi="仿宋" w:hint="eastAsia"/>
          <w:sz w:val="32"/>
          <w:szCs w:val="32"/>
          <w:lang w:val="en-US" w:eastAsia="zh-CN"/>
        </w:rPr>
        <w:t xml:space="preserve"> 2324.11</w:t>
      </w:r>
      <w:r>
        <w:rPr>
          <w:rFonts w:ascii="宋体" w:eastAsia="仿宋" w:hAnsi="仿宋"/>
          <w:sz w:val="32"/>
          <w:szCs w:val="32"/>
        </w:rPr>
        <w:t>万元，执行率为</w:t>
      </w:r>
      <w:r>
        <w:rPr>
          <w:rFonts w:ascii="宋体" w:eastAsia="仿宋" w:hAnsi="仿宋" w:hint="eastAsia"/>
          <w:sz w:val="32"/>
          <w:szCs w:val="32"/>
          <w:lang w:val="en-US" w:eastAsia="zh-CN"/>
        </w:rPr>
        <w:t xml:space="preserve">99.86 </w:t>
      </w:r>
      <w:r>
        <w:rPr>
          <w:rFonts w:ascii="宋体" w:eastAsia="仿宋" w:hAnsi="仿宋"/>
          <w:sz w:val="32"/>
          <w:szCs w:val="32"/>
        </w:rPr>
        <w:t>%。</w:t>
      </w:r>
    </w:p>
    <w:p>
      <w:pPr>
        <w:spacing w:line="600" w:lineRule="atLeast"/>
        <w:ind w:firstLineChars="200" w:firstLine="640"/>
        <w:rPr>
          <w:rFonts w:ascii="宋体" w:eastAsia="黑体" w:hAnsi="黑体"/>
          <w:sz w:val="32"/>
          <w:szCs w:val="32"/>
        </w:rPr>
      </w:pPr>
      <w:r>
        <w:rPr>
          <w:rFonts w:ascii="宋体" w:eastAsia="黑体" w:hAnsi="黑体"/>
          <w:sz w:val="32"/>
          <w:szCs w:val="32"/>
        </w:rPr>
        <w:t>二、部门总体绩效目标和绩效指标设定情况</w:t>
      </w:r>
    </w:p>
    <w:p>
      <w:pPr>
        <w:spacing w:line="600" w:lineRule="atLeast"/>
        <w:ind w:firstLineChars="200" w:firstLine="640"/>
        <w:rPr>
          <w:rFonts w:ascii="楷体" w:eastAsia="楷体" w:cs="楷体" w:hAnsi="楷体" w:hint="eastAsia"/>
          <w:sz w:val="32"/>
          <w:szCs w:val="32"/>
          <w:lang w:val="en-US" w:eastAsia="zh-CN" w:bidi="ar-SA"/>
        </w:rPr>
      </w:pPr>
      <w:r>
        <w:rPr>
          <w:rFonts w:ascii="楷体" w:eastAsia="楷体" w:cs="楷体" w:hAnsi="楷体" w:hint="eastAsia"/>
          <w:sz w:val="32"/>
          <w:szCs w:val="32"/>
          <w:lang w:eastAsia="zh-CN" w:bidi="ar-SA"/>
        </w:rPr>
        <w:t>（</w:t>
      </w:r>
      <w:r>
        <w:rPr>
          <w:rFonts w:ascii="楷体" w:eastAsia="楷体" w:cs="楷体" w:hAnsi="楷体" w:hint="eastAsia"/>
          <w:sz w:val="32"/>
          <w:szCs w:val="32"/>
          <w:lang w:val="en-US" w:eastAsia="zh-CN" w:bidi="ar-SA"/>
        </w:rPr>
        <w:t>一</w:t>
      </w:r>
      <w:r>
        <w:rPr>
          <w:rFonts w:ascii="楷体" w:eastAsia="楷体" w:cs="楷体" w:hAnsi="楷体" w:hint="eastAsia"/>
          <w:sz w:val="32"/>
          <w:szCs w:val="32"/>
          <w:lang w:eastAsia="zh-CN" w:bidi="ar-SA"/>
        </w:rPr>
        <w:t>）</w:t>
      </w:r>
      <w:r>
        <w:rPr>
          <w:rFonts w:ascii="楷体" w:eastAsia="楷体" w:cs="楷体" w:hAnsi="楷体" w:hint="eastAsia"/>
          <w:sz w:val="32"/>
          <w:szCs w:val="32"/>
          <w:lang w:val="en-US" w:eastAsia="zh-CN" w:bidi="ar-SA"/>
        </w:rPr>
        <w:t>本部门总体绩效目标</w:t>
      </w:r>
    </w:p>
    <w:p>
      <w:pPr>
        <w:spacing w:line="600" w:lineRule="atLeast"/>
        <w:ind w:firstLineChars="200" w:firstLine="640"/>
        <w:rPr>
          <w:rFonts w:ascii="仿宋" w:eastAsia="仿宋" w:cs="仿宋" w:hAnsi="仿宋" w:hint="eastAsia"/>
          <w:sz w:val="32"/>
          <w:szCs w:val="32"/>
          <w:lang w:bidi="ar-SA"/>
        </w:rPr>
      </w:pPr>
      <w:r>
        <w:rPr>
          <w:rFonts w:ascii="仿宋" w:eastAsia="仿宋" w:cs="仿宋" w:hAnsi="仿宋" w:hint="eastAsia"/>
          <w:sz w:val="32"/>
          <w:szCs w:val="32"/>
          <w:lang w:bidi="ar-SA"/>
        </w:rPr>
        <w:t>1.继续按照国务院、河北省、唐山市及遵化市各级党委政府关于加快供销社综合改革与发展有关文件精神，做好供销社综合改革与发展各项工作，确保供销社事业逐步发展和壮大；</w:t>
      </w:r>
    </w:p>
    <w:p>
      <w:pPr>
        <w:spacing w:line="600" w:lineRule="atLeast"/>
        <w:ind w:firstLineChars="200" w:firstLine="640"/>
        <w:rPr>
          <w:rFonts w:ascii="仿宋" w:eastAsia="仿宋" w:cs="仿宋" w:hAnsi="仿宋" w:hint="eastAsia"/>
          <w:sz w:val="32"/>
          <w:szCs w:val="32"/>
          <w:lang w:bidi="ar-SA"/>
        </w:rPr>
      </w:pPr>
      <w:r>
        <w:rPr>
          <w:rFonts w:ascii="仿宋" w:eastAsia="仿宋" w:cs="仿宋" w:hAnsi="仿宋" w:hint="eastAsia"/>
          <w:sz w:val="32"/>
          <w:szCs w:val="32"/>
          <w:lang w:bidi="ar-SA"/>
        </w:rPr>
        <w:t>2.充分发挥好为“三农”服务职能作用，以强化基层社和创新联合社治理机制为重点，推进体制改革与机制创新，继续抓好新型乡镇供销合作社建设、农合联建设、农民专业合作社联合社建设、电子商务建设等，组织新型乡镇供销合作社、农民专业合作社、农产品经纪人、农资营销人员等搞好观摩交流、学习培训、规范提升等各项工作；</w:t>
      </w:r>
    </w:p>
    <w:p>
      <w:pPr>
        <w:spacing w:line="600" w:lineRule="atLeast"/>
        <w:ind w:firstLineChars="200" w:firstLine="640"/>
        <w:rPr>
          <w:rFonts w:ascii="仿宋" w:eastAsia="仿宋" w:cs="仿宋" w:hAnsi="仿宋" w:hint="eastAsia"/>
          <w:sz w:val="32"/>
          <w:szCs w:val="32"/>
          <w:lang w:bidi="ar-SA"/>
        </w:rPr>
      </w:pPr>
      <w:r>
        <w:rPr>
          <w:rFonts w:ascii="仿宋" w:eastAsia="仿宋" w:cs="仿宋" w:hAnsi="仿宋" w:hint="eastAsia"/>
          <w:sz w:val="32"/>
          <w:szCs w:val="32"/>
          <w:lang w:bidi="ar-SA"/>
        </w:rPr>
        <w:t>3.为深入推进农村综合改革，按照政府主导、供销社主办、市场化运作的原则，继续做好农村产权流转交易中心各项工作，做好业务宣传，开展好农村产权交易各项业务，进一步规范农村产权交易行为，激活农村生产要素，提高农民财产收入，更好为“三农”服务。</w:t>
      </w:r>
    </w:p>
    <w:p>
      <w:pPr>
        <w:spacing w:line="600" w:lineRule="atLeast"/>
        <w:ind w:firstLineChars="200" w:firstLine="640"/>
        <w:rPr>
          <w:rFonts w:ascii="仿宋" w:eastAsia="仿宋" w:cs="仿宋" w:hAnsi="仿宋" w:hint="eastAsia"/>
          <w:sz w:val="32"/>
          <w:szCs w:val="32"/>
          <w:lang w:bidi="ar-SA"/>
        </w:rPr>
      </w:pPr>
      <w:r>
        <w:rPr>
          <w:rFonts w:ascii="仿宋" w:eastAsia="仿宋" w:cs="仿宋" w:hAnsi="仿宋" w:hint="eastAsia"/>
          <w:sz w:val="32"/>
          <w:szCs w:val="32"/>
          <w:lang w:bidi="ar-SA"/>
        </w:rPr>
        <w:t>4.继续做好供销社系统企业改制工作，努力解决好改制企业历史遗留和现实面临的各种问题尤其是做好改制等退人员医疗保险费缴纳工作，保障职工合法权益，维护和扩大改制成果，为供销社改革与发展夯实基础；</w:t>
      </w:r>
    </w:p>
    <w:p>
      <w:pPr>
        <w:spacing w:line="600" w:lineRule="atLeast"/>
        <w:ind w:firstLineChars="200" w:firstLine="640"/>
        <w:rPr>
          <w:rFonts w:ascii="仿宋" w:eastAsia="仿宋" w:cs="仿宋" w:hAnsi="仿宋" w:hint="eastAsia"/>
          <w:sz w:val="32"/>
          <w:szCs w:val="32"/>
          <w:lang w:bidi="ar-SA"/>
        </w:rPr>
      </w:pPr>
      <w:r>
        <w:rPr>
          <w:rFonts w:ascii="仿宋" w:eastAsia="仿宋" w:cs="仿宋" w:hAnsi="仿宋" w:hint="eastAsia"/>
          <w:sz w:val="32"/>
          <w:szCs w:val="32"/>
          <w:lang w:bidi="ar-SA"/>
        </w:rPr>
        <w:t>5.抓好供销社机关运行工作，做好各项政务性、事务性工作，做好信访接待、安全维稳、业务宣传、机关财务和资产管理、政务信息公开、人事管理等各项工作，保障机关工作正常、高效运转。</w:t>
      </w:r>
    </w:p>
    <w:p>
      <w:pPr>
        <w:spacing w:line="600" w:lineRule="atLeast"/>
        <w:ind w:firstLineChars="200" w:firstLine="640"/>
        <w:rPr>
          <w:rFonts w:ascii="楷体" w:eastAsia="楷体" w:cs="楷体" w:hAnsi="楷体" w:hint="eastAsia"/>
          <w:sz w:val="32"/>
          <w:szCs w:val="32"/>
          <w:lang w:bidi="ar-SA"/>
        </w:rPr>
      </w:pPr>
      <w:r>
        <w:rPr>
          <w:rFonts w:ascii="楷体" w:eastAsia="楷体" w:cs="楷体" w:hAnsi="楷体" w:hint="eastAsia"/>
          <w:sz w:val="32"/>
          <w:szCs w:val="32"/>
          <w:lang w:bidi="ar-SA"/>
        </w:rPr>
        <w:t>（二）职责分类绩效目标：</w:t>
      </w:r>
    </w:p>
    <w:p>
      <w:pPr>
        <w:spacing w:line="600" w:lineRule="atLeast"/>
        <w:ind w:firstLineChars="200" w:firstLine="640"/>
        <w:rPr>
          <w:rFonts w:ascii="仿宋" w:eastAsia="仿宋" w:cs="仿宋" w:hAnsi="仿宋" w:hint="eastAsia"/>
          <w:sz w:val="32"/>
          <w:szCs w:val="32"/>
          <w:lang w:bidi="ar-SA"/>
        </w:rPr>
      </w:pPr>
      <w:r>
        <w:rPr>
          <w:rFonts w:ascii="仿宋" w:eastAsia="仿宋" w:cs="仿宋" w:hAnsi="仿宋" w:hint="eastAsia"/>
          <w:sz w:val="32"/>
          <w:szCs w:val="32"/>
          <w:lang w:bidi="ar-SA"/>
        </w:rPr>
        <w:t>1.确保供销社各项事业改革、发展和壮大，发挥供销社在商业流通服务的作用，加快服务创新、经营创新和业态创新，以创新新型乡镇供销社、组建农民专业合作社联合社、发展现代流通网络建设等为主的供销社综合改革，更好发挥为“三农”服务宗旨；</w:t>
      </w:r>
    </w:p>
    <w:p>
      <w:pPr>
        <w:spacing w:line="600" w:lineRule="atLeast"/>
        <w:ind w:firstLineChars="200" w:firstLine="640"/>
        <w:rPr>
          <w:rFonts w:ascii="仿宋" w:eastAsia="仿宋" w:cs="仿宋" w:hAnsi="仿宋" w:hint="eastAsia"/>
          <w:sz w:val="32"/>
          <w:szCs w:val="32"/>
          <w:lang w:bidi="ar-SA"/>
        </w:rPr>
      </w:pPr>
      <w:r>
        <w:rPr>
          <w:rFonts w:ascii="仿宋" w:eastAsia="仿宋" w:cs="仿宋" w:hAnsi="仿宋" w:hint="eastAsia"/>
          <w:sz w:val="32"/>
          <w:szCs w:val="32"/>
          <w:lang w:bidi="ar-SA"/>
        </w:rPr>
        <w:t>2.贯彻落实党和政府有关服务“三农”方针政策，推进供销社体制创新和机制创新，以供销社体系为依托，发挥好农合联的带动作用，逐步建立和完善适应中国特色农业现代化需要的组织体系和服务机制，大力发展新型基层社、农民专业合作社联合社，创新农村金融体系建设，为供销社综合改革与发展服务，使供销社系统成为党和政府密切联系群众的桥梁和纽带，切实在农业现代化中更好地发挥作用；</w:t>
      </w:r>
    </w:p>
    <w:p>
      <w:pPr>
        <w:spacing w:line="600" w:lineRule="atLeast"/>
        <w:ind w:firstLineChars="200" w:firstLine="640"/>
        <w:rPr>
          <w:rFonts w:ascii="仿宋" w:eastAsia="仿宋" w:cs="仿宋" w:hAnsi="仿宋" w:hint="eastAsia"/>
          <w:sz w:val="32"/>
          <w:szCs w:val="32"/>
          <w:lang w:bidi="ar-SA"/>
        </w:rPr>
      </w:pPr>
      <w:r>
        <w:rPr>
          <w:rFonts w:ascii="仿宋" w:eastAsia="仿宋" w:cs="仿宋" w:hAnsi="仿宋" w:hint="eastAsia"/>
          <w:sz w:val="32"/>
          <w:szCs w:val="32"/>
          <w:lang w:bidi="ar-SA"/>
        </w:rPr>
        <w:t>3.充分发挥市农村产权交易中心的职能作用，保障5名劳务派遣人员工资、社保待遇，维护职工合法权益，推动农村产权交易健康发展，做好信息发布、组织产权交易、成交确认、抵押融资等一体的为农服务平台建设，规范农村产权交易、流转行为，完善服务功能，引导农村产权流转交易市场的健康发展；</w:t>
      </w:r>
    </w:p>
    <w:p>
      <w:pPr>
        <w:spacing w:line="600" w:lineRule="atLeast"/>
        <w:ind w:firstLineChars="200" w:firstLine="640"/>
        <w:rPr>
          <w:rFonts w:ascii="仿宋" w:eastAsia="仿宋" w:cs="仿宋" w:hAnsi="仿宋" w:hint="eastAsia"/>
          <w:sz w:val="32"/>
          <w:szCs w:val="32"/>
          <w:lang w:bidi="ar-SA"/>
        </w:rPr>
      </w:pPr>
      <w:r>
        <w:rPr>
          <w:rFonts w:ascii="仿宋" w:eastAsia="仿宋" w:cs="仿宋" w:hAnsi="仿宋" w:hint="eastAsia"/>
          <w:sz w:val="32"/>
          <w:szCs w:val="32"/>
          <w:lang w:bidi="ar-SA"/>
        </w:rPr>
        <w:t>4.进一步巩固和维护供销社全系统改制成果，从维护职工切身合法权益，维护全市稳定工作大局出发，通过多种方式、多途径筹措资金，争取各级、各部门大力支持等形式，努力解决改制企业历史遗留的各项改制难题尤其是做好改制等退人员医疗保险费的按时缴纳工作，保障职工合法权益，维护改制成果和社会安全稳定；</w:t>
      </w:r>
    </w:p>
    <w:p>
      <w:pPr>
        <w:spacing w:line="600" w:lineRule="atLeast"/>
        <w:ind w:firstLineChars="200" w:firstLine="640"/>
        <w:rPr>
          <w:rFonts w:ascii="仿宋" w:eastAsia="仿宋" w:cs="仿宋" w:hAnsi="仿宋" w:hint="eastAsia"/>
          <w:sz w:val="32"/>
          <w:szCs w:val="32"/>
          <w:lang w:bidi="ar-SA"/>
        </w:rPr>
      </w:pPr>
      <w:r>
        <w:rPr>
          <w:rFonts w:ascii="仿宋" w:eastAsia="仿宋" w:cs="仿宋" w:hAnsi="仿宋" w:hint="eastAsia"/>
          <w:sz w:val="32"/>
          <w:szCs w:val="32"/>
          <w:lang w:bidi="ar-SA"/>
        </w:rPr>
        <w:t>5.确保供销社各项业务谋划到位，顺利开展，做好社有资产运营和管理、信访接待、安全维稳、政务信息公开、财务及人事管理等各项事务性、政务性工作，保障机关工作正常高效运转。</w:t>
      </w:r>
    </w:p>
    <w:p>
      <w:pPr>
        <w:spacing w:line="600" w:lineRule="atLeast"/>
        <w:ind w:firstLineChars="200" w:firstLine="640"/>
        <w:rPr>
          <w:rFonts w:ascii="宋体" w:eastAsia="黑体" w:hAnsi="黑体"/>
          <w:sz w:val="32"/>
          <w:szCs w:val="32"/>
        </w:rPr>
      </w:pPr>
      <w:r>
        <w:rPr>
          <w:rFonts w:ascii="宋体" w:eastAsia="黑体" w:hAnsi="黑体"/>
          <w:sz w:val="32"/>
          <w:szCs w:val="32"/>
        </w:rPr>
        <w:t>三、绩效评价组织情况</w:t>
      </w:r>
    </w:p>
    <w:p>
      <w:pPr>
        <w:spacing w:line="600" w:lineRule="atLeast"/>
        <w:ind w:firstLineChars="200" w:firstLine="640"/>
        <w:rPr>
          <w:rFonts w:ascii="宋体" w:eastAsia="仿宋" w:hAnsi="仿宋"/>
          <w:sz w:val="32"/>
          <w:szCs w:val="32"/>
        </w:rPr>
      </w:pPr>
      <w:r>
        <w:rPr>
          <w:rFonts w:ascii="宋体" w:eastAsia="仿宋" w:hAnsi="仿宋"/>
          <w:sz w:val="32"/>
          <w:szCs w:val="32"/>
        </w:rPr>
        <w:t>本次绩效评价项目</w:t>
      </w:r>
      <w:r>
        <w:rPr>
          <w:rFonts w:ascii="宋体" w:eastAsia="仿宋" w:hAnsi="仿宋" w:hint="eastAsia"/>
          <w:sz w:val="32"/>
          <w:szCs w:val="32"/>
          <w:lang w:val="en-US" w:eastAsia="zh-CN"/>
        </w:rPr>
        <w:t>5</w:t>
      </w:r>
      <w:r>
        <w:rPr>
          <w:rFonts w:ascii="宋体" w:eastAsia="仿宋" w:hAnsi="仿宋"/>
          <w:sz w:val="32"/>
          <w:szCs w:val="32"/>
        </w:rPr>
        <w:t>个，</w:t>
      </w:r>
      <w:r>
        <w:rPr>
          <w:rFonts w:ascii="宋体" w:eastAsia="仿宋" w:hAnsi="仿宋" w:hint="eastAsia"/>
          <w:sz w:val="32"/>
          <w:szCs w:val="32"/>
        </w:rPr>
        <w:t>占</w:t>
      </w:r>
      <w:r>
        <w:rPr>
          <w:rFonts w:ascii="宋体" w:eastAsia="仿宋" w:hAnsi="仿宋"/>
          <w:sz w:val="32"/>
          <w:szCs w:val="32"/>
        </w:rPr>
        <w:t>部门项目总数的</w:t>
      </w:r>
      <w:r>
        <w:rPr>
          <w:rFonts w:ascii="宋体" w:eastAsia="仿宋" w:hAnsi="仿宋" w:hint="eastAsia"/>
          <w:sz w:val="32"/>
          <w:szCs w:val="32"/>
        </w:rPr>
        <w:t>100</w:t>
      </w:r>
      <w:r>
        <w:rPr>
          <w:rFonts w:ascii="宋体" w:eastAsia="仿宋" w:hAnsi="仿宋"/>
          <w:sz w:val="32"/>
          <w:szCs w:val="32"/>
        </w:rPr>
        <w:t>%，涉及金额</w:t>
      </w:r>
      <w:r>
        <w:rPr>
          <w:rFonts w:ascii="宋体" w:eastAsia="仿宋" w:hAnsi="仿宋" w:hint="eastAsia"/>
          <w:sz w:val="32"/>
          <w:szCs w:val="32"/>
          <w:lang w:val="en-US" w:eastAsia="zh-CN"/>
        </w:rPr>
        <w:t xml:space="preserve"> 2324.11</w:t>
      </w:r>
      <w:r>
        <w:rPr>
          <w:rFonts w:ascii="宋体" w:eastAsia="仿宋" w:hAnsi="仿宋"/>
          <w:sz w:val="32"/>
          <w:szCs w:val="32"/>
        </w:rPr>
        <w:t>万元。采取成立本部门绩效自评工作组</w:t>
      </w:r>
      <w:r>
        <w:rPr>
          <w:rFonts w:ascii="宋体" w:eastAsia="仿宋" w:hAnsi="仿宋" w:hint="eastAsia"/>
          <w:sz w:val="32"/>
          <w:szCs w:val="32"/>
        </w:rPr>
        <w:t>的</w:t>
      </w:r>
      <w:r>
        <w:rPr>
          <w:rFonts w:ascii="宋体" w:eastAsia="仿宋" w:hAnsi="仿宋"/>
          <w:sz w:val="32"/>
          <w:szCs w:val="32"/>
        </w:rPr>
        <w:t>形式，本着客观、公正、公开的原则开展自评工作，所有项目的绩效自评均设计了合理、明晰、可考核的、关键性产出指标和效果指标。自评结果真实可靠。</w:t>
      </w:r>
    </w:p>
    <w:p>
      <w:pPr>
        <w:spacing w:line="600" w:lineRule="atLeast"/>
        <w:ind w:firstLineChars="200" w:firstLine="640"/>
        <w:rPr>
          <w:rFonts w:ascii="宋体" w:eastAsia="黑体" w:hAnsi="黑体"/>
          <w:sz w:val="32"/>
          <w:szCs w:val="32"/>
        </w:rPr>
      </w:pPr>
      <w:r>
        <w:rPr>
          <w:rFonts w:ascii="宋体" w:eastAsia="黑体" w:hAnsi="黑体"/>
          <w:sz w:val="32"/>
          <w:szCs w:val="32"/>
        </w:rPr>
        <w:t>四、绩效实现情况分析</w:t>
      </w:r>
    </w:p>
    <w:p>
      <w:pPr>
        <w:adjustRightInd w:val="0"/>
        <w:snapToGrid w:val="0"/>
        <w:spacing w:line="560" w:lineRule="atLeast"/>
        <w:ind w:firstLineChars="200" w:firstLine="640"/>
        <w:rPr>
          <w:rFonts w:ascii="宋体" w:eastAsia="方正仿宋简体" w:cs="方正仿宋简体" w:hAnsi="方正仿宋简体" w:hint="eastAsia"/>
          <w:color w:val="000000"/>
          <w:sz w:val="32"/>
          <w:szCs w:val="32"/>
          <w:lang w:bidi="ar-SA"/>
        </w:rPr>
      </w:pPr>
      <w:r>
        <w:rPr>
          <w:rFonts w:ascii="宋体" w:eastAsia="仿宋" w:hAnsi="仿宋" w:hint="eastAsia"/>
          <w:sz w:val="32"/>
          <w:szCs w:val="32"/>
        </w:rPr>
        <w:t>本年度安排的专项项目资金保障了各个项目的顺利实施，有效推动了全市经济社会发展,为</w:t>
      </w:r>
      <w:r>
        <w:rPr>
          <w:rFonts w:ascii="宋体" w:eastAsia="方正仿宋简体" w:cs="方正仿宋简体" w:hAnsi="方正仿宋简体" w:hint="eastAsia"/>
          <w:color w:val="000000"/>
          <w:sz w:val="32"/>
          <w:szCs w:val="32"/>
          <w:lang w:bidi="ar-SA"/>
        </w:rPr>
        <w:t>实现“重返百强、再创辉煌”目标贡献了</w:t>
      </w:r>
      <w:r>
        <w:rPr>
          <w:rFonts w:ascii="宋体" w:eastAsia="方正仿宋简体" w:cs="方正仿宋简体" w:hAnsi="方正仿宋简体" w:hint="eastAsia"/>
          <w:color w:val="000000"/>
          <w:sz w:val="32"/>
          <w:szCs w:val="32"/>
          <w:lang w:val="en-US" w:eastAsia="zh-CN" w:bidi="ar-SA"/>
        </w:rPr>
        <w:t>供销社</w:t>
      </w:r>
      <w:r>
        <w:rPr>
          <w:rFonts w:ascii="宋体" w:eastAsia="方正仿宋简体" w:cs="方正仿宋简体" w:hAnsi="方正仿宋简体" w:hint="eastAsia"/>
          <w:color w:val="000000"/>
          <w:sz w:val="32"/>
          <w:szCs w:val="32"/>
          <w:lang w:bidi="ar-SA"/>
        </w:rPr>
        <w:t>力量。</w:t>
      </w:r>
    </w:p>
    <w:p>
      <w:pPr>
        <w:adjustRightInd w:val="0"/>
        <w:snapToGrid w:val="0"/>
        <w:spacing w:line="560" w:lineRule="atLeast"/>
        <w:ind w:firstLineChars="200" w:firstLine="640"/>
        <w:rPr>
          <w:rFonts w:ascii="方正楷体简体" w:eastAsia="方正楷体简体" w:cs="方正楷体简体" w:hAnsi="方正楷体简体" w:hint="eastAsia"/>
          <w:color w:val="000000"/>
          <w:sz w:val="32"/>
          <w:szCs w:val="32"/>
          <w:lang w:bidi="ar-SA"/>
        </w:rPr>
      </w:pPr>
      <w:r>
        <w:rPr>
          <w:rFonts w:ascii="方正楷体简体" w:eastAsia="方正楷体简体" w:cs="方正楷体简体" w:hAnsi="方正楷体简体" w:hint="eastAsia"/>
          <w:color w:val="000000"/>
          <w:sz w:val="32"/>
          <w:szCs w:val="32"/>
          <w:lang w:bidi="ar-SA"/>
        </w:rPr>
        <w:t>1.积极谋划推进项目建设工作</w:t>
      </w:r>
    </w:p>
    <w:p>
      <w:pPr>
        <w:adjustRightInd w:val="0"/>
        <w:snapToGrid w:val="0"/>
        <w:spacing w:line="560" w:lineRule="atLeast"/>
        <w:ind w:firstLineChars="200" w:firstLine="640"/>
        <w:rPr>
          <w:rFonts w:ascii="宋体" w:eastAsia="方正仿宋简体" w:cs="方正仿宋简体" w:hAnsi="方正仿宋简体" w:hint="eastAsia"/>
          <w:color w:val="000000"/>
          <w:sz w:val="32"/>
          <w:szCs w:val="32"/>
          <w:lang w:bidi="ar-SA"/>
        </w:rPr>
      </w:pPr>
      <w:r>
        <w:rPr>
          <w:rFonts w:ascii="宋体" w:eastAsia="方正仿宋简体" w:cs="方正仿宋简体" w:hAnsi="方正仿宋简体" w:hint="eastAsia"/>
          <w:color w:val="000000"/>
          <w:sz w:val="32"/>
          <w:szCs w:val="32"/>
          <w:lang w:bidi="ar-SA"/>
        </w:rPr>
        <w:t>继续推进中国供销·京东(遵化)农产品智慧物流园项目。该项目于今年5月18日已正式签约，在市委、市政府的大力支持下已完成项目公司注册、项目公司备案章制作、立项、环评备案、进场、测绘、放线、地上附着物评估、项目用地红线等14大项工作，土地已完成组卷，并上报河北省自然资源厅。该项目预计总投资6亿元，占地185亩，建筑面积12平方米。项目以“农”为中心，立足遵化，服务周边，依托中农批全国市场网络资源，对接京津冀及全国各地，着力打造集农产品集散、展示交易、冷链配送、电子商务、进出口代理等功能为一体的现代化农产品物流园，成为京津冀区域京东方面重要农产品集散中心。</w:t>
      </w:r>
    </w:p>
    <w:p>
      <w:pPr>
        <w:adjustRightInd w:val="0"/>
        <w:snapToGrid w:val="0"/>
        <w:spacing w:line="560" w:lineRule="atLeast"/>
        <w:ind w:firstLineChars="200" w:firstLine="640"/>
        <w:rPr>
          <w:rFonts w:ascii="方正楷体简体" w:eastAsia="方正楷体简体" w:cs="方正楷体简体" w:hAnsi="方正楷体简体" w:hint="eastAsia"/>
          <w:color w:val="000000"/>
          <w:sz w:val="32"/>
          <w:szCs w:val="32"/>
          <w:lang w:bidi="ar-SA"/>
        </w:rPr>
      </w:pPr>
      <w:r>
        <w:rPr>
          <w:rFonts w:ascii="方正楷体简体" w:eastAsia="方正楷体简体" w:cs="方正楷体简体" w:hAnsi="方正楷体简体" w:hint="eastAsia"/>
          <w:color w:val="000000"/>
          <w:sz w:val="32"/>
          <w:szCs w:val="32"/>
          <w:lang w:bidi="ar-SA"/>
        </w:rPr>
        <w:t>2.加快推进农业社会化服务机制改革，提升农业全产业链服务能力</w:t>
      </w:r>
    </w:p>
    <w:p>
      <w:pPr>
        <w:adjustRightInd w:val="0"/>
        <w:snapToGrid w:val="0"/>
        <w:spacing w:line="560" w:lineRule="atLeast"/>
        <w:ind w:firstLineChars="200" w:firstLine="640"/>
        <w:rPr>
          <w:rFonts w:ascii="宋体" w:eastAsia="方正仿宋简体" w:cs="方正仿宋简体" w:hAnsi="方正仿宋简体" w:hint="eastAsia"/>
          <w:color w:val="000000"/>
          <w:sz w:val="32"/>
          <w:szCs w:val="32"/>
          <w:lang w:bidi="ar-SA"/>
        </w:rPr>
      </w:pPr>
      <w:r>
        <w:rPr>
          <w:rFonts w:ascii="宋体" w:eastAsia="方正仿宋简体" w:cs="方正仿宋简体" w:hAnsi="方正仿宋简体" w:hint="eastAsia"/>
          <w:color w:val="000000"/>
          <w:sz w:val="32"/>
          <w:szCs w:val="32"/>
          <w:lang w:bidi="ar-SA"/>
        </w:rPr>
        <w:t>（1）深入实施农业社会化服务惠农工程。为满足群众春耕、夏播农资需要，遵化市供销生产资料有限公司等企业，提前组织货源、扩大采购、充分准备农资，保障市场供应，稳定市场价格。通过微信、电话等方式与各乡镇农资网点、庄稼医院、农户取得联系，根据农民所需直接安排配送人员把农资送到村口、田间，这样既解决了疫情期间不接触、不传播，又解决不误农忙时施肥。截止到目前，共销售农资化肥17800吨，农药220吨，农膜160吨，供应花生种20万斤。</w:t>
      </w:r>
    </w:p>
    <w:p>
      <w:pPr>
        <w:adjustRightInd w:val="0"/>
        <w:snapToGrid w:val="0"/>
        <w:spacing w:line="560" w:lineRule="atLeast"/>
        <w:ind w:firstLineChars="200" w:firstLine="640"/>
        <w:rPr>
          <w:rFonts w:ascii="宋体" w:eastAsia="方正仿宋简体" w:cs="方正仿宋简体" w:hAnsi="方正仿宋简体" w:hint="eastAsia"/>
          <w:color w:val="000000"/>
          <w:sz w:val="32"/>
          <w:szCs w:val="32"/>
          <w:lang w:bidi="ar-SA"/>
        </w:rPr>
      </w:pPr>
      <w:r>
        <w:rPr>
          <w:rFonts w:ascii="宋体" w:eastAsia="方正仿宋简体" w:cs="方正仿宋简体" w:hAnsi="方正仿宋简体" w:hint="eastAsia"/>
          <w:color w:val="000000"/>
          <w:sz w:val="32"/>
          <w:szCs w:val="32"/>
          <w:lang w:bidi="ar-SA"/>
        </w:rPr>
        <w:t>（2）继续创新农业生产服务方式。积极开展土地托管、代耕代种、统防统治等全程服务。截止到目前，全系统托管土地服务面积累计达到15.3万亩，同比增增长16.79%。半托管涉及到团瓢庄乡、建明镇等8个乡镇，提举庄村、东黎河庄村等80多个村，可直接带动农户6500余户。通过土地托管整合了土地资源，使土地发挥更大的经济效益，有效减少农民土地经营成本支出，增加农民劳务收入。</w:t>
      </w:r>
    </w:p>
    <w:p>
      <w:pPr>
        <w:adjustRightInd w:val="0"/>
        <w:snapToGrid w:val="0"/>
        <w:spacing w:line="560" w:lineRule="atLeast"/>
        <w:ind w:firstLineChars="200" w:firstLine="640"/>
        <w:rPr>
          <w:rFonts w:ascii="方正楷体简体" w:eastAsia="方正楷体简体" w:cs="方正楷体简体" w:hAnsi="方正楷体简体" w:hint="eastAsia"/>
          <w:color w:val="000000"/>
          <w:sz w:val="32"/>
          <w:szCs w:val="32"/>
          <w:lang w:bidi="ar-SA"/>
        </w:rPr>
      </w:pPr>
      <w:r>
        <w:rPr>
          <w:rFonts w:ascii="方正楷体简体" w:eastAsia="方正楷体简体" w:cs="方正楷体简体" w:hAnsi="方正楷体简体" w:hint="eastAsia"/>
          <w:color w:val="000000"/>
          <w:sz w:val="32"/>
          <w:szCs w:val="32"/>
          <w:lang w:bidi="ar-SA"/>
        </w:rPr>
        <w:t>3.规范基层社建设，推进基层合作组织健康发展</w:t>
      </w:r>
    </w:p>
    <w:p>
      <w:pPr>
        <w:adjustRightInd w:val="0"/>
        <w:snapToGrid w:val="0"/>
        <w:spacing w:line="560" w:lineRule="atLeast"/>
        <w:ind w:firstLineChars="200" w:firstLine="640"/>
        <w:rPr>
          <w:rFonts w:ascii="宋体" w:eastAsia="方正仿宋简体" w:cs="方正仿宋简体" w:hAnsi="方正仿宋简体" w:hint="eastAsia"/>
          <w:color w:val="000000"/>
          <w:sz w:val="32"/>
          <w:szCs w:val="32"/>
          <w:lang w:bidi="ar-SA"/>
        </w:rPr>
      </w:pPr>
      <w:r>
        <w:rPr>
          <w:rFonts w:ascii="宋体" w:eastAsia="方正仿宋简体" w:cs="方正仿宋简体" w:hAnsi="方正仿宋简体" w:hint="eastAsia"/>
          <w:color w:val="000000"/>
          <w:sz w:val="32"/>
          <w:szCs w:val="32"/>
          <w:lang w:bidi="ar-SA"/>
        </w:rPr>
        <w:t>积极组织对我市已注册的新型乡镇供销社、联合社进行检查和督导，完善各项规章制度、标识上墙、文字档案等，推动基层社扩面、提质、增效，深化新型乡镇供销社建设，促进基层社发展壮大，实现农业增产，农民增收。我社荣获“全国百强县级社”荣誉称号，遵化镇供销合作社和团瓢庄乡供销合作社紧紧围绕我社的工作部署，不断提升供销合作事业的发展，取得了“标杆基层社”荣誉称号。</w:t>
      </w:r>
    </w:p>
    <w:p>
      <w:pPr>
        <w:adjustRightInd w:val="0"/>
        <w:snapToGrid w:val="0"/>
        <w:spacing w:line="560" w:lineRule="atLeast"/>
        <w:ind w:firstLineChars="200" w:firstLine="640"/>
        <w:rPr>
          <w:rFonts w:ascii="方正楷体简体" w:eastAsia="方正楷体简体" w:cs="方正楷体简体" w:hAnsi="方正楷体简体" w:hint="eastAsia"/>
          <w:color w:val="000000"/>
          <w:sz w:val="32"/>
          <w:szCs w:val="32"/>
          <w:lang w:bidi="ar-SA"/>
        </w:rPr>
      </w:pPr>
      <w:r>
        <w:rPr>
          <w:rFonts w:ascii="方正楷体简体" w:eastAsia="方正楷体简体" w:cs="方正楷体简体" w:hAnsi="方正楷体简体" w:hint="eastAsia"/>
          <w:color w:val="000000"/>
          <w:sz w:val="32"/>
          <w:szCs w:val="32"/>
          <w:lang w:bidi="ar-SA"/>
        </w:rPr>
        <w:t>4.加快推进传统流通网络改革，研究推进线上线下融合发展</w:t>
      </w:r>
    </w:p>
    <w:p>
      <w:pPr>
        <w:adjustRightInd w:val="0"/>
        <w:snapToGrid w:val="0"/>
        <w:spacing w:line="560" w:lineRule="atLeast"/>
        <w:ind w:firstLineChars="200" w:firstLine="640"/>
        <w:rPr>
          <w:rFonts w:ascii="宋体" w:eastAsia="方正仿宋简体" w:cs="方正仿宋简体" w:hAnsi="方正仿宋简体" w:hint="eastAsia"/>
          <w:color w:val="000000"/>
          <w:sz w:val="32"/>
          <w:szCs w:val="32"/>
          <w:lang w:bidi="ar-SA"/>
        </w:rPr>
      </w:pPr>
      <w:r>
        <w:rPr>
          <w:rFonts w:ascii="宋体" w:eastAsia="方正仿宋简体" w:cs="方正仿宋简体" w:hAnsi="方正仿宋简体" w:hint="eastAsia"/>
          <w:color w:val="000000"/>
          <w:sz w:val="32"/>
          <w:szCs w:val="32"/>
          <w:lang w:bidi="ar-SA"/>
        </w:rPr>
        <w:t>为应对疫情防控常态化前提下流通新特点，创新流通方式，畅通工业品下乡、农产品进城双向流通渠道。遵化市供销电子商务有限公司加快发展网上商城、社区团购、直播带货、无接触配送等新业态新模式。销售米、面、油、果蔬等日用品共计3600万元。遵化市秀东农民专业社联合社利用网上为农销售香白杏2.5万斤，销售额25多万元，为农增收7.5万余元。</w:t>
      </w:r>
    </w:p>
    <w:p>
      <w:pPr>
        <w:adjustRightInd w:val="0"/>
        <w:snapToGrid w:val="0"/>
        <w:spacing w:line="560" w:lineRule="atLeast"/>
        <w:ind w:firstLineChars="200" w:firstLine="640"/>
        <w:rPr>
          <w:rFonts w:ascii="方正楷体简体" w:eastAsia="方正楷体简体" w:cs="方正楷体简体" w:hAnsi="方正楷体简体" w:hint="eastAsia"/>
          <w:color w:val="000000"/>
          <w:sz w:val="32"/>
          <w:szCs w:val="32"/>
          <w:lang w:bidi="ar-SA"/>
        </w:rPr>
      </w:pPr>
      <w:r>
        <w:rPr>
          <w:rFonts w:ascii="方正楷体简体" w:eastAsia="方正楷体简体" w:cs="方正楷体简体" w:hAnsi="方正楷体简体" w:hint="eastAsia"/>
          <w:color w:val="000000"/>
          <w:sz w:val="32"/>
          <w:szCs w:val="32"/>
          <w:lang w:bidi="ar-SA"/>
        </w:rPr>
        <w:t>5.积极组织开展农村产权交易业务知识培训班</w:t>
      </w:r>
    </w:p>
    <w:p>
      <w:pPr>
        <w:adjustRightInd w:val="0"/>
        <w:snapToGrid w:val="0"/>
        <w:spacing w:line="560" w:lineRule="atLeast"/>
        <w:ind w:firstLineChars="200" w:firstLine="640"/>
        <w:rPr>
          <w:rFonts w:ascii="宋体" w:eastAsia="方正仿宋简体" w:cs="方正仿宋简体" w:hAnsi="方正仿宋简体" w:hint="eastAsia"/>
          <w:color w:val="000000"/>
          <w:sz w:val="32"/>
          <w:szCs w:val="32"/>
          <w:lang w:bidi="ar-SA"/>
        </w:rPr>
      </w:pPr>
      <w:r>
        <w:rPr>
          <w:rFonts w:ascii="宋体" w:eastAsia="方正仿宋简体" w:cs="方正仿宋简体" w:hAnsi="方正仿宋简体" w:hint="eastAsia"/>
          <w:color w:val="000000"/>
          <w:sz w:val="32"/>
          <w:szCs w:val="32"/>
          <w:lang w:bidi="ar-SA"/>
        </w:rPr>
        <w:t>为配合乡镇机构改革，按照市行政审批局的统一安排，对我市25个乡镇农村产权交易服务站工作人员（共60余人）开展乡镇公共服务职能进行业务培训，重点讲解了农村产权交易流程、农村产权交易平台的使用方法、乡镇服务站如何登</w:t>
      </w:r>
      <w:r>
        <w:rPr>
          <w:rFonts w:ascii="宋体" w:eastAsia="方正仿宋简体" w:cs="方正仿宋简体" w:hAnsi="方正仿宋简体"/>
          <w:color w:val="000000"/>
          <w:sz w:val="32"/>
          <w:szCs w:val="32"/>
          <w:lang w:bidi="ar-SA"/>
        </w:rPr>
        <w:t>录</w:t>
      </w:r>
      <w:r>
        <w:rPr>
          <w:rFonts w:ascii="宋体" w:eastAsia="方正仿宋简体" w:cs="方正仿宋简体" w:hAnsi="方正仿宋简体" w:hint="eastAsia"/>
          <w:color w:val="000000"/>
          <w:sz w:val="32"/>
          <w:szCs w:val="32"/>
          <w:lang w:bidi="ar-SA"/>
        </w:rPr>
        <w:t>进入后台发布交易信息等内容。明确了在整个交易流程中乡镇服务站的职责，为以后农村产权交易业务的开展奠定了坚实基础。为更好地推进乡镇农村产权交易服务，分别给全市25个乡镇配送农村产权交易服务专用办公电脑一台，进一步推进农村产权交易信息的互通共享建设。</w:t>
      </w:r>
    </w:p>
    <w:p>
      <w:pPr>
        <w:adjustRightInd w:val="0"/>
        <w:snapToGrid w:val="0"/>
        <w:spacing w:line="560" w:lineRule="atLeast"/>
        <w:ind w:firstLineChars="200" w:firstLine="640"/>
        <w:rPr>
          <w:rFonts w:ascii="方正楷体简体" w:eastAsia="方正楷体简体" w:cs="方正楷体简体" w:hAnsi="方正楷体简体" w:hint="eastAsia"/>
          <w:color w:val="000000"/>
          <w:sz w:val="32"/>
          <w:szCs w:val="32"/>
          <w:lang w:bidi="ar-SA"/>
        </w:rPr>
      </w:pPr>
      <w:r>
        <w:rPr>
          <w:rFonts w:ascii="方正楷体简体" w:eastAsia="方正楷体简体" w:cs="方正楷体简体" w:hAnsi="方正楷体简体" w:hint="eastAsia"/>
          <w:color w:val="000000"/>
          <w:sz w:val="32"/>
          <w:szCs w:val="32"/>
          <w:lang w:bidi="ar-SA"/>
        </w:rPr>
        <w:t>6.积极开展消费扶贫工作</w:t>
      </w:r>
    </w:p>
    <w:p>
      <w:pPr>
        <w:adjustRightInd w:val="0"/>
        <w:snapToGrid w:val="0"/>
        <w:spacing w:line="560" w:lineRule="atLeast"/>
        <w:ind w:firstLineChars="200" w:firstLine="640"/>
        <w:rPr>
          <w:rFonts w:ascii="宋体" w:eastAsia="方正仿宋简体" w:cs="方正仿宋简体" w:hAnsi="方正仿宋简体" w:hint="eastAsia"/>
          <w:color w:val="000000"/>
          <w:sz w:val="32"/>
          <w:szCs w:val="32"/>
          <w:lang w:bidi="ar-SA"/>
        </w:rPr>
      </w:pPr>
      <w:r>
        <w:rPr>
          <w:rFonts w:ascii="宋体" w:eastAsia="方正仿宋简体" w:cs="方正仿宋简体" w:hAnsi="方正仿宋简体" w:hint="eastAsia"/>
          <w:color w:val="000000"/>
          <w:sz w:val="32"/>
          <w:szCs w:val="32"/>
          <w:lang w:bidi="ar-SA"/>
        </w:rPr>
        <w:t>一是依托遵化市供销电子商务有限公司发挥供销社联结产销两端的组织体系和经营网络优势，采取线上线下相结合，开展形式多样的产销对接活动，促进贫困地区农副产品销售。在扶贫日、农民丰收节等节庆日，举办各类形式多样的产销对接活动，推介、展示、销售贫困户农产品。并积极与河北省唐山市供销电子商务有限公司对接，组织遵化农产品企业进入平台销售贫困户农产品。遵化市供销电子商务有限公司帮助贫困户销售米、面、油91万元，涉及农户1200户，为农增收14万元。二是利用新型乡镇供销社和遵化市新合作商贸有限公司，与供销社联系密切的农民专业合作社联合社、农民专业合作社对贫困户产品进行销售，开展“买产品、献爱心、促脱贫”消费扶贫活动，开设消费扶贫专柜，方便消费者为贫困地区贫困群众奉献爱心。新店子镇供销社在花卉苗木、农资、土地托管等方面为贫困户增收35万元。新益农民专业合作社联合社扶持50户贫困户发展香菇种植，收购香菇600万元，为贫困户增收24万元。遵化市天方圆香白杏种植专业合作社帮扶贫困户销售香白杏、香蕉梨185万元，涉及460户，为农增收13万元。遵化镇供销合作社在疫情期间通过电商平台帮助农民销售疫情期间滞销的3万斤红薯。</w:t>
      </w:r>
    </w:p>
    <w:p>
      <w:pPr>
        <w:spacing w:line="600" w:lineRule="atLeast"/>
        <w:ind w:firstLineChars="200" w:firstLine="640"/>
        <w:rPr>
          <w:rFonts w:ascii="宋体" w:eastAsia="黑体" w:hAnsi="黑体" w:hint="eastAsia"/>
          <w:sz w:val="32"/>
          <w:szCs w:val="32"/>
        </w:rPr>
      </w:pPr>
      <w:r>
        <w:rPr>
          <w:rFonts w:ascii="宋体" w:eastAsia="黑体" w:hAnsi="黑体"/>
          <w:sz w:val="32"/>
          <w:szCs w:val="32"/>
        </w:rPr>
        <w:t>五、存在的问题</w:t>
      </w:r>
    </w:p>
    <w:p>
      <w:pPr>
        <w:snapToGrid w:val="0"/>
        <w:spacing w:line="570" w:lineRule="exact"/>
        <w:ind w:firstLineChars="200" w:firstLine="640"/>
        <w:rPr>
          <w:rFonts w:ascii="宋体" w:eastAsia="仿宋" w:hAnsi="仿宋" w:hint="eastAsia"/>
          <w:sz w:val="32"/>
          <w:szCs w:val="32"/>
        </w:rPr>
      </w:pPr>
      <w:r>
        <w:rPr>
          <w:rFonts w:ascii="宋体" w:eastAsia="仿宋" w:hAnsi="仿宋" w:hint="eastAsia"/>
          <w:bCs/>
          <w:sz w:val="32"/>
          <w:szCs w:val="32"/>
        </w:rPr>
        <w:t>今后</w:t>
      </w:r>
      <w:r>
        <w:rPr>
          <w:rFonts w:ascii="宋体" w:eastAsia="仿宋" w:hAnsi="仿宋" w:hint="eastAsia"/>
          <w:sz w:val="32"/>
          <w:szCs w:val="32"/>
        </w:rPr>
        <w:t>我</w:t>
      </w:r>
      <w:r>
        <w:rPr>
          <w:rFonts w:ascii="宋体" w:eastAsia="仿宋" w:hAnsi="仿宋" w:hint="eastAsia"/>
          <w:sz w:val="32"/>
          <w:szCs w:val="32"/>
          <w:lang w:val="en-US" w:eastAsia="zh-CN"/>
        </w:rPr>
        <w:t>社</w:t>
      </w:r>
      <w:r>
        <w:rPr>
          <w:rFonts w:ascii="宋体" w:eastAsia="仿宋" w:hAnsi="仿宋" w:hint="eastAsia"/>
          <w:sz w:val="32"/>
          <w:szCs w:val="32"/>
        </w:rPr>
        <w:t>将进一步完善部门整体绩效目标，项目绩效目标，严格预算管理、决算管理,严格执行年度预算,推进绩效预算管理，提高财政资金使用效益。</w:t>
      </w:r>
    </w:p>
    <w:p>
      <w:pPr>
        <w:spacing w:line="600" w:lineRule="atLeast"/>
        <w:ind w:firstLineChars="200" w:firstLine="640"/>
        <w:rPr>
          <w:rFonts w:ascii="宋体" w:eastAsia="黑体" w:hAnsi="黑体" w:hint="eastAsia"/>
          <w:sz w:val="32"/>
          <w:szCs w:val="32"/>
        </w:rPr>
      </w:pPr>
      <w:r>
        <w:rPr>
          <w:rFonts w:ascii="宋体" w:eastAsia="黑体" w:hAnsi="黑体" w:hint="eastAsia"/>
          <w:sz w:val="32"/>
          <w:szCs w:val="32"/>
        </w:rPr>
        <w:t>六、相关</w:t>
      </w:r>
      <w:r>
        <w:rPr>
          <w:rFonts w:ascii="宋体" w:eastAsia="黑体" w:hAnsi="黑体"/>
          <w:sz w:val="32"/>
          <w:szCs w:val="32"/>
        </w:rPr>
        <w:t>建议</w:t>
      </w:r>
    </w:p>
    <w:p>
      <w:pPr>
        <w:spacing w:line="600" w:lineRule="atLeast"/>
        <w:ind w:firstLineChars="200" w:firstLine="640"/>
        <w:rPr>
          <w:rFonts w:ascii="宋体" w:eastAsia="仿宋" w:hAnsi="仿宋" w:hint="eastAsia"/>
          <w:bCs/>
          <w:sz w:val="32"/>
          <w:szCs w:val="32"/>
        </w:rPr>
      </w:pPr>
      <w:r>
        <w:rPr>
          <w:rFonts w:ascii="宋体" w:eastAsia="仿宋" w:hAnsi="仿宋" w:hint="eastAsia"/>
          <w:bCs/>
          <w:sz w:val="32"/>
          <w:szCs w:val="32"/>
        </w:rPr>
        <w:t>无相关建议。</w:t>
      </w:r>
    </w:p>
    <w:p>
      <w:pPr>
        <w:widowControl/>
        <w:spacing w:line="600" w:lineRule="atLeast"/>
        <w:jc w:val="left"/>
        <w:rPr>
          <w:rFonts w:hint="eastAsia"/>
          <w:sz w:val="32"/>
          <w:szCs w:val="32"/>
        </w:rPr>
      </w:pPr>
    </w:p>
    <w:p>
      <w:pPr>
        <w:widowControl/>
        <w:spacing w:line="600" w:lineRule="atLeast"/>
        <w:jc w:val="left"/>
        <w:rPr>
          <w:rFonts w:hint="eastAsia"/>
          <w:sz w:val="32"/>
          <w:szCs w:val="32"/>
        </w:rPr>
      </w:pPr>
    </w:p>
    <w:p>
      <w:pPr>
        <w:widowControl/>
        <w:spacing w:line="600" w:lineRule="atLeast"/>
        <w:jc w:val="left"/>
        <w:rPr>
          <w:rFonts w:hint="eastAsia"/>
          <w:sz w:val="32"/>
          <w:szCs w:val="32"/>
        </w:rPr>
      </w:pPr>
    </w:p>
    <w:p>
      <w:pPr>
        <w:widowControl/>
        <w:spacing w:line="600" w:lineRule="atLeast"/>
        <w:jc w:val="left"/>
        <w:rPr>
          <w:rFonts w:hint="eastAsia"/>
          <w:sz w:val="32"/>
          <w:szCs w:val="32"/>
        </w:rPr>
      </w:pPr>
    </w:p>
    <w:p>
      <w:pPr>
        <w:widowControl/>
        <w:spacing w:line="600" w:lineRule="atLeast"/>
        <w:jc w:val="left"/>
        <w:rPr>
          <w:rFonts w:hint="eastAsia"/>
          <w:sz w:val="32"/>
          <w:szCs w:val="32"/>
        </w:rPr>
        <w:sectPr>
          <w:headerReference w:type="default" r:id="rId2"/>
          <w:footerReference w:type="default" r:id="rId3"/>
          <w:pgSz w:w="11906" w:h="16838"/>
          <w:pgMar w:top="1440" w:right="1800" w:bottom="1440" w:left="1800" w:header="851" w:footer="992" w:gutter="0"/>
          <w:pgNumType/>
          <w:docGrid w:type="lines" w:linePitch="312" w:charSpace="0"/>
        </w:sectPr>
      </w:pPr>
    </w:p>
    <w:tbl>
      <w:tblPr>
        <w:jc w:val="left"/>
        <w:tblInd w:w="93" w:type="dxa"/>
        <w:tblW w:w="14697"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457"/>
        <w:gridCol w:w="1961"/>
        <w:gridCol w:w="2746"/>
        <w:gridCol w:w="1340"/>
        <w:gridCol w:w="1203"/>
        <w:gridCol w:w="4830"/>
        <w:gridCol w:w="2160"/>
      </w:tblGrid>
      <w:tr>
        <w:trPr>
          <w:trHeight w:val="464"/>
        </w:trPr>
        <w:tc>
          <w:tcPr>
            <w:tcW w:w="14697" w:type="dxa"/>
            <w:gridSpan w:val="7"/>
            <w:tcBorders>
              <w:top w:val="nil"/>
              <w:left w:val="nil"/>
              <w:bottom w:val="nil"/>
              <w:right w:val="nil"/>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等线" w:eastAsia="等线" w:cs="宋体" w:hAnsi="等线" w:hint="eastAsia"/>
                <w:color w:val="000000"/>
                <w:kern w:val="0"/>
                <w:sz w:val="32"/>
                <w:szCs w:val="32"/>
                <w:lang w:bidi="ar-SA"/>
              </w:rPr>
            </w:pPr>
            <w:r>
              <w:rPr>
                <w:rFonts w:ascii="仿宋" w:eastAsia="仿宋" w:cs="仿宋" w:hAnsi="仿宋" w:hint="eastAsia"/>
                <w:color w:val="000000"/>
                <w:kern w:val="0"/>
                <w:sz w:val="32"/>
                <w:szCs w:val="32"/>
                <w:lang w:bidi="ar-SA"/>
              </w:rPr>
              <w:t>附件：2</w:t>
            </w:r>
          </w:p>
        </w:tc>
      </w:tr>
      <w:tr>
        <w:trPr>
          <w:trHeight w:val="534"/>
        </w:trPr>
        <w:tc>
          <w:tcPr>
            <w:tcW w:w="14697" w:type="dxa"/>
            <w:gridSpan w:val="7"/>
            <w:tcBorders>
              <w:top w:val="nil"/>
              <w:left w:val="nil"/>
              <w:bottom w:val="nil"/>
              <w:right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等线" w:eastAsia="等线" w:cs="宋体" w:hAnsi="等线" w:hint="eastAsia"/>
                <w:color w:val="000000"/>
                <w:kern w:val="0"/>
                <w:sz w:val="32"/>
                <w:szCs w:val="32"/>
                <w:lang w:bidi="ar-SA"/>
              </w:rPr>
            </w:pPr>
            <w:r>
              <w:rPr>
                <w:rFonts w:ascii="等线" w:eastAsia="等线" w:cs="宋体" w:hAnsi="等线" w:hint="eastAsia"/>
                <w:color w:val="000000"/>
                <w:kern w:val="0"/>
                <w:sz w:val="32"/>
                <w:szCs w:val="32"/>
                <w:lang w:bidi="ar-SA"/>
              </w:rPr>
              <w:t xml:space="preserve">2020年绩效评价信息汇总表                                                                                         </w:t>
            </w:r>
          </w:p>
        </w:tc>
      </w:tr>
      <w:tr>
        <w:trPr>
          <w:trHeight w:val="311"/>
        </w:trPr>
        <w:tc>
          <w:tcPr>
            <w:tcW w:w="14697" w:type="dxa"/>
            <w:gridSpan w:val="7"/>
            <w:tcBorders>
              <w:top w:val="nil"/>
              <w:left w:val="nil"/>
              <w:bottom w:val="nil"/>
              <w:right w:val="nil"/>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等线" w:eastAsia="等线" w:cs="宋体" w:hAnsi="等线" w:hint="eastAsia"/>
                <w:color w:val="000000"/>
                <w:kern w:val="0"/>
                <w:sz w:val="16"/>
                <w:szCs w:val="16"/>
                <w:lang w:bidi="ar-SA"/>
              </w:rPr>
            </w:pPr>
            <w:r>
              <w:rPr>
                <w:rFonts w:ascii="等线" w:eastAsia="等线" w:cs="宋体" w:hAnsi="等线" w:hint="eastAsia"/>
                <w:color w:val="000000"/>
                <w:kern w:val="0"/>
                <w:sz w:val="16"/>
                <w:szCs w:val="16"/>
                <w:lang w:bidi="ar-SA"/>
              </w:rPr>
              <w:t xml:space="preserve">   注：含一般公共预算和政府基金项目                                                                                  </w:t>
            </w:r>
            <w:r>
              <w:rPr>
                <w:rFonts w:ascii="等线" w:eastAsia="等线" w:cs="宋体" w:hAnsi="等线" w:hint="eastAsia"/>
                <w:color w:val="000000"/>
                <w:kern w:val="0"/>
                <w:sz w:val="16"/>
                <w:szCs w:val="16"/>
                <w:lang w:val="en-US" w:eastAsia="zh-CN" w:bidi="ar-SA"/>
              </w:rPr>
              <w:t xml:space="preserve">                                     </w:t>
            </w:r>
            <w:r>
              <w:rPr>
                <w:rFonts w:ascii="等线" w:eastAsia="等线" w:cs="宋体" w:hAnsi="等线" w:hint="eastAsia"/>
                <w:color w:val="000000"/>
                <w:kern w:val="0"/>
                <w:sz w:val="16"/>
                <w:szCs w:val="16"/>
                <w:lang w:bidi="ar-SA"/>
              </w:rPr>
              <w:t xml:space="preserve">  单位：万元</w:t>
            </w:r>
          </w:p>
        </w:tc>
      </w:tr>
      <w:tr>
        <w:trPr>
          <w:trHeight w:val="748"/>
        </w:trPr>
        <w:tc>
          <w:tcPr>
            <w:tcW w:w="457"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eastAsia="方正仿宋简体" w:cs="宋体" w:hAnsi="方正仿宋简体" w:hint="eastAsia"/>
                <w:color w:val="000000"/>
                <w:kern w:val="0"/>
                <w:sz w:val="22"/>
                <w:lang w:bidi="ar-SA"/>
              </w:rPr>
            </w:pPr>
            <w:r>
              <w:rPr>
                <w:rFonts w:ascii="宋体" w:eastAsia="方正仿宋简体" w:cs="宋体" w:hAnsi="方正仿宋简体" w:hint="eastAsia"/>
                <w:color w:val="000000"/>
                <w:kern w:val="0"/>
                <w:sz w:val="22"/>
                <w:lang w:bidi="ar-SA"/>
              </w:rPr>
              <w:t>序号</w:t>
            </w:r>
          </w:p>
        </w:tc>
        <w:tc>
          <w:tcPr>
            <w:tcW w:w="1961" w:type="dxa"/>
            <w:tcBorders>
              <w:top w:val="single" w:sz="4" w:space="0" w:color="auto"/>
              <w:left w:val="nil"/>
              <w:bottom w:val="single" w:sz="4" w:space="0" w:color="auto"/>
              <w:right w:val="single" w:sz="4" w:space="0" w:color="auto"/>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eastAsia="方正仿宋简体" w:cs="宋体" w:hAnsi="方正仿宋简体" w:hint="eastAsia"/>
                <w:color w:val="000000"/>
                <w:kern w:val="0"/>
                <w:sz w:val="22"/>
                <w:lang w:bidi="ar-SA"/>
              </w:rPr>
            </w:pPr>
            <w:r>
              <w:rPr>
                <w:rFonts w:ascii="宋体" w:eastAsia="方正仿宋简体" w:cs="宋体" w:hAnsi="方正仿宋简体" w:hint="eastAsia"/>
                <w:color w:val="000000"/>
                <w:kern w:val="0"/>
                <w:sz w:val="22"/>
                <w:lang w:bidi="ar-SA"/>
              </w:rPr>
              <w:t>单位名称</w:t>
            </w:r>
          </w:p>
        </w:tc>
        <w:tc>
          <w:tcPr>
            <w:tcW w:w="2746" w:type="dxa"/>
            <w:tcBorders>
              <w:top w:val="single" w:sz="4" w:space="0" w:color="auto"/>
              <w:left w:val="nil"/>
              <w:bottom w:val="single" w:sz="4" w:space="0" w:color="auto"/>
              <w:right w:val="single" w:sz="4" w:space="0" w:color="auto"/>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eastAsia="方正仿宋简体" w:cs="宋体" w:hAnsi="方正仿宋简体" w:hint="eastAsia"/>
                <w:color w:val="000000"/>
                <w:kern w:val="0"/>
                <w:sz w:val="22"/>
                <w:lang w:bidi="ar-SA"/>
              </w:rPr>
            </w:pPr>
            <w:r>
              <w:rPr>
                <w:rFonts w:ascii="宋体" w:eastAsia="方正仿宋简体" w:cs="宋体" w:hAnsi="方正仿宋简体" w:hint="eastAsia"/>
                <w:color w:val="000000"/>
                <w:kern w:val="0"/>
                <w:sz w:val="22"/>
                <w:lang w:bidi="ar-SA"/>
              </w:rPr>
              <w:t>项目名称</w:t>
            </w:r>
          </w:p>
        </w:tc>
        <w:tc>
          <w:tcPr>
            <w:tcW w:w="1340" w:type="dxa"/>
            <w:tcBorders>
              <w:top w:val="single" w:sz="4" w:space="0" w:color="auto"/>
              <w:left w:val="nil"/>
              <w:bottom w:val="single" w:sz="4" w:space="0" w:color="auto"/>
              <w:right w:val="single" w:sz="4" w:space="0" w:color="auto"/>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eastAsia="方正仿宋简体" w:cs="宋体" w:hAnsi="方正仿宋简体" w:hint="eastAsia"/>
                <w:color w:val="000000"/>
                <w:kern w:val="0"/>
                <w:sz w:val="22"/>
                <w:lang w:eastAsia="zh-CN" w:bidi="ar-SA"/>
              </w:rPr>
            </w:pPr>
            <w:r>
              <w:rPr>
                <w:rFonts w:ascii="宋体" w:eastAsia="方正仿宋简体" w:cs="宋体" w:hAnsi="方正仿宋简体" w:hint="eastAsia"/>
                <w:color w:val="000000"/>
                <w:kern w:val="0"/>
                <w:sz w:val="22"/>
                <w:lang w:bidi="ar-SA"/>
              </w:rPr>
              <w:t>预算数</w:t>
            </w:r>
            <w:r>
              <w:rPr>
                <w:rFonts w:ascii="宋体" w:eastAsia="方正仿宋简体" w:cs="宋体" w:hAnsi="方正仿宋简体" w:hint="eastAsia"/>
                <w:color w:val="000000"/>
                <w:kern w:val="0"/>
                <w:sz w:val="22"/>
                <w:lang w:eastAsia="zh-CN" w:bidi="ar-SA"/>
              </w:rPr>
              <w:t>（</w:t>
            </w:r>
            <w:r>
              <w:rPr>
                <w:rFonts w:ascii="宋体" w:eastAsia="方正仿宋简体" w:cs="宋体" w:hAnsi="方正仿宋简体" w:hint="eastAsia"/>
                <w:color w:val="000000"/>
                <w:kern w:val="0"/>
                <w:sz w:val="22"/>
                <w:lang w:val="en-US" w:eastAsia="zh-CN" w:bidi="ar-SA"/>
              </w:rPr>
              <w:t>含调整数</w:t>
            </w:r>
            <w:r>
              <w:rPr>
                <w:rFonts w:ascii="宋体" w:eastAsia="方正仿宋简体" w:cs="宋体" w:hAnsi="方正仿宋简体" w:hint="eastAsia"/>
                <w:color w:val="000000"/>
                <w:kern w:val="0"/>
                <w:sz w:val="22"/>
                <w:lang w:eastAsia="zh-CN" w:bidi="ar-SA"/>
              </w:rPr>
              <w:t>）</w:t>
            </w:r>
          </w:p>
        </w:tc>
        <w:tc>
          <w:tcPr>
            <w:tcW w:w="1203" w:type="dxa"/>
            <w:tcBorders>
              <w:top w:val="single" w:sz="4" w:space="0" w:color="auto"/>
              <w:left w:val="nil"/>
              <w:bottom w:val="single" w:sz="4" w:space="0" w:color="auto"/>
              <w:right w:val="single" w:sz="4" w:space="0" w:color="auto"/>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eastAsia="方正仿宋简体" w:cs="宋体" w:hAnsi="方正仿宋简体" w:hint="eastAsia"/>
                <w:color w:val="000000"/>
                <w:kern w:val="0"/>
                <w:sz w:val="22"/>
                <w:lang w:bidi="ar-SA"/>
              </w:rPr>
            </w:pPr>
            <w:r>
              <w:rPr>
                <w:rFonts w:ascii="宋体" w:eastAsia="方正仿宋简体" w:cs="宋体" w:hAnsi="方正仿宋简体" w:hint="eastAsia"/>
                <w:color w:val="000000"/>
                <w:kern w:val="0"/>
                <w:sz w:val="22"/>
                <w:lang w:bidi="ar-SA"/>
              </w:rPr>
              <w:t>自评决算数</w:t>
            </w:r>
          </w:p>
        </w:tc>
        <w:tc>
          <w:tcPr>
            <w:tcW w:w="4830" w:type="dxa"/>
            <w:tcBorders>
              <w:top w:val="single" w:sz="4" w:space="0" w:color="auto"/>
              <w:left w:val="nil"/>
              <w:bottom w:val="single" w:sz="4" w:space="0" w:color="auto"/>
              <w:right w:val="single" w:sz="4" w:space="0" w:color="auto"/>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eastAsia="方正仿宋简体" w:cs="宋体" w:hAnsi="方正仿宋简体" w:hint="eastAsia"/>
                <w:color w:val="000000"/>
                <w:kern w:val="0"/>
                <w:sz w:val="22"/>
                <w:lang w:bidi="ar-SA"/>
              </w:rPr>
            </w:pPr>
            <w:r>
              <w:rPr>
                <w:rFonts w:ascii="宋体" w:eastAsia="方正仿宋简体" w:cs="宋体" w:hAnsi="方正仿宋简体" w:hint="eastAsia"/>
                <w:color w:val="000000"/>
                <w:kern w:val="0"/>
                <w:sz w:val="22"/>
                <w:lang w:bidi="ar-SA"/>
              </w:rPr>
              <w:t>自评结论</w:t>
            </w:r>
          </w:p>
        </w:tc>
        <w:tc>
          <w:tcPr>
            <w:tcW w:w="2160" w:type="dxa"/>
            <w:tcBorders>
              <w:top w:val="single" w:sz="4" w:space="0" w:color="auto"/>
              <w:left w:val="nil"/>
              <w:bottom w:val="single" w:sz="4" w:space="0" w:color="auto"/>
              <w:right w:val="single" w:sz="4" w:space="0" w:color="auto"/>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eastAsia="方正仿宋简体" w:cs="宋体" w:hAnsi="方正仿宋简体" w:hint="eastAsia"/>
                <w:color w:val="000000"/>
                <w:kern w:val="0"/>
                <w:sz w:val="22"/>
                <w:lang w:bidi="ar-SA"/>
              </w:rPr>
            </w:pPr>
            <w:r>
              <w:rPr>
                <w:rFonts w:ascii="宋体" w:eastAsia="方正仿宋简体" w:cs="宋体" w:hAnsi="方正仿宋简体" w:hint="eastAsia"/>
                <w:color w:val="000000"/>
                <w:kern w:val="0"/>
                <w:sz w:val="22"/>
                <w:lang w:bidi="ar-SA"/>
              </w:rPr>
              <w:t>备</w:t>
            </w:r>
            <w:r>
              <w:rPr>
                <w:rFonts w:ascii="宋体" w:eastAsia="方正仿宋简体" w:cs="宋体" w:hAnsi="方正仿宋简体" w:hint="eastAsia"/>
                <w:color w:val="000000"/>
                <w:kern w:val="0"/>
                <w:sz w:val="22"/>
                <w:lang w:val="en-US" w:eastAsia="zh-CN" w:bidi="ar-SA"/>
              </w:rPr>
              <w:t xml:space="preserve"> </w:t>
            </w:r>
            <w:r>
              <w:rPr>
                <w:rFonts w:ascii="宋体" w:eastAsia="方正仿宋简体" w:cs="宋体" w:hAnsi="方正仿宋简体" w:hint="eastAsia"/>
                <w:color w:val="000000"/>
                <w:kern w:val="0"/>
                <w:sz w:val="22"/>
                <w:lang w:bidi="ar-SA"/>
              </w:rPr>
              <w:t>注</w:t>
            </w:r>
          </w:p>
        </w:tc>
      </w:tr>
      <w:tr>
        <w:trPr>
          <w:trHeight w:val="524"/>
        </w:trPr>
        <w:tc>
          <w:tcPr>
            <w:tcW w:w="5164" w:type="dxa"/>
            <w:gridSpan w:val="3"/>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eastAsia="方正仿宋简体" w:cs="宋体" w:hAnsi="方正仿宋简体" w:hint="eastAsia"/>
                <w:color w:val="000000"/>
                <w:kern w:val="0"/>
                <w:sz w:val="28"/>
                <w:szCs w:val="28"/>
                <w:lang w:bidi="ar-SA"/>
              </w:rPr>
            </w:pPr>
            <w:r>
              <w:rPr>
                <w:rFonts w:ascii="宋体" w:eastAsia="方正仿宋简体" w:cs="宋体" w:hAnsi="方正仿宋简体" w:hint="eastAsia"/>
                <w:color w:val="000000"/>
                <w:kern w:val="0"/>
                <w:sz w:val="28"/>
                <w:szCs w:val="28"/>
                <w:lang w:bidi="ar-SA"/>
              </w:rPr>
              <w:t>合</w:t>
            </w:r>
            <w:r>
              <w:rPr>
                <w:rFonts w:ascii="宋体" w:eastAsia="方正仿宋简体" w:cs="宋体" w:hAnsi="方正仿宋简体" w:hint="eastAsia"/>
                <w:color w:val="000000"/>
                <w:kern w:val="0"/>
                <w:sz w:val="28"/>
                <w:szCs w:val="28"/>
                <w:lang w:val="en-US" w:eastAsia="zh-CN" w:bidi="ar-SA"/>
              </w:rPr>
              <w:t xml:space="preserve">  </w:t>
            </w:r>
            <w:r>
              <w:rPr>
                <w:rFonts w:ascii="宋体" w:eastAsia="方正仿宋简体" w:cs="宋体" w:hAnsi="方正仿宋简体" w:hint="eastAsia"/>
                <w:color w:val="000000"/>
                <w:kern w:val="0"/>
                <w:sz w:val="28"/>
                <w:szCs w:val="28"/>
                <w:lang w:bidi="ar-SA"/>
              </w:rPr>
              <w:t>计</w:t>
            </w:r>
          </w:p>
        </w:tc>
        <w:tc>
          <w:tcPr>
            <w:tcW w:w="1340" w:type="dxa"/>
            <w:tcBorders>
              <w:top w:val="nil"/>
              <w:left w:val="nil"/>
              <w:bottom w:val="single" w:sz="4" w:space="0" w:color="auto"/>
              <w:right w:val="single" w:sz="4" w:space="0" w:color="auto"/>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eastAsia="方正仿宋简体" w:cs="宋体" w:hAnsi="方正仿宋简体"/>
                <w:color w:val="000000"/>
                <w:kern w:val="0"/>
                <w:sz w:val="22"/>
                <w:lang w:val="en-US" w:eastAsia="zh-CN" w:bidi="ar-SA"/>
              </w:rPr>
            </w:pPr>
            <w:r>
              <w:rPr>
                <w:rFonts w:ascii="宋体" w:eastAsia="方正仿宋简体" w:cs="宋体" w:hAnsi="方正仿宋简体" w:hint="eastAsia"/>
                <w:color w:val="000000"/>
                <w:kern w:val="0"/>
                <w:sz w:val="22"/>
                <w:lang w:val="en-US" w:eastAsia="zh-CN" w:bidi="ar-SA"/>
              </w:rPr>
              <w:t>2327.29</w:t>
            </w:r>
          </w:p>
        </w:tc>
        <w:tc>
          <w:tcPr>
            <w:tcW w:w="1203" w:type="dxa"/>
            <w:tcBorders>
              <w:top w:val="nil"/>
              <w:left w:val="nil"/>
              <w:bottom w:val="single" w:sz="4" w:space="0" w:color="auto"/>
              <w:right w:val="single" w:sz="4" w:space="0" w:color="auto"/>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eastAsia="方正仿宋简体" w:cs="宋体" w:hAnsi="方正仿宋简体"/>
                <w:color w:val="000000"/>
                <w:kern w:val="0"/>
                <w:sz w:val="22"/>
                <w:lang w:val="en-US" w:eastAsia="zh-CN" w:bidi="ar-SA"/>
              </w:rPr>
            </w:pPr>
            <w:r>
              <w:rPr>
                <w:rFonts w:ascii="宋体" w:eastAsia="方正仿宋简体" w:cs="宋体" w:hAnsi="方正仿宋简体" w:hint="eastAsia"/>
                <w:color w:val="000000"/>
                <w:kern w:val="0"/>
                <w:sz w:val="22"/>
                <w:lang w:val="en-US" w:eastAsia="zh-CN" w:bidi="ar-SA"/>
              </w:rPr>
              <w:t>2324.11</w:t>
            </w:r>
          </w:p>
        </w:tc>
        <w:tc>
          <w:tcPr>
            <w:tcW w:w="4830" w:type="dxa"/>
            <w:tcBorders>
              <w:top w:val="nil"/>
              <w:left w:val="nil"/>
              <w:bottom w:val="single" w:sz="4" w:space="0" w:color="auto"/>
              <w:right w:val="single" w:sz="4" w:space="0" w:color="auto"/>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eastAsia="方正仿宋简体" w:cs="宋体" w:hAnsi="方正仿宋简体" w:hint="eastAsia"/>
                <w:color w:val="000000"/>
                <w:kern w:val="0"/>
                <w:sz w:val="22"/>
                <w:lang w:bidi="ar-SA"/>
              </w:rPr>
            </w:pPr>
            <w:r>
              <w:rPr>
                <w:rFonts w:ascii="宋体" w:eastAsia="方正仿宋简体" w:cs="宋体" w:hAnsi="方正仿宋简体" w:hint="eastAsia"/>
                <w:color w:val="000000"/>
                <w:kern w:val="0"/>
                <w:sz w:val="22"/>
                <w:lang w:bidi="ar-SA"/>
              </w:rPr>
              <w:t>　</w:t>
            </w:r>
          </w:p>
        </w:tc>
        <w:tc>
          <w:tcPr>
            <w:tcW w:w="2160" w:type="dxa"/>
            <w:tcBorders>
              <w:top w:val="nil"/>
              <w:left w:val="nil"/>
              <w:bottom w:val="single" w:sz="4" w:space="0" w:color="auto"/>
              <w:right w:val="single" w:sz="4" w:space="0" w:color="auto"/>
              <w:tl2br w:val="nil"/>
              <w:tr2bl w:val="nil"/>
            </w:tcBorders>
            <w:noWrap/>
            <w:vAlign w:val="bottom"/>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宋体" w:eastAsia="方正仿宋简体" w:cs="宋体" w:hAnsi="方正仿宋简体" w:hint="eastAsia"/>
                <w:color w:val="000000"/>
                <w:kern w:val="0"/>
                <w:sz w:val="22"/>
                <w:lang w:bidi="ar-SA"/>
              </w:rPr>
            </w:pPr>
            <w:r>
              <w:rPr>
                <w:rFonts w:ascii="宋体" w:eastAsia="方正仿宋简体" w:cs="宋体" w:hAnsi="方正仿宋简体" w:hint="eastAsia"/>
                <w:color w:val="000000"/>
                <w:kern w:val="0"/>
                <w:sz w:val="22"/>
                <w:lang w:bidi="ar-SA"/>
              </w:rPr>
              <w:t>　</w:t>
            </w:r>
          </w:p>
        </w:tc>
      </w:tr>
      <w:tr>
        <w:trPr>
          <w:trHeight w:val="631"/>
        </w:trPr>
        <w:tc>
          <w:tcPr>
            <w:tcW w:w="457" w:type="dxa"/>
            <w:tcBorders>
              <w:top w:val="nil"/>
              <w:left w:val="single" w:sz="4" w:space="0" w:color="auto"/>
              <w:bottom w:val="single" w:sz="4" w:space="0" w:color="auto"/>
              <w:right w:val="single" w:sz="4" w:space="0" w:color="auto"/>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eastAsia="方正仿宋简体" w:cs="宋体" w:hAnsi="方正仿宋简体" w:hint="eastAsia"/>
                <w:color w:val="000000"/>
                <w:kern w:val="0"/>
                <w:szCs w:val="21"/>
                <w:lang w:bidi="ar-SA"/>
              </w:rPr>
            </w:pPr>
            <w:r>
              <w:rPr>
                <w:rFonts w:ascii="宋体" w:eastAsia="方正仿宋简体" w:cs="宋体" w:hAnsi="方正仿宋简体" w:hint="eastAsia"/>
                <w:color w:val="000000"/>
                <w:kern w:val="0"/>
                <w:szCs w:val="21"/>
                <w:lang w:bidi="ar-SA"/>
              </w:rPr>
              <w:t>1</w:t>
            </w:r>
          </w:p>
        </w:tc>
        <w:tc>
          <w:tcPr>
            <w:tcW w:w="1961" w:type="dxa"/>
            <w:tcBorders>
              <w:top w:val="nil"/>
              <w:left w:val="nil"/>
              <w:bottom w:val="single" w:sz="4" w:space="0" w:color="auto"/>
              <w:right w:val="single" w:sz="4" w:space="0" w:color="auto"/>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eastAsia="方正仿宋简体" w:cs="宋体" w:hAnsi="方正仿宋简体"/>
                <w:color w:val="000000"/>
                <w:kern w:val="0"/>
                <w:szCs w:val="21"/>
                <w:lang w:val="en-US" w:eastAsia="zh-CN" w:bidi="ar-SA"/>
              </w:rPr>
            </w:pPr>
            <w:r>
              <w:rPr>
                <w:rFonts w:ascii="宋体" w:eastAsia="方正仿宋简体" w:cs="宋体" w:hAnsi="方正仿宋简体" w:hint="eastAsia"/>
                <w:color w:val="000000"/>
                <w:kern w:val="0"/>
                <w:szCs w:val="21"/>
                <w:lang w:val="en-US" w:eastAsia="zh-CN" w:bidi="ar-SA"/>
              </w:rPr>
              <w:t>遵化市供销合作社</w:t>
            </w:r>
          </w:p>
        </w:tc>
        <w:tc>
          <w:tcPr>
            <w:tcW w:w="2746" w:type="dxa"/>
            <w:tcBorders>
              <w:top w:val="nil"/>
              <w:left w:val="nil"/>
              <w:bottom w:val="single" w:sz="4" w:space="0" w:color="auto"/>
              <w:right w:val="single" w:sz="4" w:space="0" w:color="auto"/>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宋体" w:eastAsia="方正仿宋简体" w:cs="宋体" w:hAnsi="方正仿宋简体"/>
                <w:color w:val="000000"/>
                <w:kern w:val="0"/>
                <w:szCs w:val="21"/>
                <w:lang w:val="en-US" w:eastAsia="zh-CN" w:bidi="ar-SA"/>
              </w:rPr>
            </w:pPr>
            <w:r>
              <w:rPr>
                <w:rFonts w:ascii="宋体" w:eastAsia="方正仿宋简体" w:cs="宋体" w:hAnsi="方正仿宋简体" w:hint="eastAsia"/>
                <w:color w:val="000000"/>
                <w:kern w:val="0"/>
                <w:szCs w:val="21"/>
                <w:lang w:val="en-US" w:eastAsia="zh-CN" w:bidi="ar-SA"/>
              </w:rPr>
              <w:t>供销社农村产权流转交易中心工作经费</w:t>
            </w:r>
          </w:p>
        </w:tc>
        <w:tc>
          <w:tcPr>
            <w:tcW w:w="1340" w:type="dxa"/>
            <w:tcBorders>
              <w:top w:val="nil"/>
              <w:left w:val="nil"/>
              <w:bottom w:val="single" w:sz="4" w:space="0" w:color="auto"/>
              <w:right w:val="single" w:sz="4" w:space="0" w:color="auto"/>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eastAsia="方正仿宋简体" w:cs="宋体" w:hAnsi="方正仿宋简体"/>
                <w:color w:val="000000"/>
                <w:kern w:val="0"/>
                <w:szCs w:val="21"/>
                <w:lang w:val="en-US" w:eastAsia="zh-CN" w:bidi="ar-SA"/>
              </w:rPr>
            </w:pPr>
            <w:r>
              <w:rPr>
                <w:rFonts w:ascii="宋体" w:eastAsia="方正仿宋简体" w:cs="宋体" w:hAnsi="方正仿宋简体" w:hint="eastAsia"/>
                <w:color w:val="000000"/>
                <w:kern w:val="0"/>
                <w:szCs w:val="21"/>
                <w:lang w:val="en-US" w:eastAsia="zh-CN" w:bidi="ar-SA"/>
              </w:rPr>
              <w:t>18.7</w:t>
            </w:r>
          </w:p>
        </w:tc>
        <w:tc>
          <w:tcPr>
            <w:tcW w:w="1203" w:type="dxa"/>
            <w:tcBorders>
              <w:top w:val="nil"/>
              <w:left w:val="nil"/>
              <w:bottom w:val="single" w:sz="4" w:space="0" w:color="auto"/>
              <w:right w:val="single" w:sz="4" w:space="0" w:color="auto"/>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eastAsia="方正仿宋简体" w:cs="宋体" w:hAnsi="方正仿宋简体"/>
                <w:color w:val="000000"/>
                <w:kern w:val="0"/>
                <w:szCs w:val="21"/>
                <w:lang w:val="en-US" w:eastAsia="zh-CN" w:bidi="ar-SA"/>
              </w:rPr>
            </w:pPr>
            <w:r>
              <w:rPr>
                <w:rFonts w:ascii="宋体" w:eastAsia="方正仿宋简体" w:cs="宋体" w:hAnsi="方正仿宋简体" w:hint="eastAsia"/>
                <w:color w:val="000000"/>
                <w:kern w:val="0"/>
                <w:szCs w:val="21"/>
                <w:lang w:val="en-US" w:eastAsia="zh-CN" w:bidi="ar-SA"/>
              </w:rPr>
              <w:t>18.38</w:t>
            </w:r>
          </w:p>
        </w:tc>
        <w:tc>
          <w:tcPr>
            <w:tcW w:w="4830" w:type="dxa"/>
            <w:tcBorders>
              <w:top w:val="nil"/>
              <w:left w:val="nil"/>
              <w:bottom w:val="single" w:sz="4" w:space="0" w:color="auto"/>
              <w:right w:val="single" w:sz="4" w:space="0" w:color="auto"/>
              <w:tl2br w:val="nil"/>
              <w:tr2bl w:val="nil"/>
            </w:tcBorders>
            <w:noWrap/>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宋体" w:eastAsia="方正仿宋简体" w:cs="宋体" w:hAnsi="方正仿宋简体"/>
                <w:color w:val="000000"/>
                <w:kern w:val="0"/>
                <w:szCs w:val="21"/>
                <w:lang w:val="en-US" w:bidi="ar-SA"/>
              </w:rPr>
            </w:pPr>
            <w:r>
              <w:rPr>
                <w:rFonts w:ascii="宋体" w:eastAsia="方正仿宋简体" w:cs="宋体" w:hAnsi="方正仿宋简体" w:hint="eastAsia"/>
                <w:color w:val="000000"/>
                <w:kern w:val="0"/>
                <w:szCs w:val="21"/>
                <w:lang w:val="en-US" w:eastAsia="zh-CN" w:bidi="ar-SA"/>
              </w:rPr>
              <w:t>保证了五名劳务派遣人员正常享受工资、保险待遇和市农村产权流转交易中心的正常运转，发挥了职能作用，绩效自评合格。</w:t>
            </w:r>
          </w:p>
        </w:tc>
        <w:tc>
          <w:tcPr>
            <w:tcW w:w="2160" w:type="dxa"/>
            <w:tcBorders>
              <w:top w:val="nil"/>
              <w:left w:val="nil"/>
              <w:bottom w:val="single" w:sz="4" w:space="0" w:color="auto"/>
              <w:right w:val="single" w:sz="4" w:space="0" w:color="auto"/>
              <w:tl2br w:val="nil"/>
              <w:tr2bl w:val="nil"/>
            </w:tcBorders>
            <w:noWrap/>
            <w:vAlign w:val="bottom"/>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宋体" w:eastAsia="方正仿宋简体" w:cs="宋体" w:hAnsi="方正仿宋简体" w:hint="eastAsia"/>
                <w:color w:val="000000"/>
                <w:kern w:val="0"/>
                <w:sz w:val="22"/>
                <w:lang w:bidi="ar-SA"/>
              </w:rPr>
            </w:pPr>
            <w:r>
              <w:rPr>
                <w:rFonts w:ascii="宋体" w:eastAsia="方正仿宋简体" w:cs="宋体" w:hAnsi="方正仿宋简体" w:hint="eastAsia"/>
                <w:color w:val="000000"/>
                <w:kern w:val="0"/>
                <w:sz w:val="22"/>
                <w:lang w:bidi="ar-SA"/>
              </w:rPr>
              <w:t>　</w:t>
            </w:r>
          </w:p>
        </w:tc>
      </w:tr>
      <w:tr>
        <w:trPr>
          <w:trHeight w:val="711"/>
        </w:trPr>
        <w:tc>
          <w:tcPr>
            <w:tcW w:w="457" w:type="dxa"/>
            <w:tcBorders>
              <w:top w:val="nil"/>
              <w:left w:val="single" w:sz="4" w:space="0" w:color="auto"/>
              <w:bottom w:val="single" w:sz="4" w:space="0" w:color="auto"/>
              <w:right w:val="single" w:sz="4" w:space="0" w:color="auto"/>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eastAsia="方正仿宋简体" w:cs="宋体" w:hAnsi="方正仿宋简体" w:hint="eastAsia"/>
                <w:color w:val="000000"/>
                <w:kern w:val="0"/>
                <w:szCs w:val="21"/>
                <w:lang w:bidi="ar-SA"/>
              </w:rPr>
            </w:pPr>
            <w:r>
              <w:rPr>
                <w:rFonts w:ascii="宋体" w:eastAsia="方正仿宋简体" w:cs="宋体" w:hAnsi="方正仿宋简体" w:hint="eastAsia"/>
                <w:color w:val="000000"/>
                <w:kern w:val="0"/>
                <w:szCs w:val="21"/>
                <w:lang w:bidi="ar-SA"/>
              </w:rPr>
              <w:t>2</w:t>
            </w:r>
          </w:p>
        </w:tc>
        <w:tc>
          <w:tcPr>
            <w:tcW w:w="1961" w:type="dxa"/>
            <w:tcBorders>
              <w:top w:val="nil"/>
              <w:left w:val="nil"/>
              <w:bottom w:val="single" w:sz="4" w:space="0" w:color="auto"/>
              <w:right w:val="single" w:sz="4" w:space="0" w:color="auto"/>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eastAsia="方正仿宋简体" w:cs="宋体" w:hAnsi="方正仿宋简体"/>
                <w:color w:val="000000"/>
                <w:kern w:val="0"/>
                <w:szCs w:val="21"/>
                <w:lang w:val="en-US" w:eastAsia="zh-CN" w:bidi="ar-SA"/>
              </w:rPr>
            </w:pPr>
            <w:r>
              <w:rPr>
                <w:rFonts w:ascii="宋体" w:eastAsia="方正仿宋简体" w:cs="宋体" w:hAnsi="方正仿宋简体" w:hint="eastAsia"/>
                <w:color w:val="000000"/>
                <w:kern w:val="0"/>
                <w:szCs w:val="21"/>
                <w:lang w:val="en-US" w:eastAsia="zh-CN" w:bidi="ar-SA"/>
              </w:rPr>
              <w:t>遵化市供销合作社</w:t>
            </w:r>
          </w:p>
        </w:tc>
        <w:tc>
          <w:tcPr>
            <w:tcW w:w="2746" w:type="dxa"/>
            <w:tcBorders>
              <w:top w:val="nil"/>
              <w:left w:val="nil"/>
              <w:bottom w:val="single" w:sz="4" w:space="0" w:color="auto"/>
              <w:right w:val="single" w:sz="4" w:space="0" w:color="auto"/>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宋体" w:eastAsia="方正仿宋简体" w:cs="宋体" w:hAnsi="方正仿宋简体"/>
                <w:color w:val="000000"/>
                <w:kern w:val="0"/>
                <w:szCs w:val="21"/>
                <w:lang w:val="en-US" w:eastAsia="zh-CN" w:bidi="ar-SA"/>
              </w:rPr>
            </w:pPr>
            <w:r>
              <w:rPr>
                <w:rFonts w:ascii="宋体" w:eastAsia="方正仿宋简体" w:cs="宋体" w:hAnsi="方正仿宋简体" w:hint="eastAsia"/>
                <w:color w:val="000000"/>
                <w:kern w:val="0"/>
                <w:szCs w:val="21"/>
                <w:lang w:val="en-US" w:eastAsia="zh-CN" w:bidi="ar-SA"/>
              </w:rPr>
              <w:t>供销社改制等退经费</w:t>
            </w:r>
          </w:p>
        </w:tc>
        <w:tc>
          <w:tcPr>
            <w:tcW w:w="1340" w:type="dxa"/>
            <w:tcBorders>
              <w:top w:val="nil"/>
              <w:left w:val="nil"/>
              <w:bottom w:val="single" w:sz="4" w:space="0" w:color="auto"/>
              <w:right w:val="single" w:sz="4" w:space="0" w:color="auto"/>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eastAsia="方正仿宋简体" w:cs="宋体" w:hAnsi="方正仿宋简体"/>
                <w:color w:val="000000"/>
                <w:kern w:val="0"/>
                <w:szCs w:val="21"/>
                <w:lang w:val="en-US" w:eastAsia="zh-CN" w:bidi="ar-SA"/>
              </w:rPr>
            </w:pPr>
            <w:r>
              <w:rPr>
                <w:rFonts w:ascii="宋体" w:eastAsia="方正仿宋简体" w:cs="宋体" w:hAnsi="方正仿宋简体" w:hint="eastAsia"/>
                <w:color w:val="000000"/>
                <w:kern w:val="0"/>
                <w:szCs w:val="21"/>
                <w:lang w:val="en-US" w:eastAsia="zh-CN" w:bidi="ar-SA"/>
              </w:rPr>
              <w:t>5.6</w:t>
            </w:r>
          </w:p>
        </w:tc>
        <w:tc>
          <w:tcPr>
            <w:tcW w:w="1203" w:type="dxa"/>
            <w:tcBorders>
              <w:top w:val="nil"/>
              <w:left w:val="nil"/>
              <w:bottom w:val="single" w:sz="4" w:space="0" w:color="auto"/>
              <w:right w:val="single" w:sz="4" w:space="0" w:color="auto"/>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eastAsia="方正仿宋简体" w:cs="宋体" w:hAnsi="方正仿宋简体"/>
                <w:color w:val="000000"/>
                <w:kern w:val="0"/>
                <w:szCs w:val="21"/>
                <w:lang w:val="en-US" w:eastAsia="zh-CN" w:bidi="ar-SA"/>
              </w:rPr>
            </w:pPr>
            <w:r>
              <w:rPr>
                <w:rFonts w:ascii="宋体" w:eastAsia="方正仿宋简体" w:cs="宋体" w:hAnsi="方正仿宋简体" w:hint="eastAsia"/>
                <w:color w:val="000000"/>
                <w:kern w:val="0"/>
                <w:szCs w:val="21"/>
                <w:lang w:val="en-US" w:eastAsia="zh-CN" w:bidi="ar-SA"/>
              </w:rPr>
              <w:t>5.32</w:t>
            </w:r>
          </w:p>
        </w:tc>
        <w:tc>
          <w:tcPr>
            <w:tcW w:w="4830" w:type="dxa"/>
            <w:tcBorders>
              <w:top w:val="nil"/>
              <w:left w:val="nil"/>
              <w:bottom w:val="single" w:sz="4" w:space="0" w:color="auto"/>
              <w:right w:val="single" w:sz="4" w:space="0" w:color="auto"/>
              <w:tl2br w:val="nil"/>
              <w:tr2bl w:val="nil"/>
            </w:tcBorders>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宋体" w:eastAsia="方正仿宋简体" w:cs="宋体" w:hAnsi="方正仿宋简体"/>
                <w:color w:val="000000"/>
                <w:kern w:val="0"/>
                <w:szCs w:val="21"/>
                <w:lang w:val="en-US" w:eastAsia="zh-CN" w:bidi="ar-SA"/>
              </w:rPr>
            </w:pPr>
            <w:r>
              <w:rPr>
                <w:rFonts w:ascii="宋体" w:eastAsia="方正仿宋简体" w:cs="宋体" w:hAnsi="方正仿宋简体" w:hint="eastAsia"/>
                <w:color w:val="000000"/>
                <w:kern w:val="0"/>
                <w:szCs w:val="21"/>
                <w:lang w:val="en-US" w:eastAsia="zh-CN" w:bidi="ar-SA"/>
              </w:rPr>
              <w:t>保证了改制等退人员正常享受医疗保险待遇，维护了社会稳定，巩固了改制成果，绩效自评合格。</w:t>
            </w:r>
          </w:p>
        </w:tc>
        <w:tc>
          <w:tcPr>
            <w:tcW w:w="2160" w:type="dxa"/>
            <w:tcBorders>
              <w:top w:val="nil"/>
              <w:left w:val="nil"/>
              <w:bottom w:val="single" w:sz="4" w:space="0" w:color="auto"/>
              <w:right w:val="single" w:sz="4" w:space="0" w:color="auto"/>
              <w:tl2br w:val="nil"/>
              <w:tr2bl w:val="nil"/>
            </w:tcBorders>
            <w:noWrap/>
            <w:vAlign w:val="bottom"/>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宋体" w:eastAsia="方正仿宋简体" w:cs="宋体" w:hAnsi="方正仿宋简体" w:hint="eastAsia"/>
                <w:color w:val="000000"/>
                <w:kern w:val="0"/>
                <w:sz w:val="22"/>
                <w:lang w:bidi="ar-SA"/>
              </w:rPr>
            </w:pPr>
            <w:r>
              <w:rPr>
                <w:rFonts w:ascii="宋体" w:eastAsia="方正仿宋简体" w:cs="宋体" w:hAnsi="方正仿宋简体" w:hint="eastAsia"/>
                <w:color w:val="000000"/>
                <w:kern w:val="0"/>
                <w:sz w:val="22"/>
                <w:lang w:bidi="ar-SA"/>
              </w:rPr>
              <w:t>　</w:t>
            </w:r>
          </w:p>
        </w:tc>
      </w:tr>
      <w:tr>
        <w:trPr>
          <w:trHeight w:val="939"/>
        </w:trPr>
        <w:tc>
          <w:tcPr>
            <w:tcW w:w="457" w:type="dxa"/>
            <w:tcBorders>
              <w:top w:val="nil"/>
              <w:left w:val="single" w:sz="4" w:space="0" w:color="auto"/>
              <w:bottom w:val="single" w:sz="4" w:space="0" w:color="auto"/>
              <w:right w:val="single" w:sz="4" w:space="0" w:color="auto"/>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eastAsia="方正仿宋简体" w:cs="宋体" w:hAnsi="方正仿宋简体" w:hint="eastAsia"/>
                <w:color w:val="000000"/>
                <w:kern w:val="0"/>
                <w:szCs w:val="21"/>
                <w:lang w:bidi="ar-SA"/>
              </w:rPr>
            </w:pPr>
            <w:r>
              <w:rPr>
                <w:rFonts w:ascii="宋体" w:eastAsia="方正仿宋简体" w:cs="宋体" w:hAnsi="方正仿宋简体" w:hint="eastAsia"/>
                <w:color w:val="000000"/>
                <w:kern w:val="0"/>
                <w:szCs w:val="21"/>
                <w:lang w:bidi="ar-SA"/>
              </w:rPr>
              <w:t>3</w:t>
            </w:r>
          </w:p>
        </w:tc>
        <w:tc>
          <w:tcPr>
            <w:tcW w:w="1961" w:type="dxa"/>
            <w:tcBorders>
              <w:top w:val="nil"/>
              <w:left w:val="nil"/>
              <w:bottom w:val="single" w:sz="4" w:space="0" w:color="auto"/>
              <w:right w:val="single" w:sz="4" w:space="0" w:color="auto"/>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eastAsia="方正仿宋简体" w:cs="宋体" w:hAnsi="方正仿宋简体"/>
                <w:color w:val="000000"/>
                <w:kern w:val="0"/>
                <w:szCs w:val="21"/>
                <w:lang w:val="en-US" w:eastAsia="zh-CN" w:bidi="ar-SA"/>
              </w:rPr>
            </w:pPr>
            <w:r>
              <w:rPr>
                <w:rFonts w:ascii="宋体" w:eastAsia="方正仿宋简体" w:cs="宋体" w:hAnsi="方正仿宋简体" w:hint="eastAsia"/>
                <w:color w:val="000000"/>
                <w:kern w:val="0"/>
                <w:szCs w:val="21"/>
                <w:lang w:val="en-US" w:eastAsia="zh-CN" w:bidi="ar-SA"/>
              </w:rPr>
              <w:t>遵化市供销合作社</w:t>
            </w:r>
          </w:p>
        </w:tc>
        <w:tc>
          <w:tcPr>
            <w:tcW w:w="2746" w:type="dxa"/>
            <w:tcBorders>
              <w:top w:val="nil"/>
              <w:left w:val="nil"/>
              <w:bottom w:val="single" w:sz="4" w:space="0" w:color="auto"/>
              <w:right w:val="single" w:sz="4" w:space="0" w:color="auto"/>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宋体" w:eastAsia="方正仿宋简体" w:cs="宋体" w:hAnsi="方正仿宋简体"/>
                <w:color w:val="000000"/>
                <w:kern w:val="0"/>
                <w:szCs w:val="21"/>
                <w:lang w:val="en-US" w:eastAsia="zh-CN" w:bidi="ar-SA"/>
              </w:rPr>
            </w:pPr>
            <w:r>
              <w:rPr>
                <w:rFonts w:ascii="宋体" w:eastAsia="方正仿宋简体" w:cs="宋体" w:hAnsi="方正仿宋简体" w:hint="eastAsia"/>
                <w:color w:val="000000"/>
                <w:kern w:val="0"/>
                <w:szCs w:val="21"/>
                <w:lang w:val="en-US" w:eastAsia="zh-CN" w:bidi="ar-SA"/>
              </w:rPr>
              <w:t>供销社农合联工作经费</w:t>
            </w:r>
          </w:p>
        </w:tc>
        <w:tc>
          <w:tcPr>
            <w:tcW w:w="1340" w:type="dxa"/>
            <w:tcBorders>
              <w:top w:val="nil"/>
              <w:left w:val="nil"/>
              <w:bottom w:val="single" w:sz="4" w:space="0" w:color="auto"/>
              <w:right w:val="single" w:sz="4" w:space="0" w:color="auto"/>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eastAsia="方正仿宋简体" w:cs="宋体" w:hAnsi="方正仿宋简体" w:hint="eastAsia"/>
                <w:color w:val="000000"/>
                <w:kern w:val="0"/>
                <w:szCs w:val="21"/>
                <w:lang w:val="en-US" w:eastAsia="zh-CN" w:bidi="ar-SA"/>
              </w:rPr>
            </w:pPr>
            <w:r>
              <w:rPr>
                <w:rFonts w:ascii="宋体" w:eastAsia="方正仿宋简体" w:cs="宋体" w:hAnsi="方正仿宋简体" w:hint="eastAsia"/>
                <w:color w:val="000000"/>
                <w:kern w:val="0"/>
                <w:szCs w:val="21"/>
                <w:lang w:val="en-US" w:eastAsia="zh-CN" w:bidi="ar-SA"/>
              </w:rPr>
              <w:t>4</w:t>
            </w:r>
          </w:p>
        </w:tc>
        <w:tc>
          <w:tcPr>
            <w:tcW w:w="1203" w:type="dxa"/>
            <w:tcBorders>
              <w:top w:val="nil"/>
              <w:left w:val="nil"/>
              <w:bottom w:val="single" w:sz="4" w:space="0" w:color="auto"/>
              <w:right w:val="single" w:sz="4" w:space="0" w:color="auto"/>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eastAsia="方正仿宋简体" w:cs="宋体" w:hAnsi="方正仿宋简体"/>
                <w:color w:val="000000"/>
                <w:kern w:val="0"/>
                <w:szCs w:val="21"/>
                <w:lang w:val="en-US" w:eastAsia="zh-CN" w:bidi="ar-SA"/>
              </w:rPr>
            </w:pPr>
            <w:r>
              <w:rPr>
                <w:rFonts w:ascii="宋体" w:eastAsia="方正仿宋简体" w:cs="宋体" w:hAnsi="方正仿宋简体" w:hint="eastAsia"/>
                <w:color w:val="000000"/>
                <w:kern w:val="0"/>
                <w:szCs w:val="21"/>
                <w:lang w:val="en-US" w:eastAsia="zh-CN" w:bidi="ar-SA"/>
              </w:rPr>
              <w:t>1.41</w:t>
            </w:r>
          </w:p>
        </w:tc>
        <w:tc>
          <w:tcPr>
            <w:tcW w:w="4830" w:type="dxa"/>
            <w:tcBorders>
              <w:top w:val="nil"/>
              <w:left w:val="nil"/>
              <w:bottom w:val="single" w:sz="4" w:space="0" w:color="auto"/>
              <w:right w:val="single" w:sz="4" w:space="0" w:color="auto"/>
              <w:tl2br w:val="nil"/>
              <w:tr2bl w:val="nil"/>
            </w:tcBorders>
            <w:noWrap/>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宋体" w:eastAsia="方正仿宋简体" w:cs="宋体" w:hAnsi="方正仿宋简体"/>
                <w:color w:val="000000"/>
                <w:kern w:val="0"/>
                <w:szCs w:val="21"/>
                <w:lang w:val="en-US" w:eastAsia="zh-CN" w:bidi="ar-SA"/>
              </w:rPr>
            </w:pPr>
            <w:r>
              <w:rPr>
                <w:rFonts w:ascii="宋体" w:eastAsia="方正仿宋简体" w:cs="宋体" w:hAnsi="方正仿宋简体" w:hint="eastAsia"/>
                <w:color w:val="000000"/>
                <w:kern w:val="0"/>
                <w:szCs w:val="21"/>
                <w:lang w:val="en-US" w:eastAsia="zh-CN" w:bidi="ar-SA"/>
              </w:rPr>
              <w:t>受新冠疫情影响，改变了交流学习方式，在节约成本的同时保障农合联工作职能的正常发挥，绩效自评合格。</w:t>
            </w:r>
          </w:p>
        </w:tc>
        <w:tc>
          <w:tcPr>
            <w:tcW w:w="2160" w:type="dxa"/>
            <w:tcBorders>
              <w:top w:val="nil"/>
              <w:left w:val="nil"/>
              <w:bottom w:val="single" w:sz="4" w:space="0" w:color="auto"/>
              <w:right w:val="single" w:sz="4" w:space="0" w:color="auto"/>
              <w:tl2br w:val="nil"/>
              <w:tr2bl w:val="nil"/>
            </w:tcBorders>
            <w:noWrap/>
            <w:vAlign w:val="bottom"/>
          </w:tcPr>
          <w:p>
            <w:pPr>
              <w:keepNext w:val="0"/>
              <w:keepLines w:val="0"/>
              <w:pageBreakBefore w:val="0"/>
              <w:widowControl/>
              <w:kinsoku/>
              <w:wordWrap/>
              <w:overflowPunct/>
              <w:topLinePunct w:val="0"/>
              <w:autoSpaceDE/>
              <w:autoSpaceDN/>
              <w:bidi w:val="0"/>
              <w:adjustRightInd/>
              <w:snapToGrid/>
              <w:spacing w:line="240" w:lineRule="atLeast"/>
              <w:ind w:left="0"/>
              <w:jc w:val="left"/>
              <w:textAlignment w:val="auto"/>
              <w:rPr>
                <w:rFonts w:ascii="宋体" w:eastAsia="方正仿宋简体" w:cs="宋体" w:hAnsi="方正仿宋简体" w:hint="eastAsia"/>
                <w:color w:val="000000"/>
                <w:kern w:val="0"/>
                <w:sz w:val="15"/>
                <w:szCs w:val="15"/>
                <w:lang w:bidi="ar-SA"/>
              </w:rPr>
            </w:pPr>
          </w:p>
        </w:tc>
      </w:tr>
      <w:tr>
        <w:trPr>
          <w:trHeight w:val="631"/>
        </w:trPr>
        <w:tc>
          <w:tcPr>
            <w:tcW w:w="457" w:type="dxa"/>
            <w:tcBorders>
              <w:top w:val="nil"/>
              <w:left w:val="single" w:sz="4" w:space="0" w:color="auto"/>
              <w:bottom w:val="single" w:sz="4" w:space="0" w:color="auto"/>
              <w:right w:val="single" w:sz="4" w:space="0" w:color="auto"/>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eastAsia="方正仿宋简体" w:cs="宋体" w:hAnsi="方正仿宋简体" w:hint="eastAsia"/>
                <w:color w:val="000000"/>
                <w:kern w:val="0"/>
                <w:szCs w:val="21"/>
                <w:lang w:bidi="ar-SA"/>
              </w:rPr>
            </w:pPr>
            <w:r>
              <w:rPr>
                <w:rFonts w:ascii="宋体" w:eastAsia="方正仿宋简体" w:cs="宋体" w:hAnsi="方正仿宋简体" w:hint="eastAsia"/>
                <w:color w:val="000000"/>
                <w:kern w:val="0"/>
                <w:szCs w:val="21"/>
                <w:lang w:bidi="ar-SA"/>
              </w:rPr>
              <w:t>4</w:t>
            </w:r>
          </w:p>
        </w:tc>
        <w:tc>
          <w:tcPr>
            <w:tcW w:w="1961" w:type="dxa"/>
            <w:tcBorders>
              <w:top w:val="nil"/>
              <w:left w:val="nil"/>
              <w:bottom w:val="single" w:sz="4" w:space="0" w:color="auto"/>
              <w:right w:val="single" w:sz="4" w:space="0" w:color="auto"/>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eastAsia="方正仿宋简体" w:cs="宋体" w:hAnsi="方正仿宋简体"/>
                <w:color w:val="000000"/>
                <w:kern w:val="0"/>
                <w:szCs w:val="21"/>
                <w:lang w:val="en-US" w:eastAsia="zh-CN" w:bidi="ar-SA"/>
              </w:rPr>
            </w:pPr>
            <w:r>
              <w:rPr>
                <w:rFonts w:ascii="宋体" w:eastAsia="方正仿宋简体" w:cs="宋体" w:hAnsi="方正仿宋简体" w:hint="eastAsia"/>
                <w:color w:val="000000"/>
                <w:kern w:val="0"/>
                <w:szCs w:val="21"/>
                <w:lang w:val="en-US" w:eastAsia="zh-CN" w:bidi="ar-SA"/>
              </w:rPr>
              <w:t>遵化市供销合作社</w:t>
            </w:r>
          </w:p>
        </w:tc>
        <w:tc>
          <w:tcPr>
            <w:tcW w:w="2746" w:type="dxa"/>
            <w:tcBorders>
              <w:top w:val="nil"/>
              <w:left w:val="nil"/>
              <w:bottom w:val="single" w:sz="4" w:space="0" w:color="auto"/>
              <w:right w:val="single" w:sz="4" w:space="0" w:color="auto"/>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宋体" w:eastAsia="方正仿宋简体" w:cs="宋体" w:hAnsi="方正仿宋简体"/>
                <w:color w:val="000000"/>
                <w:kern w:val="0"/>
                <w:szCs w:val="21"/>
                <w:lang w:val="en-US" w:eastAsia="zh-CN" w:bidi="ar-SA"/>
              </w:rPr>
            </w:pPr>
            <w:r>
              <w:rPr>
                <w:rFonts w:ascii="宋体" w:eastAsia="方正仿宋简体" w:cs="宋体" w:hAnsi="方正仿宋简体" w:hint="eastAsia"/>
                <w:color w:val="000000"/>
                <w:kern w:val="0"/>
                <w:szCs w:val="21"/>
                <w:lang w:val="en-US" w:eastAsia="zh-CN" w:bidi="ar-SA"/>
              </w:rPr>
              <w:t>解决冯世旺等十名固定工垫付社会保险费</w:t>
            </w:r>
          </w:p>
        </w:tc>
        <w:tc>
          <w:tcPr>
            <w:tcW w:w="1340" w:type="dxa"/>
            <w:tcBorders>
              <w:top w:val="nil"/>
              <w:left w:val="nil"/>
              <w:bottom w:val="single" w:sz="4" w:space="0" w:color="auto"/>
              <w:right w:val="single" w:sz="4" w:space="0" w:color="auto"/>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eastAsia="方正仿宋简体" w:cs="宋体" w:hAnsi="方正仿宋简体"/>
                <w:color w:val="000000"/>
                <w:kern w:val="0"/>
                <w:szCs w:val="21"/>
                <w:lang w:val="en-US" w:eastAsia="zh-CN" w:bidi="ar-SA"/>
              </w:rPr>
            </w:pPr>
            <w:r>
              <w:rPr>
                <w:rFonts w:ascii="宋体" w:eastAsia="方正仿宋简体" w:cs="宋体" w:hAnsi="方正仿宋简体" w:hint="eastAsia"/>
                <w:color w:val="000000"/>
                <w:kern w:val="0"/>
                <w:szCs w:val="21"/>
                <w:lang w:val="en-US" w:eastAsia="zh-CN" w:bidi="ar-SA"/>
              </w:rPr>
              <w:t>9.99</w:t>
            </w:r>
          </w:p>
        </w:tc>
        <w:tc>
          <w:tcPr>
            <w:tcW w:w="1203" w:type="dxa"/>
            <w:tcBorders>
              <w:top w:val="nil"/>
              <w:left w:val="nil"/>
              <w:bottom w:val="single" w:sz="4" w:space="0" w:color="auto"/>
              <w:right w:val="single" w:sz="4" w:space="0" w:color="auto"/>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eastAsia="方正仿宋简体" w:cs="宋体" w:hAnsi="方正仿宋简体"/>
                <w:color w:val="000000"/>
                <w:kern w:val="0"/>
                <w:szCs w:val="21"/>
                <w:lang w:val="en-US" w:eastAsia="zh-CN" w:bidi="ar-SA"/>
              </w:rPr>
            </w:pPr>
            <w:r>
              <w:rPr>
                <w:rFonts w:ascii="宋体" w:eastAsia="方正仿宋简体" w:cs="宋体" w:hAnsi="方正仿宋简体" w:hint="eastAsia"/>
                <w:color w:val="000000"/>
                <w:kern w:val="0"/>
                <w:szCs w:val="21"/>
                <w:lang w:val="en-US" w:eastAsia="zh-CN" w:bidi="ar-SA"/>
              </w:rPr>
              <w:t>9.99</w:t>
            </w:r>
          </w:p>
        </w:tc>
        <w:tc>
          <w:tcPr>
            <w:tcW w:w="4830" w:type="dxa"/>
            <w:tcBorders>
              <w:top w:val="nil"/>
              <w:left w:val="nil"/>
              <w:bottom w:val="single" w:sz="4" w:space="0" w:color="auto"/>
              <w:right w:val="single" w:sz="4" w:space="0" w:color="auto"/>
              <w:tl2br w:val="nil"/>
              <w:tr2bl w:val="nil"/>
            </w:tcBorders>
            <w:noWrap/>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宋体" w:eastAsia="方正仿宋简体" w:cs="宋体" w:hAnsi="方正仿宋简体"/>
                <w:color w:val="000000"/>
                <w:kern w:val="0"/>
                <w:szCs w:val="21"/>
                <w:lang w:val="en-US" w:eastAsia="zh-CN" w:bidi="ar-SA"/>
              </w:rPr>
            </w:pPr>
            <w:r>
              <w:rPr>
                <w:rFonts w:ascii="宋体" w:eastAsia="方正仿宋简体" w:cs="宋体" w:hAnsi="方正仿宋简体" w:hint="eastAsia"/>
                <w:color w:val="000000"/>
                <w:kern w:val="0"/>
                <w:szCs w:val="21"/>
                <w:lang w:val="en-US" w:eastAsia="zh-CN" w:bidi="ar-SA"/>
              </w:rPr>
              <w:t>及时保障了改制退休人员的合法权益，维护了社会稳定，巩固了改制成果，绩效自评合格。。</w:t>
            </w:r>
          </w:p>
        </w:tc>
        <w:tc>
          <w:tcPr>
            <w:tcW w:w="2160" w:type="dxa"/>
            <w:tcBorders>
              <w:top w:val="nil"/>
              <w:left w:val="nil"/>
              <w:bottom w:val="single" w:sz="4" w:space="0" w:color="auto"/>
              <w:right w:val="single" w:sz="4" w:space="0" w:color="auto"/>
              <w:tl2br w:val="nil"/>
              <w:tr2bl w:val="nil"/>
            </w:tcBorders>
            <w:noWrap/>
            <w:vAlign w:val="bottom"/>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宋体" w:eastAsia="方正仿宋简体" w:cs="宋体" w:hAnsi="方正仿宋简体" w:hint="eastAsia"/>
                <w:color w:val="000000"/>
                <w:kern w:val="0"/>
                <w:sz w:val="22"/>
                <w:lang w:bidi="ar-SA"/>
              </w:rPr>
            </w:pPr>
            <w:r>
              <w:rPr>
                <w:rFonts w:ascii="宋体" w:eastAsia="方正仿宋简体" w:cs="宋体" w:hAnsi="方正仿宋简体" w:hint="eastAsia"/>
                <w:color w:val="000000"/>
                <w:kern w:val="0"/>
                <w:sz w:val="22"/>
                <w:lang w:bidi="ar-SA"/>
              </w:rPr>
              <w:t>　</w:t>
            </w:r>
          </w:p>
        </w:tc>
      </w:tr>
      <w:tr>
        <w:trPr>
          <w:trHeight w:val="941"/>
        </w:trPr>
        <w:tc>
          <w:tcPr>
            <w:tcW w:w="457" w:type="dxa"/>
            <w:tcBorders>
              <w:top w:val="nil"/>
              <w:left w:val="single" w:sz="4" w:space="0" w:color="auto"/>
              <w:bottom w:val="single" w:sz="4" w:space="0" w:color="auto"/>
              <w:right w:val="single" w:sz="4" w:space="0" w:color="auto"/>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eastAsia="方正仿宋简体" w:cs="宋体" w:hAnsi="方正仿宋简体" w:hint="eastAsia"/>
                <w:color w:val="000000"/>
                <w:kern w:val="0"/>
                <w:szCs w:val="21"/>
                <w:lang w:bidi="ar-SA"/>
              </w:rPr>
            </w:pPr>
            <w:r>
              <w:rPr>
                <w:rFonts w:ascii="宋体" w:eastAsia="方正仿宋简体" w:cs="宋体" w:hAnsi="方正仿宋简体" w:hint="eastAsia"/>
                <w:color w:val="000000"/>
                <w:kern w:val="0"/>
                <w:szCs w:val="21"/>
                <w:lang w:bidi="ar-SA"/>
              </w:rPr>
              <w:t>5</w:t>
            </w:r>
          </w:p>
        </w:tc>
        <w:tc>
          <w:tcPr>
            <w:tcW w:w="1961" w:type="dxa"/>
            <w:tcBorders>
              <w:top w:val="nil"/>
              <w:left w:val="nil"/>
              <w:bottom w:val="single" w:sz="4" w:space="0" w:color="auto"/>
              <w:right w:val="single" w:sz="4" w:space="0" w:color="auto"/>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eastAsia="方正仿宋简体" w:cs="宋体" w:hAnsi="方正仿宋简体"/>
                <w:color w:val="000000"/>
                <w:kern w:val="0"/>
                <w:szCs w:val="21"/>
                <w:lang w:val="en-US" w:eastAsia="zh-CN" w:bidi="ar-SA"/>
              </w:rPr>
            </w:pPr>
            <w:r>
              <w:rPr>
                <w:rFonts w:ascii="宋体" w:eastAsia="方正仿宋简体" w:cs="宋体" w:hAnsi="方正仿宋简体" w:hint="eastAsia"/>
                <w:color w:val="000000"/>
                <w:kern w:val="0"/>
                <w:szCs w:val="21"/>
                <w:lang w:val="en-US" w:eastAsia="zh-CN" w:bidi="ar-SA"/>
              </w:rPr>
              <w:t>遵化市供销合作社</w:t>
            </w:r>
          </w:p>
        </w:tc>
        <w:tc>
          <w:tcPr>
            <w:tcW w:w="2746" w:type="dxa"/>
            <w:tcBorders>
              <w:top w:val="nil"/>
              <w:left w:val="nil"/>
              <w:bottom w:val="single" w:sz="4" w:space="0" w:color="auto"/>
              <w:right w:val="single" w:sz="4" w:space="0" w:color="auto"/>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宋体" w:eastAsia="方正仿宋简体" w:cs="宋体" w:hAnsi="方正仿宋简体"/>
                <w:color w:val="000000"/>
                <w:kern w:val="0"/>
                <w:szCs w:val="21"/>
                <w:lang w:val="en-US" w:eastAsia="zh-CN" w:bidi="ar-SA"/>
              </w:rPr>
            </w:pPr>
            <w:r>
              <w:rPr>
                <w:rFonts w:ascii="宋体" w:eastAsia="方正仿宋简体" w:cs="宋体" w:hAnsi="方正仿宋简体" w:hint="eastAsia"/>
                <w:color w:val="000000"/>
                <w:kern w:val="0"/>
                <w:szCs w:val="21"/>
                <w:lang w:val="en-US" w:eastAsia="zh-CN" w:bidi="ar-SA"/>
              </w:rPr>
              <w:t>中国供销.京东（遵化）农产品智慧物流园项目用地涉及耕地占补平衡指标费</w:t>
            </w:r>
          </w:p>
        </w:tc>
        <w:tc>
          <w:tcPr>
            <w:tcW w:w="1340" w:type="dxa"/>
            <w:tcBorders>
              <w:top w:val="nil"/>
              <w:left w:val="nil"/>
              <w:bottom w:val="single" w:sz="4" w:space="0" w:color="auto"/>
              <w:right w:val="single" w:sz="4" w:space="0" w:color="auto"/>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eastAsia="方正仿宋简体" w:cs="宋体" w:hAnsi="方正仿宋简体"/>
                <w:color w:val="000000"/>
                <w:kern w:val="0"/>
                <w:szCs w:val="21"/>
                <w:lang w:val="en-US" w:eastAsia="zh-CN" w:bidi="ar-SA"/>
              </w:rPr>
            </w:pPr>
            <w:r>
              <w:rPr>
                <w:rFonts w:ascii="宋体" w:eastAsia="方正仿宋简体" w:cs="宋体" w:hAnsi="方正仿宋简体" w:hint="eastAsia"/>
                <w:color w:val="000000"/>
                <w:kern w:val="0"/>
                <w:szCs w:val="21"/>
                <w:lang w:val="en-US" w:eastAsia="zh-CN" w:bidi="ar-SA"/>
              </w:rPr>
              <w:t>2289</w:t>
            </w:r>
          </w:p>
        </w:tc>
        <w:tc>
          <w:tcPr>
            <w:tcW w:w="1203" w:type="dxa"/>
            <w:tcBorders>
              <w:top w:val="nil"/>
              <w:left w:val="nil"/>
              <w:bottom w:val="single" w:sz="4" w:space="0" w:color="auto"/>
              <w:right w:val="single" w:sz="4" w:space="0" w:color="auto"/>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eastAsia="方正仿宋简体" w:cs="宋体" w:hAnsi="方正仿宋简体"/>
                <w:color w:val="000000"/>
                <w:kern w:val="0"/>
                <w:szCs w:val="21"/>
                <w:lang w:val="en-US" w:eastAsia="zh-CN" w:bidi="ar-SA"/>
              </w:rPr>
            </w:pPr>
            <w:r>
              <w:rPr>
                <w:rFonts w:ascii="宋体" w:eastAsia="方正仿宋简体" w:cs="宋体" w:hAnsi="方正仿宋简体" w:hint="eastAsia"/>
                <w:color w:val="000000"/>
                <w:kern w:val="0"/>
                <w:szCs w:val="21"/>
                <w:lang w:val="en-US" w:eastAsia="zh-CN" w:bidi="ar-SA"/>
              </w:rPr>
              <w:t>2289</w:t>
            </w:r>
          </w:p>
        </w:tc>
        <w:tc>
          <w:tcPr>
            <w:tcW w:w="4830" w:type="dxa"/>
            <w:tcBorders>
              <w:top w:val="nil"/>
              <w:left w:val="nil"/>
              <w:bottom w:val="single" w:sz="4" w:space="0" w:color="auto"/>
              <w:right w:val="single" w:sz="4" w:space="0" w:color="auto"/>
              <w:tl2br w:val="nil"/>
              <w:tr2bl w:val="nil"/>
            </w:tcBorders>
            <w:noWrap/>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宋体" w:eastAsia="方正仿宋简体" w:cs="宋体" w:hAnsi="方正仿宋简体"/>
                <w:color w:val="000000"/>
                <w:kern w:val="0"/>
                <w:szCs w:val="21"/>
                <w:lang w:val="en-US" w:eastAsia="zh-CN" w:bidi="ar-SA"/>
              </w:rPr>
            </w:pPr>
            <w:r>
              <w:rPr>
                <w:rFonts w:ascii="宋体" w:eastAsia="方正仿宋简体" w:cs="宋体" w:hAnsi="方正仿宋简体" w:hint="eastAsia"/>
                <w:color w:val="000000"/>
                <w:kern w:val="0"/>
                <w:szCs w:val="21"/>
                <w:lang w:val="en-US" w:eastAsia="zh-CN" w:bidi="ar-SA"/>
              </w:rPr>
              <w:t>进一步推动了我市重点项目建设，为使项目早日开工发挥效益，并促进全市经济发展做出了积极贡献，绩效自评合格。</w:t>
            </w:r>
          </w:p>
        </w:tc>
        <w:tc>
          <w:tcPr>
            <w:tcW w:w="2160" w:type="dxa"/>
            <w:tcBorders>
              <w:top w:val="nil"/>
              <w:left w:val="nil"/>
              <w:bottom w:val="single" w:sz="4" w:space="0" w:color="auto"/>
              <w:right w:val="single" w:sz="4" w:space="0" w:color="auto"/>
              <w:tl2br w:val="nil"/>
              <w:tr2bl w:val="nil"/>
            </w:tcBorders>
            <w:noWrap/>
            <w:vAlign w:val="bottom"/>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宋体" w:eastAsia="方正仿宋简体" w:cs="宋体" w:hAnsi="方正仿宋简体" w:hint="eastAsia"/>
                <w:color w:val="000000"/>
                <w:kern w:val="0"/>
                <w:sz w:val="22"/>
                <w:lang w:bidi="ar-SA"/>
              </w:rPr>
            </w:pPr>
            <w:r>
              <w:rPr>
                <w:rFonts w:ascii="宋体" w:eastAsia="方正仿宋简体" w:cs="宋体" w:hAnsi="方正仿宋简体" w:hint="eastAsia"/>
                <w:color w:val="000000"/>
                <w:kern w:val="0"/>
                <w:sz w:val="22"/>
                <w:lang w:bidi="ar-SA"/>
              </w:rPr>
              <w:t>　</w:t>
            </w:r>
          </w:p>
        </w:tc>
      </w:tr>
      <w:tr>
        <w:trPr>
          <w:trHeight w:val="572"/>
        </w:trPr>
        <w:tc>
          <w:tcPr>
            <w:tcW w:w="457" w:type="dxa"/>
            <w:tcBorders>
              <w:top w:val="nil"/>
              <w:left w:val="single" w:sz="4" w:space="0" w:color="auto"/>
              <w:bottom w:val="single" w:sz="4" w:space="0" w:color="auto"/>
              <w:right w:val="single" w:sz="4" w:space="0" w:color="auto"/>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eastAsia="方正仿宋简体" w:cs="宋体" w:hAnsi="方正仿宋简体" w:hint="eastAsia"/>
                <w:color w:val="000000"/>
                <w:kern w:val="0"/>
                <w:szCs w:val="21"/>
                <w:lang w:bidi="ar-SA"/>
              </w:rPr>
            </w:pPr>
          </w:p>
        </w:tc>
        <w:tc>
          <w:tcPr>
            <w:tcW w:w="1961" w:type="dxa"/>
            <w:tcBorders>
              <w:top w:val="nil"/>
              <w:left w:val="nil"/>
              <w:bottom w:val="single" w:sz="4" w:space="0" w:color="auto"/>
              <w:right w:val="single" w:sz="4" w:space="0" w:color="auto"/>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eastAsia="方正仿宋简体" w:cs="宋体" w:hAnsi="方正仿宋简体" w:hint="eastAsia"/>
                <w:color w:val="000000"/>
                <w:kern w:val="0"/>
                <w:szCs w:val="21"/>
                <w:lang w:val="en-US" w:eastAsia="zh-CN" w:bidi="ar-SA"/>
              </w:rPr>
            </w:pPr>
          </w:p>
        </w:tc>
        <w:tc>
          <w:tcPr>
            <w:tcW w:w="2746" w:type="dxa"/>
            <w:tcBorders>
              <w:top w:val="nil"/>
              <w:left w:val="nil"/>
              <w:bottom w:val="single" w:sz="4" w:space="0" w:color="auto"/>
              <w:right w:val="single" w:sz="4" w:space="0" w:color="auto"/>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宋体" w:eastAsia="方正仿宋简体" w:cs="宋体" w:hAnsi="方正仿宋简体" w:hint="eastAsia"/>
                <w:color w:val="000000"/>
                <w:kern w:val="0"/>
                <w:szCs w:val="21"/>
                <w:lang w:bidi="ar-SA"/>
              </w:rPr>
            </w:pPr>
          </w:p>
        </w:tc>
        <w:tc>
          <w:tcPr>
            <w:tcW w:w="1340" w:type="dxa"/>
            <w:tcBorders>
              <w:top w:val="nil"/>
              <w:left w:val="nil"/>
              <w:bottom w:val="single" w:sz="4" w:space="0" w:color="auto"/>
              <w:right w:val="single" w:sz="4" w:space="0" w:color="auto"/>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eastAsia="方正仿宋简体" w:cs="宋体" w:hAnsi="方正仿宋简体" w:hint="eastAsia"/>
                <w:color w:val="000000"/>
                <w:kern w:val="0"/>
                <w:szCs w:val="21"/>
                <w:lang w:bidi="ar-SA"/>
              </w:rPr>
            </w:pPr>
          </w:p>
        </w:tc>
        <w:tc>
          <w:tcPr>
            <w:tcW w:w="1203" w:type="dxa"/>
            <w:tcBorders>
              <w:top w:val="nil"/>
              <w:left w:val="nil"/>
              <w:bottom w:val="single" w:sz="4" w:space="0" w:color="auto"/>
              <w:right w:val="single" w:sz="4" w:space="0" w:color="auto"/>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eastAsia="方正仿宋简体" w:cs="宋体" w:hAnsi="方正仿宋简体" w:hint="eastAsia"/>
                <w:color w:val="000000"/>
                <w:kern w:val="0"/>
                <w:szCs w:val="21"/>
                <w:lang w:bidi="ar-SA"/>
              </w:rPr>
            </w:pPr>
          </w:p>
        </w:tc>
        <w:tc>
          <w:tcPr>
            <w:tcW w:w="4830" w:type="dxa"/>
            <w:tcBorders>
              <w:top w:val="nil"/>
              <w:left w:val="nil"/>
              <w:bottom w:val="single" w:sz="4" w:space="0" w:color="auto"/>
              <w:right w:val="single" w:sz="4" w:space="0" w:color="auto"/>
              <w:tl2br w:val="nil"/>
              <w:tr2bl w:val="nil"/>
            </w:tcBorders>
            <w:noWrap/>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宋体" w:eastAsia="方正仿宋简体" w:cs="宋体" w:hAnsi="方正仿宋简体" w:hint="eastAsia"/>
                <w:color w:val="000000"/>
                <w:kern w:val="0"/>
                <w:szCs w:val="21"/>
                <w:lang w:bidi="ar-SA"/>
              </w:rPr>
            </w:pPr>
          </w:p>
        </w:tc>
        <w:tc>
          <w:tcPr>
            <w:tcW w:w="2160" w:type="dxa"/>
            <w:tcBorders>
              <w:top w:val="nil"/>
              <w:left w:val="nil"/>
              <w:bottom w:val="single" w:sz="4" w:space="0" w:color="auto"/>
              <w:right w:val="single" w:sz="4" w:space="0" w:color="auto"/>
              <w:tl2br w:val="nil"/>
              <w:tr2bl w:val="nil"/>
            </w:tcBorders>
            <w:noWrap/>
            <w:vAlign w:val="bottom"/>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宋体" w:eastAsia="方正仿宋简体" w:cs="宋体" w:hAnsi="方正仿宋简体" w:hint="eastAsia"/>
                <w:color w:val="000000"/>
                <w:kern w:val="0"/>
                <w:sz w:val="22"/>
                <w:lang w:bidi="ar-SA"/>
              </w:rPr>
            </w:pPr>
          </w:p>
        </w:tc>
      </w:tr>
    </w:tbl>
    <w:p>
      <w:pPr>
        <w:widowControl/>
        <w:spacing w:line="600" w:lineRule="atLeast"/>
        <w:rPr>
          <w:rFonts w:ascii="宋体" w:eastAsia="方正仿宋简体" w:hAnsi="方正仿宋简体" w:hint="eastAsia"/>
          <w:sz w:val="32"/>
          <w:szCs w:val="32"/>
        </w:rPr>
      </w:pPr>
    </w:p>
    <w:sectPr>
      <w:pgSz w:w="16838" w:h="11906" w:orient="landscape"/>
      <w:pgMar w:top="1797" w:right="1440" w:bottom="1797" w:left="1440" w:header="851" w:footer="992" w:gutter="0"/>
      <w:pgNumType/>
      <w:docGrid w:type="linesAndChar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auto"/>
    <w:pitch w:val="variable"/>
    <w:sig w:usb0="E0002AFF" w:usb1="C0007841" w:usb2="00000009" w:usb3="00000000" w:csb0="400001FF" w:csb1="FFFF0000"/>
  </w:font>
  <w:font w:name="仿宋">
    <w:panose1 w:val="02010609060101010101"/>
    <w:charset w:val="86"/>
    <w:family w:val="modern"/>
    <w:pitch w:val="variable"/>
    <w:sig w:usb0="800002BF" w:usb1="38CF7CFA" w:usb2="00000016" w:usb3="00000000" w:csb0="00040001" w:csb1="00000000"/>
  </w:font>
  <w:font w:name="方正仿宋简体">
    <w:panose1 w:val="03000509000000000000"/>
    <w:charset w:val="86"/>
    <w:family w:val="script"/>
    <w:pitch w:val="variable"/>
    <w:sig w:usb0="00000001" w:usb1="080E0000" w:usb2="00000000" w:usb3="00000000" w:csb0="00040000" w:csb1="00000000"/>
  </w:font>
  <w:font w:name="Wingdings">
    <w:panose1 w:val="05000000000000000000"/>
    <w:charset w:val="02"/>
    <w:family w:val="auto"/>
    <w:pitch w:val="variable"/>
    <w:sig w:usb0="00000000" w:usb1="00000000" w:usb2="00000000" w:usb3="00000000" w:csb0="80000000" w:csb1="00000000"/>
  </w:font>
  <w:font w:name="宋体">
    <w:panose1 w:val="02010600030101010101"/>
    <w:charset w:val="86"/>
    <w:family w:val="auto"/>
    <w:pitch w:val="variable"/>
    <w:sig w:usb0="00000003" w:usb1="288F0000" w:usb2="00000006" w:usb3="00000000" w:csb0="00040001" w:csb1="00000000"/>
  </w:font>
  <w:font w:name="方正小标宋简体">
    <w:panose1 w:val="03000509000000000000"/>
    <w:charset w:val="86"/>
    <w:family w:val="script"/>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variable"/>
    <w:sig w:usb0="00000000" w:usb1="00000000" w:usb2="00000000" w:usb3="00000000" w:csb0="00040000" w:csb1="00000000"/>
  </w:font>
  <w:font w:name="楷体">
    <w:panose1 w:val="02010609060101010101"/>
    <w:charset w:val="86"/>
    <w:family w:val="auto"/>
    <w:pitch w:val="variable"/>
    <w:sig w:usb0="800002BF" w:usb1="38CF7CFA" w:usb2="00000016" w:usb3="00000000" w:csb0="00040001" w:csb1="00000000"/>
  </w:font>
  <w:font w:name="方正楷体简体">
    <w:panose1 w:val="03000509000000000000"/>
    <w:charset w:val="86"/>
    <w:family w:val="auto"/>
    <w:pitch w:val="variable"/>
    <w:sig w:usb0="00000001" w:usb1="080E0000" w:usb2="00000000" w:usb3="00000000" w:csb0="00040000" w:csb1="00000000"/>
  </w:font>
  <w:font w:name="等线">
    <w:altName w:val="微软雅黑"/>
    <w:panose1 w:val="02010600030101010101"/>
    <w:charset w:val="86"/>
    <w:family w:val="roman"/>
    <w:pitch w:val="variable"/>
    <w:sig w:usb0="A00002BF" w:usb1="38CF7CFA" w:usb2="00000016" w:usb3="00000000" w:csb0="0004000F" w:csb1="00000000"/>
  </w:font>
  <w:font w:name="Arial">
    <w:panose1 w:val="020B0604020202020204"/>
    <w:charset w:val="00"/>
    <w:family w:val="auto"/>
    <w:pitch w:val="variable"/>
    <w:sig w:usb0="00007A87" w:usb1="80000000" w:usb2="00000008" w:usb3="00000000" w:csb0="400001FF" w:csb1="FFFF0000"/>
  </w:font>
  <w:font w:name="Calibri">
    <w:panose1 w:val="020F0502020204030204"/>
    <w:charset w:val="00"/>
    <w:family w:val="swiss"/>
    <w:pitch w:val="variable"/>
    <w:sig w:usb0="E00002FF" w:usb1="4000ACFF" w:usb2="00000001" w:usb3="00000000" w:csb0="2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lear" w:pos="4153"/>
        <w:tab w:val="clear" w:pos="8306"/>
        <w:tab w:val="center" w:pos="4153"/>
        <w:tab w:val="right" w:pos="8306"/>
      </w:tabs>
      <w:jc w:val="center"/>
    </w:pPr>
    <w:r>
      <mc:AlternateContent>
        <mc:Choice Requires="wps">
          <w:drawing>
            <wp:anchor distT="0" distB="0" distL="114300" distR="114300" simplePos="0" relativeHeight="12" behindDoc="0" locked="0" layoutInCell="1" hidden="0" allowOverlap="1">
              <wp:simplePos x="0" y="0"/>
              <wp:positionH relativeFrom="margin">
                <wp:align>outside</wp:align>
              </wp:positionH>
              <wp:positionV relativeFrom="paragraph">
                <wp:posOffset>0</wp:posOffset>
              </wp:positionV>
              <wp:extent cx="76200" cy="284480"/>
              <wp:effectExtent l="0" t="0" r="0" b="0"/>
              <wp:wrapNone/>
              <wp:docPr id="2" name="文本框 1"/>
              <wp:cNvGraphicFramePr>
                <a:graphicFrameLocks noChangeAspect="0"/>
              </wp:cNvGraphicFramePr>
              <a:graphic>
                <a:graphicData uri="http://schemas.microsoft.com/office/word/2010/wordprocessingShape">
                  <wps:wsp>
                    <wps:cNvSpPr/>
                    <wps:spPr>
                      <a:xfrm rot="0">
                        <a:off x="0" y="0"/>
                        <a:ext cx="76200" cy="284480"/>
                      </a:xfrm>
                      <a:prstGeom prst="rect"/>
                      <a:noFill/>
                      <a:ln w="9525" cmpd="sng" cap="flat">
                        <a:noFill/>
                        <a:prstDash val="solid"/>
                        <a:miter/>
                      </a:ln>
                    </wps:spPr>
                    <wps:txbx id="1">
                      <w:txbxContent>
                        <w:p>
                          <w:pPr>
                            <w:pStyle w:val="16"/>
                            <w:tabs>
                              <w:tab w:val="clear" w:pos="4153"/>
                              <w:tab w:val="clear" w:pos="8306"/>
                              <w:tab w:val="center" w:pos="4153"/>
                              <w:tab w:val="right" w:pos="8306"/>
                            </w:tabs>
                            <w:jc w:val="center"/>
                          </w:pPr>
                          <w:r>
                            <w:fldChar w:fldCharType="begin"/>
                          </w:r>
                          <w:r>
                            <w:instrText xml:space="preserve"> PAGE   \* MERGEFORMAT </w:instrText>
                          </w:r>
                          <w:r>
                            <w:fldChar w:fldCharType="separate"/>
                          </w:r>
                          <w:r>
                            <w:rPr>
                              <w:lang w:val="zh-CN" w:eastAsia="zh-CN"/>
                            </w:rPr>
                            <w:t>1</w:t>
                          </w:r>
                          <w:r>
                            <w:rPr>
                              <w:lang w:val="zh-CN" w:eastAsia="zh-CN"/>
                            </w:rPr>
                            <w:fldChar w:fldCharType="end"/>
                          </w:r>
                        </w:p>
                        <w:p/>
                      </w:txbxContent>
                    </wps:txbx>
                    <wps:bodyPr vert="horz" wrap="none" lIns="0" tIns="0" rIns="0" bIns="0" anchor="t" anchorCtr="0" upright="1">
                      <a:spAutoFit/>
                    </wps:bodyPr>
                  </wps:wsp>
                </a:graphicData>
              </a:graphic>
            </wp:anchor>
          </w:drawing>
        </mc:Choice>
        <mc:Fallback>
          <w:pict>
            <v:shape type="#_x0000_t202" id="文本框 1" o:spid="_x0000_s2" filled="f" stroked="f" style="position:absolute;margin-left:0.0pt;margin-top:0.0pt;width:6.0pt;height:22.400002pt;z-index:12;mso-position-horizontal:outside;mso-position-horizontal-relative:margin;mso-position-vertical:absolute;mso-wrap-style:none;">
              <v:stroke color="#000000"/>
              <v:textbox id="848" inset="0mm,0mm,0mm,0mm" o:insetmode="custom" style="layout-flow:horizontal;v-text-anchor:top;mso-fit-shape-to-text:t;">
                <w:txbxContent>
                  <w:p>
                    <w:pPr>
                      <w:pStyle w:val="16"/>
                      <w:tabs>
                        <w:tab w:val="clear" w:pos="4153"/>
                        <w:tab w:val="clear" w:pos="8306"/>
                        <w:tab w:val="center" w:pos="4153"/>
                        <w:tab w:val="right" w:pos="8306"/>
                      </w:tabs>
                      <w:jc w:val="center"/>
                    </w:pPr>
                    <w:r>
                      <w:fldChar w:fldCharType="begin"/>
                    </w:r>
                    <w:r>
                      <w:instrText xml:space="preserve"> PAGE   \* MERGEFORMAT </w:instrText>
                    </w:r>
                    <w:r>
                      <w:fldChar w:fldCharType="separate"/>
                    </w:r>
                    <w:r>
                      <w:rPr>
                        <w:lang w:val="zh-CN" w:eastAsia="zh-CN"/>
                      </w:rPr>
                      <w:t>1</w:t>
                    </w:r>
                    <w:r>
                      <w:rPr>
                        <w:lang w:val="zh-CN" w:eastAsia="zh-CN"/>
                      </w:rPr>
                      <w:fldChar w:fldCharType="end"/>
                    </w:r>
                  </w:p>
                  <w:p/>
                </w:txbxContent>
              </v:textbox>
            </v:shape>
          </w:pict>
        </mc:Fallback>
      </mc:AlternateContent>
    </w:r>
  </w:p>
  <w:p>
    <w:pPr>
      <w:pStyle w:val="16"/>
      <w:tabs>
        <w:tab w:val="clear" w:pos="4153"/>
        <w:tab w:val="clear" w:pos="8306"/>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pBdr>
        <w:bottom w:val="none" w:sz="0" w:space="0" w:color="auto"/>
      </w:pBdr>
      <w:tabs>
        <w:tab w:val="clear" w:pos="4153"/>
        <w:tab w:val="clear" w:pos="8306"/>
        <w:tab w:val="center" w:pos="4153"/>
        <w:tab w:val="right" w:pos="8306"/>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420"/>
  <w:drawingGridHorizontalSpacing w:val="180"/>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doNotSuppressIndentation/>
    <w:splitPgBreakAndParaMark/>
    <w:autofitToFirstFixedWidthCell/>
    <w:compatSetting w:name="compatibilityMode" w:uri="http://schemas.microsoft.com/office/word" w:val="11"/>
  </w:compat>
  <m:mathPr>
    <m:mathFont m:val="Cambria Math"/>
    <m:brkBin m:val="before"/>
    <m:brkBinSub m:val="--"/>
    <m:smallFrac/>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pPr>
      <w:widowControl w:val="0"/>
      <w:jc w:val="both"/>
    </w:pPr>
    <w:rPr>
      <w:rFonts w:ascii="Times New Roman" w:eastAsia="宋体" w:cs="Times New Roman" w:hAnsi="宋体"/>
      <w:kern w:val="2"/>
      <w:sz w:val="21"/>
      <w:szCs w:val="22"/>
      <w:lang w:val="en-US" w:eastAsia="zh-CN" w:bidi="ar-SA"/>
    </w:rPr>
  </w:style>
  <w:style w:type="paragraph" w:styleId="1">
    <w:name w:val="heading 1"/>
    <w:qFormat/>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宋体"/>
      <w:b/>
      <w:bCs/>
      <w:kern w:val="44"/>
      <w:sz w:val="44"/>
      <w:szCs w:val="44"/>
      <w:lang w:val="en-US" w:eastAsia="zh-CN" w:bidi="ar-SA"/>
    </w:rPr>
  </w:style>
  <w:style w:type="paragraph" w:styleId="2">
    <w:name w:val="heading 2"/>
    <w:qFormat/>
    <w:basedOn w:val="0"/>
    <w:next w:val="0"/>
    <w:link w:val="2Char"/>
    <w:pPr>
      <w:keepNext/>
      <w:keepLines/>
      <w:widowControl w:val="0"/>
      <w:spacing w:before="260" w:after="260" w:line="415" w:lineRule="auto"/>
      <w:outlineLvl w:val="1"/>
    </w:pPr>
    <w:rPr>
      <w:rFonts w:ascii="Times New Roman" w:eastAsia="黑体" w:hAnsi="黑体"/>
      <w:b/>
      <w:bCs/>
      <w:sz w:val="32"/>
      <w:szCs w:val="32"/>
    </w:rPr>
  </w:style>
  <w:style w:type="character" w:customStyle="1" w:styleId="2Char">
    <w:name w:val="heading 2 Char"/>
    <w:basedOn w:val="10"/>
    <w:link w:val="2"/>
    <w:rPr>
      <w:rFonts w:ascii="Times New Roman" w:eastAsia="黑体" w:cs="Times New Roman" w:hAnsi="黑体"/>
      <w:b/>
      <w:bCs/>
      <w:kern w:val="2"/>
      <w:sz w:val="32"/>
      <w:szCs w:val="32"/>
      <w:lang w:val="en-US" w:eastAsia="zh-CN" w:bidi="ar-SA"/>
    </w:rPr>
  </w:style>
  <w:style w:type="paragraph" w:styleId="3">
    <w:name w:val="heading 3"/>
    <w:qFormat/>
    <w:basedOn w:val="0"/>
    <w:next w:val="0"/>
    <w:link w:val="3Char"/>
    <w:pPr>
      <w:keepNext/>
      <w:keepLines/>
      <w:widowControl w:val="0"/>
      <w:spacing w:before="260" w:after="260" w:line="415" w:lineRule="auto"/>
      <w:outlineLvl w:val="2"/>
    </w:pPr>
    <w:rPr>
      <w:b/>
      <w:bCs/>
      <w:sz w:val="32"/>
      <w:szCs w:val="32"/>
    </w:rPr>
  </w:style>
  <w:style w:type="character" w:customStyle="1" w:styleId="3Char">
    <w:name w:val="heading 3 Char"/>
    <w:basedOn w:val="10"/>
    <w:link w:val="3"/>
    <w:rPr>
      <w:rFonts w:ascii="Times New Roman" w:eastAsia="宋体" w:cs="Times New Roman" w:hAnsi="宋体"/>
      <w:b/>
      <w:bCs/>
      <w:kern w:val="2"/>
      <w:sz w:val="32"/>
      <w:szCs w:val="32"/>
      <w:lang w:val="en-US" w:eastAsia="zh-CN" w:bidi="ar-SA"/>
    </w:rPr>
  </w:style>
  <w:style w:type="character" w:default="1" w:styleId="10">
    <w:name w:val="Default Paragraph Font"/>
    <w:qFormat/>
  </w:style>
  <w:style w:type="paragraph" w:styleId="15">
    <w:name w:val="Body Text Indent"/>
    <w:qFormat/>
    <w:basedOn w:val="0"/>
    <w:pPr>
      <w:spacing w:after="120"/>
      <w:ind w:leftChars="200" w:left="200"/>
    </w:pPr>
  </w:style>
  <w:style w:type="paragraph" w:styleId="16">
    <w:name w:val="footer"/>
    <w:qFormat/>
    <w:basedOn w:val="0"/>
    <w:pPr>
      <w:tabs>
        <w:tab w:val="center" w:pos="4153"/>
        <w:tab w:val="right" w:pos="8306"/>
      </w:tabs>
      <w:snapToGrid w:val="0"/>
      <w:jc w:val="left"/>
    </w:pPr>
    <w:rPr>
      <w:sz w:val="18"/>
      <w:szCs w:val="18"/>
    </w:rPr>
  </w:style>
  <w:style w:type="paragraph" w:styleId="17">
    <w:name w:val="header"/>
    <w:qFormat/>
    <w:basedOn w:val="0"/>
    <w:pPr>
      <w:pBdr>
        <w:bottom w:val="single" w:sz="6" w:space="1" w:color="auto"/>
      </w:pBdr>
      <w:tabs>
        <w:tab w:val="center" w:pos="4153"/>
        <w:tab w:val="right" w:pos="8306"/>
      </w:tabs>
      <w:snapToGrid w:val="0"/>
      <w:jc w:val="center"/>
    </w:pPr>
    <w:rPr>
      <w:sz w:val="18"/>
      <w:szCs w:val="18"/>
      <w:bdr w:val="none" w:sz="0" w:space="0" w:color="auto"/>
    </w:rPr>
  </w:style>
  <w:style w:type="paragraph" w:styleId="18">
    <w:name w:val="Body Text First Indent 2"/>
    <w:qFormat/>
    <w:basedOn w:val="15"/>
    <w:pPr>
      <w:spacing w:after="0"/>
      <w:ind w:firstLineChars="200" w:firstLine="200"/>
    </w:pPr>
    <w:rPr>
      <w:rFonts w:cs="Calibri"/>
      <w:color w:val="0000FF"/>
      <w:szCs w:val="21"/>
      <w:lang w:bidi="ar-SA"/>
    </w:rPr>
  </w:style>
  <w:style w:type="paragraph" w:customStyle="1" w:styleId="19">
    <w:name w:val="Char1 Char Char Char Char Char Char"/>
    <w:qFormat/>
    <w:basedOn w:val="0"/>
    <w:rPr>
      <w:rFonts w:ascii="Times New Roman" w:hAnsi="Times New Roman"/>
      <w:szCs w:val="24"/>
    </w:rPr>
  </w:style>
  <w:style w:type="character" w:styleId="20">
    <w:name w:val="page number"/>
    <w:qFormat/>
  </w:style>
  <w:style w:type="paragraph" w:customStyle="1" w:styleId="21">
    <w:name w:val="UserStyle_0"/>
    <w:qFormat/>
    <w:basedOn w:val="0"/>
    <w:pPr>
      <w:widowControl/>
      <w:textAlignment w:val="baseline"/>
    </w:pPr>
    <w:rPr>
      <w:rFonts w:ascii="Times New Roman" w:hAnsi="Times New Roman"/>
      <w:szCs w:val="21"/>
    </w:rPr>
  </w:style>
  <w:style w:type="paragraph" w:customStyle="1" w:styleId="22">
    <w:name w:val=" Char Char1 Char Char Char Char Char Char Char Char Char Char Char Char Char Char1 Char Char Char Char Char Char1"/>
    <w:qFormat/>
    <w:basedOn w:val="0"/>
    <w:pPr>
      <w:widowControl/>
      <w:spacing w:afterLines="50" w:after="50" w:line="300" w:lineRule="auto"/>
      <w:ind w:firstLineChars="200" w:firstLine="200"/>
    </w:pPr>
    <w:rPr>
      <w:rFonts w:ascii="Times New Roman" w:hAnsi="Times New Roman"/>
      <w:szCs w:val="2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 Id="rId7"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b"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241921D3-C88E-4E23-9FF9-2A78ADB28A1B}">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14201471</TotalTime>
  <Application>Yozo_Office27021597764231189</Application>
  <Pages>9</Pages>
  <Words>0</Words>
  <Characters>3375</Characters>
  <Lines>0</Lines>
  <Paragraphs>69</Paragraphs>
  <CharactersWithSpaces>4501</CharactersWithSpaces>
  <Company>Lenovo</Company>
</Properties>
</file>

<file path=docProps/core.xml><?xml version="1.0" encoding="utf-8"?>
<cp:coreProperties xmlns:cp="http://schemas.openxmlformats.org/package/2006/metadata/core-properties" xmlns:dc="http://purl.org/dc/elements/1.1/" xmlns:dcterms="http://purl.org/dc/terms/" xmlns:xsi="http://www.w3.org/2001/XMLSchema-instance">
  <dc:title>预算部门整体绩效自评报告</dc:title>
  <dc:creator>123</dc:creator>
  <cp:lastModifiedBy>Administrator</cp:lastModifiedBy>
  <cp:revision>6</cp:revision>
  <cp:lastPrinted>2021-04-27T07:55:00Z</cp:lastPrinted>
  <dcterms:created xsi:type="dcterms:W3CDTF">2021-04-27T08:13:00Z</dcterms:created>
  <dcterms:modified xsi:type="dcterms:W3CDTF">2024-08-23T05:39:58Z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2052-11.1.0.10495</vt:lpwstr>
  </property>
  <property fmtid="{D5CDD505-2E9C-101B-9397-08002B2CF9AE}" pid="3" name="ICV">
    <vt:lpwstr>90DF5E3CD79A42219EC593BCF82C87AE</vt:lpwstr>
  </property>
  <property fmtid="{D5CDD505-2E9C-101B-9397-08002B2CF9AE}" pid="4" name="KSOSaveFontToCloudKey">
    <vt:lpwstr>376905995_btnclosed</vt:lpwstr>
  </property>
</Properties>
</file>