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ind w:firstLineChars="200" w:firstLine="880"/>
        <w:jc w:val="center"/>
        <w:rPr>
          <w:rFonts w:ascii="宋体" w:cs="Times New Roman" w:hint="eastAsia"/>
          <w:b/>
          <w:sz w:val="44"/>
          <w:szCs w:val="44"/>
          <w:lang w:bidi="ar-SA"/>
        </w:rPr>
      </w:pPr>
      <w:bookmarkStart w:id="0" w:name="_GoBack"/>
      <w:bookmarkEnd w:id="0"/>
      <w:r>
        <w:rPr>
          <w:rFonts w:ascii="宋体" w:cs="Times New Roman" w:hint="eastAsia"/>
          <w:b/>
          <w:sz w:val="44"/>
          <w:szCs w:val="44"/>
          <w:lang w:bidi="ar-SA"/>
        </w:rPr>
        <w:t>遵化市供销合作社</w:t>
      </w:r>
      <w:r>
        <w:rPr>
          <w:rFonts w:ascii="宋体" w:cs="Times New Roman" w:hint="eastAsia"/>
          <w:b/>
          <w:sz w:val="44"/>
          <w:szCs w:val="44"/>
          <w:lang w:bidi="ar-SA"/>
        </w:rPr>
        <w:t>20</w:t>
      </w:r>
      <w:r>
        <w:rPr>
          <w:rFonts w:ascii="宋体" w:cs="Times New Roman" w:hint="eastAsia"/>
          <w:b/>
          <w:sz w:val="44"/>
          <w:szCs w:val="44"/>
          <w:lang w:val="en-US" w:eastAsia="zh-CN" w:bidi="ar-SA"/>
        </w:rPr>
        <w:t>2</w:t>
      </w:r>
      <w:r>
        <w:rPr>
          <w:rFonts w:ascii="宋体" w:cs="Times New Roman" w:hint="eastAsia"/>
          <w:b/>
          <w:sz w:val="44"/>
          <w:szCs w:val="44"/>
          <w:lang w:val="en-US" w:eastAsia="zh-CN" w:bidi="ar-SA"/>
        </w:rPr>
        <w:t>0</w:t>
      </w:r>
      <w:r>
        <w:rPr>
          <w:rFonts w:ascii="宋体" w:cs="Times New Roman" w:hint="eastAsia"/>
          <w:b/>
          <w:sz w:val="44"/>
          <w:szCs w:val="44"/>
          <w:lang w:bidi="ar-SA"/>
        </w:rPr>
        <w:t>年部门预算信息公开</w:t>
      </w:r>
    </w:p>
    <w:p>
      <w:pPr>
        <w:spacing w:line="560" w:lineRule="exact"/>
        <w:ind w:firstLineChars="200" w:firstLine="640"/>
        <w:rPr>
          <w:rFonts w:ascii="仿宋" w:eastAsia="仿宋" w:cs="Times New Roman" w:hAnsi="仿宋" w:hint="eastAsia"/>
          <w:sz w:val="32"/>
          <w:szCs w:val="32"/>
          <w:lang w:bidi="ar-SA"/>
        </w:rPr>
      </w:pP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中华人民共和国</w:t>
      </w:r>
      <w:r>
        <w:rPr>
          <w:rFonts w:ascii="仿宋" w:eastAsia="仿宋" w:cs="Times New Roman" w:hAnsi="仿宋" w:hint="eastAsia"/>
          <w:sz w:val="28"/>
          <w:szCs w:val="28"/>
          <w:lang w:bidi="ar-SA"/>
        </w:rPr>
        <w:t>预算法》、</w:t>
      </w:r>
      <w:r>
        <w:rPr>
          <w:rFonts w:ascii="仿宋" w:eastAsia="仿宋" w:cs="Times New Roman" w:hAnsi="仿宋" w:hint="eastAsia"/>
          <w:sz w:val="28"/>
          <w:szCs w:val="28"/>
          <w:lang w:bidi="ar-SA"/>
        </w:rPr>
        <w:t>《地方预决算公开操作规程》和《河北省省级预算公开办法》</w:t>
      </w:r>
      <w:r>
        <w:rPr>
          <w:rFonts w:ascii="仿宋" w:eastAsia="仿宋" w:cs="Times New Roman" w:hAnsi="仿宋" w:hint="eastAsia"/>
          <w:sz w:val="28"/>
          <w:szCs w:val="28"/>
          <w:lang w:bidi="ar-SA"/>
        </w:rPr>
        <w:t>规定</w:t>
      </w:r>
      <w:r>
        <w:rPr>
          <w:rFonts w:ascii="仿宋" w:eastAsia="仿宋" w:cs="Times New Roman" w:hAnsi="仿宋" w:hint="eastAsia"/>
          <w:sz w:val="28"/>
          <w:szCs w:val="28"/>
          <w:lang w:bidi="ar-SA"/>
        </w:rPr>
        <w:t>，现将</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年部门预算公开如下：</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一、部门职责及机构设置情况</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部门职责：</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（一）根据《中共遵化市委遵化市人民政府关于大力推进供销合作社改革与发展的实施意见》</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val="en-US" w:eastAsia="zh-CN" w:bidi="ar-SA"/>
        </w:rPr>
        <w:t>遵字[2007]7号）</w:t>
      </w:r>
      <w:r>
        <w:rPr>
          <w:rFonts w:ascii="仿宋" w:eastAsia="仿宋" w:cs="Times New Roman" w:hAnsi="仿宋" w:hint="eastAsia"/>
          <w:sz w:val="28"/>
          <w:szCs w:val="28"/>
          <w:lang w:bidi="ar-SA"/>
        </w:rPr>
        <w:t xml:space="preserve">等有关文件，本单位主要职责是：   </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1.承担全市农村流通服务网络体系建设，组建企业经营集团，以多元投资模式发展配送中心，开展农业生产资料、农产品、再生资源回收利用、日用工业品的新型连锁经营。</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3.承担村镇社区综合服务中心的建设，延伸服务网络，大力发展村级综合服务站，完善农村综合服务体系。</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4.承担农资、食盐等物资的储备供应工作。</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5.组织和指导全系统企业改革，承担对改制企业的监督、管理和服务的职能。负责和指导全系统供销社企业的财务、会计、审计、统计工作，负责管理运营本级社资产。</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.对全系统所属企业行使出资人职能，负责企业党建、廉政建设，按干部管理权限考察任免干部。依法享有所有者的资产收益、重大问题决策和选择管理者的权力。</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机构设置：</w:t>
      </w:r>
    </w:p>
    <w:p>
      <w:pPr>
        <w:spacing w:line="560" w:lineRule="exact"/>
        <w:ind w:firstLineChars="200" w:firstLine="640"/>
        <w:jc w:val="center"/>
        <w:rPr>
          <w:rFonts w:ascii="仿宋" w:eastAsia="仿宋" w:cs="Times New Roman" w:hAnsi="仿宋" w:hint="eastAsia"/>
          <w:sz w:val="32"/>
          <w:szCs w:val="32"/>
          <w:lang w:bidi="ar-SA"/>
        </w:rPr>
      </w:pPr>
      <w:r>
        <w:rPr>
          <w:rFonts w:ascii="仿宋" w:eastAsia="仿宋" w:cs="Times New Roman" w:hAnsi="仿宋" w:hint="eastAsia"/>
          <w:b/>
          <w:sz w:val="32"/>
          <w:szCs w:val="32"/>
          <w:lang w:bidi="ar-SA"/>
        </w:rPr>
        <w:t>部门</w:t>
      </w:r>
      <w:r>
        <w:rPr>
          <w:rFonts w:ascii="仿宋" w:eastAsia="仿宋" w:cs="Times New Roman" w:hAnsi="仿宋" w:hint="eastAsia"/>
          <w:b/>
          <w:sz w:val="32"/>
          <w:szCs w:val="32"/>
          <w:lang w:bidi="ar-SA"/>
        </w:rPr>
        <w:t>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717"/>
        <w:gridCol w:w="2286"/>
        <w:gridCol w:w="2857"/>
        <w:gridCol w:w="3200"/>
      </w:tblGrid>
      <w:tr>
        <w:trPr>
          <w:trHeight w:hRule="exact" w:val="312"/>
          <w:tblHeader/>
        </w:trPr>
        <w:tc>
          <w:tcPr>
            <w:tcW w:w="571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单位名称</w:t>
            </w:r>
          </w:p>
        </w:tc>
        <w:tc>
          <w:tcPr>
            <w:tcW w:w="2286"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单位性质</w:t>
            </w:r>
          </w:p>
        </w:tc>
        <w:tc>
          <w:tcPr>
            <w:tcW w:w="285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单位规格</w:t>
            </w:r>
          </w:p>
        </w:tc>
        <w:tc>
          <w:tcPr>
            <w:tcW w:w="3200"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经费保障形式</w:t>
            </w:r>
          </w:p>
        </w:tc>
      </w:tr>
      <w:tr>
        <w:trPr>
          <w:trHeight w:hRule="exact" w:val="356"/>
          <w:tblHeader/>
        </w:trPr>
        <w:tc>
          <w:tcPr>
            <w:tcW w:w="5717" w:type="dxa"/>
            <w:vMerge/>
            <w:tcBorders>
              <w:tl2br w:val="nil"/>
              <w:tr2bl w:val="nil"/>
            </w:tcBorders>
            <w:vAlign w:val="center"/>
          </w:tcPr>
          <w:p/>
        </w:tc>
        <w:tc>
          <w:tcPr>
            <w:tcW w:w="2286" w:type="dxa"/>
            <w:vMerge/>
            <w:tcBorders>
              <w:tl2br w:val="nil"/>
              <w:tr2bl w:val="nil"/>
            </w:tcBorders>
            <w:vAlign w:val="center"/>
          </w:tcPr>
          <w:p/>
        </w:tc>
        <w:tc>
          <w:tcPr>
            <w:tcW w:w="2857" w:type="dxa"/>
            <w:vMerge/>
            <w:tcBorders>
              <w:tl2br w:val="nil"/>
              <w:tr2bl w:val="nil"/>
            </w:tcBorders>
            <w:vAlign w:val="center"/>
          </w:tcPr>
          <w:p/>
        </w:tc>
        <w:tc>
          <w:tcPr>
            <w:tcW w:w="3200" w:type="dxa"/>
            <w:vMerge/>
            <w:tcBorders>
              <w:tl2br w:val="nil"/>
              <w:tr2bl w:val="nil"/>
            </w:tcBorders>
            <w:vAlign w:val="center"/>
          </w:tcPr>
          <w:p/>
        </w:tc>
      </w:tr>
      <w:tr>
        <w:trPr>
          <w:trHeight w:hRule="exact" w:val="626"/>
        </w:trPr>
        <w:tc>
          <w:tcPr>
            <w:tcW w:w="571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w:t>
            </w:r>
          </w:p>
        </w:tc>
        <w:tc>
          <w:tcPr>
            <w:tcW w:w="2286"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事业</w:t>
            </w:r>
          </w:p>
        </w:tc>
        <w:tc>
          <w:tcPr>
            <w:tcW w:w="285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正科级</w:t>
            </w:r>
          </w:p>
        </w:tc>
        <w:tc>
          <w:tcPr>
            <w:tcW w:w="3200"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财政拨款</w:t>
            </w:r>
          </w:p>
        </w:tc>
      </w:tr>
    </w:tbl>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遵化市供销合作社机关设7个职能科室，分别为：综合办公室、财务审计科、信访保卫监察科、人事教育科、合作指导科、</w:t>
      </w:r>
      <w:r>
        <w:rPr>
          <w:rFonts w:ascii="仿宋" w:eastAsia="仿宋" w:cs="Times New Roman" w:hAnsi="仿宋" w:hint="eastAsia"/>
          <w:sz w:val="28"/>
          <w:szCs w:val="28"/>
          <w:lang w:eastAsia="zh-CN" w:bidi="ar-SA"/>
        </w:rPr>
        <w:t>农村产权交易中心</w:t>
      </w:r>
      <w:r>
        <w:rPr>
          <w:rFonts w:ascii="仿宋" w:eastAsia="仿宋" w:cs="Times New Roman" w:hAnsi="仿宋" w:hint="eastAsia"/>
          <w:sz w:val="28"/>
          <w:szCs w:val="28"/>
          <w:lang w:bidi="ar-SA"/>
        </w:rPr>
        <w:t xml:space="preserve">、资产运营管理中心。纳入遵化市供销合作社部门预算编报范围的预算单位共1家，即遵化市供销合作社机关本级。 </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二、部门预算安排的总体情况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按照预算管理有关规定，目前我省部门预算的编制实行综合预算制度，即全部收入和支出都反映</w:t>
      </w:r>
      <w:r>
        <w:rPr>
          <w:rFonts w:ascii="仿宋" w:eastAsia="仿宋" w:cs="Times New Roman" w:hAnsi="仿宋" w:hint="eastAsia"/>
          <w:sz w:val="28"/>
          <w:szCs w:val="28"/>
          <w:lang w:bidi="ar-SA"/>
        </w:rPr>
        <w:t>在</w:t>
      </w:r>
      <w:r>
        <w:rPr>
          <w:rFonts w:ascii="仿宋" w:eastAsia="仿宋" w:cs="Times New Roman" w:hAnsi="仿宋" w:hint="eastAsia"/>
          <w:sz w:val="28"/>
          <w:szCs w:val="28"/>
          <w:lang w:bidi="ar-SA"/>
        </w:rPr>
        <w:t>预算中。</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的收支包含在部门预算中。</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1、收入说明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反映本部门当年全部收入。20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年预算收入</w:t>
      </w:r>
      <w:r>
        <w:rPr>
          <w:rFonts w:ascii="仿宋" w:eastAsia="仿宋" w:cs="Times New Roman" w:hAnsi="仿宋" w:hint="eastAsia"/>
          <w:sz w:val="28"/>
          <w:szCs w:val="28"/>
          <w:lang w:val="en-US" w:eastAsia="zh-CN" w:bidi="ar-SA"/>
        </w:rPr>
        <w:t>260.12</w:t>
      </w:r>
      <w:r>
        <w:rPr>
          <w:rFonts w:ascii="仿宋" w:eastAsia="仿宋" w:cs="Times New Roman" w:hAnsi="仿宋" w:hint="eastAsia"/>
          <w:sz w:val="28"/>
          <w:szCs w:val="28"/>
          <w:lang w:bidi="ar-SA"/>
        </w:rPr>
        <w:t>万元，其中：一般公共预算收入</w:t>
      </w:r>
      <w:r>
        <w:rPr>
          <w:rFonts w:ascii="仿宋" w:eastAsia="仿宋" w:cs="Times New Roman" w:hAnsi="仿宋" w:hint="eastAsia"/>
          <w:sz w:val="28"/>
          <w:szCs w:val="28"/>
          <w:lang w:val="en-US" w:eastAsia="zh-CN" w:bidi="ar-SA"/>
        </w:rPr>
        <w:t>260.12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，基金预算收入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万元，财政专户核拨收入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万元，其他来源收入0万元。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2、支出说明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收支预算总表支出栏、基本支出表、项目支出表按经济分类和支出功能分类科目编制，反映</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年度部门预算中支出预算的总体情况。20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年支出预算</w:t>
      </w:r>
      <w:r>
        <w:rPr>
          <w:rFonts w:ascii="仿宋" w:eastAsia="仿宋" w:cs="Times New Roman" w:hAnsi="仿宋" w:hint="eastAsia"/>
          <w:sz w:val="28"/>
          <w:szCs w:val="28"/>
          <w:lang w:val="en-US" w:eastAsia="zh-CN" w:bidi="ar-SA"/>
        </w:rPr>
        <w:t>260.12</w:t>
      </w:r>
      <w:r>
        <w:rPr>
          <w:rFonts w:ascii="仿宋" w:eastAsia="仿宋" w:cs="Times New Roman" w:hAnsi="仿宋" w:hint="eastAsia"/>
          <w:sz w:val="28"/>
          <w:szCs w:val="28"/>
          <w:lang w:bidi="ar-SA"/>
        </w:rPr>
        <w:t>万元，其中</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基本支出</w:t>
      </w:r>
      <w:r>
        <w:rPr>
          <w:rFonts w:ascii="仿宋" w:eastAsia="仿宋" w:cs="Times New Roman" w:hAnsi="仿宋" w:hint="eastAsia"/>
          <w:sz w:val="28"/>
          <w:szCs w:val="28"/>
          <w:lang w:val="en-US" w:eastAsia="zh-CN" w:bidi="ar-SA"/>
        </w:rPr>
        <w:t>222.12</w:t>
      </w:r>
      <w:r>
        <w:rPr>
          <w:rFonts w:ascii="仿宋" w:eastAsia="仿宋" w:cs="Times New Roman" w:hAnsi="仿宋" w:hint="eastAsia"/>
          <w:sz w:val="28"/>
          <w:szCs w:val="28"/>
          <w:lang w:bidi="ar-SA"/>
        </w:rPr>
        <w:t>万元，包括人员经费</w:t>
      </w:r>
      <w:r>
        <w:rPr>
          <w:rFonts w:ascii="仿宋" w:eastAsia="仿宋" w:cs="Times New Roman" w:hAnsi="仿宋" w:hint="eastAsia"/>
          <w:sz w:val="28"/>
          <w:szCs w:val="28"/>
          <w:lang w:val="en-US" w:eastAsia="zh-CN" w:bidi="ar-SA"/>
        </w:rPr>
        <w:t>210.12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和日常公用经费</w:t>
      </w:r>
      <w:r>
        <w:rPr>
          <w:rFonts w:ascii="仿宋" w:eastAsia="仿宋" w:cs="Times New Roman" w:hAnsi="仿宋" w:hint="eastAsia"/>
          <w:sz w:val="28"/>
          <w:szCs w:val="28"/>
          <w:lang w:val="en-US" w:eastAsia="zh-CN" w:bidi="ar-SA"/>
        </w:rPr>
        <w:t>12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val="en-US" w:eastAsia="zh-CN" w:bidi="ar-SA"/>
        </w:rPr>
        <w:t>38</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全部为</w:t>
      </w:r>
      <w:r>
        <w:rPr>
          <w:rFonts w:ascii="仿宋" w:eastAsia="仿宋" w:cs="Times New Roman" w:hAnsi="仿宋" w:hint="eastAsia"/>
          <w:sz w:val="28"/>
          <w:szCs w:val="28"/>
          <w:lang w:bidi="ar-SA"/>
        </w:rPr>
        <w:t>本级支出，</w:t>
      </w:r>
      <w:r>
        <w:rPr>
          <w:rFonts w:ascii="仿宋" w:eastAsia="仿宋" w:cs="Times New Roman" w:hAnsi="仿宋" w:hint="eastAsia"/>
          <w:sz w:val="28"/>
          <w:szCs w:val="28"/>
          <w:lang w:bidi="ar-SA"/>
        </w:rPr>
        <w:t>包括</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农合联</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万元、</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农村产权流转交易中心</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供销社改制等退经费</w:t>
      </w:r>
      <w:r>
        <w:rPr>
          <w:rFonts w:ascii="仿宋" w:eastAsia="仿宋" w:cs="Times New Roman" w:hAnsi="仿宋" w:hint="eastAsia"/>
          <w:sz w:val="28"/>
          <w:szCs w:val="28"/>
          <w:lang w:val="en-US" w:eastAsia="zh-CN" w:bidi="ar-SA"/>
        </w:rPr>
        <w:t>12</w:t>
      </w:r>
      <w:r>
        <w:rPr>
          <w:rFonts w:ascii="仿宋" w:eastAsia="仿宋" w:cs="Times New Roman" w:hAnsi="仿宋" w:hint="eastAsia"/>
          <w:sz w:val="28"/>
          <w:szCs w:val="28"/>
          <w:lang w:bidi="ar-SA"/>
        </w:rPr>
        <w:t>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3、比上年增减情况</w:t>
      </w:r>
    </w:p>
    <w:p>
      <w:pPr>
        <w:spacing w:line="560" w:lineRule="exact"/>
        <w:ind w:firstLineChars="200" w:firstLine="560"/>
        <w:rPr>
          <w:rFonts w:ascii="仿宋" w:eastAsia="仿宋" w:cs="Times New Roman" w:hAnsi="仿宋" w:hint="eastAsia"/>
          <w:sz w:val="28"/>
          <w:szCs w:val="28"/>
          <w:lang w:val="en-US" w:eastAsia="zh-CN" w:bidi="ar-SA"/>
        </w:rPr>
      </w:pP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年预算收支安排</w:t>
      </w:r>
      <w:r>
        <w:rPr>
          <w:rFonts w:ascii="仿宋" w:eastAsia="仿宋" w:cs="Times New Roman" w:hAnsi="仿宋" w:hint="eastAsia"/>
          <w:sz w:val="28"/>
          <w:szCs w:val="28"/>
          <w:lang w:val="en-US" w:eastAsia="zh-CN" w:bidi="ar-SA"/>
        </w:rPr>
        <w:t>260.12</w:t>
      </w:r>
      <w:r>
        <w:rPr>
          <w:rFonts w:ascii="仿宋" w:eastAsia="仿宋" w:cs="Times New Roman" w:hAnsi="仿宋" w:hint="eastAsia"/>
          <w:sz w:val="28"/>
          <w:szCs w:val="28"/>
          <w:lang w:bidi="ar-SA"/>
        </w:rPr>
        <w:t>万元，较201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268.11万元</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7.99</w:t>
      </w:r>
      <w:r>
        <w:rPr>
          <w:rFonts w:ascii="仿宋" w:eastAsia="仿宋" w:cs="Times New Roman" w:hAnsi="仿宋" w:hint="eastAsia"/>
          <w:sz w:val="28"/>
          <w:szCs w:val="28"/>
          <w:lang w:bidi="ar-SA"/>
        </w:rPr>
        <w:t>万元，其中：基本支出</w:t>
      </w:r>
      <w:r>
        <w:rPr>
          <w:rFonts w:ascii="仿宋" w:eastAsia="仿宋" w:cs="Times New Roman" w:hAnsi="仿宋" w:hint="eastAsia"/>
          <w:sz w:val="28"/>
          <w:szCs w:val="28"/>
          <w:lang w:val="en-US" w:eastAsia="zh-CN" w:bidi="ar-SA"/>
        </w:rPr>
        <w:t>增加1.01</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bidi="ar-SA"/>
        </w:rPr>
        <w:t>在职人员</w:t>
      </w:r>
      <w:r>
        <w:rPr>
          <w:rFonts w:ascii="仿宋" w:eastAsia="仿宋" w:cs="Times New Roman" w:hAnsi="仿宋" w:hint="eastAsia"/>
          <w:sz w:val="28"/>
          <w:szCs w:val="28"/>
          <w:lang w:val="en-US" w:eastAsia="zh-CN" w:bidi="ar-SA"/>
        </w:rPr>
        <w:t>工资正常晋级及社保费增加，导致人员经费增加5.71万元；改变办公取暖方式使用电取暖并厉行节约导致办公取暖费预算减少，致使日常</w:t>
      </w:r>
      <w:r>
        <w:rPr>
          <w:rFonts w:ascii="仿宋" w:eastAsia="仿宋" w:cs="Times New Roman" w:hAnsi="仿宋" w:hint="eastAsia"/>
          <w:sz w:val="28"/>
          <w:szCs w:val="28"/>
          <w:lang w:bidi="ar-SA"/>
        </w:rPr>
        <w:t>公用经费</w:t>
      </w:r>
      <w:r>
        <w:rPr>
          <w:rFonts w:ascii="仿宋" w:eastAsia="仿宋" w:cs="Times New Roman" w:hAnsi="仿宋" w:hint="eastAsia"/>
          <w:sz w:val="28"/>
          <w:szCs w:val="28"/>
          <w:lang w:bidi="ar-SA"/>
        </w:rPr>
        <w:t>支出</w:t>
      </w:r>
      <w:r>
        <w:rPr>
          <w:rFonts w:ascii="仿宋" w:eastAsia="仿宋" w:cs="Times New Roman" w:hAnsi="仿宋" w:hint="eastAsia"/>
          <w:sz w:val="28"/>
          <w:szCs w:val="28"/>
          <w:lang w:bidi="ar-SA"/>
        </w:rPr>
        <w:t>减少</w:t>
      </w:r>
      <w:r>
        <w:rPr>
          <w:rFonts w:ascii="仿宋" w:eastAsia="仿宋" w:cs="Times New Roman" w:hAnsi="仿宋" w:hint="eastAsia"/>
          <w:sz w:val="28"/>
          <w:szCs w:val="28"/>
          <w:lang w:val="en-US" w:eastAsia="zh-CN" w:bidi="ar-SA"/>
        </w:rPr>
        <w:t>4.7</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，主要今年</w:t>
      </w:r>
      <w:r>
        <w:rPr>
          <w:rFonts w:ascii="仿宋" w:eastAsia="仿宋" w:cs="Times New Roman" w:hAnsi="仿宋" w:hint="eastAsia"/>
          <w:sz w:val="28"/>
          <w:szCs w:val="28"/>
          <w:lang w:eastAsia="zh-CN" w:bidi="ar-SA"/>
        </w:rPr>
        <w:t>供销社</w:t>
      </w:r>
      <w:r>
        <w:rPr>
          <w:rFonts w:ascii="仿宋" w:eastAsia="仿宋" w:cs="Times New Roman" w:hAnsi="仿宋" w:hint="eastAsia"/>
          <w:sz w:val="28"/>
          <w:szCs w:val="28"/>
          <w:lang w:bidi="ar-SA"/>
        </w:rPr>
        <w:t>农村产权流转交易中心</w:t>
      </w:r>
      <w:r>
        <w:rPr>
          <w:rFonts w:ascii="仿宋" w:eastAsia="仿宋" w:cs="Times New Roman" w:hAnsi="仿宋" w:hint="eastAsia"/>
          <w:sz w:val="28"/>
          <w:szCs w:val="28"/>
          <w:lang w:eastAsia="zh-CN" w:bidi="ar-SA"/>
        </w:rPr>
        <w:t>工作</w:t>
      </w:r>
      <w:r>
        <w:rPr>
          <w:rFonts w:ascii="仿宋" w:eastAsia="仿宋" w:cs="Times New Roman" w:hAnsi="仿宋" w:hint="eastAsia"/>
          <w:sz w:val="28"/>
          <w:szCs w:val="28"/>
          <w:lang w:bidi="ar-SA"/>
        </w:rPr>
        <w:t>经费项目</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较去年减少</w:t>
      </w:r>
      <w:r>
        <w:rPr>
          <w:rFonts w:ascii="仿宋" w:eastAsia="仿宋" w:cs="Times New Roman" w:hAnsi="仿宋" w:hint="eastAsia"/>
          <w:sz w:val="28"/>
          <w:szCs w:val="28"/>
          <w:lang w:val="en-US" w:eastAsia="zh-CN" w:bidi="ar-SA"/>
        </w:rPr>
        <w:t>3万元，原因为压缩项目支出导致；供销社农合联工作经费今年预算6万元，较去年7万元减少1万元，原因为压缩项目支出导致；供销社改制等退经费（即</w:t>
      </w:r>
      <w:r>
        <w:rPr>
          <w:rFonts w:ascii="仿宋" w:eastAsia="仿宋" w:cs="Times New Roman" w:hAnsi="仿宋" w:hint="eastAsia"/>
          <w:sz w:val="28"/>
          <w:szCs w:val="28"/>
          <w:lang w:bidi="ar-SA"/>
        </w:rPr>
        <w:t>改制五年等退人员医疗保险费</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bidi="ar-SA"/>
        </w:rPr>
        <w:t>项目</w:t>
      </w:r>
      <w:r>
        <w:rPr>
          <w:rFonts w:ascii="仿宋" w:eastAsia="仿宋" w:cs="Times New Roman" w:hAnsi="仿宋" w:hint="eastAsia"/>
          <w:sz w:val="28"/>
          <w:szCs w:val="28"/>
          <w:lang w:val="en-US" w:eastAsia="zh-CN" w:bidi="ar-SA"/>
        </w:rPr>
        <w:t>12万元，较去年17万元减少5万元，减少29%，减少原因为改制五年等退人员因退休减少缴费导致。</w:t>
      </w:r>
    </w:p>
    <w:p>
      <w:pPr>
        <w:spacing w:line="560" w:lineRule="exact"/>
        <w:ind w:firstLineChars="200"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三、机关运行经费安排情况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eastAsia="zh-CN" w:bidi="ar-SA"/>
        </w:rPr>
        <w:t>我社属于财政补助事业单位，不属于行政单位（包括参照公务员法管理的事业单位），无机关运转经费。</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年，我社</w:t>
      </w:r>
      <w:r>
        <w:rPr>
          <w:rFonts w:ascii="仿宋" w:eastAsia="仿宋" w:cs="Times New Roman" w:hAnsi="仿宋" w:hint="eastAsia"/>
          <w:sz w:val="28"/>
          <w:szCs w:val="28"/>
          <w:lang w:eastAsia="zh-CN" w:bidi="ar-SA"/>
        </w:rPr>
        <w:t>日常公用经费</w:t>
      </w:r>
      <w:r>
        <w:rPr>
          <w:rFonts w:ascii="仿宋" w:eastAsia="仿宋" w:cs="Times New Roman" w:hAnsi="仿宋" w:hint="eastAsia"/>
          <w:sz w:val="28"/>
          <w:szCs w:val="28"/>
          <w:lang w:bidi="ar-SA"/>
        </w:rPr>
        <w:t>共计安排</w:t>
      </w:r>
      <w:r>
        <w:rPr>
          <w:rFonts w:ascii="仿宋" w:eastAsia="仿宋" w:cs="Times New Roman" w:hAnsi="仿宋" w:hint="eastAsia"/>
          <w:sz w:val="28"/>
          <w:szCs w:val="28"/>
          <w:lang w:val="en-US" w:eastAsia="zh-CN" w:bidi="ar-SA"/>
        </w:rPr>
        <w:t>12</w:t>
      </w:r>
      <w:r>
        <w:rPr>
          <w:rFonts w:ascii="仿宋" w:eastAsia="仿宋" w:cs="Times New Roman" w:hAnsi="仿宋" w:hint="eastAsia"/>
          <w:sz w:val="28"/>
          <w:szCs w:val="28"/>
          <w:lang w:bidi="ar-SA"/>
        </w:rPr>
        <w:t>万元（办公费0.</w:t>
      </w:r>
      <w:r>
        <w:rPr>
          <w:rFonts w:ascii="仿宋" w:eastAsia="仿宋" w:cs="Times New Roman" w:hAnsi="仿宋" w:hint="eastAsia"/>
          <w:sz w:val="28"/>
          <w:szCs w:val="28"/>
          <w:lang w:val="en-US" w:eastAsia="zh-CN" w:bidi="ar-SA"/>
        </w:rPr>
        <w:t>45</w:t>
      </w:r>
      <w:r>
        <w:rPr>
          <w:rFonts w:ascii="仿宋" w:eastAsia="仿宋" w:cs="Times New Roman" w:hAnsi="仿宋" w:hint="eastAsia"/>
          <w:sz w:val="28"/>
          <w:szCs w:val="28"/>
          <w:lang w:bidi="ar-SA"/>
        </w:rPr>
        <w:t>万元、电费0.3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万元、邮电费0.5</w:t>
      </w:r>
      <w:r>
        <w:rPr>
          <w:rFonts w:ascii="仿宋" w:eastAsia="仿宋" w:cs="Times New Roman" w:hAnsi="仿宋" w:hint="eastAsia"/>
          <w:sz w:val="28"/>
          <w:szCs w:val="28"/>
          <w:lang w:val="en-US" w:eastAsia="zh-CN" w:bidi="ar-SA"/>
        </w:rPr>
        <w:t>1</w:t>
      </w:r>
      <w:r>
        <w:rPr>
          <w:rFonts w:ascii="仿宋" w:eastAsia="仿宋" w:cs="Times New Roman" w:hAnsi="仿宋" w:hint="eastAsia"/>
          <w:sz w:val="28"/>
          <w:szCs w:val="28"/>
          <w:lang w:bidi="ar-SA"/>
        </w:rPr>
        <w:t>万元、取暖费</w:t>
      </w:r>
      <w:r>
        <w:rPr>
          <w:rFonts w:ascii="仿宋" w:eastAsia="仿宋" w:cs="Times New Roman" w:hAnsi="仿宋" w:hint="eastAsia"/>
          <w:sz w:val="28"/>
          <w:szCs w:val="28"/>
          <w:lang w:val="en-US" w:eastAsia="zh-CN" w:bidi="ar-SA"/>
        </w:rPr>
        <w:t>4.46</w:t>
      </w:r>
      <w:r>
        <w:rPr>
          <w:rFonts w:ascii="仿宋" w:eastAsia="仿宋" w:cs="Times New Roman" w:hAnsi="仿宋" w:hint="eastAsia"/>
          <w:sz w:val="28"/>
          <w:szCs w:val="28"/>
          <w:lang w:bidi="ar-SA"/>
        </w:rPr>
        <w:t>万元、差旅费0.3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万元、会议费</w:t>
      </w:r>
      <w:r>
        <w:rPr>
          <w:rFonts w:ascii="仿宋" w:eastAsia="仿宋" w:cs="Times New Roman" w:hAnsi="仿宋" w:hint="eastAsia"/>
          <w:sz w:val="28"/>
          <w:szCs w:val="28"/>
          <w:lang w:val="en-US" w:eastAsia="zh-CN" w:bidi="ar-SA"/>
        </w:rPr>
        <w:t>0.08</w:t>
      </w:r>
      <w:r>
        <w:rPr>
          <w:rFonts w:ascii="仿宋" w:eastAsia="仿宋" w:cs="Times New Roman" w:hAnsi="仿宋" w:hint="eastAsia"/>
          <w:sz w:val="28"/>
          <w:szCs w:val="28"/>
          <w:lang w:bidi="ar-SA"/>
        </w:rPr>
        <w:t>万元、培训费</w:t>
      </w:r>
      <w:r>
        <w:rPr>
          <w:rFonts w:ascii="仿宋" w:eastAsia="仿宋" w:cs="Times New Roman" w:hAnsi="仿宋" w:hint="eastAsia"/>
          <w:sz w:val="28"/>
          <w:szCs w:val="28"/>
          <w:lang w:val="en-US" w:eastAsia="zh-CN" w:bidi="ar-SA"/>
        </w:rPr>
        <w:t>0.07</w:t>
      </w:r>
      <w:r>
        <w:rPr>
          <w:rFonts w:ascii="仿宋" w:eastAsia="仿宋" w:cs="Times New Roman" w:hAnsi="仿宋" w:hint="eastAsia"/>
          <w:sz w:val="28"/>
          <w:szCs w:val="28"/>
          <w:lang w:bidi="ar-SA"/>
        </w:rPr>
        <w:t>万元、公务接待费0.04万元、工会经费</w:t>
      </w:r>
      <w:r>
        <w:rPr>
          <w:rFonts w:ascii="仿宋" w:eastAsia="仿宋" w:cs="Times New Roman" w:hAnsi="仿宋" w:hint="eastAsia"/>
          <w:sz w:val="28"/>
          <w:szCs w:val="28"/>
          <w:lang w:val="en-US" w:eastAsia="zh-CN" w:bidi="ar-SA"/>
        </w:rPr>
        <w:t>1.33</w:t>
      </w:r>
      <w:r>
        <w:rPr>
          <w:rFonts w:ascii="仿宋" w:eastAsia="仿宋" w:cs="Times New Roman" w:hAnsi="仿宋" w:hint="eastAsia"/>
          <w:sz w:val="28"/>
          <w:szCs w:val="28"/>
          <w:lang w:bidi="ar-SA"/>
        </w:rPr>
        <w:t>万元、福利费1.</w:t>
      </w:r>
      <w:r>
        <w:rPr>
          <w:rFonts w:ascii="仿宋" w:eastAsia="仿宋" w:cs="Times New Roman" w:hAnsi="仿宋" w:hint="eastAsia"/>
          <w:sz w:val="28"/>
          <w:szCs w:val="28"/>
          <w:lang w:val="en-US" w:eastAsia="zh-CN" w:bidi="ar-SA"/>
        </w:rPr>
        <w:t>50</w:t>
      </w:r>
      <w:r>
        <w:rPr>
          <w:rFonts w:ascii="仿宋" w:eastAsia="仿宋" w:cs="Times New Roman" w:hAnsi="仿宋" w:hint="eastAsia"/>
          <w:sz w:val="28"/>
          <w:szCs w:val="28"/>
          <w:lang w:bidi="ar-SA"/>
        </w:rPr>
        <w:t>万元、公务用车运行维护费2.05万元、其他商品和服务支出0.91万元）</w:t>
      </w:r>
      <w:r>
        <w:rPr>
          <w:rFonts w:ascii="仿宋" w:eastAsia="仿宋" w:cs="Times New Roman" w:hAnsi="仿宋" w:hint="eastAsia"/>
          <w:sz w:val="28"/>
          <w:szCs w:val="28"/>
          <w:lang w:bidi="ar-SA"/>
        </w:rPr>
        <w:t>，主要用于日常</w:t>
      </w:r>
      <w:r>
        <w:rPr>
          <w:rFonts w:ascii="仿宋" w:eastAsia="仿宋" w:cs="Times New Roman" w:hAnsi="仿宋" w:hint="eastAsia"/>
          <w:sz w:val="28"/>
          <w:szCs w:val="28"/>
          <w:lang w:bidi="ar-SA"/>
        </w:rPr>
        <w:t>办公运转</w:t>
      </w:r>
      <w:r>
        <w:rPr>
          <w:rFonts w:ascii="仿宋" w:eastAsia="仿宋" w:cs="Times New Roman" w:hAnsi="仿宋" w:hint="eastAsia"/>
          <w:sz w:val="28"/>
          <w:szCs w:val="28"/>
          <w:lang w:bidi="ar-SA"/>
        </w:rPr>
        <w:t>、电费、取暖费</w:t>
      </w:r>
      <w:r>
        <w:rPr>
          <w:rFonts w:ascii="仿宋" w:eastAsia="仿宋" w:cs="Times New Roman" w:hAnsi="仿宋" w:hint="eastAsia"/>
          <w:sz w:val="28"/>
          <w:szCs w:val="28"/>
          <w:lang w:bidi="ar-SA"/>
        </w:rPr>
        <w:t>、公务用车运行维护费等</w:t>
      </w:r>
      <w:r>
        <w:rPr>
          <w:rFonts w:ascii="仿宋" w:eastAsia="仿宋" w:cs="Times New Roman" w:hAnsi="仿宋" w:hint="eastAsia"/>
          <w:sz w:val="28"/>
          <w:szCs w:val="28"/>
          <w:lang w:bidi="ar-SA"/>
        </w:rPr>
        <w:t>日常运行支出。</w:t>
      </w:r>
    </w:p>
    <w:p>
      <w:pPr>
        <w:autoSpaceDE w:val="0"/>
        <w:autoSpaceDN w:val="0"/>
        <w:adjustRightInd w:val="0"/>
        <w:spacing w:line="560" w:lineRule="exact"/>
        <w:ind w:left="198"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四、财政拨款</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三公</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经费预算情况及增减变化原因</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2</w:t>
      </w:r>
      <w:r>
        <w:rPr>
          <w:rFonts w:ascii="仿宋" w:eastAsia="仿宋" w:cs="Times New Roman" w:hAnsi="仿宋" w:hint="eastAsia"/>
          <w:color w:val="auto"/>
          <w:sz w:val="28"/>
          <w:szCs w:val="28"/>
          <w:lang w:val="en-US" w:eastAsia="zh-CN" w:bidi="ar-SA"/>
        </w:rPr>
        <w:t>020</w:t>
      </w:r>
      <w:r>
        <w:rPr>
          <w:rFonts w:ascii="仿宋" w:eastAsia="仿宋" w:cs="Times New Roman" w:hAnsi="仿宋" w:hint="eastAsia"/>
          <w:color w:val="auto"/>
          <w:sz w:val="28"/>
          <w:szCs w:val="28"/>
          <w:lang w:bidi="ar-SA"/>
        </w:rPr>
        <w:t>年我部门“三公”经费预算安排2.09万元，与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年相比持平，无增减变化。具体安排情况为：</w:t>
      </w:r>
      <w:r>
        <w:rPr>
          <w:rFonts w:ascii="仿宋" w:eastAsia="仿宋" w:cs="Times New Roman" w:hAnsi="仿宋" w:hint="eastAsia"/>
          <w:color w:val="auto"/>
          <w:sz w:val="28"/>
          <w:szCs w:val="28"/>
          <w:lang w:bidi="ar-SA"/>
        </w:rPr>
        <w:t xml:space="preserve"> </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（一）公务用车购置及运行费。共计安排2.05万元，与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年持平，无增减变化。其中①公务用车购置安排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年持平，无增减变化。②公车运行维护经费安排2.05万元，与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年持平，无增减变化。</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（二）公务接待费。安排0.04万元，与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年持平，无增减变化</w:t>
      </w:r>
      <w:r>
        <w:rPr>
          <w:rFonts w:ascii="仿宋" w:eastAsia="仿宋" w:cs="Times New Roman" w:hAnsi="仿宋" w:hint="eastAsia"/>
          <w:color w:val="auto"/>
          <w:sz w:val="28"/>
          <w:szCs w:val="28"/>
          <w:lang w:bidi="ar-SA"/>
        </w:rPr>
        <w:t>。</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（三）因公出国（境）费安排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201</w:t>
      </w:r>
      <w:r>
        <w:rPr>
          <w:rFonts w:ascii="仿宋" w:eastAsia="仿宋" w:cs="Times New Roman" w:hAnsi="仿宋" w:hint="eastAsia"/>
          <w:color w:val="auto"/>
          <w:sz w:val="28"/>
          <w:szCs w:val="28"/>
          <w:lang w:val="en-US" w:eastAsia="zh-CN" w:bidi="ar-SA"/>
        </w:rPr>
        <w:t>9</w:t>
      </w:r>
      <w:r>
        <w:rPr>
          <w:rFonts w:ascii="仿宋" w:eastAsia="仿宋" w:cs="Times New Roman" w:hAnsi="仿宋" w:hint="eastAsia"/>
          <w:color w:val="auto"/>
          <w:sz w:val="28"/>
          <w:szCs w:val="28"/>
          <w:lang w:bidi="ar-SA"/>
        </w:rPr>
        <w:t>年持平，无增减变化。</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五、绩效预算信息</w:t>
      </w:r>
    </w:p>
    <w:p>
      <w:pPr>
        <w:adjustRightInd w:val="0"/>
        <w:snapToGrid w:val="0"/>
        <w:spacing w:line="560" w:lineRule="exact"/>
        <w:ind w:firstLineChars="200" w:firstLine="640"/>
        <w:rPr>
          <w:rFonts w:ascii="楷体" w:eastAsia="楷体" w:cs="Times New Roman" w:hAnsi="楷体" w:hint="eastAsia"/>
          <w:b/>
          <w:sz w:val="32"/>
          <w:szCs w:val="32"/>
          <w:lang w:bidi="ar-SA"/>
        </w:rPr>
      </w:pPr>
      <w:bookmarkStart w:id="1" w:name="_Toc471398463"/>
      <w:r>
        <w:rPr>
          <w:rFonts w:ascii="楷体" w:eastAsia="楷体" w:cs="Times New Roman" w:hAnsi="楷体" w:hint="eastAsia"/>
          <w:b/>
          <w:sz w:val="32"/>
          <w:szCs w:val="32"/>
          <w:lang w:eastAsia="zh-CN" w:bidi="ar-SA"/>
        </w:rPr>
        <w:t>（一）</w:t>
      </w:r>
      <w:r>
        <w:rPr>
          <w:rFonts w:ascii="楷体" w:eastAsia="楷体" w:cs="Times New Roman" w:hAnsi="楷体" w:hint="eastAsia"/>
          <w:b/>
          <w:sz w:val="32"/>
          <w:szCs w:val="32"/>
          <w:lang w:bidi="ar-SA"/>
        </w:rPr>
        <w:t>总体绩效目标：</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bidi="ar-SA"/>
        </w:rPr>
        <w:t>1.</w:t>
      </w:r>
      <w:r>
        <w:rPr>
          <w:rFonts w:ascii="仿宋" w:eastAsia="仿宋" w:cs="Times New Roman" w:hAnsi="仿宋" w:hint="eastAsia"/>
          <w:sz w:val="28"/>
          <w:szCs w:val="28"/>
          <w:lang w:eastAsia="zh-CN" w:bidi="ar-SA"/>
        </w:rPr>
        <w:t>继续</w:t>
      </w:r>
      <w:r>
        <w:rPr>
          <w:rFonts w:ascii="仿宋" w:eastAsia="仿宋" w:cs="Times New Roman" w:hAnsi="仿宋" w:hint="eastAsia"/>
          <w:sz w:val="28"/>
          <w:szCs w:val="28"/>
          <w:lang w:bidi="ar-SA"/>
        </w:rPr>
        <w:t>按照国务院、河北省、唐山市及遵化市各级党委政府关于加快供销社综合改革与发展有关文件精神，做好供销社综合改革与发展各项工作，确保供销社事业逐步发展和壮大；</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bidi="ar-SA"/>
        </w:rPr>
        <w:t>2.充分发挥好为“三农”服务职能作用，以强化基层社和创新联合社治理机制为重点，推进体制改革与机制创新，继续抓好新型乡镇供销合作社建设、农合联建设、农民专业合作社联合社建设、电子商务建设</w:t>
      </w:r>
      <w:r>
        <w:rPr>
          <w:rFonts w:ascii="仿宋" w:eastAsia="仿宋" w:cs="Times New Roman" w:hAnsi="仿宋" w:hint="eastAsia"/>
          <w:sz w:val="28"/>
          <w:szCs w:val="28"/>
          <w:lang w:eastAsia="zh-CN" w:bidi="ar-SA"/>
        </w:rPr>
        <w:t>等</w:t>
      </w:r>
      <w:r>
        <w:rPr>
          <w:rFonts w:ascii="仿宋" w:eastAsia="仿宋" w:cs="Times New Roman" w:hAnsi="仿宋" w:hint="eastAsia"/>
          <w:sz w:val="28"/>
          <w:szCs w:val="28"/>
          <w:lang w:bidi="ar-SA"/>
        </w:rPr>
        <w:t>，组织新型乡镇供销合作社、农民专业合作社、农产品经纪人、农资营销人员等搞好观摩交流、学习培训、规范提升等各项工作；</w:t>
      </w:r>
    </w:p>
    <w:p>
      <w:pPr>
        <w:adjustRightInd w:val="0"/>
        <w:snapToGrid w:val="0"/>
        <w:spacing w:line="560" w:lineRule="exact"/>
        <w:ind w:firstLine="561"/>
        <w:rPr>
          <w:rFonts w:ascii="仿宋" w:eastAsia="仿宋" w:cs="Times New Roman" w:hAnsi="仿宋" w:hint="eastAsia"/>
          <w:sz w:val="28"/>
          <w:szCs w:val="28"/>
          <w:lang w:eastAsia="zh-CN" w:bidi="ar-SA"/>
        </w:rPr>
      </w:pPr>
      <w:r>
        <w:rPr>
          <w:rFonts w:ascii="仿宋" w:eastAsia="仿宋" w:cs="Times New Roman" w:hAnsi="仿宋" w:hint="eastAsia"/>
          <w:sz w:val="28"/>
          <w:szCs w:val="28"/>
          <w:lang w:bidi="ar-SA"/>
        </w:rPr>
        <w:t>3.</w:t>
      </w:r>
      <w:r>
        <w:rPr>
          <w:rFonts w:ascii="仿宋" w:eastAsia="仿宋" w:cs="Times New Roman" w:hAnsi="仿宋" w:hint="eastAsia"/>
          <w:sz w:val="28"/>
          <w:szCs w:val="28"/>
          <w:lang w:eastAsia="zh-CN" w:bidi="ar-SA"/>
        </w:rPr>
        <w:t>为深入推进农村综合改革，按照政府主导、供销社主办、市场化运作的原则，继续做好农村产权流转交易中心各项工作，做好业务宣传，开展</w:t>
      </w:r>
      <w:r>
        <w:rPr>
          <w:rFonts w:ascii="仿宋" w:eastAsia="仿宋" w:cs="Times New Roman" w:hAnsi="仿宋" w:hint="eastAsia"/>
          <w:sz w:val="28"/>
          <w:szCs w:val="28"/>
          <w:lang w:val="en-US" w:eastAsia="zh-CN" w:bidi="ar-SA"/>
        </w:rPr>
        <w:t>好</w:t>
      </w:r>
      <w:r>
        <w:rPr>
          <w:rFonts w:ascii="仿宋" w:eastAsia="仿宋" w:cs="Times New Roman" w:hAnsi="仿宋" w:hint="eastAsia"/>
          <w:sz w:val="28"/>
          <w:szCs w:val="28"/>
          <w:lang w:eastAsia="zh-CN" w:bidi="ar-SA"/>
        </w:rPr>
        <w:t>农村产权交易各项业务，进一步规范农村产权交易行为，激活农村生产要素，提高农民财产收入，</w:t>
      </w:r>
      <w:r>
        <w:rPr>
          <w:rFonts w:ascii="仿宋" w:eastAsia="仿宋" w:cs="Times New Roman" w:hAnsi="仿宋" w:hint="eastAsia"/>
          <w:sz w:val="28"/>
          <w:szCs w:val="28"/>
          <w:lang w:val="en-US" w:eastAsia="zh-CN" w:bidi="ar-SA"/>
        </w:rPr>
        <w:t>更好为“三农”服务。</w:t>
      </w:r>
    </w:p>
    <w:p>
      <w:pPr>
        <w:adjustRightInd w:val="0"/>
        <w:snapToGrid w:val="0"/>
        <w:spacing w:line="560" w:lineRule="exact"/>
        <w:ind w:firstLine="561"/>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4.</w:t>
      </w:r>
      <w:r>
        <w:rPr>
          <w:rFonts w:ascii="仿宋" w:eastAsia="仿宋" w:cs="Times New Roman" w:hAnsi="仿宋" w:hint="eastAsia"/>
          <w:sz w:val="28"/>
          <w:szCs w:val="28"/>
          <w:lang w:bidi="ar-SA"/>
        </w:rPr>
        <w:t>继续做好供销社系统企业改制工作，努力解决好改制企业历史遗留和现实面临的各种问题</w:t>
      </w:r>
      <w:r>
        <w:rPr>
          <w:rFonts w:ascii="仿宋" w:eastAsia="仿宋" w:cs="Times New Roman" w:hAnsi="仿宋" w:hint="eastAsia"/>
          <w:sz w:val="28"/>
          <w:szCs w:val="28"/>
          <w:lang w:val="en-US" w:eastAsia="zh-CN" w:bidi="ar-SA"/>
        </w:rPr>
        <w:t>尤其是做好改制等退人员医疗保险费缴纳工作，保障职工合法权益</w:t>
      </w:r>
      <w:r>
        <w:rPr>
          <w:rFonts w:ascii="仿宋" w:eastAsia="仿宋" w:cs="Times New Roman" w:hAnsi="仿宋" w:hint="eastAsia"/>
          <w:sz w:val="28"/>
          <w:szCs w:val="28"/>
          <w:lang w:bidi="ar-SA"/>
        </w:rPr>
        <w:t>，维护和扩大改制成果，为供销社改革与发展夯实基础；</w:t>
      </w:r>
    </w:p>
    <w:p>
      <w:pPr>
        <w:adjustRightInd w:val="0"/>
        <w:snapToGrid w:val="0"/>
        <w:spacing w:line="560" w:lineRule="exact"/>
        <w:ind w:firstLine="561"/>
        <w:rPr>
          <w:rFonts w:ascii="宋体" w:cs="宋体" w:hint="eastAsia"/>
          <w:bCs/>
          <w:sz w:val="28"/>
          <w:szCs w:val="28"/>
          <w:lang w:bidi="ar-SA"/>
        </w:rPr>
      </w:pP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.抓好供销社机关运行工作，做好各项政务性、事务性工作，做好信访接待、安全维稳、业务宣传、机关财务和资产管理、政务信息公开、人事管理等各项工作，保障机关工作正常、高效运转。</w:t>
      </w:r>
    </w:p>
    <w:p>
      <w:pPr>
        <w:spacing w:line="560" w:lineRule="exact"/>
        <w:ind w:firstLine="560"/>
        <w:rPr>
          <w:rFonts w:ascii="楷体" w:eastAsia="楷体" w:hAnsi="楷体" w:hint="eastAsia"/>
          <w:b/>
          <w:sz w:val="32"/>
          <w:szCs w:val="32"/>
        </w:rPr>
      </w:pPr>
      <w:r>
        <w:rPr>
          <w:rFonts w:ascii="楷体" w:eastAsia="楷体" w:hAnsi="楷体" w:hint="eastAsia"/>
          <w:b/>
          <w:sz w:val="32"/>
          <w:szCs w:val="32"/>
          <w:lang w:eastAsia="zh-CN"/>
        </w:rPr>
        <w:t>（二）</w:t>
      </w:r>
      <w:r>
        <w:rPr>
          <w:rFonts w:ascii="楷体" w:eastAsia="楷体" w:hAnsi="楷体" w:hint="eastAsia"/>
          <w:b/>
          <w:sz w:val="32"/>
          <w:szCs w:val="32"/>
        </w:rPr>
        <w:t>职责分类绩效目标：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确保供销社各项事业改革、发展和壮大，发挥供销社在商业流通服务的作用，加快服务创新、经营创新和业态创新，以创新新型乡镇供销社、组建农民专业合作社联合社、发展现代流通网络建设等为主的供销社综合改革，更好发挥为“三农”服务宗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2.贯彻落实党和政府有关服务“三农”方针政策，推进供销社体制创新和机制创新，以供销社体系为依托，发挥好农</w:t>
      </w:r>
      <w:r>
        <w:rPr>
          <w:rFonts w:ascii="仿宋" w:eastAsia="仿宋" w:cs="Times New Roman" w:hAnsi="仿宋" w:hint="eastAsia"/>
          <w:sz w:val="28"/>
          <w:szCs w:val="28"/>
          <w:lang w:val="en-US" w:eastAsia="zh-CN" w:bidi="ar-SA"/>
        </w:rPr>
        <w:t>合</w:t>
      </w:r>
      <w:r>
        <w:rPr>
          <w:rFonts w:ascii="仿宋" w:eastAsia="仿宋" w:cs="Times New Roman" w:hAnsi="仿宋" w:hint="eastAsia"/>
          <w:sz w:val="28"/>
          <w:szCs w:val="28"/>
          <w:lang w:bidi="ar-SA"/>
        </w:rPr>
        <w:t>联的带动作用，逐步建立和完善适应中国特色农业现代化需要的组织体系和服务机制，大力发展新型基层社、农民专业合作社联合社，创新农村金融体系建设，</w:t>
      </w:r>
      <w:r>
        <w:rPr>
          <w:rFonts w:ascii="仿宋" w:eastAsia="仿宋" w:cs="Times New Roman" w:hAnsi="仿宋" w:hint="eastAsia"/>
          <w:sz w:val="28"/>
          <w:szCs w:val="28"/>
          <w:lang w:val="en-US" w:eastAsia="zh-CN" w:bidi="ar-SA"/>
        </w:rPr>
        <w:t>为供销社综合改革与发展服务，</w:t>
      </w:r>
      <w:r>
        <w:rPr>
          <w:rFonts w:ascii="仿宋" w:eastAsia="仿宋" w:cs="Times New Roman" w:hAnsi="仿宋" w:hint="eastAsia"/>
          <w:sz w:val="28"/>
          <w:szCs w:val="28"/>
          <w:lang w:bidi="ar-SA"/>
        </w:rPr>
        <w:t>使供销社系统成为党和政府密切联系群众的桥梁和纽带，切实在农业现代化中更好地发挥作用；</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bidi="ar-SA"/>
        </w:rPr>
        <w:t>3.</w:t>
      </w:r>
      <w:r>
        <w:rPr>
          <w:rFonts w:ascii="仿宋" w:eastAsia="仿宋" w:cs="Times New Roman" w:hAnsi="仿宋" w:hint="eastAsia"/>
          <w:sz w:val="28"/>
          <w:szCs w:val="28"/>
          <w:lang w:eastAsia="zh-CN" w:bidi="ar-SA"/>
        </w:rPr>
        <w:t>充分发挥市农村产权交易中心的职能作用，</w:t>
      </w:r>
      <w:r>
        <w:rPr>
          <w:rFonts w:ascii="仿宋" w:eastAsia="仿宋" w:cs="Times New Roman" w:hAnsi="仿宋" w:hint="eastAsia"/>
          <w:sz w:val="28"/>
          <w:szCs w:val="28"/>
          <w:lang w:val="en-US" w:eastAsia="zh-CN" w:bidi="ar-SA"/>
        </w:rPr>
        <w:t>保障5名劳务派遣人员工资、社保待遇，维护职工合法权益，</w:t>
      </w:r>
      <w:r>
        <w:rPr>
          <w:rFonts w:ascii="仿宋" w:eastAsia="仿宋" w:cs="Times New Roman" w:hAnsi="仿宋" w:hint="eastAsia"/>
          <w:sz w:val="28"/>
          <w:szCs w:val="28"/>
          <w:lang w:eastAsia="zh-CN" w:bidi="ar-SA"/>
        </w:rPr>
        <w:t>推动农村产权交易健康发展，做好信息发布、组织产权交易、成交确认、抵押融资等一体的为农服务平台建设，规范农村产权交易、流转行为，完善服务功能，引导农村产权流转交易市场的健康发展；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4.</w:t>
      </w:r>
      <w:r>
        <w:rPr>
          <w:rFonts w:ascii="仿宋" w:eastAsia="仿宋" w:cs="Times New Roman" w:hAnsi="仿宋" w:hint="eastAsia"/>
          <w:sz w:val="28"/>
          <w:szCs w:val="28"/>
          <w:lang w:bidi="ar-SA"/>
        </w:rPr>
        <w:t>进一步巩固和维护供销社全系统改制成果，从维护职工切身合法权益，维护全市稳定工作大局出发，通过多种方式、多途径筹措资金，争取各级、各部门大力支持等形式，努力解决改制企业历史遗留的各项改制难题</w:t>
      </w:r>
      <w:r>
        <w:rPr>
          <w:rFonts w:ascii="仿宋" w:eastAsia="仿宋" w:cs="Times New Roman" w:hAnsi="仿宋" w:hint="eastAsia"/>
          <w:sz w:val="28"/>
          <w:szCs w:val="28"/>
          <w:lang w:val="en-US" w:eastAsia="zh-CN" w:bidi="ar-SA"/>
        </w:rPr>
        <w:t>尤其是做好改制等退人员医疗保险费的按时缴纳工作</w:t>
      </w:r>
      <w:r>
        <w:rPr>
          <w:rFonts w:ascii="仿宋" w:eastAsia="仿宋" w:cs="Times New Roman" w:hAnsi="仿宋" w:hint="eastAsia"/>
          <w:sz w:val="28"/>
          <w:szCs w:val="28"/>
          <w:lang w:bidi="ar-SA"/>
        </w:rPr>
        <w:t>，</w:t>
      </w:r>
      <w:r>
        <w:rPr>
          <w:rFonts w:ascii="仿宋" w:eastAsia="仿宋" w:cs="Times New Roman" w:hAnsi="仿宋" w:hint="eastAsia"/>
          <w:sz w:val="28"/>
          <w:szCs w:val="28"/>
          <w:lang w:val="en-US" w:eastAsia="zh-CN" w:bidi="ar-SA"/>
        </w:rPr>
        <w:t>保障职工合法权益，维护改制成果和社会</w:t>
      </w:r>
      <w:r>
        <w:rPr>
          <w:rFonts w:ascii="仿宋" w:eastAsia="仿宋" w:cs="Times New Roman" w:hAnsi="仿宋" w:hint="eastAsia"/>
          <w:sz w:val="28"/>
          <w:szCs w:val="28"/>
          <w:lang w:bidi="ar-SA"/>
        </w:rPr>
        <w:t>安全稳定；</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.确保供销社各项业务谋划到位，顺利开展，做好社有资产运营和管理、信访接待、安全维稳、政务信息公开、财务及人事管理等各项事务性、政务性工作，保障机关工作正常高效运转。</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r>
        <w:rPr>
          <w:rFonts w:ascii="方正楷体简体" w:eastAsia="方正楷体简体" w:cs="方正楷体简体" w:hAnsi="方正楷体简体" w:hint="eastAsia"/>
          <w:b/>
          <w:bCs/>
          <w:sz w:val="28"/>
          <w:szCs w:val="28"/>
          <w:lang w:eastAsia="zh-CN" w:bidi="ar-SA"/>
        </w:rPr>
        <w:t>（三）工作保障措施：</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eastAsia="zh-CN" w:bidi="ar-SA"/>
        </w:rPr>
        <w:t>1.加强组织领导，年初制定任务目标，并对全年任务进行分解到科室、分解到人、分解到事，制定“四个干”运行图，明确任务完成时限、要求及责任；</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eastAsia="zh-CN" w:bidi="ar-SA"/>
        </w:rPr>
        <w:t>2.制定周密计划和保障措施，根据任务目标实际完成进度情况，及时修改和补充完善，确保计划能够持续、高效执行；</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eastAsia="zh-CN" w:bidi="ar-SA"/>
        </w:rPr>
        <w:t>3.建立工作汇报及督导检查相结合制度，定期听取职工工作汇报，针对完成情况、时限及目标要求，提出完善建议，制定整改措施，发挥督导和检查职能作用，确保工作任务落实及时，督导措施得力，效果明显；</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eastAsia="zh-CN" w:bidi="ar-SA"/>
        </w:rPr>
        <w:t>4.通过各种途径，采取各种方式，积极争取市政府及各部门对供销社的大力支持，包括政策支持和经济支持，并努力争取上级各部门的支持，为供销社改革与发展事业服务；</w:t>
      </w:r>
    </w:p>
    <w:p>
      <w:pPr>
        <w:spacing w:line="560" w:lineRule="exact"/>
        <w:ind w:firstLineChars="200" w:firstLine="560"/>
        <w:rPr>
          <w:rFonts w:ascii="仿宋" w:eastAsia="仿宋" w:cs="Times New Roman" w:hAnsi="仿宋" w:hint="eastAsia"/>
          <w:sz w:val="28"/>
          <w:szCs w:val="28"/>
          <w:lang w:eastAsia="zh-CN" w:bidi="ar-SA"/>
        </w:rPr>
      </w:pPr>
      <w:r>
        <w:rPr>
          <w:rFonts w:ascii="仿宋" w:eastAsia="仿宋" w:cs="Times New Roman" w:hAnsi="仿宋" w:hint="eastAsia"/>
          <w:sz w:val="28"/>
          <w:szCs w:val="28"/>
          <w:lang w:eastAsia="zh-CN" w:bidi="ar-SA"/>
        </w:rPr>
        <w:t>5.及时总结经验，研究制定和完善各项措施，确保全年各项任务目标能够及时，按质、按量完成。</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r>
        <w:rPr>
          <w:rFonts w:ascii="方正楷体简体" w:eastAsia="方正楷体简体" w:cs="方正楷体简体" w:hAnsi="方正楷体简体" w:hint="eastAsia"/>
          <w:b/>
          <w:bCs/>
          <w:sz w:val="28"/>
          <w:szCs w:val="28"/>
          <w:lang w:eastAsia="zh-CN" w:bidi="ar-SA"/>
        </w:rPr>
        <w:t>（四）预算项目绩效目标表：</w:t>
      </w:r>
    </w:p>
    <w:p>
      <w:pPr>
        <w:ind w:firstLineChars="200" w:firstLine="560"/>
        <w:jc w:val="left"/>
        <w:outlineLvl w:val="1"/>
        <w:rPr>
          <w:rFonts w:ascii="方正仿宋简体" w:eastAsia="方正仿宋简体" w:cs="方正仿宋简体" w:hAnsi="方正仿宋简体" w:hint="eastAsia"/>
          <w:bCs/>
          <w:sz w:val="28"/>
          <w:u w:val="none"/>
          <w:lang w:eastAsia="zh-CN" w:bidi="ar-SA"/>
        </w:rPr>
      </w:pPr>
      <w:r>
        <w:rPr>
          <w:rFonts w:ascii="方正仿宋简体" w:eastAsia="方正仿宋简体" w:cs="方正仿宋简体" w:hAnsi="方正仿宋简体" w:hint="eastAsia"/>
          <w:b/>
          <w:sz w:val="28"/>
          <w:szCs w:val="28"/>
          <w:u w:val="none"/>
          <w:lang w:eastAsia="zh-CN" w:bidi="ar-SA"/>
        </w:rPr>
        <w:t>1</w:t>
      </w:r>
      <w:r>
        <w:rPr>
          <w:rFonts w:ascii="方正仿宋简体" w:eastAsia="方正仿宋简体" w:cs="方正仿宋简体" w:hAnsi="方正仿宋简体" w:hint="eastAsia"/>
          <w:b/>
          <w:sz w:val="28"/>
          <w:szCs w:val="28"/>
          <w:u w:val="none"/>
          <w:lang w:val="en-US" w:eastAsia="zh-CN" w:bidi="ar-SA"/>
        </w:rPr>
        <w:t>.</w:t>
      </w:r>
      <w:r>
        <w:rPr>
          <w:rFonts w:ascii="方正仿宋简体" w:eastAsia="方正仿宋简体" w:cs="方正仿宋简体" w:hAnsi="方正仿宋简体" w:hint="eastAsia"/>
          <w:b/>
          <w:sz w:val="28"/>
          <w:szCs w:val="28"/>
          <w:u w:val="none"/>
          <w:lang w:eastAsia="zh-CN" w:bidi="ar-SA"/>
        </w:rPr>
        <w:t>供销社改制等退经费绩效目标表</w:t>
      </w:r>
      <w:bookmarkStart w:id="2" w:name="_Toc3093"/>
      <w:bookmarkStart w:id="3" w:name="_Toc21037"/>
      <w:r>
        <w:rPr>
          <w:vanish/>
        </w:rPr>
        <w:t>{</w:t>
      </w:r>
      <w:r>
        <w:rPr>
          <w:rFonts w:ascii="方正仿宋简体" w:eastAsia="方正仿宋简体" w:cs="方正仿宋简体" w:hAnsi="方正仿宋简体" w:hint="eastAsia"/>
          <w:bCs/>
          <w:vanish/>
          <w:sz w:val="28"/>
          <w:u w:val="none"/>
          <w:lang w:eastAsia="zh-CN" w:bidi="ar-SA"/>
        </w:rPr>
        <w:t xml:space="preserve"> TC 1、供销社改制等退经费绩效目标表 \f C \l 1 </w:t>
      </w:r>
      <w:r>
        <w:rPr>
          <w:rFonts w:ascii="方正仿宋简体" w:eastAsia="方正仿宋简体" w:cs="方正仿宋简体" w:hAnsi="方正仿宋简体" w:hint="eastAsia"/>
          <w:bCs/>
          <w:vanish/>
          <w:sz w:val="28"/>
          <w:u w:val="none"/>
          <w:lang w:eastAsia="zh-CN" w:bidi="ar-SA"/>
        </w:rPr>
        <w:t>}</w:t>
      </w:r>
      <w:bookmarkEnd w:id="2"/>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04"/>
        <w:gridCol w:w="1134"/>
        <w:gridCol w:w="1276"/>
        <w:gridCol w:w="1588"/>
        <w:gridCol w:w="1068"/>
        <w:gridCol w:w="1512"/>
        <w:gridCol w:w="5032"/>
      </w:tblGrid>
      <w:tr>
        <w:trPr>
          <w:trHeight w:val="397"/>
        </w:trPr>
        <w:tc>
          <w:tcPr>
            <w:tcW w:w="7982" w:type="dxa"/>
            <w:gridSpan w:val="6"/>
            <w:tcBorders>
              <w:top w:val="single" w:sz="6" w:space="0" w:color="FFFFFF"/>
              <w:left w:val="single" w:sz="6" w:space="0" w:color="FFFFFF"/>
              <w:right w:val="single" w:sz="6" w:space="0" w:color="FFFFFF"/>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975002遵化市供销合作社</w:t>
            </w:r>
          </w:p>
        </w:tc>
        <w:tc>
          <w:tcPr>
            <w:tcW w:w="5032" w:type="dxa"/>
            <w:tcBorders>
              <w:top w:val="single" w:sz="6" w:space="0" w:color="FFFFFF"/>
              <w:left w:val="single" w:sz="6" w:space="0" w:color="FFFFFF"/>
              <w:right w:val="single" w:sz="6" w:space="0" w:color="FFFFFF"/>
              <w:tl2br w:val="nil"/>
              <w:tr2bl w:val="nil"/>
            </w:tcBorders>
            <w:vAlign w:val="center"/>
          </w:tcPr>
          <w:p>
            <w:pPr>
              <w:spacing w:line="300" w:lineRule="exact"/>
              <w:jc w:val="righ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单位：万元</w:t>
            </w:r>
          </w:p>
        </w:tc>
      </w:tr>
      <w:tr>
        <w:trPr>
          <w:trHeight w:val="369"/>
        </w:trPr>
        <w:tc>
          <w:tcPr>
            <w:tcW w:w="140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项目编码</w:t>
            </w:r>
          </w:p>
        </w:tc>
        <w:tc>
          <w:tcPr>
            <w:tcW w:w="2410" w:type="dxa"/>
            <w:gridSpan w:val="2"/>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975-2222-YXN-A9VP</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项目名称</w:t>
            </w:r>
          </w:p>
        </w:tc>
        <w:tc>
          <w:tcPr>
            <w:tcW w:w="7612" w:type="dxa"/>
            <w:gridSpan w:val="3"/>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供销社改制等退经费</w:t>
            </w:r>
          </w:p>
        </w:tc>
      </w:tr>
      <w:tr>
        <w:trPr>
          <w:trHeight w:val="369"/>
        </w:trPr>
        <w:tc>
          <w:tcPr>
            <w:tcW w:w="140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预算规模及资金用途</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预算数</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12.00</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其中：财政资金</w:t>
            </w:r>
          </w:p>
        </w:tc>
        <w:tc>
          <w:tcPr>
            <w:tcW w:w="106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12.00</w:t>
            </w:r>
          </w:p>
        </w:tc>
        <w:tc>
          <w:tcPr>
            <w:tcW w:w="1512"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其他资金</w:t>
            </w:r>
          </w:p>
        </w:tc>
        <w:tc>
          <w:tcPr>
            <w:tcW w:w="5032"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p>
        </w:tc>
      </w:tr>
      <w:tr>
        <w:trPr>
          <w:trHeight w:val="369"/>
        </w:trPr>
        <w:tc>
          <w:tcPr>
            <w:tcW w:w="1404" w:type="dxa"/>
            <w:vMerge/>
            <w:tcBorders>
              <w:tl2br w:val="nil"/>
              <w:tr2bl w:val="nil"/>
            </w:tcBorders>
          </w:tcPr>
          <w:p/>
        </w:tc>
        <w:tc>
          <w:tcPr>
            <w:tcW w:w="11610" w:type="dxa"/>
            <w:gridSpan w:val="6"/>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根据遵化市医疗保险部门每月核实确认的改制等退人员医疗保险费金额，按月据实缴纳，2020年预算12万元。</w:t>
            </w:r>
          </w:p>
        </w:tc>
      </w:tr>
      <w:tr>
        <w:trPr>
          <w:trHeight w:val="369"/>
        </w:trPr>
        <w:tc>
          <w:tcPr>
            <w:tcW w:w="140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资金支出计划（%）</w:t>
            </w:r>
          </w:p>
        </w:tc>
        <w:tc>
          <w:tcPr>
            <w:tcW w:w="2410"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3月底</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6月底</w:t>
            </w:r>
          </w:p>
        </w:tc>
        <w:tc>
          <w:tcPr>
            <w:tcW w:w="106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10月底</w:t>
            </w:r>
          </w:p>
        </w:tc>
        <w:tc>
          <w:tcPr>
            <w:tcW w:w="6544"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12月底</w:t>
            </w:r>
          </w:p>
        </w:tc>
      </w:tr>
      <w:tr>
        <w:trPr>
          <w:trHeight w:val="369"/>
        </w:trPr>
        <w:tc>
          <w:tcPr>
            <w:tcW w:w="1404" w:type="dxa"/>
            <w:vMerge/>
            <w:tcBorders>
              <w:tl2br w:val="nil"/>
              <w:tr2bl w:val="nil"/>
            </w:tcBorders>
          </w:tcPr>
          <w:p/>
        </w:tc>
        <w:tc>
          <w:tcPr>
            <w:tcW w:w="2410"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30.00</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60.00</w:t>
            </w:r>
          </w:p>
        </w:tc>
        <w:tc>
          <w:tcPr>
            <w:tcW w:w="106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90.00</w:t>
            </w:r>
          </w:p>
        </w:tc>
        <w:tc>
          <w:tcPr>
            <w:tcW w:w="6544"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100.00</w:t>
            </w:r>
          </w:p>
        </w:tc>
      </w:tr>
      <w:tr>
        <w:trPr>
          <w:trHeight w:val="369"/>
        </w:trPr>
        <w:tc>
          <w:tcPr>
            <w:tcW w:w="1404" w:type="dxa"/>
            <w:tcBorders>
              <w:bottom w:val="nil"/>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绩效目标</w:t>
            </w:r>
          </w:p>
        </w:tc>
        <w:tc>
          <w:tcPr>
            <w:tcW w:w="11610" w:type="dxa"/>
            <w:gridSpan w:val="6"/>
            <w:tcBorders>
              <w:bottom w:val="nil"/>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1、按照遵化市医疗保险部门每月核实确认的改制等退人员医疗保险费金额，为17名改制等退人员缴纳医保费，确保人员全覆盖。</w:t>
            </w:r>
          </w:p>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2、按照遵化市医疗保险部门每月核实确认的改制等退人员医疗保险费金额，为17名改制等退人员缴纳医保费，确保缴费及时足额。</w:t>
            </w:r>
          </w:p>
        </w:tc>
      </w:tr>
    </w:tbl>
    <w:p>
      <w:pPr>
        <w:spacing w:line="14" w:lineRule="exact"/>
        <w:ind w:firstLineChars="200" w:firstLine="480"/>
        <w:jc w:val="center"/>
        <w:outlineLvl w:val="9"/>
        <w:rPr>
          <w:rFonts w:ascii="方正仿宋简体" w:eastAsia="方正仿宋简体" w:cs="方正仿宋简体" w:hAnsi="方正仿宋简体" w:hint="eastAsia"/>
          <w:bCs/>
          <w:sz w:val="24"/>
          <w:szCs w:val="24"/>
          <w:u w:val="none"/>
          <w:lang w:eastAsia="zh-CN" w:bidi="ar-SA"/>
        </w:rPr>
      </w:pPr>
      <w:r>
        <w:rPr>
          <w:rFonts w:ascii="方正仿宋简体" w:eastAsia="方正仿宋简体" w:cs="方正仿宋简体" w:hAnsi="方正仿宋简体" w:hint="eastAsia"/>
          <w:bCs/>
          <w:sz w:val="24"/>
          <w:szCs w:val="24"/>
          <w:u w:val="none"/>
          <w:lang w:eastAsia="zh-CN" w:bidi="ar-SA"/>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41"/>
        <w:gridCol w:w="1134"/>
        <w:gridCol w:w="1307"/>
        <w:gridCol w:w="1635"/>
        <w:gridCol w:w="1035"/>
        <w:gridCol w:w="6698"/>
      </w:tblGrid>
      <w:tr>
        <w:trPr>
          <w:cantSplit/>
          <w:trHeight w:val="397"/>
          <w:tblHeader/>
        </w:trPr>
        <w:tc>
          <w:tcPr>
            <w:tcW w:w="1241"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一级指标</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二级指标</w:t>
            </w:r>
          </w:p>
        </w:tc>
        <w:tc>
          <w:tcPr>
            <w:tcW w:w="1307"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三级指标</w:t>
            </w:r>
          </w:p>
        </w:tc>
        <w:tc>
          <w:tcPr>
            <w:tcW w:w="1635"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绩效指标描述</w:t>
            </w:r>
          </w:p>
        </w:tc>
        <w:tc>
          <w:tcPr>
            <w:tcW w:w="1035"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w:t>
            </w:r>
          </w:p>
        </w:tc>
        <w:tc>
          <w:tcPr>
            <w:tcW w:w="669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指标值确定依据</w:t>
            </w:r>
          </w:p>
        </w:tc>
      </w:tr>
      <w:tr>
        <w:trPr>
          <w:cantSplit/>
          <w:trHeight w:val="369"/>
        </w:trPr>
        <w:tc>
          <w:tcPr>
            <w:tcW w:w="1241"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产出指标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时效指标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完成率</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按时给改制等退人员缴纳医疗保险完成率</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100百分比,等于100%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质量指标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为改制等退人员缴纳医疗保险覆盖率</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年内按时为改制等退人员缴纳医疗保险的人员覆盖率</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100百分比,等于100%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为改制等退人员缴纳医疗保险的人数</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年内按时为改制等退人员缴纳医疗保险的人数</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≤17小于等于17人</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效果指标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社会稳定水平</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通过给改制等退人员缴纳医疗保险费维护职工合法权益，促进社会稳定</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100缴纳完成率等于100%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医疗保险费缴纳完成率</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为改制等退人员缴纳医疗保险费的完成比例</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100缴纳完成率等于100%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家庭发展能力</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通过为改制等退人员缴纳医疗保险费，促进改制等退人员家庭发展能力逐步提高</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≥60家庭发展能力提高比例百分比,大于等于60%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r>
        <w:trPr>
          <w:cantSplit/>
          <w:trHeight w:val="369"/>
        </w:trPr>
        <w:tc>
          <w:tcPr>
            <w:tcW w:w="1241"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满意度指标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服务对象满意度指标</w:t>
            </w:r>
          </w:p>
        </w:tc>
        <w:tc>
          <w:tcPr>
            <w:tcW w:w="130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w:t>
            </w:r>
          </w:p>
        </w:tc>
        <w:tc>
          <w:tcPr>
            <w:tcW w:w="16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通过问卷调查，满意和较满意的服务对象占全部调研对象的比例</w:t>
            </w:r>
          </w:p>
        </w:tc>
        <w:tc>
          <w:tcPr>
            <w:tcW w:w="103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≥80百分比,大于等于80%</w:t>
            </w:r>
          </w:p>
        </w:tc>
        <w:tc>
          <w:tcPr>
            <w:tcW w:w="669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市政府批准的请示及《关于全系统改制涉及人员缴纳社会保险费有关请示的答复》（遵财答复[2015]398号）《关于为“原市工业品公司退休职工陈贺缴纳医疗保险”请示的答复》（遵财答复[2016]1740号</w:t>
            </w:r>
          </w:p>
        </w:tc>
      </w:tr>
    </w:tbl>
    <w:p>
      <w:pPr>
        <w:spacing w:line="300" w:lineRule="exact"/>
        <w:ind w:firstLineChars="200" w:firstLine="480"/>
        <w:jc w:val="left"/>
        <w:outlineLvl w:val="9"/>
        <w:rPr>
          <w:rFonts w:ascii="方正仿宋简体" w:eastAsia="方正仿宋简体" w:cs="方正仿宋简体" w:hAnsi="方正仿宋简体" w:hint="eastAsia"/>
          <w:bCs/>
          <w:sz w:val="24"/>
          <w:szCs w:val="24"/>
          <w:u w:val="none"/>
          <w:lang w:eastAsia="zh-CN" w:bidi="ar-SA"/>
        </w:rPr>
        <w:sectPr>
          <w:footerReference w:type="default" r:id="rId2"/>
          <w:pgSz w:w="16838" w:h="11906" w:orient="landscape"/>
          <w:pgMar w:top="1304" w:right="1984" w:bottom="1304" w:left="1134" w:header="851" w:footer="992" w:gutter="0"/>
          <w:pgNumType/>
          <w:docGrid w:type="lines" w:linePitch="312" w:charSpace="0"/>
        </w:sectPr>
      </w:pPr>
    </w:p>
    <w:p>
      <w:pPr>
        <w:ind w:firstLineChars="200" w:firstLine="560"/>
        <w:jc w:val="left"/>
        <w:outlineLvl w:val="1"/>
        <w:rPr>
          <w:rFonts w:ascii="方正仿宋简体" w:eastAsia="方正仿宋简体" w:cs="方正仿宋简体" w:hAnsi="方正仿宋简体" w:hint="eastAsia"/>
          <w:bCs/>
          <w:sz w:val="24"/>
          <w:szCs w:val="24"/>
          <w:u w:val="none"/>
          <w:lang w:eastAsia="zh-CN" w:bidi="ar-SA"/>
        </w:rPr>
      </w:pPr>
      <w:r>
        <w:rPr>
          <w:rFonts w:ascii="方正仿宋简体" w:eastAsia="方正仿宋简体" w:cs="方正仿宋简体" w:hAnsi="方正仿宋简体" w:hint="eastAsia"/>
          <w:b/>
          <w:sz w:val="28"/>
          <w:szCs w:val="28"/>
          <w:u w:val="none"/>
          <w:lang w:eastAsia="zh-CN" w:bidi="ar-SA"/>
        </w:rPr>
        <w:t>2</w:t>
      </w:r>
      <w:r>
        <w:rPr>
          <w:rFonts w:ascii="方正仿宋简体" w:eastAsia="方正仿宋简体" w:cs="方正仿宋简体" w:hAnsi="方正仿宋简体" w:hint="eastAsia"/>
          <w:b/>
          <w:sz w:val="28"/>
          <w:szCs w:val="28"/>
          <w:u w:val="none"/>
          <w:lang w:val="en-US" w:eastAsia="zh-CN" w:bidi="ar-SA"/>
        </w:rPr>
        <w:t>.</w:t>
      </w:r>
      <w:r>
        <w:rPr>
          <w:rFonts w:ascii="方正仿宋简体" w:eastAsia="方正仿宋简体" w:cs="方正仿宋简体" w:hAnsi="方正仿宋简体" w:hint="eastAsia"/>
          <w:b/>
          <w:sz w:val="28"/>
          <w:szCs w:val="28"/>
          <w:u w:val="none"/>
          <w:lang w:eastAsia="zh-CN" w:bidi="ar-SA"/>
        </w:rPr>
        <w:t>供销社农村产权流转交易中心工作经费绩效目标表</w:t>
      </w:r>
      <w:bookmarkStart w:id="4" w:name="_Toc15803"/>
      <w:bookmarkStart w:id="5" w:name="_Toc27050"/>
      <w:r>
        <w:rPr>
          <w:vanish/>
        </w:rPr>
        <w:t>{</w:t>
      </w:r>
      <w:r>
        <w:rPr>
          <w:rFonts w:ascii="方正仿宋简体" w:eastAsia="方正仿宋简体" w:cs="方正仿宋简体" w:hAnsi="方正仿宋简体" w:hint="eastAsia"/>
          <w:bCs/>
          <w:vanish/>
          <w:sz w:val="24"/>
          <w:szCs w:val="24"/>
          <w:u w:val="none"/>
          <w:lang w:eastAsia="zh-CN" w:bidi="ar-SA"/>
        </w:rPr>
        <w:t xml:space="preserve"> TC 2、供销社农村产权流转交易中心工作经费绩效目标表 \f C \l 1 </w:t>
      </w:r>
      <w:r>
        <w:rPr>
          <w:rFonts w:ascii="方正仿宋简体" w:eastAsia="方正仿宋简体" w:cs="方正仿宋简体" w:hAnsi="方正仿宋简体" w:hint="eastAsia"/>
          <w:bCs/>
          <w:vanish/>
          <w:sz w:val="24"/>
          <w:szCs w:val="24"/>
          <w:u w:val="none"/>
          <w:lang w:eastAsia="zh-CN" w:bidi="ar-SA"/>
        </w:rPr>
        <w:t>}</w:t>
      </w:r>
      <w:bookmarkEnd w:id="4"/>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112"/>
        <w:gridCol w:w="1752"/>
        <w:gridCol w:w="1304"/>
        <w:gridCol w:w="1276"/>
        <w:gridCol w:w="5756"/>
      </w:tblGrid>
      <w:tr>
        <w:trPr>
          <w:trHeight w:val="397"/>
        </w:trPr>
        <w:tc>
          <w:tcPr>
            <w:tcW w:w="7712" w:type="dxa"/>
            <w:gridSpan w:val="6"/>
            <w:tcBorders>
              <w:top w:val="single" w:sz="6" w:space="0" w:color="FFFFFF"/>
              <w:left w:val="single" w:sz="6" w:space="0" w:color="FFFFFF"/>
              <w:right w:val="single" w:sz="6" w:space="0" w:color="FFFFFF"/>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975002遵化市供销合作社</w:t>
            </w:r>
          </w:p>
        </w:tc>
        <w:tc>
          <w:tcPr>
            <w:tcW w:w="5756" w:type="dxa"/>
            <w:tcBorders>
              <w:top w:val="single" w:sz="6" w:space="0" w:color="FFFFFF"/>
              <w:left w:val="single" w:sz="6" w:space="0" w:color="FFFFFF"/>
              <w:right w:val="single" w:sz="6" w:space="0" w:color="FFFFFF"/>
              <w:tl2br w:val="nil"/>
              <w:tr2bl w:val="nil"/>
            </w:tcBorders>
            <w:vAlign w:val="center"/>
          </w:tcPr>
          <w:p>
            <w:pPr>
              <w:spacing w:line="300" w:lineRule="exact"/>
              <w:jc w:val="righ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单位：万元</w:t>
            </w:r>
          </w:p>
        </w:tc>
      </w:tr>
      <w:tr>
        <w:trPr>
          <w:trHeight w:val="369"/>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项目编码</w:t>
            </w:r>
          </w:p>
        </w:tc>
        <w:tc>
          <w:tcPr>
            <w:tcW w:w="2246" w:type="dxa"/>
            <w:gridSpan w:val="2"/>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975-0202-YXN-ZT6T</w:t>
            </w:r>
          </w:p>
        </w:tc>
        <w:tc>
          <w:tcPr>
            <w:tcW w:w="1752"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项目名称</w:t>
            </w:r>
          </w:p>
        </w:tc>
        <w:tc>
          <w:tcPr>
            <w:tcW w:w="8336" w:type="dxa"/>
            <w:gridSpan w:val="3"/>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供销社农村产权流转交易中心工作经费</w:t>
            </w:r>
          </w:p>
        </w:tc>
      </w:tr>
      <w:tr>
        <w:trPr>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预算规模及资金用途</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预算数</w:t>
            </w:r>
          </w:p>
        </w:tc>
        <w:tc>
          <w:tcPr>
            <w:tcW w:w="1112"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20.00</w:t>
            </w:r>
          </w:p>
        </w:tc>
        <w:tc>
          <w:tcPr>
            <w:tcW w:w="1752"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其中：财政资金</w:t>
            </w:r>
          </w:p>
        </w:tc>
        <w:tc>
          <w:tcPr>
            <w:tcW w:w="130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20.00</w:t>
            </w:r>
          </w:p>
        </w:tc>
        <w:tc>
          <w:tcPr>
            <w:tcW w:w="1276"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其他资金</w:t>
            </w:r>
          </w:p>
        </w:tc>
        <w:tc>
          <w:tcPr>
            <w:tcW w:w="575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p>
        </w:tc>
      </w:tr>
      <w:tr>
        <w:trPr>
          <w:trHeight w:val="369"/>
        </w:trPr>
        <w:tc>
          <w:tcPr>
            <w:tcW w:w="1134" w:type="dxa"/>
            <w:vMerge/>
            <w:tcBorders>
              <w:tl2br w:val="nil"/>
              <w:tr2bl w:val="nil"/>
            </w:tcBorders>
          </w:tcPr>
          <w:p/>
        </w:tc>
        <w:tc>
          <w:tcPr>
            <w:tcW w:w="12334" w:type="dxa"/>
            <w:gridSpan w:val="6"/>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5名劳务派遣人员工资及保险17.65万元（工资11.4万元、保险6.25万元）；（2）缴纳上级部门网络平台运营维护费1.0万元；（3）5名劳务派遣人员劳务派遣管理费0.35万元；（4）农村产权抵押等业务开展现场勘验交通、学习培训等费用0.5万元；（5）日常运转经费0.50万元。</w:t>
            </w:r>
          </w:p>
        </w:tc>
      </w:tr>
      <w:tr>
        <w:trPr>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资金支出计划（%）</w:t>
            </w:r>
          </w:p>
        </w:tc>
        <w:tc>
          <w:tcPr>
            <w:tcW w:w="2246"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3月底</w:t>
            </w:r>
          </w:p>
        </w:tc>
        <w:tc>
          <w:tcPr>
            <w:tcW w:w="1752"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6月底</w:t>
            </w:r>
          </w:p>
        </w:tc>
        <w:tc>
          <w:tcPr>
            <w:tcW w:w="130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10月底</w:t>
            </w:r>
          </w:p>
        </w:tc>
        <w:tc>
          <w:tcPr>
            <w:tcW w:w="7032"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12月底</w:t>
            </w:r>
          </w:p>
        </w:tc>
      </w:tr>
      <w:tr>
        <w:trPr>
          <w:trHeight w:val="369"/>
        </w:trPr>
        <w:tc>
          <w:tcPr>
            <w:tcW w:w="1134" w:type="dxa"/>
            <w:vMerge/>
            <w:tcBorders>
              <w:tl2br w:val="nil"/>
              <w:tr2bl w:val="nil"/>
            </w:tcBorders>
          </w:tcPr>
          <w:p/>
        </w:tc>
        <w:tc>
          <w:tcPr>
            <w:tcW w:w="2246"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30.00</w:t>
            </w:r>
          </w:p>
        </w:tc>
        <w:tc>
          <w:tcPr>
            <w:tcW w:w="1752"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60.00</w:t>
            </w:r>
          </w:p>
        </w:tc>
        <w:tc>
          <w:tcPr>
            <w:tcW w:w="130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90.00</w:t>
            </w:r>
          </w:p>
        </w:tc>
        <w:tc>
          <w:tcPr>
            <w:tcW w:w="7032"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100.00</w:t>
            </w:r>
          </w:p>
        </w:tc>
      </w:tr>
      <w:tr>
        <w:trPr>
          <w:trHeight w:val="369"/>
        </w:trPr>
        <w:tc>
          <w:tcPr>
            <w:tcW w:w="1134" w:type="dxa"/>
            <w:tcBorders>
              <w:bottom w:val="nil"/>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绩效目标</w:t>
            </w:r>
          </w:p>
        </w:tc>
        <w:tc>
          <w:tcPr>
            <w:tcW w:w="12334" w:type="dxa"/>
            <w:gridSpan w:val="6"/>
            <w:tcBorders>
              <w:bottom w:val="nil"/>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1、按时为5名劳务派遣人员发放工资、缴纳保险费，维护职工合法权益和社会稳定。</w:t>
            </w:r>
          </w:p>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2、保障市农村产权流转交易中心正常高效运转，持续充分发挥为“三农”服务的职能作用。</w:t>
            </w:r>
          </w:p>
        </w:tc>
      </w:tr>
    </w:tbl>
    <w:p>
      <w:pPr>
        <w:spacing w:line="14" w:lineRule="exact"/>
        <w:ind w:firstLineChars="200" w:firstLine="480"/>
        <w:jc w:val="center"/>
        <w:outlineLvl w:val="9"/>
        <w:rPr>
          <w:rFonts w:ascii="方正仿宋简体" w:eastAsia="方正仿宋简体" w:cs="方正仿宋简体" w:hAnsi="方正仿宋简体" w:hint="eastAsia"/>
          <w:bCs/>
          <w:sz w:val="24"/>
          <w:szCs w:val="24"/>
          <w:u w:val="none"/>
          <w:lang w:eastAsia="zh-CN" w:bidi="ar-SA"/>
        </w:rPr>
      </w:pPr>
      <w:r>
        <w:rPr>
          <w:rFonts w:ascii="方正仿宋简体" w:eastAsia="方正仿宋简体" w:cs="方正仿宋简体" w:hAnsi="方正仿宋简体" w:hint="eastAsia"/>
          <w:bCs/>
          <w:sz w:val="24"/>
          <w:szCs w:val="24"/>
          <w:u w:val="none"/>
          <w:lang w:eastAsia="zh-CN" w:bidi="ar-SA"/>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067"/>
        <w:gridCol w:w="2355"/>
        <w:gridCol w:w="1350"/>
        <w:gridCol w:w="6413"/>
      </w:tblGrid>
      <w:tr>
        <w:trPr>
          <w:cantSplit/>
          <w:trHeight w:val="397"/>
          <w:tblHeader/>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一级指标</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二级指标</w:t>
            </w:r>
          </w:p>
        </w:tc>
        <w:tc>
          <w:tcPr>
            <w:tcW w:w="1067"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三级指标</w:t>
            </w:r>
          </w:p>
        </w:tc>
        <w:tc>
          <w:tcPr>
            <w:tcW w:w="2355"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绩效指标描述</w:t>
            </w:r>
          </w:p>
        </w:tc>
        <w:tc>
          <w:tcPr>
            <w:tcW w:w="1350"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w:t>
            </w:r>
          </w:p>
        </w:tc>
        <w:tc>
          <w:tcPr>
            <w:tcW w:w="6413"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指标值确定依据</w:t>
            </w:r>
          </w:p>
        </w:tc>
      </w:tr>
      <w:tr>
        <w:trPr>
          <w:cantSplit/>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产出指标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发布农村产权流转交易信息数量（条）</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年内发布农村产权流转交易信息的数量（条）</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≥10大于等于10条</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时效指标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完成率</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按时给农村产权流转交易中心劳务派遣人员发放工资、缴纳保险完成率</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100百分比，等于100%</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登记注册合作社数量（个）</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当年登记注册合作社数量</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≤3小于等于3个</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效果指标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可持续影响指标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充分发挥为“三农”服务职能作用</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促进为“三农”服务，持续发挥职能作用</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≥90百分比,大于等于90%</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社会稳定水平</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按时给农村产权流转交易中心劳务派遣人员发放工资、保险，维护社会稳定</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100完成率百分比,等于100%</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个人生活补助发放率</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给农村产权流转交易中心劳务派遣人员发放工资、保险等生活补助比例</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100发放率百分比,等于100%</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r>
        <w:trPr>
          <w:cantSplit/>
          <w:trHeight w:val="369"/>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满意度指标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服务对象满意度指标</w:t>
            </w:r>
          </w:p>
        </w:tc>
        <w:tc>
          <w:tcPr>
            <w:tcW w:w="1067"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w:t>
            </w:r>
          </w:p>
        </w:tc>
        <w:tc>
          <w:tcPr>
            <w:tcW w:w="235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通过问卷调查，满意和较满意的服务对象占全部调研对象的比例</w:t>
            </w:r>
          </w:p>
        </w:tc>
        <w:tc>
          <w:tcPr>
            <w:tcW w:w="1350"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≥80百分比,大于等于80%</w:t>
            </w:r>
          </w:p>
        </w:tc>
        <w:tc>
          <w:tcPr>
            <w:tcW w:w="641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《遵化市人民政府办公室关于印发&lt;遵化市农村产权流转交易市场建设实施意见&gt;的通知》（遵政办[2017]65号</w:t>
            </w:r>
          </w:p>
        </w:tc>
      </w:tr>
    </w:tbl>
    <w:p>
      <w:pPr>
        <w:spacing w:line="300" w:lineRule="exact"/>
        <w:ind w:firstLineChars="200" w:firstLine="480"/>
        <w:jc w:val="left"/>
        <w:outlineLvl w:val="9"/>
        <w:rPr>
          <w:rFonts w:ascii="方正仿宋简体" w:eastAsia="方正仿宋简体" w:cs="方正仿宋简体" w:hAnsi="方正仿宋简体" w:hint="eastAsia"/>
          <w:bCs/>
          <w:sz w:val="24"/>
          <w:szCs w:val="24"/>
          <w:u w:val="none"/>
          <w:lang w:eastAsia="zh-CN" w:bidi="ar-SA"/>
        </w:rPr>
        <w:sectPr>
          <w:pgSz w:w="16838" w:h="11906" w:orient="landscape"/>
          <w:pgMar w:top="1304" w:right="1984" w:bottom="1304" w:left="1134" w:header="851" w:footer="992" w:gutter="0"/>
          <w:pgNumType/>
          <w:docGrid w:type="lines" w:linePitch="312" w:charSpace="0"/>
        </w:sectPr>
      </w:pPr>
    </w:p>
    <w:p>
      <w:pPr>
        <w:ind w:firstLineChars="200" w:firstLine="560"/>
        <w:jc w:val="left"/>
        <w:outlineLvl w:val="1"/>
        <w:rPr>
          <w:rFonts w:ascii="方正仿宋简体" w:eastAsia="方正仿宋简体" w:cs="方正仿宋简体" w:hAnsi="方正仿宋简体" w:hint="eastAsia"/>
          <w:bCs/>
          <w:sz w:val="24"/>
          <w:szCs w:val="24"/>
          <w:u w:val="none"/>
          <w:lang w:eastAsia="zh-CN" w:bidi="ar-SA"/>
        </w:rPr>
      </w:pPr>
      <w:r>
        <w:rPr>
          <w:rFonts w:ascii="方正仿宋简体" w:eastAsia="方正仿宋简体" w:cs="方正仿宋简体" w:hAnsi="方正仿宋简体" w:hint="eastAsia"/>
          <w:b/>
          <w:sz w:val="28"/>
          <w:szCs w:val="28"/>
          <w:u w:val="none"/>
          <w:lang w:eastAsia="zh-CN" w:bidi="ar-SA"/>
        </w:rPr>
        <w:t>3</w:t>
      </w:r>
      <w:r>
        <w:rPr>
          <w:rFonts w:ascii="方正仿宋简体" w:eastAsia="方正仿宋简体" w:cs="方正仿宋简体" w:hAnsi="方正仿宋简体" w:hint="eastAsia"/>
          <w:b/>
          <w:sz w:val="28"/>
          <w:szCs w:val="28"/>
          <w:u w:val="none"/>
          <w:lang w:val="en-US" w:eastAsia="zh-CN" w:bidi="ar-SA"/>
        </w:rPr>
        <w:t>.</w:t>
      </w:r>
      <w:r>
        <w:rPr>
          <w:rFonts w:ascii="方正仿宋简体" w:eastAsia="方正仿宋简体" w:cs="方正仿宋简体" w:hAnsi="方正仿宋简体" w:hint="eastAsia"/>
          <w:b/>
          <w:sz w:val="28"/>
          <w:szCs w:val="28"/>
          <w:u w:val="none"/>
          <w:lang w:eastAsia="zh-CN" w:bidi="ar-SA"/>
        </w:rPr>
        <w:t>供销社农合联工作经费绩效目标表</w:t>
      </w:r>
      <w:bookmarkStart w:id="6" w:name="_Toc22026"/>
      <w:bookmarkStart w:id="7" w:name="_Toc32559"/>
      <w:r>
        <w:rPr>
          <w:vanish/>
        </w:rPr>
        <w:t>{</w:t>
      </w:r>
      <w:r>
        <w:rPr>
          <w:rFonts w:ascii="方正仿宋简体" w:eastAsia="方正仿宋简体" w:cs="方正仿宋简体" w:hAnsi="方正仿宋简体" w:hint="eastAsia"/>
          <w:bCs/>
          <w:vanish/>
          <w:sz w:val="24"/>
          <w:szCs w:val="24"/>
          <w:u w:val="none"/>
          <w:lang w:eastAsia="zh-CN" w:bidi="ar-SA"/>
        </w:rPr>
        <w:t xml:space="preserve"> TC 3、供销社农合联工作经费绩效目标表 \f C \l 1 </w:t>
      </w:r>
      <w:r>
        <w:rPr>
          <w:rFonts w:ascii="方正仿宋简体" w:eastAsia="方正仿宋简体" w:cs="方正仿宋简体" w:hAnsi="方正仿宋简体" w:hint="eastAsia"/>
          <w:bCs/>
          <w:vanish/>
          <w:sz w:val="24"/>
          <w:szCs w:val="24"/>
          <w:u w:val="none"/>
          <w:lang w:eastAsia="zh-CN" w:bidi="ar-SA"/>
        </w:rPr>
        <w:t>}</w:t>
      </w:r>
      <w:bookmarkEnd w:id="6"/>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8"/>
        <w:gridCol w:w="1304"/>
        <w:gridCol w:w="1276"/>
        <w:gridCol w:w="5548"/>
      </w:tblGrid>
      <w:tr>
        <w:trPr>
          <w:trHeight w:val="397"/>
        </w:trPr>
        <w:tc>
          <w:tcPr>
            <w:tcW w:w="7712" w:type="dxa"/>
            <w:gridSpan w:val="6"/>
            <w:tcBorders>
              <w:top w:val="single" w:sz="6" w:space="0" w:color="FFFFFF"/>
              <w:left w:val="single" w:sz="6" w:space="0" w:color="FFFFFF"/>
              <w:right w:val="single" w:sz="6" w:space="0" w:color="FFFFFF"/>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975002遵化市供销合作社</w:t>
            </w:r>
          </w:p>
        </w:tc>
        <w:tc>
          <w:tcPr>
            <w:tcW w:w="5548" w:type="dxa"/>
            <w:tcBorders>
              <w:top w:val="single" w:sz="6" w:space="0" w:color="FFFFFF"/>
              <w:left w:val="single" w:sz="6" w:space="0" w:color="FFFFFF"/>
              <w:right w:val="single" w:sz="6" w:space="0" w:color="FFFFFF"/>
              <w:tl2br w:val="nil"/>
              <w:tr2bl w:val="nil"/>
            </w:tcBorders>
            <w:vAlign w:val="center"/>
          </w:tcPr>
          <w:p>
            <w:pPr>
              <w:spacing w:line="300" w:lineRule="exact"/>
              <w:jc w:val="righ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单位：万元</w:t>
            </w:r>
          </w:p>
        </w:tc>
      </w:tr>
      <w:tr>
        <w:trPr>
          <w:trHeight w:val="369"/>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项目编码</w:t>
            </w:r>
          </w:p>
        </w:tc>
        <w:tc>
          <w:tcPr>
            <w:tcW w:w="2410" w:type="dxa"/>
            <w:gridSpan w:val="2"/>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975-1212-YXN-HYDG</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项目名称</w:t>
            </w:r>
          </w:p>
        </w:tc>
        <w:tc>
          <w:tcPr>
            <w:tcW w:w="8128" w:type="dxa"/>
            <w:gridSpan w:val="3"/>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供销社农合联工作经费</w:t>
            </w:r>
          </w:p>
        </w:tc>
      </w:tr>
      <w:tr>
        <w:trPr>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预算规模及资金用途</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预算数</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6.00</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其中：财政资金</w:t>
            </w:r>
          </w:p>
        </w:tc>
        <w:tc>
          <w:tcPr>
            <w:tcW w:w="130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6.00</w:t>
            </w:r>
          </w:p>
        </w:tc>
        <w:tc>
          <w:tcPr>
            <w:tcW w:w="1276"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其他资金</w:t>
            </w:r>
          </w:p>
        </w:tc>
        <w:tc>
          <w:tcPr>
            <w:tcW w:w="5548"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p>
        </w:tc>
      </w:tr>
      <w:tr>
        <w:trPr>
          <w:trHeight w:val="369"/>
        </w:trPr>
        <w:tc>
          <w:tcPr>
            <w:tcW w:w="1134" w:type="dxa"/>
            <w:vMerge/>
            <w:tcBorders>
              <w:tl2br w:val="nil"/>
              <w:tr2bl w:val="nil"/>
            </w:tcBorders>
          </w:tcPr>
          <w:p/>
        </w:tc>
        <w:tc>
          <w:tcPr>
            <w:tcW w:w="12126" w:type="dxa"/>
            <w:gridSpan w:val="6"/>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组织专业社和新型供销社、种养殖大户涉农营销人员等搞好观摩交流、调研、参观业务学习及内部交流培训等预算4.5万元；（2）对农合联会员单位及专业社、新型供销社等发挥职能作用进行管理、宣传、考核等通讯费支出预算0.40万元；（3）对新型供销社、合作社等规范提升。组建农民合作经济组织联合社及自认运转等经费预算1.1万元。</w:t>
            </w:r>
          </w:p>
        </w:tc>
      </w:tr>
      <w:tr>
        <w:trPr>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资金支出计划（%）</w:t>
            </w:r>
          </w:p>
        </w:tc>
        <w:tc>
          <w:tcPr>
            <w:tcW w:w="2410"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3月底</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6月底</w:t>
            </w:r>
          </w:p>
        </w:tc>
        <w:tc>
          <w:tcPr>
            <w:tcW w:w="130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10月底</w:t>
            </w:r>
          </w:p>
        </w:tc>
        <w:tc>
          <w:tcPr>
            <w:tcW w:w="6824"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12月底</w:t>
            </w:r>
          </w:p>
        </w:tc>
      </w:tr>
      <w:tr>
        <w:trPr>
          <w:trHeight w:val="369"/>
        </w:trPr>
        <w:tc>
          <w:tcPr>
            <w:tcW w:w="1134" w:type="dxa"/>
            <w:vMerge/>
            <w:tcBorders>
              <w:tl2br w:val="nil"/>
              <w:tr2bl w:val="nil"/>
            </w:tcBorders>
          </w:tcPr>
          <w:p/>
        </w:tc>
        <w:tc>
          <w:tcPr>
            <w:tcW w:w="2410"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30.00</w:t>
            </w:r>
          </w:p>
        </w:tc>
        <w:tc>
          <w:tcPr>
            <w:tcW w:w="1588"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60.00</w:t>
            </w:r>
          </w:p>
        </w:tc>
        <w:tc>
          <w:tcPr>
            <w:tcW w:w="130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90.00</w:t>
            </w:r>
          </w:p>
        </w:tc>
        <w:tc>
          <w:tcPr>
            <w:tcW w:w="6824" w:type="dxa"/>
            <w:gridSpan w:val="2"/>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100.00</w:t>
            </w:r>
          </w:p>
        </w:tc>
      </w:tr>
      <w:tr>
        <w:trPr>
          <w:trHeight w:val="369"/>
        </w:trPr>
        <w:tc>
          <w:tcPr>
            <w:tcW w:w="1134" w:type="dxa"/>
            <w:tcBorders>
              <w:bottom w:val="nil"/>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绩效目标</w:t>
            </w:r>
          </w:p>
        </w:tc>
        <w:tc>
          <w:tcPr>
            <w:tcW w:w="12126" w:type="dxa"/>
            <w:gridSpan w:val="6"/>
            <w:tcBorders>
              <w:bottom w:val="nil"/>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1、组织人员不断学习外地供销社综合改革先进经验，做好学习、交流培训等各项工作，为供销社综合改革与发展服务。</w:t>
            </w:r>
          </w:p>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2、不断做好农合联各项工作，充分发挥其职能作用，加强新型供销社、合作社的规范提升，为“三农”服务。</w:t>
            </w:r>
          </w:p>
        </w:tc>
      </w:tr>
    </w:tbl>
    <w:p>
      <w:pPr>
        <w:spacing w:line="14" w:lineRule="exact"/>
        <w:ind w:firstLineChars="200" w:firstLine="480"/>
        <w:jc w:val="center"/>
        <w:outlineLvl w:val="9"/>
        <w:rPr>
          <w:rFonts w:ascii="方正仿宋简体" w:eastAsia="方正仿宋简体" w:cs="方正仿宋简体" w:hAnsi="方正仿宋简体" w:hint="eastAsia"/>
          <w:bCs/>
          <w:sz w:val="24"/>
          <w:szCs w:val="24"/>
          <w:u w:val="none"/>
          <w:lang w:eastAsia="zh-CN" w:bidi="ar-SA"/>
        </w:rPr>
      </w:pPr>
      <w:r>
        <w:rPr>
          <w:rFonts w:ascii="方正仿宋简体" w:eastAsia="方正仿宋简体" w:cs="方正仿宋简体" w:hAnsi="方正仿宋简体" w:hint="eastAsia"/>
          <w:bCs/>
          <w:sz w:val="24"/>
          <w:szCs w:val="24"/>
          <w:u w:val="none"/>
          <w:lang w:eastAsia="zh-CN" w:bidi="ar-SA"/>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951"/>
        <w:gridCol w:w="1425"/>
        <w:gridCol w:w="6323"/>
      </w:tblGrid>
      <w:tr>
        <w:trPr>
          <w:cantSplit/>
          <w:trHeight w:val="397"/>
          <w:tblHeader/>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一级指标</w:t>
            </w:r>
          </w:p>
        </w:tc>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二级指标</w:t>
            </w:r>
          </w:p>
        </w:tc>
        <w:tc>
          <w:tcPr>
            <w:tcW w:w="1276"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三级指标</w:t>
            </w:r>
          </w:p>
        </w:tc>
        <w:tc>
          <w:tcPr>
            <w:tcW w:w="1951"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绩效指标描述</w:t>
            </w:r>
          </w:p>
        </w:tc>
        <w:tc>
          <w:tcPr>
            <w:tcW w:w="1425"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w:t>
            </w:r>
          </w:p>
        </w:tc>
        <w:tc>
          <w:tcPr>
            <w:tcW w:w="6323"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指标值确定依据</w:t>
            </w:r>
          </w:p>
        </w:tc>
      </w:tr>
      <w:tr>
        <w:trPr>
          <w:cantSplit/>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产出指标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组织业务学习、交流培训差旅的次数</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组织相关人员参加业务学习、交流、培训等出差次数</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≥4大于等于4次</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登记注册合作社数量（个）</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当年登记注册合作社数量</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≥3大于等于3个</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数量指标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示范社新增数量（个）</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年内示范社新增数量</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≤5小于等于5个</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vMerge w:val="restart"/>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效果指标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可持续影响指标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充分发挥为“三农”服务职能作用</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促进为“三农”服务，持续发挥职能作用</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≥90百分比,大于等于90%</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社会影响力</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发挥农合联职能作用，为供销社综合改革与发展服务，提升社会影响力</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≥70对供销社的知名度百分比,大于等于70%</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社会效益指标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服务体系覆盖率</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服务体系在所有行政村中的覆盖比例</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≥20百分比,大于等于20%</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r>
        <w:trPr>
          <w:cantSplit/>
          <w:trHeight w:val="369"/>
        </w:trPr>
        <w:tc>
          <w:tcPr>
            <w:tcW w:w="1134" w:type="dxa"/>
            <w:tcBorders>
              <w:tl2br w:val="nil"/>
              <w:tr2bl w:val="nil"/>
            </w:tcBorders>
            <w:vAlign w:val="center"/>
          </w:tcPr>
          <w:p>
            <w:pPr>
              <w:spacing w:line="300" w:lineRule="exact"/>
              <w:jc w:val="center"/>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满意度指标</w:t>
            </w:r>
          </w:p>
        </w:tc>
        <w:tc>
          <w:tcPr>
            <w:tcW w:w="1134"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服务对象满意度指标</w:t>
            </w:r>
          </w:p>
        </w:tc>
        <w:tc>
          <w:tcPr>
            <w:tcW w:w="1276"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服务对象满意度（%）</w:t>
            </w:r>
          </w:p>
        </w:tc>
        <w:tc>
          <w:tcPr>
            <w:tcW w:w="1951"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通过问卷调查，满意和较满意的服务对象占全部调研对象的比例</w:t>
            </w:r>
          </w:p>
        </w:tc>
        <w:tc>
          <w:tcPr>
            <w:tcW w:w="1425"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≥80百分比,大于等于80%</w:t>
            </w:r>
          </w:p>
        </w:tc>
        <w:tc>
          <w:tcPr>
            <w:tcW w:w="6323" w:type="dxa"/>
            <w:tcBorders>
              <w:tl2br w:val="nil"/>
              <w:tr2bl w:val="nil"/>
            </w:tcBorders>
            <w:vAlign w:val="center"/>
          </w:tcPr>
          <w:p>
            <w:pPr>
              <w:spacing w:line="300" w:lineRule="exact"/>
              <w:jc w:val="left"/>
              <w:outlineLvl w:val="9"/>
              <w:rPr>
                <w:rFonts w:ascii="方正仿宋简体" w:eastAsia="方正仿宋简体" w:cs="方正仿宋简体" w:hAnsi="方正仿宋简体" w:hint="eastAsia"/>
                <w:bCs/>
                <w:sz w:val="24"/>
                <w:szCs w:val="24"/>
                <w:u w:val="none"/>
                <w:vertAlign w:val="baseline"/>
                <w:lang w:eastAsia="zh-CN" w:bidi="ar-SA"/>
              </w:rPr>
            </w:pPr>
            <w:r>
              <w:rPr>
                <w:rFonts w:ascii="方正仿宋简体" w:eastAsia="方正仿宋简体" w:cs="方正仿宋简体" w:hAnsi="方正仿宋简体" w:hint="eastAsia"/>
                <w:bCs/>
                <w:sz w:val="24"/>
                <w:szCs w:val="24"/>
                <w:u w:val="none"/>
                <w:vertAlign w:val="baseline"/>
                <w:lang w:eastAsia="zh-CN" w:bidi="ar-SA"/>
              </w:rPr>
              <w:t>依据《中共遵化市委、遵化市人民政府关于加快发展农民合作经济组织的实施意见》（遵字[2008]72号</w:t>
            </w:r>
          </w:p>
        </w:tc>
      </w:tr>
    </w:tbl>
    <w:p>
      <w:pPr>
        <w:spacing w:line="300" w:lineRule="exact"/>
        <w:ind w:firstLineChars="200" w:firstLine="420"/>
        <w:jc w:val="left"/>
        <w:outlineLvl w:val="9"/>
        <w:rPr>
          <w:rFonts w:ascii="方正仿宋简体" w:eastAsia="方正仿宋简体" w:cs="方正仿宋简体" w:hAnsi="方正仿宋简体" w:hint="eastAsia"/>
          <w:bCs/>
          <w:sz w:val="21"/>
          <w:u w:val="none"/>
          <w:lang w:eastAsia="zh-CN" w:bidi="ar-SA"/>
        </w:rPr>
        <w:sectPr>
          <w:pgSz w:w="16838" w:h="11906" w:orient="landscape"/>
          <w:pgMar w:top="1304" w:right="1984" w:bottom="1304" w:left="1134" w:header="851" w:footer="992" w:gutter="0"/>
          <w:pgNumType/>
          <w:docGrid w:type="lines" w:linePitch="312" w:charSpace="0"/>
        </w:sectPr>
      </w:pP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bookmarkEnd w:id="1"/>
      <w:r>
        <w:rPr>
          <w:rFonts w:ascii="黑体" w:eastAsia="黑体" w:cs="Times New Roman" w:hAnsi="黑体" w:hint="eastAsia"/>
          <w:sz w:val="32"/>
          <w:szCs w:val="32"/>
          <w:lang w:bidi="ar-SA"/>
        </w:rPr>
        <w:t>六、政府采购预算情况</w:t>
      </w:r>
    </w:p>
    <w:p>
      <w:pPr>
        <w:spacing w:line="560" w:lineRule="exact"/>
        <w:ind w:firstLineChars="300" w:firstLine="840"/>
        <w:rPr>
          <w:rFonts w:ascii="仿宋" w:eastAsia="仿宋" w:cs="Times New Roman" w:hAnsi="仿宋" w:hint="eastAsia"/>
          <w:color w:val="FF0000"/>
          <w:sz w:val="28"/>
          <w:szCs w:val="28"/>
          <w:lang w:bidi="ar-SA"/>
          <w:highlight w:val="red"/>
        </w:rPr>
      </w:pPr>
      <w:bookmarkStart w:id="8" w:name="_Toc471398468"/>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年纳入政府采购的预算</w:t>
      </w:r>
      <w:r>
        <w:rPr>
          <w:rFonts w:ascii="仿宋" w:eastAsia="仿宋" w:cs="Times New Roman" w:hAnsi="仿宋" w:hint="eastAsia"/>
          <w:sz w:val="28"/>
          <w:szCs w:val="28"/>
          <w:lang w:val="en-US" w:eastAsia="zh-CN" w:bidi="ar-SA"/>
        </w:rPr>
        <w:t>1.35万元，</w:t>
      </w:r>
      <w:r>
        <w:rPr>
          <w:rFonts w:ascii="仿宋" w:eastAsia="仿宋" w:cs="Times New Roman" w:hAnsi="仿宋" w:hint="eastAsia"/>
          <w:sz w:val="28"/>
          <w:szCs w:val="28"/>
          <w:lang w:bidi="ar-SA"/>
        </w:rPr>
        <w:t>相较于201</w:t>
      </w:r>
      <w:r>
        <w:rPr>
          <w:rFonts w:ascii="仿宋" w:eastAsia="仿宋" w:cs="Times New Roman" w:hAnsi="仿宋" w:hint="eastAsia"/>
          <w:sz w:val="28"/>
          <w:szCs w:val="28"/>
          <w:lang w:val="en-US" w:eastAsia="zh-CN" w:bidi="ar-SA"/>
        </w:rPr>
        <w:t>9</w:t>
      </w:r>
      <w:r>
        <w:rPr>
          <w:rFonts w:ascii="仿宋" w:eastAsia="仿宋" w:cs="Times New Roman" w:hAnsi="仿宋" w:hint="eastAsia"/>
          <w:sz w:val="28"/>
          <w:szCs w:val="28"/>
          <w:lang w:bidi="ar-SA"/>
        </w:rPr>
        <w:t>年</w:t>
      </w:r>
      <w:r>
        <w:rPr>
          <w:rFonts w:ascii="仿宋" w:eastAsia="仿宋" w:cs="Times New Roman" w:hAnsi="仿宋" w:hint="eastAsia"/>
          <w:sz w:val="28"/>
          <w:szCs w:val="28"/>
          <w:lang w:val="en-US" w:eastAsia="zh-CN" w:bidi="ar-SA"/>
        </w:rPr>
        <w:t>0万元</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1.35</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val="en-US" w:eastAsia="zh-CN" w:bidi="ar-SA"/>
        </w:rPr>
        <w:t>2020年列入政府采购预算项目内的车辆设备的维修和保养服务1.0万元、保险服务0.35万元，去年此项未被列入政府采购预算</w:t>
      </w:r>
      <w:r>
        <w:rPr>
          <w:rFonts w:ascii="仿宋" w:eastAsia="仿宋" w:cs="Times New Roman" w:hAnsi="仿宋" w:hint="eastAsia"/>
          <w:sz w:val="28"/>
          <w:szCs w:val="28"/>
          <w:lang w:bidi="ar-SA"/>
        </w:rPr>
        <w:t>。</w:t>
      </w:r>
      <w:bookmarkEnd w:id="8"/>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七、国有资产信息</w:t>
      </w:r>
    </w:p>
    <w:p>
      <w:pPr>
        <w:spacing w:line="560" w:lineRule="exact"/>
        <w:ind w:firstLineChars="300" w:firstLine="84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遵化市供销合作社部门上年末固定资产金额为</w:t>
      </w:r>
      <w:r>
        <w:rPr>
          <w:rFonts w:ascii="仿宋" w:eastAsia="仿宋" w:cs="Times New Roman" w:hAnsi="仿宋" w:hint="eastAsia"/>
          <w:b/>
          <w:sz w:val="28"/>
          <w:szCs w:val="28"/>
          <w:lang w:bidi="ar-SA"/>
        </w:rPr>
        <w:t>102.44万元（详见下表）</w:t>
      </w:r>
      <w:r>
        <w:rPr>
          <w:rFonts w:ascii="仿宋" w:eastAsia="仿宋" w:cs="Times New Roman" w:hAnsi="仿宋" w:hint="eastAsia"/>
          <w:sz w:val="28"/>
          <w:szCs w:val="28"/>
          <w:lang w:bidi="ar-SA"/>
        </w:rPr>
        <w:t>，本年度未安排固定资产采购预算。</w:t>
      </w:r>
    </w:p>
    <w:p>
      <w:pPr>
        <w:spacing w:line="560" w:lineRule="exact"/>
        <w:ind w:firstLineChars="300" w:firstLine="840"/>
        <w:rPr>
          <w:rFonts w:ascii="仿宋" w:eastAsia="仿宋" w:cs="Times New Roman" w:hAnsi="仿宋" w:hint="eastAsia"/>
          <w:sz w:val="28"/>
          <w:szCs w:val="28"/>
          <w:lang w:bidi="ar-SA"/>
        </w:rPr>
      </w:pPr>
    </w:p>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534"/>
        </w:trPr>
        <w:tc>
          <w:tcPr>
            <w:tcW w:w="13482" w:type="dxa"/>
            <w:gridSpan w:val="3"/>
            <w:tcBorders>
              <w:top w:val="nil"/>
              <w:left w:val="nil"/>
              <w:bottom w:val="nil"/>
              <w:right w:val="nil"/>
              <w:tl2br w:val="nil"/>
              <w:tr2bl w:val="nil"/>
            </w:tcBorders>
            <w:vAlign w:val="center"/>
          </w:tcPr>
          <w:p>
            <w:pPr>
              <w:widowControl/>
              <w:jc w:val="center"/>
              <w:rPr>
                <w:rFonts w:ascii="宋体" w:cs="宋体" w:hint="eastAsia"/>
                <w:b/>
                <w:bCs/>
                <w:kern w:val="0"/>
                <w:sz w:val="32"/>
                <w:szCs w:val="32"/>
                <w:lang w:bidi="ar-SA"/>
              </w:rPr>
            </w:pPr>
            <w:r>
              <w:rPr>
                <w:rFonts w:ascii="宋体" w:cs="宋体" w:hint="eastAsia"/>
                <w:b/>
                <w:bCs/>
                <w:kern w:val="0"/>
                <w:sz w:val="32"/>
                <w:szCs w:val="32"/>
                <w:lang w:bidi="ar-SA"/>
              </w:rPr>
              <w:t>遵化市供销合作社部门固定资产占用情况表</w:t>
            </w:r>
          </w:p>
        </w:tc>
      </w:tr>
      <w:tr>
        <w:trPr>
          <w:trHeight w:val="510"/>
        </w:trPr>
        <w:tc>
          <w:tcPr>
            <w:tcW w:w="8379" w:type="dxa"/>
            <w:gridSpan w:val="2"/>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编制部门：遵化市供销合作社</w:t>
            </w:r>
          </w:p>
        </w:tc>
        <w:tc>
          <w:tcPr>
            <w:tcW w:w="5103" w:type="dxa"/>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截止时间：</w:t>
            </w:r>
            <w:r>
              <w:rPr>
                <w:rFonts w:ascii="宋体" w:cs="宋体" w:hint="eastAsia"/>
                <w:kern w:val="0"/>
                <w:sz w:val="22"/>
                <w:lang w:bidi="ar-SA"/>
              </w:rPr>
              <w:t>201</w:t>
            </w:r>
            <w:r>
              <w:rPr>
                <w:rFonts w:ascii="宋体" w:cs="宋体" w:hint="eastAsia"/>
                <w:kern w:val="0"/>
                <w:sz w:val="22"/>
                <w:lang w:val="en-US" w:eastAsia="zh-CN" w:bidi="ar-SA"/>
              </w:rPr>
              <w:t>9</w:t>
            </w:r>
            <w:r>
              <w:rPr>
                <w:rFonts w:ascii="宋体" w:cs="宋体" w:hint="eastAsia"/>
                <w:kern w:val="0"/>
                <w:sz w:val="22"/>
                <w:lang w:bidi="ar-SA"/>
              </w:rPr>
              <w:t>年</w:t>
            </w:r>
            <w:r>
              <w:rPr>
                <w:rFonts w:ascii="宋体" w:cs="宋体" w:hint="eastAsia"/>
                <w:kern w:val="0"/>
                <w:sz w:val="22"/>
                <w:lang w:bidi="ar-SA"/>
              </w:rPr>
              <w:t>12</w:t>
            </w:r>
            <w:r>
              <w:rPr>
                <w:rFonts w:ascii="宋体" w:cs="宋体" w:hint="eastAsia"/>
                <w:kern w:val="0"/>
                <w:sz w:val="22"/>
                <w:lang w:bidi="ar-SA"/>
              </w:rPr>
              <w:t>月</w:t>
            </w:r>
            <w:r>
              <w:rPr>
                <w:rFonts w:ascii="宋体" w:cs="宋体" w:hint="eastAsia"/>
                <w:kern w:val="0"/>
                <w:sz w:val="22"/>
                <w:lang w:bidi="ar-SA"/>
              </w:rPr>
              <w:t>31</w:t>
            </w:r>
            <w:r>
              <w:rPr>
                <w:rFonts w:ascii="宋体" w:cs="宋体" w:hint="eastAsia"/>
                <w:kern w:val="0"/>
                <w:sz w:val="22"/>
                <w:lang w:bidi="ar-SA"/>
              </w:rPr>
              <w:t>日</w:t>
            </w:r>
            <w:r>
              <w:rPr>
                <w:rFonts w:ascii="宋体" w:cs="宋体" w:hint="eastAsia"/>
                <w:kern w:val="0"/>
                <w:sz w:val="22"/>
                <w:lang w:bidi="ar-SA"/>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项</w:t>
            </w:r>
            <w:r>
              <w:rPr>
                <w:rFonts w:ascii="宋体" w:cs="宋体" w:hint="eastAsia"/>
                <w:b/>
                <w:bCs/>
                <w:kern w:val="0"/>
                <w:sz w:val="22"/>
                <w:lang w:bidi="ar-SA"/>
              </w:rPr>
              <w:t xml:space="preserve">   </w:t>
            </w:r>
            <w:r>
              <w:rPr>
                <w:rFonts w:ascii="宋体" w:cs="宋体" w:hint="eastAsia"/>
                <w:b/>
                <w:bCs/>
                <w:kern w:val="0"/>
                <w:sz w:val="22"/>
                <w:lang w:bidi="ar-SA"/>
              </w:rPr>
              <w:t>目</w:t>
            </w:r>
          </w:p>
        </w:tc>
        <w:tc>
          <w:tcPr>
            <w:tcW w:w="315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数量</w:t>
            </w:r>
          </w:p>
        </w:tc>
        <w:tc>
          <w:tcPr>
            <w:tcW w:w="5103"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价值（金额单位：万元）</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kern w:val="0"/>
                <w:sz w:val="22"/>
                <w:lang w:bidi="ar-SA"/>
              </w:rPr>
            </w:pPr>
            <w:r>
              <w:rPr>
                <w:rFonts w:ascii="宋体" w:cs="宋体" w:hint="eastAsia"/>
                <w:kern w:val="0"/>
                <w:sz w:val="22"/>
                <w:lang w:bidi="ar-SA"/>
              </w:rPr>
              <w:t>资产总额</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sz w:val="22"/>
              </w:rPr>
              <w:t>——</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102.44</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1</w:t>
            </w:r>
            <w:r>
              <w:rPr>
                <w:rFonts w:ascii="宋体" w:cs="宋体" w:hint="eastAsia"/>
                <w:kern w:val="0"/>
                <w:sz w:val="22"/>
                <w:lang w:bidi="ar-SA"/>
              </w:rPr>
              <w:t>、房屋（平方米）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 xml:space="preserve">   </w:t>
            </w:r>
            <w:r>
              <w:rPr>
                <w:rFonts w:ascii="宋体" w:cs="宋体" w:hint="eastAsia"/>
                <w:kern w:val="0"/>
                <w:sz w:val="22"/>
                <w:lang w:bidi="ar-SA"/>
              </w:rPr>
              <w:t>其中：办公用房（平方米）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2</w:t>
            </w:r>
            <w:r>
              <w:rPr>
                <w:rFonts w:ascii="宋体" w:cs="宋体" w:hint="eastAsia"/>
                <w:kern w:val="0"/>
                <w:sz w:val="22"/>
                <w:lang w:bidi="ar-SA"/>
              </w:rPr>
              <w:t>、车辆（台、辆）</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23.17</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3</w:t>
            </w:r>
            <w:r>
              <w:rPr>
                <w:rFonts w:ascii="宋体" w:cs="宋体" w:hint="eastAsia"/>
                <w:kern w:val="0"/>
                <w:sz w:val="22"/>
                <w:lang w:bidi="ar-SA"/>
              </w:rPr>
              <w:t>、单价在</w:t>
            </w:r>
            <w:r>
              <w:rPr>
                <w:rFonts w:ascii="宋体" w:cs="宋体" w:hint="eastAsia"/>
                <w:kern w:val="0"/>
                <w:sz w:val="22"/>
                <w:lang w:bidi="ar-SA"/>
              </w:rPr>
              <w:t>20</w:t>
            </w:r>
            <w:r>
              <w:rPr>
                <w:rFonts w:ascii="宋体" w:cs="宋体" w:hint="eastAsia"/>
                <w:kern w:val="0"/>
                <w:sz w:val="22"/>
                <w:lang w:bidi="ar-SA"/>
              </w:rPr>
              <w:t>万元以上的设备</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　</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4</w:t>
            </w:r>
            <w:r>
              <w:rPr>
                <w:rFonts w:ascii="宋体" w:cs="宋体" w:hint="eastAsia"/>
                <w:kern w:val="0"/>
                <w:sz w:val="22"/>
                <w:lang w:bidi="ar-SA"/>
              </w:rPr>
              <w:t>、其他固定资产</w:t>
            </w:r>
          </w:p>
        </w:tc>
        <w:tc>
          <w:tcPr>
            <w:tcW w:w="3155" w:type="dxa"/>
            <w:tcBorders>
              <w:top w:val="single" w:sz="4" w:space="0" w:color="auto"/>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lang w:val="en-US" w:eastAsia="zh-CN"/>
              </w:rPr>
              <w:t>13</w:t>
            </w:r>
            <w:r>
              <w:rPr>
                <w:rFonts w:hint="eastAsia"/>
                <w:sz w:val="22"/>
              </w:rPr>
              <w:t>　</w:t>
            </w:r>
          </w:p>
        </w:tc>
        <w:tc>
          <w:tcPr>
            <w:tcW w:w="5103" w:type="dxa"/>
            <w:tcBorders>
              <w:top w:val="single" w:sz="4" w:space="0" w:color="auto"/>
              <w:left w:val="nil"/>
              <w:bottom w:val="single" w:sz="4" w:space="0" w:color="auto"/>
              <w:right w:val="single" w:sz="4" w:space="0" w:color="auto"/>
              <w:tl2br w:val="nil"/>
              <w:tr2bl w:val="nil"/>
            </w:tcBorders>
            <w:vAlign w:val="center"/>
          </w:tcPr>
          <w:p>
            <w:pPr>
              <w:jc w:val="center"/>
              <w:rPr>
                <w:rFonts w:hint="eastAsia"/>
                <w:sz w:val="22"/>
              </w:rPr>
            </w:pPr>
            <w:r>
              <w:rPr>
                <w:rFonts w:hint="eastAsia"/>
                <w:sz w:val="22"/>
              </w:rPr>
              <w:t>79.27</w:t>
            </w:r>
          </w:p>
          <w:p>
            <w:pPr>
              <w:rPr>
                <w:rFonts w:ascii="宋体" w:cs="宋体" w:hint="eastAsia"/>
                <w:sz w:val="22"/>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560"/>
        <w:textAlignment w:val="auto"/>
        <w:rPr>
          <w:rFonts w:ascii="黑体" w:eastAsia="黑体" w:cs="Times New Roman" w:hAnsi="黑体" w:hint="eastAsia"/>
          <w:sz w:val="32"/>
          <w:szCs w:val="32"/>
          <w:lang w:bidi="ar-SA"/>
        </w:rPr>
      </w:pPr>
      <w:r>
        <w:rPr>
          <w:rFonts w:ascii="仿宋" w:eastAsia="仿宋" w:cs="Times New Roman" w:hAnsi="仿宋" w:hint="eastAsia"/>
          <w:color w:val="000000"/>
          <w:sz w:val="28"/>
          <w:szCs w:val="28"/>
          <w:lang w:bidi="ar-SA"/>
        </w:rPr>
        <w:t>说明：</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1</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bidi="ar-SA"/>
        </w:rPr>
        <w:t>房屋为0平方米，原因为供销社机关为借用场地办公。</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2</w:t>
      </w:r>
      <w:r>
        <w:rPr>
          <w:rFonts w:ascii="仿宋" w:eastAsia="仿宋" w:cs="Times New Roman" w:hAnsi="仿宋" w:hint="eastAsia"/>
          <w:color w:val="000000"/>
          <w:sz w:val="28"/>
          <w:szCs w:val="28"/>
          <w:lang w:eastAsia="zh-CN" w:bidi="ar-SA"/>
        </w:rPr>
        <w:t>）上述固定资产价值为固定资产原值，按照政府会计制度规定累计提取固定资产折旧后，上述固定资产净值为</w:t>
      </w:r>
      <w:r>
        <w:rPr>
          <w:rFonts w:ascii="仿宋" w:eastAsia="仿宋" w:cs="Times New Roman" w:hAnsi="仿宋" w:hint="eastAsia"/>
          <w:color w:val="000000"/>
          <w:sz w:val="28"/>
          <w:szCs w:val="28"/>
          <w:lang w:val="en-US" w:eastAsia="zh-CN" w:bidi="ar-SA"/>
        </w:rPr>
        <w:t>9.59</w:t>
      </w:r>
      <w:r>
        <w:rPr>
          <w:rFonts w:ascii="仿宋" w:eastAsia="仿宋" w:cs="Times New Roman" w:hAnsi="仿宋" w:hint="eastAsia"/>
          <w:color w:val="000000"/>
          <w:sz w:val="28"/>
          <w:szCs w:val="28"/>
          <w:lang w:eastAsia="zh-CN" w:bidi="ar-SA"/>
        </w:rPr>
        <w:t>万元，其中：车辆</w:t>
      </w:r>
      <w:r>
        <w:rPr>
          <w:rFonts w:ascii="仿宋" w:eastAsia="仿宋" w:cs="Times New Roman" w:hAnsi="仿宋" w:hint="eastAsia"/>
          <w:color w:val="000000"/>
          <w:sz w:val="28"/>
          <w:szCs w:val="28"/>
          <w:lang w:val="en-US" w:eastAsia="zh-CN" w:bidi="ar-SA"/>
        </w:rPr>
        <w:t>0万元、其他固定资产9.59万元。</w:t>
      </w: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八、名词解释</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1、一般</w:t>
      </w:r>
      <w:r>
        <w:rPr>
          <w:rFonts w:ascii="仿宋" w:eastAsia="仿宋" w:cs="Times New Roman" w:hAnsi="仿宋" w:hint="eastAsia"/>
          <w:sz w:val="28"/>
          <w:szCs w:val="28"/>
          <w:lang w:bidi="ar-SA"/>
        </w:rPr>
        <w:t>公</w:t>
      </w:r>
      <w:r>
        <w:rPr>
          <w:rFonts w:ascii="仿宋" w:eastAsia="仿宋" w:cs="Times New Roman" w:hAnsi="仿宋" w:hint="eastAsia"/>
          <w:sz w:val="28"/>
          <w:szCs w:val="28"/>
          <w:lang w:bidi="ar-SA"/>
        </w:rPr>
        <w:t>共预算拨款收入：指</w:t>
      </w:r>
      <w:r>
        <w:rPr>
          <w:rFonts w:ascii="仿宋" w:eastAsia="仿宋" w:cs="Times New Roman" w:hAnsi="仿宋" w:hint="eastAsia"/>
          <w:sz w:val="28"/>
          <w:szCs w:val="28"/>
          <w:lang w:bidi="ar-SA"/>
        </w:rPr>
        <w:t>市</w:t>
      </w:r>
      <w:r>
        <w:rPr>
          <w:rFonts w:ascii="仿宋" w:eastAsia="仿宋" w:cs="Times New Roman" w:hAnsi="仿宋" w:hint="eastAsia"/>
          <w:sz w:val="28"/>
          <w:szCs w:val="28"/>
          <w:lang w:bidi="ar-SA"/>
        </w:rPr>
        <w:t>级财政当年拨付的资金。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2、事业收入：指事业单位开展专业业务活动及辅助活动所取得的收入。</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3、其他收入：指除“</w:t>
      </w:r>
      <w:r>
        <w:rPr>
          <w:rFonts w:ascii="仿宋" w:eastAsia="仿宋" w:cs="Times New Roman" w:hAnsi="仿宋" w:hint="eastAsia"/>
          <w:sz w:val="28"/>
          <w:szCs w:val="28"/>
          <w:lang w:bidi="ar-SA"/>
        </w:rPr>
        <w:t>一般公共预算</w:t>
      </w:r>
      <w:r>
        <w:rPr>
          <w:rFonts w:ascii="仿宋" w:eastAsia="仿宋" w:cs="Times New Roman" w:hAnsi="仿宋" w:hint="eastAsia"/>
          <w:sz w:val="28"/>
          <w:szCs w:val="28"/>
          <w:lang w:bidi="ar-SA"/>
        </w:rPr>
        <w:t>拨款收入”、“事业收入”等以外的收入。主要是按规定动用的租房收入、存款利息收入等。</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4、基本支出：</w:t>
      </w:r>
      <w:r>
        <w:rPr>
          <w:rFonts w:ascii="仿宋" w:eastAsia="仿宋" w:cs="Times New Roman" w:hAnsi="仿宋" w:hint="eastAsia"/>
          <w:sz w:val="28"/>
          <w:szCs w:val="28"/>
          <w:lang w:bidi="ar-SA"/>
        </w:rPr>
        <w:t>指为保障机构正常运转、完成日常工作任务而发生的人员支出和公用支出。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5、项目支出：</w:t>
      </w:r>
      <w:r>
        <w:rPr>
          <w:rFonts w:ascii="仿宋" w:eastAsia="仿宋" w:cs="Times New Roman" w:hAnsi="仿宋" w:hint="eastAsia"/>
          <w:sz w:val="28"/>
          <w:szCs w:val="28"/>
          <w:lang w:bidi="ar-SA"/>
        </w:rPr>
        <w:t>指在基本支出之外为完成特定行政任务和事业发展目标所发生的支出。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6、上缴上级支出：</w:t>
      </w:r>
      <w:r>
        <w:rPr>
          <w:rFonts w:ascii="仿宋" w:eastAsia="仿宋" w:cs="Times New Roman" w:hAnsi="仿宋" w:hint="eastAsia"/>
          <w:sz w:val="28"/>
          <w:szCs w:val="28"/>
          <w:lang w:bidi="ar-SA"/>
        </w:rPr>
        <w:t>指下级单位上缴上级的支出。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7、“三公”经费：纳入省级财政预算管理的“三公”经费，是指省级部门用财政拨款安排的因公出国（境）费、公务用车购置及运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费和公务接待费。其中，因公出国（境）费反映单位公务出国（境）的住宿费、旅费、伙食补助费、杂费、培训费等支出；公务用车购置及运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8、机关运行费：</w:t>
      </w:r>
      <w:r>
        <w:rPr>
          <w:rFonts w:ascii="仿宋" w:eastAsia="仿宋" w:cs="Times New Roman" w:hAnsi="仿宋" w:hint="eastAsia"/>
          <w:sz w:val="28"/>
          <w:szCs w:val="28"/>
          <w:lang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hint="eastAsia"/>
          <w:sz w:val="28"/>
          <w:szCs w:val="28"/>
          <w:lang w:bidi="ar-SA"/>
        </w:rPr>
        <w:t>其他费用。</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9、上年结转：指以前年度尚未完成、结转到本年仍按原规定用途继续使用的资金。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10、事业单位经营支出：指事业单位在专业业务活动及其辅助活动之外开展非独立核算经营活动发生的支出。</w:t>
      </w:r>
    </w:p>
    <w:p>
      <w:pPr>
        <w:tabs>
          <w:tab w:val="left" w:pos="11490"/>
        </w:tabs>
        <w:spacing w:line="560" w:lineRule="exact"/>
        <w:ind w:firstLineChars="200" w:firstLine="640"/>
        <w:rPr>
          <w:rFonts w:ascii="仿宋" w:eastAsia="仿宋" w:cs="Times New Roman" w:hAnsi="仿宋" w:hint="eastAsia"/>
          <w:sz w:val="32"/>
          <w:szCs w:val="32"/>
          <w:lang w:bidi="ar-SA"/>
        </w:rPr>
      </w:pPr>
      <w:r>
        <w:rPr>
          <w:rFonts w:ascii="黑体" w:eastAsia="黑体" w:cs="Times New Roman" w:hAnsi="黑体" w:hint="eastAsia"/>
          <w:sz w:val="32"/>
          <w:szCs w:val="32"/>
          <w:lang w:bidi="ar-SA"/>
        </w:rPr>
        <w:t>九、其他需要说明的事项</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1、遵化市供销合作社20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年部门预算中未安排政府性基金预算，故政府性基金预算支出表为空。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2、遵化市供销合作社20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年部门预算中未安排国有资本经营预算，故国有资本经营预算支出表为空。</w:t>
      </w:r>
    </w:p>
    <w:sectPr>
      <w:headerReference w:type="default" r:id="rId3"/>
      <w:headerReference w:type="even" r:id="rId4"/>
      <w:headerReference w:type="first" r:id="rId5"/>
      <w:footerReference w:type="default" r:id="rId6"/>
      <w:footerReference w:type="even" r:id="rId7"/>
      <w:footerReference w:type="first" r:id="rId8"/>
      <w:pgSz w:w="16838" w:h="11906" w:orient="landscape"/>
      <w:pgMar w:top="1800" w:right="1440" w:bottom="1800"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76200" cy="131445"/>
              <wp:effectExtent l="0" t="0" r="0" b="0"/>
              <wp:wrapNone/>
              <wp:docPr id="3" name="文本框 3"/>
              <wp:cNvGraphicFramePr>
                <a:graphicFrameLocks noChangeAspect="0"/>
              </wp:cNvGraphicFramePr>
              <a:graphic>
                <a:graphicData uri="http://schemas.microsoft.com/office/word/2010/wordprocessingShape">
                  <wps:wsp>
                    <wps:cNvSpPr/>
                    <wps:spPr>
                      <a:xfrm rot="0">
                        <a:off x="0" y="0"/>
                        <a:ext cx="76200" cy="131445"/>
                      </a:xfrm>
                      <a:prstGeom prst="rect"/>
                      <a:noFill/>
                      <a:ln w="9525" cmpd="sng" cap="flat">
                        <a:noFill/>
                        <a:prstDash val="solid"/>
                        <a:miter/>
                      </a:ln>
                    </wps:spPr>
                    <wps:txbx id="1">
                      <w:txbxContent>
                        <w:p>
                          <w:pPr>
                            <w:pStyle w:val="23"/>
                            <w:tabs>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3" o:spid="_x0000_s2" filled="f" stroked="f" style="position:absolute;margin-left:0.0pt;margin-top:0.0pt;width:6.0pt;height:10.35pt;z-index:15;mso-position-horizontal:center;mso-position-horizontal-relative:margin;mso-position-vertical:absolute;mso-wrap-style:none;">
              <v:stroke color="#000000"/>
              <v:textbox id="849" inset="0mm,0mm,0mm,0mm" o:insetmode="custom" style="layout-flow:horizontal;v-text-anchor:top;mso-fit-shape-to-text:t;">
                <w:txbxContent>
                  <w:p>
                    <w:pPr>
                      <w:pStyle w:val="23"/>
                      <w:tabs>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110058" cy="131433"/>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10058" cy="131433"/>
                      </a:xfrm>
                      <a:prstGeom prst="rect"/>
                      <a:noFill/>
                      <a:ln w="9525" cmpd="sng" cap="flat">
                        <a:noFill/>
                        <a:prstDash val="solid"/>
                        <a:miter/>
                      </a:ln>
                    </wps:spPr>
                    <wps:txbx id="3">
                      <w:txbxContent>
                        <w:p>
                          <w:pPr>
                            <w:pStyle w:val="23"/>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o:spid="_x0000_s4" filled="f" stroked="f" style="position:absolute;margin-left:0.0pt;margin-top:0.0pt;width:8.666015pt;height:10.349121pt;z-index:13;mso-position-horizontal:center;mso-position-horizontal-relative:margin;mso-position-vertical:absolute;mso-wrap-style:none;">
              <v:stroke color="#000000"/>
              <v:textbox id="848" inset="0mm,0mm,0mm,0mm" o:insetmode="custom" style="layout-flow:horizontal;v-text-anchor:top;mso-fit-shape-to-text:t;">
                <w:txbxContent>
                  <w:p>
                    <w:pPr>
                      <w:pStyle w:val="23"/>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黑体"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黑体"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黑体"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黑体" w:hAnsi="宋体"/>
      <w:b/>
      <w:bCs/>
      <w:kern w:val="2"/>
      <w:sz w:val="32"/>
      <w:szCs w:val="32"/>
      <w:lang w:val="en-US" w:eastAsia="zh-CN" w:bidi="ar-SA"/>
    </w:rPr>
  </w:style>
  <w:style w:type="character" w:default="1" w:styleId="10">
    <w:name w:val="Default Paragraph Font"/>
    <w:qFormat/>
  </w:style>
  <w:style w:type="character" w:styleId="15">
    <w:name w:val="footnote reference"/>
    <w:qFormat/>
    <w:basedOn w:val="10"/>
    <w:rPr>
      <w:vertAlign w:val="superscript"/>
    </w:rPr>
  </w:style>
  <w:style w:type="character" w:customStyle="1" w:styleId="16">
    <w:name w:val="Header Char"/>
    <w:qFormat/>
    <w:basedOn w:val="10"/>
    <w:locked/>
    <w:rPr>
      <w:rFonts w:ascii="Times New Roman" w:eastAsia="宋体" w:cs="Times New Roman" w:hAnsi="宋体"/>
      <w:sz w:val="18"/>
      <w:szCs w:val="18"/>
      <w:lang w:bidi="ar-SA"/>
    </w:rPr>
  </w:style>
  <w:style w:type="character" w:styleId="17">
    <w:name w:val="page number"/>
    <w:qFormat/>
    <w:basedOn w:val="10"/>
  </w:style>
  <w:style w:type="character" w:customStyle="1" w:styleId="18">
    <w:name w:val="Footer Char"/>
    <w:qFormat/>
    <w:basedOn w:val="10"/>
    <w:locked/>
    <w:rPr>
      <w:rFonts w:ascii="Times New Roman" w:eastAsia="宋体" w:cs="Times New Roman" w:hAnsi="宋体"/>
      <w:sz w:val="18"/>
      <w:szCs w:val="18"/>
      <w:lang w:bidi="ar-SA"/>
    </w:rPr>
  </w:style>
  <w:style w:type="character" w:customStyle="1" w:styleId="19">
    <w:name w:val="Balloon Text Char"/>
    <w:qFormat/>
    <w:basedOn w:val="10"/>
    <w:locked/>
    <w:rPr>
      <w:rFonts w:cs="Times New Roman"/>
      <w:sz w:val="18"/>
      <w:szCs w:val="18"/>
      <w:lang w:bidi="ar-SA"/>
    </w:rPr>
  </w:style>
  <w:style w:type="paragraph" w:styleId="20">
    <w:name w:val="Balloon Text"/>
    <w:qFormat/>
    <w:basedOn w:val="0"/>
    <w:rPr>
      <w:sz w:val="18"/>
      <w:szCs w:val="18"/>
    </w:rPr>
  </w:style>
  <w:style w:type="paragraph" w:styleId="21">
    <w:name w:val="footnote text"/>
    <w:qFormat/>
    <w:basedOn w:val="0"/>
    <w:pPr>
      <w:snapToGrid w:val="0"/>
      <w:jc w:val="left"/>
    </w:pPr>
    <w:rPr>
      <w:rFonts w:cs="Times New Roman"/>
      <w:sz w:val="18"/>
      <w:szCs w:val="18"/>
      <w:lang w:bidi="ar-SA"/>
    </w:rPr>
  </w:style>
  <w:style w:type="paragraph" w:styleId="22">
    <w:name w:val="toc 2"/>
    <w:qFormat/>
    <w:basedOn w:val="0"/>
    <w:next w:val="0"/>
    <w:pPr>
      <w:ind w:leftChars="200" w:left="200"/>
    </w:pPr>
    <w:rPr>
      <w:rFonts w:ascii="Times New Roman" w:eastAsia="宋体" w:cs="Times New Roman" w:hAnsi="宋体"/>
      <w:szCs w:val="24"/>
      <w:lang w:bidi="ar-SA"/>
    </w:rPr>
  </w:style>
  <w:style w:type="paragraph" w:styleId="23">
    <w:name w:val="footer"/>
    <w:qFormat/>
    <w:basedOn w:val="0"/>
    <w:pPr>
      <w:tabs>
        <w:tab w:val="center" w:pos="4153"/>
        <w:tab w:val="right" w:pos="8306"/>
      </w:tabs>
      <w:snapToGrid w:val="0"/>
      <w:jc w:val="left"/>
    </w:pPr>
    <w:rPr>
      <w:rFonts w:ascii="Times New Roman" w:eastAsia="宋体" w:cs="Times New Roman" w:hAnsi="宋体"/>
      <w:sz w:val="18"/>
      <w:szCs w:val="18"/>
      <w:lang w:bidi="ar-SA"/>
    </w:rPr>
  </w:style>
  <w:style w:type="paragraph" w:styleId="24">
    <w:name w:val="toc 1"/>
    <w:qFormat/>
    <w:basedOn w:val="0"/>
    <w:next w:val="0"/>
    <w:rPr>
      <w:rFonts w:ascii="Times New Roman" w:eastAsia="宋体" w:cs="Times New Roman" w:hAnsi="宋体"/>
      <w:szCs w:val="24"/>
      <w:lang w:bidi="ar-SA"/>
    </w:rPr>
  </w:style>
  <w:style w:type="paragraph" w:styleId="25">
    <w:name w:val="header"/>
    <w:qFormat/>
    <w:basedOn w:val="0"/>
    <w:pPr>
      <w:pBdr>
        <w:bottom w:val="single" w:sz="6" w:space="1" w:color="auto"/>
      </w:pBdr>
      <w:tabs>
        <w:tab w:val="center" w:pos="4153"/>
        <w:tab w:val="right" w:pos="8306"/>
      </w:tabs>
      <w:snapToGrid w:val="0"/>
      <w:jc w:val="center"/>
    </w:pPr>
    <w:rPr>
      <w:rFonts w:ascii="Times New Roman" w:eastAsia="宋体" w:cs="Times New Roman" w:hAnsi="宋体"/>
      <w:sz w:val="18"/>
      <w:szCs w:val="18"/>
      <w:bdr w:val="none" w:sz="0" w:space="0" w:color="auto"/>
      <w:lang w:bidi="ar-SA"/>
    </w:rPr>
  </w:style>
  <w:style w:type="paragraph" w:customStyle="1" w:styleId="26">
    <w:name w:val="Default"/>
    <w:qFormat/>
    <w:pPr>
      <w:widowControl w:val="0"/>
      <w:autoSpaceDE w:val="0"/>
      <w:autoSpaceDN w:val="0"/>
      <w:adjustRightInd w:val="0"/>
    </w:pPr>
    <w:rPr>
      <w:rFonts w:ascii="Calibri" w:eastAsia="宋体" w:cs="Times New Roman" w:hAnsi="宋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86CF1C5A-1C6D-49C8-959F-2F3EA497FC4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14188504</TotalTime>
  <Application>Yozo_Office27021597764231189</Application>
  <Pages>9</Pages>
  <Words>0</Words>
  <Characters>6696</Characters>
  <Lines>0</Lines>
  <Paragraphs>87</Paragraphs>
  <CharactersWithSpaces>8928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user</dc:title>
  <dc:creator>guest</dc:creator>
  <cp:lastModifiedBy>Administrator</cp:lastModifiedBy>
  <cp:revision>7</cp:revision>
  <cp:lastPrinted>2020-03-19T04:46:00Z</cp:lastPrinted>
  <dcterms:created xsi:type="dcterms:W3CDTF">2018-01-29T01:48:00Z</dcterms:created>
  <dcterms:modified xsi:type="dcterms:W3CDTF">2024-08-23T05:40:48Z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2052-11.1.0.9513</vt:lpwstr>
  </property>
</Properties>
</file>