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spacing w:line="560" w:lineRule="exact"/>
        <w:ind w:firstLineChars="200" w:firstLine="880"/>
        <w:jc w:val="center"/>
        <w:rPr>
          <w:rFonts w:ascii="宋体" w:cs="Times New Roman" w:hint="eastAsia"/>
          <w:b/>
          <w:sz w:val="44"/>
          <w:szCs w:val="44"/>
          <w:lang w:bidi="ar-SA"/>
        </w:rPr>
      </w:pPr>
      <w:bookmarkStart w:id="0" w:name="_GoBack"/>
      <w:bookmarkEnd w:id="0"/>
      <w:r>
        <w:rPr>
          <w:rFonts w:ascii="宋体" w:cs="Times New Roman" w:hint="eastAsia"/>
          <w:b/>
          <w:sz w:val="44"/>
          <w:szCs w:val="44"/>
          <w:lang w:bidi="ar-SA"/>
        </w:rPr>
        <w:t>遵化市供销合作社</w:t>
      </w:r>
      <w:r>
        <w:rPr>
          <w:rFonts w:ascii="宋体" w:cs="Times New Roman" w:hint="eastAsia"/>
          <w:b/>
          <w:sz w:val="44"/>
          <w:szCs w:val="44"/>
          <w:lang w:bidi="ar-SA"/>
        </w:rPr>
        <w:t>20</w:t>
      </w:r>
      <w:r>
        <w:rPr>
          <w:rFonts w:ascii="宋体" w:cs="Times New Roman" w:hint="eastAsia"/>
          <w:b/>
          <w:sz w:val="44"/>
          <w:szCs w:val="44"/>
          <w:lang w:val="en-US" w:eastAsia="zh-CN" w:bidi="ar-SA"/>
        </w:rPr>
        <w:t>2</w:t>
      </w:r>
      <w:r>
        <w:rPr>
          <w:rFonts w:ascii="宋体" w:cs="Times New Roman" w:hint="eastAsia"/>
          <w:b/>
          <w:sz w:val="44"/>
          <w:szCs w:val="44"/>
          <w:lang w:val="en-US" w:eastAsia="zh-CN" w:bidi="ar-SA"/>
        </w:rPr>
        <w:t>1</w:t>
      </w:r>
      <w:r>
        <w:rPr>
          <w:rFonts w:ascii="宋体" w:cs="Times New Roman" w:hint="eastAsia"/>
          <w:b/>
          <w:sz w:val="44"/>
          <w:szCs w:val="44"/>
          <w:lang w:bidi="ar-SA"/>
        </w:rPr>
        <w:t>年</w:t>
      </w:r>
      <w:r>
        <w:rPr>
          <w:rFonts w:ascii="宋体" w:cs="Times New Roman" w:hint="eastAsia"/>
          <w:b/>
          <w:sz w:val="44"/>
          <w:szCs w:val="44"/>
          <w:lang w:bidi="ar-SA"/>
        </w:rPr>
        <w:t>单位</w:t>
      </w:r>
      <w:r>
        <w:rPr>
          <w:rFonts w:ascii="宋体" w:cs="Times New Roman" w:hint="eastAsia"/>
          <w:b/>
          <w:sz w:val="44"/>
          <w:szCs w:val="44"/>
          <w:lang w:bidi="ar-SA"/>
        </w:rPr>
        <w:t>预算信息公开</w:t>
      </w:r>
    </w:p>
    <w:p>
      <w:pPr>
        <w:spacing w:line="560" w:lineRule="exact"/>
        <w:ind w:firstLineChars="200" w:firstLine="640"/>
        <w:rPr>
          <w:rFonts w:ascii="仿宋" w:eastAsia="仿宋" w:cs="Times New Roman" w:hAnsi="仿宋" w:hint="eastAsia"/>
          <w:sz w:val="32"/>
          <w:szCs w:val="32"/>
          <w:lang w:bidi="ar-SA"/>
        </w:rPr>
      </w:pP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按照</w:t>
      </w:r>
      <w:r>
        <w:rPr>
          <w:rFonts w:ascii="仿宋" w:eastAsia="仿宋" w:cs="Times New Roman" w:hAnsi="仿宋" w:hint="eastAsia"/>
          <w:sz w:val="28"/>
          <w:szCs w:val="28"/>
          <w:lang w:bidi="ar-SA"/>
        </w:rPr>
        <w:t>《</w:t>
      </w:r>
      <w:r>
        <w:rPr>
          <w:rFonts w:ascii="仿宋" w:eastAsia="仿宋" w:cs="Times New Roman" w:hAnsi="仿宋" w:hint="eastAsia"/>
          <w:sz w:val="28"/>
          <w:szCs w:val="28"/>
          <w:lang w:bidi="ar-SA"/>
        </w:rPr>
        <w:t>中华人民共和国</w:t>
      </w:r>
      <w:r>
        <w:rPr>
          <w:rFonts w:ascii="仿宋" w:eastAsia="仿宋" w:cs="Times New Roman" w:hAnsi="仿宋" w:hint="eastAsia"/>
          <w:sz w:val="28"/>
          <w:szCs w:val="28"/>
          <w:lang w:bidi="ar-SA"/>
        </w:rPr>
        <w:t>预算法》、</w:t>
      </w:r>
      <w:r>
        <w:rPr>
          <w:rFonts w:ascii="仿宋" w:eastAsia="仿宋" w:cs="Times New Roman" w:hAnsi="仿宋" w:hint="eastAsia"/>
          <w:sz w:val="28"/>
          <w:szCs w:val="28"/>
          <w:lang w:bidi="ar-SA"/>
        </w:rPr>
        <w:t>《地方预决算公开操作规程》和《河北省省级预算公开办法》</w:t>
      </w:r>
      <w:r>
        <w:rPr>
          <w:rFonts w:ascii="仿宋" w:eastAsia="仿宋" w:cs="Times New Roman" w:hAnsi="仿宋" w:hint="eastAsia"/>
          <w:sz w:val="28"/>
          <w:szCs w:val="28"/>
          <w:lang w:bidi="ar-SA"/>
        </w:rPr>
        <w:t>规定</w:t>
      </w:r>
      <w:r>
        <w:rPr>
          <w:rFonts w:ascii="仿宋" w:eastAsia="仿宋" w:cs="Times New Roman" w:hAnsi="仿宋" w:hint="eastAsia"/>
          <w:sz w:val="28"/>
          <w:szCs w:val="28"/>
          <w:lang w:bidi="ar-SA"/>
        </w:rPr>
        <w:t>，现将</w:t>
      </w:r>
      <w:r>
        <w:rPr>
          <w:rFonts w:ascii="仿宋" w:eastAsia="仿宋" w:cs="Times New Roman" w:hAnsi="仿宋" w:hint="eastAsia"/>
          <w:sz w:val="28"/>
          <w:szCs w:val="28"/>
          <w:lang w:bidi="ar-SA"/>
        </w:rPr>
        <w:t>遵化市供销合作社</w:t>
      </w:r>
      <w:r>
        <w:rPr>
          <w:rFonts w:ascii="仿宋" w:eastAsia="仿宋" w:cs="Times New Roman" w:hAnsi="仿宋" w:hint="eastAsia"/>
          <w:sz w:val="28"/>
          <w:szCs w:val="28"/>
          <w:lang w:bidi="ar-SA"/>
        </w:rPr>
        <w:t>20</w:t>
      </w:r>
      <w:r>
        <w:rPr>
          <w:rFonts w:ascii="仿宋" w:eastAsia="仿宋" w:cs="Times New Roman" w:hAnsi="仿宋" w:hint="eastAsia"/>
          <w:sz w:val="28"/>
          <w:szCs w:val="28"/>
          <w:lang w:val="en-US" w:eastAsia="zh-CN" w:bidi="ar-SA"/>
        </w:rPr>
        <w:t>21</w:t>
      </w:r>
      <w:r>
        <w:rPr>
          <w:rFonts w:ascii="仿宋" w:eastAsia="仿宋" w:cs="Times New Roman" w:hAnsi="仿宋" w:hint="eastAsia"/>
          <w:sz w:val="28"/>
          <w:szCs w:val="28"/>
          <w:lang w:bidi="ar-SA"/>
        </w:rPr>
        <w:t>年</w:t>
      </w:r>
      <w:r>
        <w:rPr>
          <w:rFonts w:ascii="仿宋" w:eastAsia="仿宋" w:cs="Times New Roman" w:hAnsi="仿宋" w:hint="eastAsia"/>
          <w:sz w:val="28"/>
          <w:szCs w:val="28"/>
          <w:lang w:bidi="ar-SA"/>
        </w:rPr>
        <w:t>单位</w:t>
      </w:r>
      <w:r>
        <w:rPr>
          <w:rFonts w:ascii="仿宋" w:eastAsia="仿宋" w:cs="Times New Roman" w:hAnsi="仿宋" w:hint="eastAsia"/>
          <w:sz w:val="28"/>
          <w:szCs w:val="28"/>
          <w:lang w:bidi="ar-SA"/>
        </w:rPr>
        <w:t>预算公开如下：</w:t>
      </w:r>
    </w:p>
    <w:p>
      <w:pPr>
        <w:spacing w:line="560" w:lineRule="exact"/>
        <w:ind w:firstLine="640"/>
        <w:rPr>
          <w:rFonts w:ascii="黑体" w:eastAsia="黑体" w:cs="Times New Roman" w:hAnsi="黑体" w:hint="eastAsia"/>
          <w:sz w:val="32"/>
          <w:szCs w:val="32"/>
          <w:lang w:bidi="ar-SA"/>
        </w:rPr>
      </w:pPr>
      <w:r>
        <w:rPr>
          <w:rFonts w:ascii="黑体" w:eastAsia="黑体" w:cs="Times New Roman" w:hAnsi="黑体" w:hint="eastAsia"/>
          <w:sz w:val="32"/>
          <w:szCs w:val="32"/>
          <w:lang w:bidi="ar-SA"/>
        </w:rPr>
        <w:t>一、</w:t>
      </w:r>
      <w:r>
        <w:rPr>
          <w:rFonts w:ascii="黑体" w:eastAsia="黑体" w:cs="Times New Roman" w:hAnsi="黑体" w:hint="eastAsia"/>
          <w:sz w:val="32"/>
          <w:szCs w:val="32"/>
          <w:lang w:bidi="ar-SA"/>
        </w:rPr>
        <w:t>单位</w:t>
      </w:r>
      <w:r>
        <w:rPr>
          <w:rFonts w:ascii="黑体" w:eastAsia="黑体" w:cs="Times New Roman" w:hAnsi="黑体" w:hint="eastAsia"/>
          <w:sz w:val="32"/>
          <w:szCs w:val="32"/>
          <w:lang w:bidi="ar-SA"/>
        </w:rPr>
        <w:t>职责及机构设置情况</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单位</w:t>
      </w:r>
      <w:r>
        <w:rPr>
          <w:rFonts w:ascii="仿宋" w:eastAsia="仿宋" w:cs="Times New Roman" w:hAnsi="仿宋" w:hint="eastAsia"/>
          <w:b/>
          <w:sz w:val="28"/>
          <w:szCs w:val="28"/>
          <w:lang w:bidi="ar-SA"/>
        </w:rPr>
        <w:t>职责：</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（一）根据《中共遵化市委遵化市人民政府关于大力推进供销合作社改革与发展的实施意见》</w:t>
      </w:r>
      <w:r>
        <w:rPr>
          <w:rFonts w:ascii="仿宋" w:eastAsia="仿宋" w:cs="Times New Roman" w:hAnsi="仿宋" w:hint="eastAsia"/>
          <w:sz w:val="28"/>
          <w:szCs w:val="28"/>
          <w:lang w:eastAsia="zh-CN" w:bidi="ar-SA"/>
        </w:rPr>
        <w:t>（</w:t>
      </w:r>
      <w:r>
        <w:rPr>
          <w:rFonts w:ascii="仿宋" w:eastAsia="仿宋" w:cs="Times New Roman" w:hAnsi="仿宋" w:hint="eastAsia"/>
          <w:sz w:val="28"/>
          <w:szCs w:val="28"/>
          <w:lang w:val="en-US" w:eastAsia="zh-CN" w:bidi="ar-SA"/>
        </w:rPr>
        <w:t>遵字[2007]7号）</w:t>
      </w:r>
      <w:r>
        <w:rPr>
          <w:rFonts w:ascii="仿宋" w:eastAsia="仿宋" w:cs="Times New Roman" w:hAnsi="仿宋" w:hint="eastAsia"/>
          <w:sz w:val="28"/>
          <w:szCs w:val="28"/>
          <w:lang w:bidi="ar-SA"/>
        </w:rPr>
        <w:t xml:space="preserve">等有关文件，本单位主要职责是：   </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1.承担全市农村流通服务网络体系建设，组建企业经营集团，以多元投资模式发展配送中心，开展农业生产资料、农产品、再生资源回收利用、日用工业品的新型连锁经营。</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2.统领全市农村合作经济组织建设，进行统一组织、协调、指导、考核和管理，负责制定、落实农村合作经济组织发展规划。积极发展和吸纳各类农村合作经济组织，提高农民组织化程度，参与和推动有关农村经济和农村合作经济组织政策的制定，促进全市合作经济的发展。</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3.承担村镇社区综合服务中心的建设，延伸服务网络，大力发展村级综合服务站，完善农村综合服务体系。</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4.承担农资、食盐等物资的储备供应工作。</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5.组织和指导全系统企业改革，承担对改制企业的监督、管理和服务的职能。负责和指导全系统供销社企业的财务、会计、审计、统计工作，负责管理运营本级社资产。</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val="en-US" w:eastAsia="zh-CN" w:bidi="ar-SA"/>
        </w:rPr>
        <w:t>6</w:t>
      </w:r>
      <w:r>
        <w:rPr>
          <w:rFonts w:ascii="仿宋" w:eastAsia="仿宋" w:cs="Times New Roman" w:hAnsi="仿宋" w:hint="eastAsia"/>
          <w:sz w:val="28"/>
          <w:szCs w:val="28"/>
          <w:lang w:bidi="ar-SA"/>
        </w:rPr>
        <w:t>.对全系统所属企业行使出资人职能，负责企业党建、廉政建设，按干部管理权限考察任免干部。依法享有所有者的资产收益、重大问题决策和选择管理者的权力。</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机构设置：</w:t>
      </w:r>
    </w:p>
    <w:p>
      <w:pPr>
        <w:spacing w:line="560" w:lineRule="exact"/>
        <w:ind w:firstLineChars="200" w:firstLine="640"/>
        <w:jc w:val="center"/>
        <w:rPr>
          <w:rFonts w:ascii="仿宋" w:eastAsia="仿宋" w:cs="Times New Roman" w:hAnsi="仿宋" w:hint="eastAsia"/>
          <w:sz w:val="32"/>
          <w:szCs w:val="32"/>
          <w:lang w:bidi="ar-SA"/>
        </w:rPr>
      </w:pPr>
      <w:r>
        <w:rPr>
          <w:rFonts w:ascii="仿宋" w:eastAsia="仿宋" w:cs="Times New Roman" w:hAnsi="仿宋" w:hint="eastAsia"/>
          <w:b/>
          <w:sz w:val="32"/>
          <w:szCs w:val="32"/>
          <w:lang w:bidi="ar-SA"/>
        </w:rPr>
        <w:t>单位</w:t>
      </w:r>
      <w:r>
        <w:rPr>
          <w:rFonts w:ascii="仿宋" w:eastAsia="仿宋" w:cs="Times New Roman" w:hAnsi="仿宋" w:hint="eastAsia"/>
          <w:b/>
          <w:sz w:val="32"/>
          <w:szCs w:val="32"/>
          <w:lang w:bidi="ar-SA"/>
        </w:rPr>
        <w:t>机构设置情况</w:t>
      </w:r>
    </w:p>
    <w:tbl>
      <w:tblPr>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717"/>
        <w:gridCol w:w="2286"/>
        <w:gridCol w:w="2857"/>
        <w:gridCol w:w="3200"/>
      </w:tblGrid>
      <w:tr>
        <w:trPr>
          <w:trHeight w:hRule="exact" w:val="312"/>
          <w:tblHeader/>
        </w:trPr>
        <w:tc>
          <w:tcPr>
            <w:tcW w:w="5717" w:type="dxa"/>
            <w:vMerge w:val="restart"/>
            <w:tcBorders>
              <w:tl2br w:val="nil"/>
              <w:tr2bl w:val="nil"/>
            </w:tcBorders>
            <w:vAlign w:val="center"/>
          </w:tcPr>
          <w:p>
            <w:pPr>
              <w:spacing w:line="560" w:lineRule="exact"/>
              <w:jc w:val="center"/>
              <w:rPr>
                <w:rFonts w:ascii="仿宋" w:eastAsia="仿宋" w:cs="Times New Roman" w:hAnsi="仿宋" w:hint="eastAsia"/>
                <w:b/>
                <w:sz w:val="32"/>
                <w:szCs w:val="32"/>
                <w:lang w:bidi="ar-SA"/>
              </w:rPr>
            </w:pPr>
            <w:r>
              <w:rPr>
                <w:rFonts w:ascii="仿宋" w:eastAsia="仿宋" w:cs="Times New Roman" w:hAnsi="仿宋" w:hint="eastAsia"/>
                <w:b/>
                <w:sz w:val="32"/>
                <w:szCs w:val="32"/>
                <w:lang w:bidi="ar-SA"/>
              </w:rPr>
              <w:t>单位名称</w:t>
            </w:r>
          </w:p>
        </w:tc>
        <w:tc>
          <w:tcPr>
            <w:tcW w:w="2286" w:type="dxa"/>
            <w:vMerge w:val="restart"/>
            <w:tcBorders>
              <w:tl2br w:val="nil"/>
              <w:tr2bl w:val="nil"/>
            </w:tcBorders>
            <w:vAlign w:val="center"/>
          </w:tcPr>
          <w:p>
            <w:pPr>
              <w:spacing w:line="560" w:lineRule="exact"/>
              <w:jc w:val="center"/>
              <w:rPr>
                <w:rFonts w:ascii="仿宋" w:eastAsia="仿宋" w:cs="Times New Roman" w:hAnsi="仿宋" w:hint="eastAsia"/>
                <w:b/>
                <w:sz w:val="32"/>
                <w:szCs w:val="32"/>
                <w:lang w:bidi="ar-SA"/>
              </w:rPr>
            </w:pPr>
            <w:r>
              <w:rPr>
                <w:rFonts w:ascii="仿宋" w:eastAsia="仿宋" w:cs="Times New Roman" w:hAnsi="仿宋" w:hint="eastAsia"/>
                <w:b/>
                <w:sz w:val="32"/>
                <w:szCs w:val="32"/>
                <w:lang w:bidi="ar-SA"/>
              </w:rPr>
              <w:t>单位性质</w:t>
            </w:r>
          </w:p>
        </w:tc>
        <w:tc>
          <w:tcPr>
            <w:tcW w:w="2857" w:type="dxa"/>
            <w:vMerge w:val="restart"/>
            <w:tcBorders>
              <w:tl2br w:val="nil"/>
              <w:tr2bl w:val="nil"/>
            </w:tcBorders>
            <w:vAlign w:val="center"/>
          </w:tcPr>
          <w:p>
            <w:pPr>
              <w:spacing w:line="560" w:lineRule="exact"/>
              <w:jc w:val="center"/>
              <w:rPr>
                <w:rFonts w:ascii="仿宋" w:eastAsia="仿宋" w:cs="Times New Roman" w:hAnsi="仿宋" w:hint="eastAsia"/>
                <w:b/>
                <w:sz w:val="32"/>
                <w:szCs w:val="32"/>
                <w:lang w:bidi="ar-SA"/>
              </w:rPr>
            </w:pPr>
            <w:r>
              <w:rPr>
                <w:rFonts w:ascii="仿宋" w:eastAsia="仿宋" w:cs="Times New Roman" w:hAnsi="仿宋" w:hint="eastAsia"/>
                <w:b/>
                <w:sz w:val="32"/>
                <w:szCs w:val="32"/>
                <w:lang w:bidi="ar-SA"/>
              </w:rPr>
              <w:t>单位规格</w:t>
            </w:r>
          </w:p>
        </w:tc>
        <w:tc>
          <w:tcPr>
            <w:tcW w:w="3200" w:type="dxa"/>
            <w:vMerge w:val="restart"/>
            <w:tcBorders>
              <w:tl2br w:val="nil"/>
              <w:tr2bl w:val="nil"/>
            </w:tcBorders>
            <w:vAlign w:val="center"/>
          </w:tcPr>
          <w:p>
            <w:pPr>
              <w:spacing w:line="560" w:lineRule="exact"/>
              <w:jc w:val="center"/>
              <w:rPr>
                <w:rFonts w:ascii="仿宋" w:eastAsia="仿宋" w:cs="Times New Roman" w:hAnsi="仿宋" w:hint="eastAsia"/>
                <w:b/>
                <w:sz w:val="32"/>
                <w:szCs w:val="32"/>
                <w:lang w:bidi="ar-SA"/>
              </w:rPr>
            </w:pPr>
            <w:r>
              <w:rPr>
                <w:rFonts w:ascii="仿宋" w:eastAsia="仿宋" w:cs="Times New Roman" w:hAnsi="仿宋" w:hint="eastAsia"/>
                <w:b/>
                <w:sz w:val="32"/>
                <w:szCs w:val="32"/>
                <w:lang w:bidi="ar-SA"/>
              </w:rPr>
              <w:t>经费保障形式</w:t>
            </w:r>
          </w:p>
        </w:tc>
      </w:tr>
      <w:tr>
        <w:trPr>
          <w:trHeight w:hRule="exact" w:val="356"/>
          <w:tblHeader/>
        </w:trPr>
        <w:tc>
          <w:tcPr>
            <w:tcW w:w="5717" w:type="dxa"/>
            <w:vMerge/>
            <w:tcBorders>
              <w:tl2br w:val="nil"/>
              <w:tr2bl w:val="nil"/>
            </w:tcBorders>
            <w:vAlign w:val="center"/>
          </w:tcPr>
          <w:p/>
        </w:tc>
        <w:tc>
          <w:tcPr>
            <w:tcW w:w="2286" w:type="dxa"/>
            <w:vMerge/>
            <w:tcBorders>
              <w:tl2br w:val="nil"/>
              <w:tr2bl w:val="nil"/>
            </w:tcBorders>
            <w:vAlign w:val="center"/>
          </w:tcPr>
          <w:p/>
        </w:tc>
        <w:tc>
          <w:tcPr>
            <w:tcW w:w="2857" w:type="dxa"/>
            <w:vMerge/>
            <w:tcBorders>
              <w:tl2br w:val="nil"/>
              <w:tr2bl w:val="nil"/>
            </w:tcBorders>
            <w:vAlign w:val="center"/>
          </w:tcPr>
          <w:p/>
        </w:tc>
        <w:tc>
          <w:tcPr>
            <w:tcW w:w="3200" w:type="dxa"/>
            <w:vMerge/>
            <w:tcBorders>
              <w:tl2br w:val="nil"/>
              <w:tr2bl w:val="nil"/>
            </w:tcBorders>
            <w:vAlign w:val="center"/>
          </w:tcPr>
          <w:p/>
        </w:tc>
      </w:tr>
      <w:tr>
        <w:trPr>
          <w:trHeight w:hRule="exact" w:val="626"/>
        </w:trPr>
        <w:tc>
          <w:tcPr>
            <w:tcW w:w="5717" w:type="dxa"/>
            <w:tcBorders>
              <w:tl2br w:val="nil"/>
              <w:tr2bl w:val="nil"/>
            </w:tcBorders>
            <w:vAlign w:val="center"/>
          </w:tcPr>
          <w:p>
            <w:pPr>
              <w:spacing w:line="560" w:lineRule="exact"/>
              <w:jc w:val="center"/>
              <w:rPr>
                <w:rFonts w:ascii="仿宋" w:eastAsia="仿宋" w:cs="Times New Roman" w:hAnsi="仿宋" w:hint="eastAsia"/>
                <w:sz w:val="28"/>
                <w:szCs w:val="28"/>
                <w:lang w:bidi="ar-SA"/>
              </w:rPr>
            </w:pPr>
            <w:r>
              <w:rPr>
                <w:rFonts w:ascii="仿宋" w:eastAsia="仿宋" w:cs="Times New Roman" w:hAnsi="仿宋" w:hint="eastAsia"/>
                <w:sz w:val="28"/>
                <w:szCs w:val="28"/>
                <w:lang w:bidi="ar-SA"/>
              </w:rPr>
              <w:t>遵化市供销合作社机关</w:t>
            </w:r>
          </w:p>
        </w:tc>
        <w:tc>
          <w:tcPr>
            <w:tcW w:w="2286" w:type="dxa"/>
            <w:tcBorders>
              <w:tl2br w:val="nil"/>
              <w:tr2bl w:val="nil"/>
            </w:tcBorders>
            <w:vAlign w:val="center"/>
          </w:tcPr>
          <w:p>
            <w:pPr>
              <w:spacing w:line="560" w:lineRule="exact"/>
              <w:jc w:val="center"/>
              <w:rPr>
                <w:rFonts w:ascii="仿宋" w:eastAsia="仿宋" w:cs="Times New Roman" w:hAnsi="仿宋" w:hint="eastAsia"/>
                <w:sz w:val="28"/>
                <w:szCs w:val="28"/>
                <w:lang w:bidi="ar-SA"/>
              </w:rPr>
            </w:pPr>
            <w:r>
              <w:rPr>
                <w:rFonts w:ascii="仿宋" w:eastAsia="仿宋" w:cs="Times New Roman" w:hAnsi="仿宋" w:hint="eastAsia"/>
                <w:sz w:val="28"/>
                <w:szCs w:val="28"/>
                <w:lang w:bidi="ar-SA"/>
              </w:rPr>
              <w:t>事业</w:t>
            </w:r>
          </w:p>
        </w:tc>
        <w:tc>
          <w:tcPr>
            <w:tcW w:w="2857" w:type="dxa"/>
            <w:tcBorders>
              <w:tl2br w:val="nil"/>
              <w:tr2bl w:val="nil"/>
            </w:tcBorders>
            <w:vAlign w:val="center"/>
          </w:tcPr>
          <w:p>
            <w:pPr>
              <w:spacing w:line="560" w:lineRule="exact"/>
              <w:jc w:val="center"/>
              <w:rPr>
                <w:rFonts w:ascii="仿宋" w:eastAsia="仿宋" w:cs="Times New Roman" w:hAnsi="仿宋" w:hint="eastAsia"/>
                <w:sz w:val="28"/>
                <w:szCs w:val="28"/>
                <w:lang w:bidi="ar-SA"/>
              </w:rPr>
            </w:pPr>
            <w:r>
              <w:rPr>
                <w:rFonts w:ascii="仿宋" w:eastAsia="仿宋" w:cs="Times New Roman" w:hAnsi="仿宋" w:hint="eastAsia"/>
                <w:sz w:val="28"/>
                <w:szCs w:val="28"/>
                <w:lang w:bidi="ar-SA"/>
              </w:rPr>
              <w:t>正科级</w:t>
            </w:r>
          </w:p>
        </w:tc>
        <w:tc>
          <w:tcPr>
            <w:tcW w:w="3200" w:type="dxa"/>
            <w:tcBorders>
              <w:tl2br w:val="nil"/>
              <w:tr2bl w:val="nil"/>
            </w:tcBorders>
            <w:vAlign w:val="center"/>
          </w:tcPr>
          <w:p>
            <w:pPr>
              <w:spacing w:line="560" w:lineRule="exact"/>
              <w:jc w:val="center"/>
              <w:rPr>
                <w:rFonts w:ascii="仿宋" w:eastAsia="仿宋" w:cs="Times New Roman" w:hAnsi="仿宋" w:hint="eastAsia"/>
                <w:sz w:val="28"/>
                <w:szCs w:val="28"/>
                <w:lang w:bidi="ar-SA"/>
              </w:rPr>
            </w:pPr>
            <w:r>
              <w:rPr>
                <w:rFonts w:ascii="仿宋" w:eastAsia="仿宋" w:cs="Times New Roman" w:hAnsi="仿宋" w:hint="eastAsia"/>
                <w:sz w:val="28"/>
                <w:szCs w:val="28"/>
                <w:lang w:bidi="ar-SA"/>
              </w:rPr>
              <w:t>财政拨款</w:t>
            </w:r>
          </w:p>
        </w:tc>
      </w:tr>
    </w:tbl>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遵化市供销合作社机关设7个职能科室，分别为：综合办公室、财务审计科、信访保卫监察科、人事教育科、合作指导科、</w:t>
      </w:r>
      <w:r>
        <w:rPr>
          <w:rFonts w:ascii="仿宋" w:eastAsia="仿宋" w:cs="Times New Roman" w:hAnsi="仿宋" w:hint="eastAsia"/>
          <w:sz w:val="28"/>
          <w:szCs w:val="28"/>
          <w:lang w:eastAsia="zh-CN" w:bidi="ar-SA"/>
        </w:rPr>
        <w:t>农村产权交易中心</w:t>
      </w:r>
      <w:r>
        <w:rPr>
          <w:rFonts w:ascii="仿宋" w:eastAsia="仿宋" w:cs="Times New Roman" w:hAnsi="仿宋" w:hint="eastAsia"/>
          <w:sz w:val="28"/>
          <w:szCs w:val="28"/>
          <w:lang w:bidi="ar-SA"/>
        </w:rPr>
        <w:t>、资产运营管理中心。纳入遵化市供销合作社</w:t>
      </w:r>
      <w:r>
        <w:rPr>
          <w:rFonts w:ascii="仿宋" w:eastAsia="仿宋" w:cs="Times New Roman" w:hAnsi="仿宋" w:hint="eastAsia"/>
          <w:sz w:val="28"/>
          <w:szCs w:val="28"/>
          <w:lang w:bidi="ar-SA"/>
        </w:rPr>
        <w:t>单位</w:t>
      </w:r>
      <w:r>
        <w:rPr>
          <w:rFonts w:ascii="仿宋" w:eastAsia="仿宋" w:cs="Times New Roman" w:hAnsi="仿宋" w:hint="eastAsia"/>
          <w:sz w:val="28"/>
          <w:szCs w:val="28"/>
          <w:lang w:bidi="ar-SA"/>
        </w:rPr>
        <w:t xml:space="preserve">预算编报范围的预算单位共1家，即遵化市供销合作社机关本级。 </w:t>
      </w:r>
    </w:p>
    <w:p>
      <w:pPr>
        <w:spacing w:line="560" w:lineRule="exact"/>
        <w:ind w:firstLine="640"/>
        <w:rPr>
          <w:rFonts w:ascii="黑体" w:eastAsia="黑体" w:cs="Times New Roman" w:hAnsi="黑体" w:hint="eastAsia"/>
          <w:sz w:val="32"/>
          <w:szCs w:val="32"/>
          <w:lang w:bidi="ar-SA"/>
        </w:rPr>
      </w:pPr>
      <w:r>
        <w:rPr>
          <w:rFonts w:ascii="黑体" w:eastAsia="黑体" w:cs="Times New Roman" w:hAnsi="黑体" w:hint="eastAsia"/>
          <w:sz w:val="32"/>
          <w:szCs w:val="32"/>
          <w:lang w:bidi="ar-SA"/>
        </w:rPr>
        <w:t>二、</w:t>
      </w:r>
      <w:r>
        <w:rPr>
          <w:rFonts w:ascii="黑体" w:eastAsia="黑体" w:cs="Times New Roman" w:hAnsi="黑体" w:hint="eastAsia"/>
          <w:sz w:val="32"/>
          <w:szCs w:val="32"/>
          <w:lang w:bidi="ar-SA"/>
        </w:rPr>
        <w:t>单位</w:t>
      </w:r>
      <w:r>
        <w:rPr>
          <w:rFonts w:ascii="黑体" w:eastAsia="黑体" w:cs="Times New Roman" w:hAnsi="黑体" w:hint="eastAsia"/>
          <w:sz w:val="32"/>
          <w:szCs w:val="32"/>
          <w:lang w:bidi="ar-SA"/>
        </w:rPr>
        <w:t>预算安排的总体情况</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按照预算管理有关规定，目前我省</w:t>
      </w:r>
      <w:r>
        <w:rPr>
          <w:rFonts w:ascii="仿宋" w:eastAsia="仿宋" w:cs="Times New Roman" w:hAnsi="仿宋" w:hint="eastAsia"/>
          <w:sz w:val="28"/>
          <w:szCs w:val="28"/>
          <w:lang w:bidi="ar-SA"/>
        </w:rPr>
        <w:t>单位</w:t>
      </w:r>
      <w:r>
        <w:rPr>
          <w:rFonts w:ascii="仿宋" w:eastAsia="仿宋" w:cs="Times New Roman" w:hAnsi="仿宋" w:hint="eastAsia"/>
          <w:sz w:val="28"/>
          <w:szCs w:val="28"/>
          <w:lang w:bidi="ar-SA"/>
        </w:rPr>
        <w:t>预算的编制实行综合预算制度，即全部收入和支出都反映</w:t>
      </w:r>
      <w:r>
        <w:rPr>
          <w:rFonts w:ascii="仿宋" w:eastAsia="仿宋" w:cs="Times New Roman" w:hAnsi="仿宋" w:hint="eastAsia"/>
          <w:sz w:val="28"/>
          <w:szCs w:val="28"/>
          <w:lang w:bidi="ar-SA"/>
        </w:rPr>
        <w:t>在</w:t>
      </w:r>
      <w:r>
        <w:rPr>
          <w:rFonts w:ascii="仿宋" w:eastAsia="仿宋" w:cs="Times New Roman" w:hAnsi="仿宋" w:hint="eastAsia"/>
          <w:sz w:val="28"/>
          <w:szCs w:val="28"/>
          <w:lang w:bidi="ar-SA"/>
        </w:rPr>
        <w:t>预算中。</w:t>
      </w:r>
      <w:r>
        <w:rPr>
          <w:rFonts w:ascii="仿宋" w:eastAsia="仿宋" w:cs="Times New Roman" w:hAnsi="仿宋" w:hint="eastAsia"/>
          <w:sz w:val="28"/>
          <w:szCs w:val="28"/>
          <w:lang w:bidi="ar-SA"/>
        </w:rPr>
        <w:t>遵化市供销合作社</w:t>
      </w:r>
      <w:r>
        <w:rPr>
          <w:rFonts w:ascii="仿宋" w:eastAsia="仿宋" w:cs="Times New Roman" w:hAnsi="仿宋" w:hint="eastAsia"/>
          <w:sz w:val="28"/>
          <w:szCs w:val="28"/>
          <w:lang w:bidi="ar-SA"/>
        </w:rPr>
        <w:t>的收支包含在</w:t>
      </w:r>
      <w:r>
        <w:rPr>
          <w:rFonts w:ascii="仿宋" w:eastAsia="仿宋" w:cs="Times New Roman" w:hAnsi="仿宋" w:hint="eastAsia"/>
          <w:sz w:val="28"/>
          <w:szCs w:val="28"/>
          <w:lang w:bidi="ar-SA"/>
        </w:rPr>
        <w:t>单位</w:t>
      </w:r>
      <w:r>
        <w:rPr>
          <w:rFonts w:ascii="仿宋" w:eastAsia="仿宋" w:cs="Times New Roman" w:hAnsi="仿宋" w:hint="eastAsia"/>
          <w:sz w:val="28"/>
          <w:szCs w:val="28"/>
          <w:lang w:bidi="ar-SA"/>
        </w:rPr>
        <w:t>预算中。</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1、收入说明</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反映本</w:t>
      </w:r>
      <w:r>
        <w:rPr>
          <w:rFonts w:ascii="仿宋" w:eastAsia="仿宋" w:cs="Times New Roman" w:hAnsi="仿宋" w:hint="eastAsia"/>
          <w:sz w:val="28"/>
          <w:szCs w:val="28"/>
          <w:lang w:bidi="ar-SA"/>
        </w:rPr>
        <w:t>单位</w:t>
      </w:r>
      <w:r>
        <w:rPr>
          <w:rFonts w:ascii="仿宋" w:eastAsia="仿宋" w:cs="Times New Roman" w:hAnsi="仿宋" w:hint="eastAsia"/>
          <w:sz w:val="28"/>
          <w:szCs w:val="28"/>
          <w:lang w:bidi="ar-SA"/>
        </w:rPr>
        <w:t>当年全部收入。20</w:t>
      </w:r>
      <w:r>
        <w:rPr>
          <w:rFonts w:ascii="仿宋" w:eastAsia="仿宋" w:cs="Times New Roman" w:hAnsi="仿宋" w:hint="eastAsia"/>
          <w:sz w:val="28"/>
          <w:szCs w:val="28"/>
          <w:lang w:val="en-US" w:eastAsia="zh-CN" w:bidi="ar-SA"/>
        </w:rPr>
        <w:t>21</w:t>
      </w:r>
      <w:r>
        <w:rPr>
          <w:rFonts w:ascii="仿宋" w:eastAsia="仿宋" w:cs="Times New Roman" w:hAnsi="仿宋" w:hint="eastAsia"/>
          <w:sz w:val="28"/>
          <w:szCs w:val="28"/>
          <w:lang w:bidi="ar-SA"/>
        </w:rPr>
        <w:t>年预算收入</w:t>
      </w:r>
      <w:r>
        <w:rPr>
          <w:rFonts w:ascii="仿宋" w:eastAsia="仿宋" w:cs="Times New Roman" w:hAnsi="仿宋" w:hint="eastAsia"/>
          <w:sz w:val="28"/>
          <w:szCs w:val="28"/>
          <w:lang w:val="en-US" w:eastAsia="zh-CN" w:bidi="ar-SA"/>
        </w:rPr>
        <w:t>278.02</w:t>
      </w:r>
      <w:r>
        <w:rPr>
          <w:rFonts w:ascii="仿宋" w:eastAsia="仿宋" w:cs="Times New Roman" w:hAnsi="仿宋" w:hint="eastAsia"/>
          <w:sz w:val="28"/>
          <w:szCs w:val="28"/>
          <w:lang w:bidi="ar-SA"/>
        </w:rPr>
        <w:t>万元，其中：一般公共预算收入</w:t>
      </w:r>
      <w:r>
        <w:rPr>
          <w:rFonts w:ascii="仿宋" w:eastAsia="仿宋" w:cs="Times New Roman" w:hAnsi="仿宋" w:hint="eastAsia"/>
          <w:sz w:val="28"/>
          <w:szCs w:val="28"/>
          <w:lang w:val="en-US" w:eastAsia="zh-CN" w:bidi="ar-SA"/>
        </w:rPr>
        <w:t>278.02</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，基金预算收入</w:t>
      </w:r>
      <w:r>
        <w:rPr>
          <w:rFonts w:ascii="仿宋" w:eastAsia="仿宋" w:cs="Times New Roman" w:hAnsi="仿宋" w:hint="eastAsia"/>
          <w:sz w:val="28"/>
          <w:szCs w:val="28"/>
          <w:lang w:bidi="ar-SA"/>
        </w:rPr>
        <w:t>0</w:t>
      </w:r>
      <w:r>
        <w:rPr>
          <w:rFonts w:ascii="仿宋" w:eastAsia="仿宋" w:cs="Times New Roman" w:hAnsi="仿宋" w:hint="eastAsia"/>
          <w:sz w:val="28"/>
          <w:szCs w:val="28"/>
          <w:lang w:bidi="ar-SA"/>
        </w:rPr>
        <w:t>万元，财政专户核拨收入</w:t>
      </w:r>
      <w:r>
        <w:rPr>
          <w:rFonts w:ascii="仿宋" w:eastAsia="仿宋" w:cs="Times New Roman" w:hAnsi="仿宋" w:hint="eastAsia"/>
          <w:sz w:val="28"/>
          <w:szCs w:val="28"/>
          <w:lang w:bidi="ar-SA"/>
        </w:rPr>
        <w:t>0</w:t>
      </w:r>
      <w:r>
        <w:rPr>
          <w:rFonts w:ascii="仿宋" w:eastAsia="仿宋" w:cs="Times New Roman" w:hAnsi="仿宋" w:hint="eastAsia"/>
          <w:sz w:val="28"/>
          <w:szCs w:val="28"/>
          <w:lang w:bidi="ar-SA"/>
        </w:rPr>
        <w:t>万元，其他来源收入0万元。</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2、支出说明</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收支预算总表支出栏、基本支出表、项目支出表按经济分类和支出功能分类科目编制，反映</w:t>
      </w:r>
      <w:r>
        <w:rPr>
          <w:rFonts w:ascii="仿宋" w:eastAsia="仿宋" w:cs="Times New Roman" w:hAnsi="仿宋" w:hint="eastAsia"/>
          <w:sz w:val="28"/>
          <w:szCs w:val="28"/>
          <w:lang w:bidi="ar-SA"/>
        </w:rPr>
        <w:t>遵化市供销合作社</w:t>
      </w:r>
      <w:r>
        <w:rPr>
          <w:rFonts w:ascii="仿宋" w:eastAsia="仿宋" w:cs="Times New Roman" w:hAnsi="仿宋" w:hint="eastAsia"/>
          <w:sz w:val="28"/>
          <w:szCs w:val="28"/>
          <w:lang w:bidi="ar-SA"/>
        </w:rPr>
        <w:t>年度</w:t>
      </w:r>
      <w:r>
        <w:rPr>
          <w:rFonts w:ascii="仿宋" w:eastAsia="仿宋" w:cs="Times New Roman" w:hAnsi="仿宋" w:hint="eastAsia"/>
          <w:sz w:val="28"/>
          <w:szCs w:val="28"/>
          <w:lang w:bidi="ar-SA"/>
        </w:rPr>
        <w:t>单位</w:t>
      </w:r>
      <w:r>
        <w:rPr>
          <w:rFonts w:ascii="仿宋" w:eastAsia="仿宋" w:cs="Times New Roman" w:hAnsi="仿宋" w:hint="eastAsia"/>
          <w:sz w:val="28"/>
          <w:szCs w:val="28"/>
          <w:lang w:bidi="ar-SA"/>
        </w:rPr>
        <w:t>预算中支出预算的总体情况。20</w:t>
      </w:r>
      <w:r>
        <w:rPr>
          <w:rFonts w:ascii="仿宋" w:eastAsia="仿宋" w:cs="Times New Roman" w:hAnsi="仿宋" w:hint="eastAsia"/>
          <w:sz w:val="28"/>
          <w:szCs w:val="28"/>
          <w:lang w:val="en-US" w:eastAsia="zh-CN" w:bidi="ar-SA"/>
        </w:rPr>
        <w:t>21</w:t>
      </w:r>
      <w:r>
        <w:rPr>
          <w:rFonts w:ascii="仿宋" w:eastAsia="仿宋" w:cs="Times New Roman" w:hAnsi="仿宋" w:hint="eastAsia"/>
          <w:sz w:val="28"/>
          <w:szCs w:val="28"/>
          <w:lang w:bidi="ar-SA"/>
        </w:rPr>
        <w:t>年支出预算</w:t>
      </w:r>
      <w:r>
        <w:rPr>
          <w:rFonts w:ascii="仿宋" w:eastAsia="仿宋" w:cs="Times New Roman" w:hAnsi="仿宋" w:hint="eastAsia"/>
          <w:sz w:val="28"/>
          <w:szCs w:val="28"/>
          <w:lang w:val="en-US" w:eastAsia="zh-CN" w:bidi="ar-SA"/>
        </w:rPr>
        <w:t>278.02</w:t>
      </w:r>
      <w:r>
        <w:rPr>
          <w:rFonts w:ascii="仿宋" w:eastAsia="仿宋" w:cs="Times New Roman" w:hAnsi="仿宋" w:hint="eastAsia"/>
          <w:sz w:val="28"/>
          <w:szCs w:val="28"/>
          <w:lang w:bidi="ar-SA"/>
        </w:rPr>
        <w:t>万元，其中</w:t>
      </w:r>
      <w:r>
        <w:rPr>
          <w:rFonts w:ascii="仿宋" w:eastAsia="仿宋" w:cs="Times New Roman" w:hAnsi="仿宋" w:hint="eastAsia"/>
          <w:sz w:val="28"/>
          <w:szCs w:val="28"/>
          <w:lang w:bidi="ar-SA"/>
        </w:rPr>
        <w:t>：</w:t>
      </w:r>
      <w:r>
        <w:rPr>
          <w:rFonts w:ascii="仿宋" w:eastAsia="仿宋" w:cs="Times New Roman" w:hAnsi="仿宋" w:hint="eastAsia"/>
          <w:sz w:val="28"/>
          <w:szCs w:val="28"/>
          <w:lang w:bidi="ar-SA"/>
        </w:rPr>
        <w:t>基本支出</w:t>
      </w:r>
      <w:r>
        <w:rPr>
          <w:rFonts w:ascii="仿宋" w:eastAsia="仿宋" w:cs="Times New Roman" w:hAnsi="仿宋" w:hint="eastAsia"/>
          <w:sz w:val="28"/>
          <w:szCs w:val="28"/>
          <w:lang w:val="en-US" w:eastAsia="zh-CN" w:bidi="ar-SA"/>
        </w:rPr>
        <w:t>247.02</w:t>
      </w:r>
      <w:r>
        <w:rPr>
          <w:rFonts w:ascii="仿宋" w:eastAsia="仿宋" w:cs="Times New Roman" w:hAnsi="仿宋" w:hint="eastAsia"/>
          <w:sz w:val="28"/>
          <w:szCs w:val="28"/>
          <w:lang w:bidi="ar-SA"/>
        </w:rPr>
        <w:t>万元，包括人员经费</w:t>
      </w:r>
      <w:r>
        <w:rPr>
          <w:rFonts w:ascii="仿宋" w:eastAsia="仿宋" w:cs="Times New Roman" w:hAnsi="仿宋" w:hint="eastAsia"/>
          <w:sz w:val="28"/>
          <w:szCs w:val="28"/>
          <w:lang w:val="en-US" w:eastAsia="zh-CN" w:bidi="ar-SA"/>
        </w:rPr>
        <w:t>234.90</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和日常公用经费</w:t>
      </w:r>
      <w:r>
        <w:rPr>
          <w:rFonts w:ascii="仿宋" w:eastAsia="仿宋" w:cs="Times New Roman" w:hAnsi="仿宋" w:hint="eastAsia"/>
          <w:sz w:val="28"/>
          <w:szCs w:val="28"/>
          <w:lang w:val="en-US" w:eastAsia="zh-CN" w:bidi="ar-SA"/>
        </w:rPr>
        <w:t>12.12</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；项目支出</w:t>
      </w:r>
      <w:r>
        <w:rPr>
          <w:rFonts w:ascii="仿宋" w:eastAsia="仿宋" w:cs="Times New Roman" w:hAnsi="仿宋" w:hint="eastAsia"/>
          <w:sz w:val="28"/>
          <w:szCs w:val="28"/>
          <w:lang w:val="en-US" w:eastAsia="zh-CN" w:bidi="ar-SA"/>
        </w:rPr>
        <w:t>31</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全部为</w:t>
      </w:r>
      <w:r>
        <w:rPr>
          <w:rFonts w:ascii="仿宋" w:eastAsia="仿宋" w:cs="Times New Roman" w:hAnsi="仿宋" w:hint="eastAsia"/>
          <w:sz w:val="28"/>
          <w:szCs w:val="28"/>
          <w:lang w:bidi="ar-SA"/>
        </w:rPr>
        <w:t>本级支出，</w:t>
      </w:r>
      <w:r>
        <w:rPr>
          <w:rFonts w:ascii="仿宋" w:eastAsia="仿宋" w:cs="Times New Roman" w:hAnsi="仿宋" w:hint="eastAsia"/>
          <w:sz w:val="28"/>
          <w:szCs w:val="28"/>
          <w:lang w:bidi="ar-SA"/>
        </w:rPr>
        <w:t>包括</w:t>
      </w:r>
      <w:r>
        <w:rPr>
          <w:rFonts w:ascii="仿宋" w:eastAsia="仿宋" w:cs="Times New Roman" w:hAnsi="仿宋" w:hint="eastAsia"/>
          <w:sz w:val="28"/>
          <w:szCs w:val="28"/>
          <w:lang w:val="en-US" w:eastAsia="zh-CN" w:bidi="ar-SA"/>
        </w:rPr>
        <w:t>供销社</w:t>
      </w:r>
      <w:r>
        <w:rPr>
          <w:rFonts w:ascii="仿宋" w:eastAsia="仿宋" w:cs="Times New Roman" w:hAnsi="仿宋" w:hint="eastAsia"/>
          <w:sz w:val="28"/>
          <w:szCs w:val="28"/>
          <w:lang w:bidi="ar-SA"/>
        </w:rPr>
        <w:t>农合联</w:t>
      </w:r>
      <w:r>
        <w:rPr>
          <w:rFonts w:ascii="仿宋" w:eastAsia="仿宋" w:cs="Times New Roman" w:hAnsi="仿宋" w:hint="eastAsia"/>
          <w:sz w:val="28"/>
          <w:szCs w:val="28"/>
          <w:lang w:val="en-US" w:eastAsia="zh-CN" w:bidi="ar-SA"/>
        </w:rPr>
        <w:t>工作</w:t>
      </w:r>
      <w:r>
        <w:rPr>
          <w:rFonts w:ascii="仿宋" w:eastAsia="仿宋" w:cs="Times New Roman" w:hAnsi="仿宋" w:hint="eastAsia"/>
          <w:sz w:val="28"/>
          <w:szCs w:val="28"/>
          <w:lang w:bidi="ar-SA"/>
        </w:rPr>
        <w:t>经费</w:t>
      </w:r>
      <w:r>
        <w:rPr>
          <w:rFonts w:ascii="仿宋" w:eastAsia="仿宋" w:cs="Times New Roman" w:hAnsi="仿宋" w:hint="eastAsia"/>
          <w:sz w:val="28"/>
          <w:szCs w:val="28"/>
          <w:lang w:val="en-US" w:eastAsia="zh-CN" w:bidi="ar-SA"/>
        </w:rPr>
        <w:t>6</w:t>
      </w:r>
      <w:r>
        <w:rPr>
          <w:rFonts w:ascii="仿宋" w:eastAsia="仿宋" w:cs="Times New Roman" w:hAnsi="仿宋" w:hint="eastAsia"/>
          <w:sz w:val="28"/>
          <w:szCs w:val="28"/>
          <w:lang w:bidi="ar-SA"/>
        </w:rPr>
        <w:t>万元、</w:t>
      </w:r>
      <w:r>
        <w:rPr>
          <w:rFonts w:ascii="仿宋" w:eastAsia="仿宋" w:cs="Times New Roman" w:hAnsi="仿宋" w:hint="eastAsia"/>
          <w:sz w:val="28"/>
          <w:szCs w:val="28"/>
          <w:lang w:val="en-US" w:eastAsia="zh-CN" w:bidi="ar-SA"/>
        </w:rPr>
        <w:t>供销社</w:t>
      </w:r>
      <w:r>
        <w:rPr>
          <w:rFonts w:ascii="仿宋" w:eastAsia="仿宋" w:cs="Times New Roman" w:hAnsi="仿宋" w:hint="eastAsia"/>
          <w:sz w:val="28"/>
          <w:szCs w:val="28"/>
          <w:lang w:bidi="ar-SA"/>
        </w:rPr>
        <w:t>农村产权流转交易中心</w:t>
      </w:r>
      <w:r>
        <w:rPr>
          <w:rFonts w:ascii="仿宋" w:eastAsia="仿宋" w:cs="Times New Roman" w:hAnsi="仿宋" w:hint="eastAsia"/>
          <w:sz w:val="28"/>
          <w:szCs w:val="28"/>
          <w:lang w:val="en-US" w:eastAsia="zh-CN" w:bidi="ar-SA"/>
        </w:rPr>
        <w:t>工作</w:t>
      </w:r>
      <w:r>
        <w:rPr>
          <w:rFonts w:ascii="仿宋" w:eastAsia="仿宋" w:cs="Times New Roman" w:hAnsi="仿宋" w:hint="eastAsia"/>
          <w:sz w:val="28"/>
          <w:szCs w:val="28"/>
          <w:lang w:bidi="ar-SA"/>
        </w:rPr>
        <w:t>经费</w:t>
      </w:r>
      <w:r>
        <w:rPr>
          <w:rFonts w:ascii="仿宋" w:eastAsia="仿宋" w:cs="Times New Roman" w:hAnsi="仿宋" w:hint="eastAsia"/>
          <w:sz w:val="28"/>
          <w:szCs w:val="28"/>
          <w:lang w:val="en-US" w:eastAsia="zh-CN" w:bidi="ar-SA"/>
        </w:rPr>
        <w:t>20</w:t>
      </w:r>
      <w:r>
        <w:rPr>
          <w:rFonts w:ascii="仿宋" w:eastAsia="仿宋" w:cs="Times New Roman" w:hAnsi="仿宋" w:hint="eastAsia"/>
          <w:sz w:val="28"/>
          <w:szCs w:val="28"/>
          <w:lang w:bidi="ar-SA"/>
        </w:rPr>
        <w:t>万元、</w:t>
      </w:r>
      <w:r>
        <w:rPr>
          <w:rFonts w:ascii="仿宋" w:eastAsia="仿宋" w:cs="Times New Roman" w:hAnsi="仿宋" w:hint="eastAsia"/>
          <w:sz w:val="28"/>
          <w:szCs w:val="28"/>
          <w:lang w:eastAsia="zh-CN" w:bidi="ar-SA"/>
        </w:rPr>
        <w:t>供销社改制等退经费</w:t>
      </w:r>
      <w:r>
        <w:rPr>
          <w:rFonts w:ascii="仿宋" w:eastAsia="仿宋" w:cs="Times New Roman" w:hAnsi="仿宋" w:hint="eastAsia"/>
          <w:sz w:val="28"/>
          <w:szCs w:val="28"/>
          <w:lang w:val="en-US" w:eastAsia="zh-CN" w:bidi="ar-SA"/>
        </w:rPr>
        <w:t>5</w:t>
      </w:r>
      <w:r>
        <w:rPr>
          <w:rFonts w:ascii="仿宋" w:eastAsia="仿宋" w:cs="Times New Roman" w:hAnsi="仿宋" w:hint="eastAsia"/>
          <w:sz w:val="28"/>
          <w:szCs w:val="28"/>
          <w:lang w:bidi="ar-SA"/>
        </w:rPr>
        <w:t>万元。</w:t>
      </w:r>
    </w:p>
    <w:p>
      <w:pPr>
        <w:spacing w:line="560" w:lineRule="exact"/>
        <w:ind w:firstLineChars="200" w:firstLine="560"/>
        <w:rPr>
          <w:rFonts w:ascii="仿宋" w:eastAsia="仿宋" w:cs="Times New Roman" w:hAnsi="仿宋" w:hint="eastAsia"/>
          <w:b/>
          <w:sz w:val="28"/>
          <w:szCs w:val="28"/>
          <w:lang w:bidi="ar-SA"/>
        </w:rPr>
      </w:pPr>
      <w:r>
        <w:rPr>
          <w:rFonts w:ascii="仿宋" w:eastAsia="仿宋" w:cs="Times New Roman" w:hAnsi="仿宋" w:hint="eastAsia"/>
          <w:b/>
          <w:sz w:val="28"/>
          <w:szCs w:val="28"/>
          <w:lang w:bidi="ar-SA"/>
        </w:rPr>
        <w:t>3、比上年增减情况</w:t>
      </w:r>
    </w:p>
    <w:p>
      <w:pPr>
        <w:spacing w:line="560" w:lineRule="exact"/>
        <w:ind w:firstLineChars="200" w:firstLine="560"/>
        <w:rPr>
          <w:rFonts w:ascii="仿宋" w:eastAsia="仿宋" w:cs="Times New Roman" w:hAnsi="仿宋" w:hint="eastAsia"/>
          <w:sz w:val="28"/>
          <w:szCs w:val="28"/>
          <w:lang w:val="en-US" w:eastAsia="zh-CN" w:bidi="ar-SA"/>
        </w:rPr>
      </w:pPr>
      <w:r>
        <w:rPr>
          <w:rFonts w:ascii="仿宋" w:eastAsia="仿宋" w:cs="Times New Roman" w:hAnsi="仿宋" w:hint="eastAsia"/>
          <w:sz w:val="28"/>
          <w:szCs w:val="28"/>
          <w:lang w:bidi="ar-SA"/>
        </w:rPr>
        <w:t>20</w:t>
      </w:r>
      <w:r>
        <w:rPr>
          <w:rFonts w:ascii="仿宋" w:eastAsia="仿宋" w:cs="Times New Roman" w:hAnsi="仿宋" w:hint="eastAsia"/>
          <w:sz w:val="28"/>
          <w:szCs w:val="28"/>
          <w:lang w:val="en-US" w:eastAsia="zh-CN" w:bidi="ar-SA"/>
        </w:rPr>
        <w:t>21</w:t>
      </w:r>
      <w:r>
        <w:rPr>
          <w:rFonts w:ascii="仿宋" w:eastAsia="仿宋" w:cs="Times New Roman" w:hAnsi="仿宋" w:hint="eastAsia"/>
          <w:sz w:val="28"/>
          <w:szCs w:val="28"/>
          <w:lang w:bidi="ar-SA"/>
        </w:rPr>
        <w:t>年预算收支安排</w:t>
      </w:r>
      <w:r>
        <w:rPr>
          <w:rFonts w:ascii="仿宋" w:eastAsia="仿宋" w:cs="Times New Roman" w:hAnsi="仿宋" w:hint="eastAsia"/>
          <w:sz w:val="28"/>
          <w:szCs w:val="28"/>
          <w:lang w:val="en-US" w:eastAsia="zh-CN" w:bidi="ar-SA"/>
        </w:rPr>
        <w:t>278.02</w:t>
      </w:r>
      <w:r>
        <w:rPr>
          <w:rFonts w:ascii="仿宋" w:eastAsia="仿宋" w:cs="Times New Roman" w:hAnsi="仿宋" w:hint="eastAsia"/>
          <w:sz w:val="28"/>
          <w:szCs w:val="28"/>
          <w:lang w:bidi="ar-SA"/>
        </w:rPr>
        <w:t>万元，较20</w:t>
      </w:r>
      <w:r>
        <w:rPr>
          <w:rFonts w:ascii="仿宋" w:eastAsia="仿宋" w:cs="Times New Roman" w:hAnsi="仿宋" w:hint="eastAsia"/>
          <w:sz w:val="28"/>
          <w:szCs w:val="28"/>
          <w:lang w:val="en-US" w:eastAsia="zh-CN" w:bidi="ar-SA"/>
        </w:rPr>
        <w:t>20</w:t>
      </w:r>
      <w:r>
        <w:rPr>
          <w:rFonts w:ascii="仿宋" w:eastAsia="仿宋" w:cs="Times New Roman" w:hAnsi="仿宋" w:hint="eastAsia"/>
          <w:sz w:val="28"/>
          <w:szCs w:val="28"/>
          <w:lang w:bidi="ar-SA"/>
        </w:rPr>
        <w:t>年</w:t>
      </w:r>
      <w:r>
        <w:rPr>
          <w:rFonts w:ascii="仿宋" w:eastAsia="仿宋" w:cs="Times New Roman" w:hAnsi="仿宋" w:hint="eastAsia"/>
          <w:sz w:val="28"/>
          <w:szCs w:val="28"/>
          <w:lang w:eastAsia="zh-CN" w:bidi="ar-SA"/>
        </w:rPr>
        <w:t>预算</w:t>
      </w:r>
      <w:r>
        <w:rPr>
          <w:rFonts w:ascii="仿宋" w:eastAsia="仿宋" w:cs="Times New Roman" w:hAnsi="仿宋" w:hint="eastAsia"/>
          <w:sz w:val="28"/>
          <w:szCs w:val="28"/>
          <w:lang w:val="en-US" w:eastAsia="zh-CN" w:bidi="ar-SA"/>
        </w:rPr>
        <w:t>260.12万元</w:t>
      </w:r>
      <w:r>
        <w:rPr>
          <w:rFonts w:ascii="仿宋" w:eastAsia="仿宋" w:cs="Times New Roman" w:hAnsi="仿宋" w:hint="eastAsia"/>
          <w:sz w:val="28"/>
          <w:szCs w:val="28"/>
          <w:lang w:eastAsia="zh-CN" w:bidi="ar-SA"/>
        </w:rPr>
        <w:t>增加</w:t>
      </w:r>
      <w:r>
        <w:rPr>
          <w:rFonts w:ascii="仿宋" w:eastAsia="仿宋" w:cs="Times New Roman" w:hAnsi="仿宋" w:hint="eastAsia"/>
          <w:sz w:val="28"/>
          <w:szCs w:val="28"/>
          <w:lang w:val="en-US" w:eastAsia="zh-CN" w:bidi="ar-SA"/>
        </w:rPr>
        <w:t>17.9</w:t>
      </w:r>
      <w:r>
        <w:rPr>
          <w:rFonts w:ascii="仿宋" w:eastAsia="仿宋" w:cs="Times New Roman" w:hAnsi="仿宋" w:hint="eastAsia"/>
          <w:sz w:val="28"/>
          <w:szCs w:val="28"/>
          <w:lang w:bidi="ar-SA"/>
        </w:rPr>
        <w:t>万元，</w:t>
      </w:r>
      <w:r>
        <w:rPr>
          <w:rFonts w:ascii="仿宋" w:eastAsia="仿宋" w:cs="Times New Roman" w:hAnsi="仿宋" w:hint="eastAsia"/>
          <w:sz w:val="28"/>
          <w:szCs w:val="28"/>
          <w:lang w:eastAsia="zh-CN" w:bidi="ar-SA"/>
        </w:rPr>
        <w:t>增加</w:t>
      </w:r>
      <w:r>
        <w:rPr>
          <w:rFonts w:ascii="仿宋" w:eastAsia="仿宋" w:cs="Times New Roman" w:hAnsi="仿宋" w:hint="eastAsia"/>
          <w:sz w:val="28"/>
          <w:szCs w:val="28"/>
          <w:lang w:val="en-US" w:eastAsia="zh-CN" w:bidi="ar-SA"/>
        </w:rPr>
        <w:t>6.88%，</w:t>
      </w:r>
      <w:r>
        <w:rPr>
          <w:rFonts w:ascii="仿宋" w:eastAsia="仿宋" w:cs="Times New Roman" w:hAnsi="仿宋" w:hint="eastAsia"/>
          <w:sz w:val="28"/>
          <w:szCs w:val="28"/>
          <w:lang w:bidi="ar-SA"/>
        </w:rPr>
        <w:t>其中：基本支出</w:t>
      </w:r>
      <w:r>
        <w:rPr>
          <w:rFonts w:ascii="仿宋" w:eastAsia="仿宋" w:cs="Times New Roman" w:hAnsi="仿宋" w:hint="eastAsia"/>
          <w:sz w:val="28"/>
          <w:szCs w:val="28"/>
          <w:lang w:eastAsia="zh-CN" w:bidi="ar-SA"/>
        </w:rPr>
        <w:t>同比去年预算</w:t>
      </w:r>
      <w:r>
        <w:rPr>
          <w:rFonts w:ascii="仿宋" w:eastAsia="仿宋" w:cs="Times New Roman" w:hAnsi="仿宋" w:hint="eastAsia"/>
          <w:sz w:val="28"/>
          <w:szCs w:val="28"/>
          <w:lang w:val="en-US" w:eastAsia="zh-CN" w:bidi="ar-SA"/>
        </w:rPr>
        <w:t>增加24.90</w:t>
      </w:r>
      <w:r>
        <w:rPr>
          <w:rFonts w:ascii="仿宋" w:eastAsia="仿宋" w:cs="Times New Roman" w:hAnsi="仿宋" w:hint="eastAsia"/>
          <w:sz w:val="28"/>
          <w:szCs w:val="28"/>
          <w:lang w:bidi="ar-SA"/>
        </w:rPr>
        <w:t>万元，主要为</w:t>
      </w:r>
      <w:r>
        <w:rPr>
          <w:rFonts w:ascii="仿宋" w:eastAsia="仿宋" w:cs="Times New Roman" w:hAnsi="仿宋" w:hint="eastAsia"/>
          <w:sz w:val="28"/>
          <w:szCs w:val="28"/>
          <w:lang w:bidi="ar-SA"/>
        </w:rPr>
        <w:t>在职人员</w:t>
      </w:r>
      <w:r>
        <w:rPr>
          <w:rFonts w:ascii="仿宋" w:eastAsia="仿宋" w:cs="Times New Roman" w:hAnsi="仿宋" w:hint="eastAsia"/>
          <w:sz w:val="28"/>
          <w:szCs w:val="28"/>
          <w:lang w:val="en-US" w:eastAsia="zh-CN" w:bidi="ar-SA"/>
        </w:rPr>
        <w:t>工资正常晋级及社保费增加，导致人员经费增加24.78万元；工会经费、福利费增加0.14万元，离退休干部经费减少0.02万元，致使日常</w:t>
      </w:r>
      <w:r>
        <w:rPr>
          <w:rFonts w:ascii="仿宋" w:eastAsia="仿宋" w:cs="Times New Roman" w:hAnsi="仿宋" w:hint="eastAsia"/>
          <w:sz w:val="28"/>
          <w:szCs w:val="28"/>
          <w:lang w:bidi="ar-SA"/>
        </w:rPr>
        <w:t>公用经费</w:t>
      </w:r>
      <w:r>
        <w:rPr>
          <w:rFonts w:ascii="仿宋" w:eastAsia="仿宋" w:cs="Times New Roman" w:hAnsi="仿宋" w:hint="eastAsia"/>
          <w:sz w:val="28"/>
          <w:szCs w:val="28"/>
          <w:lang w:bidi="ar-SA"/>
        </w:rPr>
        <w:t>支出</w:t>
      </w:r>
      <w:r>
        <w:rPr>
          <w:rFonts w:ascii="仿宋" w:eastAsia="仿宋" w:cs="Times New Roman" w:hAnsi="仿宋" w:hint="eastAsia"/>
          <w:sz w:val="28"/>
          <w:szCs w:val="28"/>
          <w:lang w:eastAsia="zh-CN" w:bidi="ar-SA"/>
        </w:rPr>
        <w:t>增加</w:t>
      </w:r>
      <w:r>
        <w:rPr>
          <w:rFonts w:ascii="仿宋" w:eastAsia="仿宋" w:cs="Times New Roman" w:hAnsi="仿宋" w:hint="eastAsia"/>
          <w:sz w:val="28"/>
          <w:szCs w:val="28"/>
          <w:lang w:val="en-US" w:eastAsia="zh-CN" w:bidi="ar-SA"/>
        </w:rPr>
        <w:t>0.12万元</w:t>
      </w:r>
      <w:r>
        <w:rPr>
          <w:rFonts w:ascii="仿宋" w:eastAsia="仿宋" w:cs="Times New Roman" w:hAnsi="仿宋" w:hint="eastAsia"/>
          <w:sz w:val="28"/>
          <w:szCs w:val="28"/>
          <w:lang w:bidi="ar-SA"/>
        </w:rPr>
        <w:t>；项目支出</w:t>
      </w:r>
      <w:r>
        <w:rPr>
          <w:rFonts w:ascii="仿宋" w:eastAsia="仿宋" w:cs="Times New Roman" w:hAnsi="仿宋" w:hint="eastAsia"/>
          <w:sz w:val="28"/>
          <w:szCs w:val="28"/>
          <w:lang w:eastAsia="zh-CN" w:bidi="ar-SA"/>
        </w:rPr>
        <w:t>同比去年预算减少</w:t>
      </w:r>
      <w:r>
        <w:rPr>
          <w:rFonts w:ascii="仿宋" w:eastAsia="仿宋" w:cs="Times New Roman" w:hAnsi="仿宋" w:hint="eastAsia"/>
          <w:sz w:val="28"/>
          <w:szCs w:val="28"/>
          <w:lang w:val="en-US" w:eastAsia="zh-CN" w:bidi="ar-SA"/>
        </w:rPr>
        <w:t>7</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，主要今年</w:t>
      </w:r>
      <w:r>
        <w:rPr>
          <w:rFonts w:ascii="仿宋" w:eastAsia="仿宋" w:cs="Times New Roman" w:hAnsi="仿宋" w:hint="eastAsia"/>
          <w:sz w:val="28"/>
          <w:szCs w:val="28"/>
          <w:lang w:val="en-US" w:eastAsia="zh-CN" w:bidi="ar-SA"/>
        </w:rPr>
        <w:t>供销社改制等退经费（即</w:t>
      </w:r>
      <w:r>
        <w:rPr>
          <w:rFonts w:ascii="仿宋" w:eastAsia="仿宋" w:cs="Times New Roman" w:hAnsi="仿宋" w:hint="eastAsia"/>
          <w:sz w:val="28"/>
          <w:szCs w:val="28"/>
          <w:lang w:bidi="ar-SA"/>
        </w:rPr>
        <w:t>改制五年等退人员医疗保险费</w:t>
      </w:r>
      <w:r>
        <w:rPr>
          <w:rFonts w:ascii="仿宋" w:eastAsia="仿宋" w:cs="Times New Roman" w:hAnsi="仿宋" w:hint="eastAsia"/>
          <w:sz w:val="28"/>
          <w:szCs w:val="28"/>
          <w:lang w:eastAsia="zh-CN" w:bidi="ar-SA"/>
        </w:rPr>
        <w:t>）</w:t>
      </w:r>
      <w:r>
        <w:rPr>
          <w:rFonts w:ascii="仿宋" w:eastAsia="仿宋" w:cs="Times New Roman" w:hAnsi="仿宋" w:hint="eastAsia"/>
          <w:sz w:val="28"/>
          <w:szCs w:val="28"/>
          <w:lang w:bidi="ar-SA"/>
        </w:rPr>
        <w:t>项目</w:t>
      </w:r>
      <w:r>
        <w:rPr>
          <w:rFonts w:ascii="仿宋" w:eastAsia="仿宋" w:cs="Times New Roman" w:hAnsi="仿宋" w:hint="eastAsia"/>
          <w:sz w:val="28"/>
          <w:szCs w:val="28"/>
          <w:lang w:eastAsia="zh-CN" w:bidi="ar-SA"/>
        </w:rPr>
        <w:t>预算</w:t>
      </w:r>
      <w:r>
        <w:rPr>
          <w:rFonts w:ascii="仿宋" w:eastAsia="仿宋" w:cs="Times New Roman" w:hAnsi="仿宋" w:hint="eastAsia"/>
          <w:sz w:val="28"/>
          <w:szCs w:val="28"/>
          <w:lang w:val="en-US" w:eastAsia="zh-CN" w:bidi="ar-SA"/>
        </w:rPr>
        <w:t>5万元，较去年预算12万元减少7万元，减少18.42%，减少原因为改制五年等退人员因退休减少缴费导致。</w:t>
      </w:r>
    </w:p>
    <w:p>
      <w:pPr>
        <w:spacing w:line="560" w:lineRule="exact"/>
        <w:ind w:firstLineChars="200" w:firstLine="640"/>
        <w:rPr>
          <w:rFonts w:ascii="黑体" w:eastAsia="黑体" w:cs="Times New Roman" w:hAnsi="黑体" w:hint="eastAsia"/>
          <w:sz w:val="32"/>
          <w:szCs w:val="32"/>
          <w:lang w:bidi="ar-SA"/>
        </w:rPr>
      </w:pPr>
      <w:r>
        <w:rPr>
          <w:rFonts w:ascii="黑体" w:eastAsia="黑体" w:cs="Times New Roman" w:hAnsi="黑体" w:hint="eastAsia"/>
          <w:sz w:val="32"/>
          <w:szCs w:val="32"/>
          <w:lang w:bidi="ar-SA"/>
        </w:rPr>
        <w:t>三、机关运行经费安排情况</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eastAsia="zh-CN" w:bidi="ar-SA"/>
        </w:rPr>
        <w:t>我社属于财政补助事业单位，不属于行政单位（包括参照公务员法管理的事业单位），无机关运转经费。</w:t>
      </w:r>
      <w:r>
        <w:rPr>
          <w:rFonts w:ascii="仿宋" w:eastAsia="仿宋" w:cs="Times New Roman" w:hAnsi="仿宋" w:hint="eastAsia"/>
          <w:sz w:val="28"/>
          <w:szCs w:val="28"/>
          <w:lang w:bidi="ar-SA"/>
        </w:rPr>
        <w:t>20</w:t>
      </w:r>
      <w:r>
        <w:rPr>
          <w:rFonts w:ascii="仿宋" w:eastAsia="仿宋" w:cs="Times New Roman" w:hAnsi="仿宋" w:hint="eastAsia"/>
          <w:sz w:val="28"/>
          <w:szCs w:val="28"/>
          <w:lang w:val="en-US" w:eastAsia="zh-CN" w:bidi="ar-SA"/>
        </w:rPr>
        <w:t>21</w:t>
      </w:r>
      <w:r>
        <w:rPr>
          <w:rFonts w:ascii="仿宋" w:eastAsia="仿宋" w:cs="Times New Roman" w:hAnsi="仿宋" w:hint="eastAsia"/>
          <w:sz w:val="28"/>
          <w:szCs w:val="28"/>
          <w:lang w:bidi="ar-SA"/>
        </w:rPr>
        <w:t>年，我社</w:t>
      </w:r>
      <w:r>
        <w:rPr>
          <w:rFonts w:ascii="仿宋" w:eastAsia="仿宋" w:cs="Times New Roman" w:hAnsi="仿宋" w:hint="eastAsia"/>
          <w:sz w:val="28"/>
          <w:szCs w:val="28"/>
          <w:lang w:eastAsia="zh-CN" w:bidi="ar-SA"/>
        </w:rPr>
        <w:t>日常公用经费</w:t>
      </w:r>
      <w:r>
        <w:rPr>
          <w:rFonts w:ascii="仿宋" w:eastAsia="仿宋" w:cs="Times New Roman" w:hAnsi="仿宋" w:hint="eastAsia"/>
          <w:sz w:val="28"/>
          <w:szCs w:val="28"/>
          <w:lang w:bidi="ar-SA"/>
        </w:rPr>
        <w:t>共计安排</w:t>
      </w:r>
      <w:r>
        <w:rPr>
          <w:rFonts w:ascii="仿宋" w:eastAsia="仿宋" w:cs="Times New Roman" w:hAnsi="仿宋" w:hint="eastAsia"/>
          <w:sz w:val="28"/>
          <w:szCs w:val="28"/>
          <w:lang w:val="en-US" w:eastAsia="zh-CN" w:bidi="ar-SA"/>
        </w:rPr>
        <w:t>12.12</w:t>
      </w:r>
      <w:r>
        <w:rPr>
          <w:rFonts w:ascii="仿宋" w:eastAsia="仿宋" w:cs="Times New Roman" w:hAnsi="仿宋" w:hint="eastAsia"/>
          <w:sz w:val="28"/>
          <w:szCs w:val="28"/>
          <w:lang w:bidi="ar-SA"/>
        </w:rPr>
        <w:t>万元（办公费0.</w:t>
      </w:r>
      <w:r>
        <w:rPr>
          <w:rFonts w:ascii="仿宋" w:eastAsia="仿宋" w:cs="Times New Roman" w:hAnsi="仿宋" w:hint="eastAsia"/>
          <w:sz w:val="28"/>
          <w:szCs w:val="28"/>
          <w:lang w:val="en-US" w:eastAsia="zh-CN" w:bidi="ar-SA"/>
        </w:rPr>
        <w:t>45</w:t>
      </w:r>
      <w:r>
        <w:rPr>
          <w:rFonts w:ascii="仿宋" w:eastAsia="仿宋" w:cs="Times New Roman" w:hAnsi="仿宋" w:hint="eastAsia"/>
          <w:sz w:val="28"/>
          <w:szCs w:val="28"/>
          <w:lang w:bidi="ar-SA"/>
        </w:rPr>
        <w:t>万元、电费0.3</w:t>
      </w:r>
      <w:r>
        <w:rPr>
          <w:rFonts w:ascii="仿宋" w:eastAsia="仿宋" w:cs="Times New Roman" w:hAnsi="仿宋" w:hint="eastAsia"/>
          <w:sz w:val="28"/>
          <w:szCs w:val="28"/>
          <w:lang w:val="en-US" w:eastAsia="zh-CN" w:bidi="ar-SA"/>
        </w:rPr>
        <w:t>0</w:t>
      </w:r>
      <w:r>
        <w:rPr>
          <w:rFonts w:ascii="仿宋" w:eastAsia="仿宋" w:cs="Times New Roman" w:hAnsi="仿宋" w:hint="eastAsia"/>
          <w:sz w:val="28"/>
          <w:szCs w:val="28"/>
          <w:lang w:bidi="ar-SA"/>
        </w:rPr>
        <w:t>万元、邮电费0.5</w:t>
      </w:r>
      <w:r>
        <w:rPr>
          <w:rFonts w:ascii="仿宋" w:eastAsia="仿宋" w:cs="Times New Roman" w:hAnsi="仿宋" w:hint="eastAsia"/>
          <w:sz w:val="28"/>
          <w:szCs w:val="28"/>
          <w:lang w:val="en-US" w:eastAsia="zh-CN" w:bidi="ar-SA"/>
        </w:rPr>
        <w:t>1</w:t>
      </w:r>
      <w:r>
        <w:rPr>
          <w:rFonts w:ascii="仿宋" w:eastAsia="仿宋" w:cs="Times New Roman" w:hAnsi="仿宋" w:hint="eastAsia"/>
          <w:sz w:val="28"/>
          <w:szCs w:val="28"/>
          <w:lang w:bidi="ar-SA"/>
        </w:rPr>
        <w:t>万元、取暖费</w:t>
      </w:r>
      <w:r>
        <w:rPr>
          <w:rFonts w:ascii="仿宋" w:eastAsia="仿宋" w:cs="Times New Roman" w:hAnsi="仿宋" w:hint="eastAsia"/>
          <w:sz w:val="28"/>
          <w:szCs w:val="28"/>
          <w:lang w:val="en-US" w:eastAsia="zh-CN" w:bidi="ar-SA"/>
        </w:rPr>
        <w:t>4.46</w:t>
      </w:r>
      <w:r>
        <w:rPr>
          <w:rFonts w:ascii="仿宋" w:eastAsia="仿宋" w:cs="Times New Roman" w:hAnsi="仿宋" w:hint="eastAsia"/>
          <w:sz w:val="28"/>
          <w:szCs w:val="28"/>
          <w:lang w:bidi="ar-SA"/>
        </w:rPr>
        <w:t>万元、差旅费0.3</w:t>
      </w:r>
      <w:r>
        <w:rPr>
          <w:rFonts w:ascii="仿宋" w:eastAsia="仿宋" w:cs="Times New Roman" w:hAnsi="仿宋" w:hint="eastAsia"/>
          <w:sz w:val="28"/>
          <w:szCs w:val="28"/>
          <w:lang w:val="en-US" w:eastAsia="zh-CN" w:bidi="ar-SA"/>
        </w:rPr>
        <w:t>0</w:t>
      </w:r>
      <w:r>
        <w:rPr>
          <w:rFonts w:ascii="仿宋" w:eastAsia="仿宋" w:cs="Times New Roman" w:hAnsi="仿宋" w:hint="eastAsia"/>
          <w:sz w:val="28"/>
          <w:szCs w:val="28"/>
          <w:lang w:bidi="ar-SA"/>
        </w:rPr>
        <w:t>万元、会议费</w:t>
      </w:r>
      <w:r>
        <w:rPr>
          <w:rFonts w:ascii="仿宋" w:eastAsia="仿宋" w:cs="Times New Roman" w:hAnsi="仿宋" w:hint="eastAsia"/>
          <w:sz w:val="28"/>
          <w:szCs w:val="28"/>
          <w:lang w:val="en-US" w:eastAsia="zh-CN" w:bidi="ar-SA"/>
        </w:rPr>
        <w:t>0.08</w:t>
      </w:r>
      <w:r>
        <w:rPr>
          <w:rFonts w:ascii="仿宋" w:eastAsia="仿宋" w:cs="Times New Roman" w:hAnsi="仿宋" w:hint="eastAsia"/>
          <w:sz w:val="28"/>
          <w:szCs w:val="28"/>
          <w:lang w:bidi="ar-SA"/>
        </w:rPr>
        <w:t>万元、培训费</w:t>
      </w:r>
      <w:r>
        <w:rPr>
          <w:rFonts w:ascii="仿宋" w:eastAsia="仿宋" w:cs="Times New Roman" w:hAnsi="仿宋" w:hint="eastAsia"/>
          <w:sz w:val="28"/>
          <w:szCs w:val="28"/>
          <w:lang w:val="en-US" w:eastAsia="zh-CN" w:bidi="ar-SA"/>
        </w:rPr>
        <w:t>0.07</w:t>
      </w:r>
      <w:r>
        <w:rPr>
          <w:rFonts w:ascii="仿宋" w:eastAsia="仿宋" w:cs="Times New Roman" w:hAnsi="仿宋" w:hint="eastAsia"/>
          <w:sz w:val="28"/>
          <w:szCs w:val="28"/>
          <w:lang w:bidi="ar-SA"/>
        </w:rPr>
        <w:t>万元、公务接待费0.04万元、工会经费</w:t>
      </w:r>
      <w:r>
        <w:rPr>
          <w:rFonts w:ascii="仿宋" w:eastAsia="仿宋" w:cs="Times New Roman" w:hAnsi="仿宋" w:hint="eastAsia"/>
          <w:sz w:val="28"/>
          <w:szCs w:val="28"/>
          <w:lang w:val="en-US" w:eastAsia="zh-CN" w:bidi="ar-SA"/>
        </w:rPr>
        <w:t>1.38</w:t>
      </w:r>
      <w:r>
        <w:rPr>
          <w:rFonts w:ascii="仿宋" w:eastAsia="仿宋" w:cs="Times New Roman" w:hAnsi="仿宋" w:hint="eastAsia"/>
          <w:sz w:val="28"/>
          <w:szCs w:val="28"/>
          <w:lang w:bidi="ar-SA"/>
        </w:rPr>
        <w:t>万元、福利费</w:t>
      </w:r>
      <w:r>
        <w:rPr>
          <w:rFonts w:ascii="仿宋" w:eastAsia="仿宋" w:cs="Times New Roman" w:hAnsi="仿宋" w:hint="eastAsia"/>
          <w:sz w:val="28"/>
          <w:szCs w:val="28"/>
          <w:lang w:val="en-US" w:eastAsia="zh-CN" w:bidi="ar-SA"/>
        </w:rPr>
        <w:t>1.59</w:t>
      </w:r>
      <w:r>
        <w:rPr>
          <w:rFonts w:ascii="仿宋" w:eastAsia="仿宋" w:cs="Times New Roman" w:hAnsi="仿宋" w:hint="eastAsia"/>
          <w:sz w:val="28"/>
          <w:szCs w:val="28"/>
          <w:lang w:bidi="ar-SA"/>
        </w:rPr>
        <w:t>万元、公务用车运行维护费2.05万元、其他商品和服务支出</w:t>
      </w:r>
      <w:r>
        <w:rPr>
          <w:rFonts w:ascii="仿宋" w:eastAsia="仿宋" w:cs="Times New Roman" w:hAnsi="仿宋" w:hint="eastAsia"/>
          <w:sz w:val="28"/>
          <w:szCs w:val="28"/>
          <w:lang w:val="en-US" w:eastAsia="zh-CN" w:bidi="ar-SA"/>
        </w:rPr>
        <w:t>0.89</w:t>
      </w:r>
      <w:r>
        <w:rPr>
          <w:rFonts w:ascii="仿宋" w:eastAsia="仿宋" w:cs="Times New Roman" w:hAnsi="仿宋" w:hint="eastAsia"/>
          <w:sz w:val="28"/>
          <w:szCs w:val="28"/>
          <w:lang w:bidi="ar-SA"/>
        </w:rPr>
        <w:t>万元）</w:t>
      </w:r>
      <w:r>
        <w:rPr>
          <w:rFonts w:ascii="仿宋" w:eastAsia="仿宋" w:cs="Times New Roman" w:hAnsi="仿宋" w:hint="eastAsia"/>
          <w:sz w:val="28"/>
          <w:szCs w:val="28"/>
          <w:lang w:bidi="ar-SA"/>
        </w:rPr>
        <w:t>，主要用于日常</w:t>
      </w:r>
      <w:r>
        <w:rPr>
          <w:rFonts w:ascii="仿宋" w:eastAsia="仿宋" w:cs="Times New Roman" w:hAnsi="仿宋" w:hint="eastAsia"/>
          <w:sz w:val="28"/>
          <w:szCs w:val="28"/>
          <w:lang w:bidi="ar-SA"/>
        </w:rPr>
        <w:t>办公运转</w:t>
      </w:r>
      <w:r>
        <w:rPr>
          <w:rFonts w:ascii="仿宋" w:eastAsia="仿宋" w:cs="Times New Roman" w:hAnsi="仿宋" w:hint="eastAsia"/>
          <w:sz w:val="28"/>
          <w:szCs w:val="28"/>
          <w:lang w:bidi="ar-SA"/>
        </w:rPr>
        <w:t>、电费、取暖费</w:t>
      </w:r>
      <w:r>
        <w:rPr>
          <w:rFonts w:ascii="仿宋" w:eastAsia="仿宋" w:cs="Times New Roman" w:hAnsi="仿宋" w:hint="eastAsia"/>
          <w:sz w:val="28"/>
          <w:szCs w:val="28"/>
          <w:lang w:bidi="ar-SA"/>
        </w:rPr>
        <w:t>、公务用车运行维护费等</w:t>
      </w:r>
      <w:r>
        <w:rPr>
          <w:rFonts w:ascii="仿宋" w:eastAsia="仿宋" w:cs="Times New Roman" w:hAnsi="仿宋" w:hint="eastAsia"/>
          <w:sz w:val="28"/>
          <w:szCs w:val="28"/>
          <w:lang w:bidi="ar-SA"/>
        </w:rPr>
        <w:t>日常运行支出。</w:t>
      </w:r>
    </w:p>
    <w:p>
      <w:pPr>
        <w:autoSpaceDE w:val="0"/>
        <w:autoSpaceDN w:val="0"/>
        <w:adjustRightInd w:val="0"/>
        <w:spacing w:line="560" w:lineRule="exact"/>
        <w:ind w:left="198" w:firstLineChars="200" w:firstLine="640"/>
        <w:jc w:val="left"/>
        <w:rPr>
          <w:rFonts w:ascii="黑体" w:eastAsia="黑体" w:cs="Times New Roman" w:hAnsi="黑体" w:hint="eastAsia"/>
          <w:sz w:val="32"/>
          <w:szCs w:val="32"/>
          <w:lang w:bidi="ar-SA"/>
        </w:rPr>
      </w:pPr>
      <w:r>
        <w:rPr>
          <w:rFonts w:ascii="黑体" w:eastAsia="黑体" w:cs="Times New Roman" w:hAnsi="黑体" w:hint="eastAsia"/>
          <w:sz w:val="32"/>
          <w:szCs w:val="32"/>
          <w:lang w:bidi="ar-SA"/>
        </w:rPr>
        <w:t>四、财政拨款</w:t>
      </w:r>
      <w:r>
        <w:rPr>
          <w:rFonts w:ascii="黑体" w:eastAsia="黑体" w:cs="Times New Roman" w:hAnsi="黑体" w:hint="eastAsia"/>
          <w:sz w:val="32"/>
          <w:szCs w:val="32"/>
          <w:lang w:bidi="ar-SA"/>
        </w:rPr>
        <w:t>“</w:t>
      </w:r>
      <w:r>
        <w:rPr>
          <w:rFonts w:ascii="黑体" w:eastAsia="黑体" w:cs="Times New Roman" w:hAnsi="黑体" w:hint="eastAsia"/>
          <w:sz w:val="32"/>
          <w:szCs w:val="32"/>
          <w:lang w:bidi="ar-SA"/>
        </w:rPr>
        <w:t>三公</w:t>
      </w:r>
      <w:r>
        <w:rPr>
          <w:rFonts w:ascii="黑体" w:eastAsia="黑体" w:cs="Times New Roman" w:hAnsi="黑体" w:hint="eastAsia"/>
          <w:sz w:val="32"/>
          <w:szCs w:val="32"/>
          <w:lang w:bidi="ar-SA"/>
        </w:rPr>
        <w:t>”</w:t>
      </w:r>
      <w:r>
        <w:rPr>
          <w:rFonts w:ascii="黑体" w:eastAsia="黑体" w:cs="Times New Roman" w:hAnsi="黑体" w:hint="eastAsia"/>
          <w:sz w:val="32"/>
          <w:szCs w:val="32"/>
          <w:lang w:bidi="ar-SA"/>
        </w:rPr>
        <w:t>经费预算情况及增减变化原因</w:t>
      </w:r>
    </w:p>
    <w:p>
      <w:pPr>
        <w:spacing w:line="560" w:lineRule="exact"/>
        <w:ind w:firstLineChars="300" w:firstLine="840"/>
        <w:rPr>
          <w:rFonts w:ascii="仿宋" w:eastAsia="仿宋" w:cs="Times New Roman" w:hAnsi="仿宋" w:hint="eastAsia"/>
          <w:color w:val="auto"/>
          <w:sz w:val="28"/>
          <w:szCs w:val="28"/>
          <w:lang w:bidi="ar-SA"/>
        </w:rPr>
      </w:pPr>
      <w:r>
        <w:rPr>
          <w:rFonts w:ascii="仿宋" w:eastAsia="仿宋" w:cs="Times New Roman" w:hAnsi="仿宋" w:hint="eastAsia"/>
          <w:color w:val="auto"/>
          <w:sz w:val="28"/>
          <w:szCs w:val="28"/>
          <w:lang w:bidi="ar-SA"/>
        </w:rPr>
        <w:t>2</w:t>
      </w:r>
      <w:r>
        <w:rPr>
          <w:rFonts w:ascii="仿宋" w:eastAsia="仿宋" w:cs="Times New Roman" w:hAnsi="仿宋" w:hint="eastAsia"/>
          <w:color w:val="auto"/>
          <w:sz w:val="28"/>
          <w:szCs w:val="28"/>
          <w:lang w:val="en-US" w:eastAsia="zh-CN" w:bidi="ar-SA"/>
        </w:rPr>
        <w:t>021</w:t>
      </w:r>
      <w:r>
        <w:rPr>
          <w:rFonts w:ascii="仿宋" w:eastAsia="仿宋" w:cs="Times New Roman" w:hAnsi="仿宋" w:hint="eastAsia"/>
          <w:color w:val="auto"/>
          <w:sz w:val="28"/>
          <w:szCs w:val="28"/>
          <w:lang w:bidi="ar-SA"/>
        </w:rPr>
        <w:t>年我</w:t>
      </w:r>
      <w:r>
        <w:rPr>
          <w:rFonts w:ascii="仿宋" w:eastAsia="仿宋" w:cs="Times New Roman" w:hAnsi="仿宋" w:hint="eastAsia"/>
          <w:color w:val="auto"/>
          <w:sz w:val="28"/>
          <w:szCs w:val="28"/>
          <w:lang w:bidi="ar-SA"/>
        </w:rPr>
        <w:t>单位</w:t>
      </w:r>
      <w:r>
        <w:rPr>
          <w:rFonts w:ascii="仿宋" w:eastAsia="仿宋" w:cs="Times New Roman" w:hAnsi="仿宋" w:hint="eastAsia"/>
          <w:color w:val="auto"/>
          <w:sz w:val="28"/>
          <w:szCs w:val="28"/>
          <w:lang w:bidi="ar-SA"/>
        </w:rPr>
        <w:t>“三公”经费预算安排2.09万元，与</w:t>
      </w:r>
      <w:r>
        <w:rPr>
          <w:rFonts w:ascii="仿宋" w:eastAsia="仿宋" w:cs="Times New Roman" w:hAnsi="仿宋" w:hint="eastAsia"/>
          <w:color w:val="auto"/>
          <w:sz w:val="28"/>
          <w:szCs w:val="28"/>
          <w:lang w:bidi="ar-SA"/>
        </w:rPr>
        <w:t>20</w:t>
      </w:r>
      <w:r>
        <w:rPr>
          <w:rFonts w:ascii="仿宋" w:eastAsia="仿宋" w:cs="Times New Roman" w:hAnsi="仿宋" w:hint="eastAsia"/>
          <w:color w:val="auto"/>
          <w:sz w:val="28"/>
          <w:szCs w:val="28"/>
          <w:lang w:val="en-US" w:eastAsia="zh-CN" w:bidi="ar-SA"/>
        </w:rPr>
        <w:t>20</w:t>
      </w:r>
      <w:r>
        <w:rPr>
          <w:rFonts w:ascii="仿宋" w:eastAsia="仿宋" w:cs="Times New Roman" w:hAnsi="仿宋" w:hint="eastAsia"/>
          <w:color w:val="auto"/>
          <w:sz w:val="28"/>
          <w:szCs w:val="28"/>
          <w:lang w:bidi="ar-SA"/>
        </w:rPr>
        <w:t>年相比持平，无增减变化。具体安排情况为：</w:t>
      </w:r>
      <w:r>
        <w:rPr>
          <w:rFonts w:ascii="仿宋" w:eastAsia="仿宋" w:cs="Times New Roman" w:hAnsi="仿宋" w:hint="eastAsia"/>
          <w:color w:val="auto"/>
          <w:sz w:val="28"/>
          <w:szCs w:val="28"/>
          <w:lang w:bidi="ar-SA"/>
        </w:rPr>
        <w:t xml:space="preserve"> </w:t>
      </w:r>
    </w:p>
    <w:p>
      <w:pPr>
        <w:spacing w:line="560" w:lineRule="exact"/>
        <w:ind w:firstLineChars="200" w:firstLine="560"/>
        <w:rPr>
          <w:rFonts w:ascii="仿宋" w:eastAsia="仿宋" w:cs="Times New Roman" w:hAnsi="仿宋" w:hint="eastAsia"/>
          <w:color w:val="auto"/>
          <w:sz w:val="28"/>
          <w:szCs w:val="28"/>
          <w:lang w:bidi="ar-SA"/>
        </w:rPr>
      </w:pPr>
      <w:r>
        <w:rPr>
          <w:rFonts w:ascii="仿宋" w:eastAsia="仿宋" w:cs="Times New Roman" w:hAnsi="仿宋" w:hint="eastAsia"/>
          <w:color w:val="auto"/>
          <w:sz w:val="28"/>
          <w:szCs w:val="28"/>
          <w:lang w:bidi="ar-SA"/>
        </w:rPr>
        <w:t>（一）公务用车购置及运行费。共计安排2.05万元，与</w:t>
      </w:r>
      <w:r>
        <w:rPr>
          <w:rFonts w:ascii="仿宋" w:eastAsia="仿宋" w:cs="Times New Roman" w:hAnsi="仿宋" w:hint="eastAsia"/>
          <w:color w:val="auto"/>
          <w:sz w:val="28"/>
          <w:szCs w:val="28"/>
          <w:lang w:bidi="ar-SA"/>
        </w:rPr>
        <w:t>20</w:t>
      </w:r>
      <w:r>
        <w:rPr>
          <w:rFonts w:ascii="仿宋" w:eastAsia="仿宋" w:cs="Times New Roman" w:hAnsi="仿宋" w:hint="eastAsia"/>
          <w:color w:val="auto"/>
          <w:sz w:val="28"/>
          <w:szCs w:val="28"/>
          <w:lang w:val="en-US" w:eastAsia="zh-CN" w:bidi="ar-SA"/>
        </w:rPr>
        <w:t>20</w:t>
      </w:r>
      <w:r>
        <w:rPr>
          <w:rFonts w:ascii="仿宋" w:eastAsia="仿宋" w:cs="Times New Roman" w:hAnsi="仿宋" w:hint="eastAsia"/>
          <w:color w:val="auto"/>
          <w:sz w:val="28"/>
          <w:szCs w:val="28"/>
          <w:lang w:bidi="ar-SA"/>
        </w:rPr>
        <w:t>年持平，无增减变化。其中①公务用车购置安排</w:t>
      </w:r>
      <w:r>
        <w:rPr>
          <w:rFonts w:ascii="仿宋" w:eastAsia="仿宋" w:cs="Times New Roman" w:hAnsi="仿宋" w:hint="eastAsia"/>
          <w:color w:val="auto"/>
          <w:sz w:val="28"/>
          <w:szCs w:val="28"/>
          <w:lang w:bidi="ar-SA"/>
        </w:rPr>
        <w:t>0</w:t>
      </w:r>
      <w:r>
        <w:rPr>
          <w:rFonts w:ascii="仿宋" w:eastAsia="仿宋" w:cs="Times New Roman" w:hAnsi="仿宋" w:hint="eastAsia"/>
          <w:color w:val="auto"/>
          <w:sz w:val="28"/>
          <w:szCs w:val="28"/>
          <w:lang w:bidi="ar-SA"/>
        </w:rPr>
        <w:t>万元，与</w:t>
      </w:r>
      <w:r>
        <w:rPr>
          <w:rFonts w:ascii="仿宋" w:eastAsia="仿宋" w:cs="Times New Roman" w:hAnsi="仿宋" w:hint="eastAsia"/>
          <w:color w:val="auto"/>
          <w:sz w:val="28"/>
          <w:szCs w:val="28"/>
          <w:lang w:bidi="ar-SA"/>
        </w:rPr>
        <w:t>20</w:t>
      </w:r>
      <w:r>
        <w:rPr>
          <w:rFonts w:ascii="仿宋" w:eastAsia="仿宋" w:cs="Times New Roman" w:hAnsi="仿宋" w:hint="eastAsia"/>
          <w:color w:val="auto"/>
          <w:sz w:val="28"/>
          <w:szCs w:val="28"/>
          <w:lang w:val="en-US" w:eastAsia="zh-CN" w:bidi="ar-SA"/>
        </w:rPr>
        <w:t>20</w:t>
      </w:r>
      <w:r>
        <w:rPr>
          <w:rFonts w:ascii="仿宋" w:eastAsia="仿宋" w:cs="Times New Roman" w:hAnsi="仿宋" w:hint="eastAsia"/>
          <w:color w:val="auto"/>
          <w:sz w:val="28"/>
          <w:szCs w:val="28"/>
          <w:lang w:bidi="ar-SA"/>
        </w:rPr>
        <w:t>年持平，无增减变化。②公车运行维护经费安排2.05万元，与</w:t>
      </w:r>
      <w:r>
        <w:rPr>
          <w:rFonts w:ascii="仿宋" w:eastAsia="仿宋" w:cs="Times New Roman" w:hAnsi="仿宋" w:hint="eastAsia"/>
          <w:color w:val="auto"/>
          <w:sz w:val="28"/>
          <w:szCs w:val="28"/>
          <w:lang w:bidi="ar-SA"/>
        </w:rPr>
        <w:t>20</w:t>
      </w:r>
      <w:r>
        <w:rPr>
          <w:rFonts w:ascii="仿宋" w:eastAsia="仿宋" w:cs="Times New Roman" w:hAnsi="仿宋" w:hint="eastAsia"/>
          <w:color w:val="auto"/>
          <w:sz w:val="28"/>
          <w:szCs w:val="28"/>
          <w:lang w:val="en-US" w:eastAsia="zh-CN" w:bidi="ar-SA"/>
        </w:rPr>
        <w:t>20</w:t>
      </w:r>
      <w:r>
        <w:rPr>
          <w:rFonts w:ascii="仿宋" w:eastAsia="仿宋" w:cs="Times New Roman" w:hAnsi="仿宋" w:hint="eastAsia"/>
          <w:color w:val="auto"/>
          <w:sz w:val="28"/>
          <w:szCs w:val="28"/>
          <w:lang w:bidi="ar-SA"/>
        </w:rPr>
        <w:t>年持平，无增减变化。</w:t>
      </w:r>
    </w:p>
    <w:p>
      <w:pPr>
        <w:spacing w:line="560" w:lineRule="exact"/>
        <w:ind w:firstLineChars="200" w:firstLine="560"/>
        <w:rPr>
          <w:rFonts w:ascii="仿宋" w:eastAsia="仿宋" w:cs="Times New Roman" w:hAnsi="仿宋" w:hint="eastAsia"/>
          <w:color w:val="auto"/>
          <w:sz w:val="28"/>
          <w:szCs w:val="28"/>
          <w:lang w:bidi="ar-SA"/>
        </w:rPr>
      </w:pPr>
      <w:r>
        <w:rPr>
          <w:rFonts w:ascii="仿宋" w:eastAsia="仿宋" w:cs="Times New Roman" w:hAnsi="仿宋" w:hint="eastAsia"/>
          <w:color w:val="auto"/>
          <w:sz w:val="28"/>
          <w:szCs w:val="28"/>
          <w:lang w:bidi="ar-SA"/>
        </w:rPr>
        <w:t>（二）公务接待费。安排0.04万元，与</w:t>
      </w:r>
      <w:r>
        <w:rPr>
          <w:rFonts w:ascii="仿宋" w:eastAsia="仿宋" w:cs="Times New Roman" w:hAnsi="仿宋" w:hint="eastAsia"/>
          <w:color w:val="auto"/>
          <w:sz w:val="28"/>
          <w:szCs w:val="28"/>
          <w:lang w:bidi="ar-SA"/>
        </w:rPr>
        <w:t>20</w:t>
      </w:r>
      <w:r>
        <w:rPr>
          <w:rFonts w:ascii="仿宋" w:eastAsia="仿宋" w:cs="Times New Roman" w:hAnsi="仿宋" w:hint="eastAsia"/>
          <w:color w:val="auto"/>
          <w:sz w:val="28"/>
          <w:szCs w:val="28"/>
          <w:lang w:val="en-US" w:eastAsia="zh-CN" w:bidi="ar-SA"/>
        </w:rPr>
        <w:t>20</w:t>
      </w:r>
      <w:r>
        <w:rPr>
          <w:rFonts w:ascii="仿宋" w:eastAsia="仿宋" w:cs="Times New Roman" w:hAnsi="仿宋" w:hint="eastAsia"/>
          <w:color w:val="auto"/>
          <w:sz w:val="28"/>
          <w:szCs w:val="28"/>
          <w:lang w:bidi="ar-SA"/>
        </w:rPr>
        <w:t>年持平，无增减变化</w:t>
      </w:r>
      <w:r>
        <w:rPr>
          <w:rFonts w:ascii="仿宋" w:eastAsia="仿宋" w:cs="Times New Roman" w:hAnsi="仿宋" w:hint="eastAsia"/>
          <w:color w:val="auto"/>
          <w:sz w:val="28"/>
          <w:szCs w:val="28"/>
          <w:lang w:bidi="ar-SA"/>
        </w:rPr>
        <w:t>。</w:t>
      </w:r>
    </w:p>
    <w:p>
      <w:pPr>
        <w:spacing w:line="560" w:lineRule="exact"/>
        <w:ind w:firstLineChars="200" w:firstLine="560"/>
        <w:rPr>
          <w:rFonts w:ascii="仿宋" w:eastAsia="仿宋" w:cs="Times New Roman" w:hAnsi="仿宋" w:hint="eastAsia"/>
          <w:color w:val="auto"/>
          <w:sz w:val="28"/>
          <w:szCs w:val="28"/>
          <w:lang w:bidi="ar-SA"/>
        </w:rPr>
      </w:pPr>
      <w:r>
        <w:rPr>
          <w:rFonts w:ascii="仿宋" w:eastAsia="仿宋" w:cs="Times New Roman" w:hAnsi="仿宋" w:hint="eastAsia"/>
          <w:color w:val="auto"/>
          <w:sz w:val="28"/>
          <w:szCs w:val="28"/>
          <w:lang w:bidi="ar-SA"/>
        </w:rPr>
        <w:t>（三）因公出国（境）费安排</w:t>
      </w:r>
      <w:r>
        <w:rPr>
          <w:rFonts w:ascii="仿宋" w:eastAsia="仿宋" w:cs="Times New Roman" w:hAnsi="仿宋" w:hint="eastAsia"/>
          <w:color w:val="auto"/>
          <w:sz w:val="28"/>
          <w:szCs w:val="28"/>
          <w:lang w:bidi="ar-SA"/>
        </w:rPr>
        <w:t>0</w:t>
      </w:r>
      <w:r>
        <w:rPr>
          <w:rFonts w:ascii="仿宋" w:eastAsia="仿宋" w:cs="Times New Roman" w:hAnsi="仿宋" w:hint="eastAsia"/>
          <w:color w:val="auto"/>
          <w:sz w:val="28"/>
          <w:szCs w:val="28"/>
          <w:lang w:bidi="ar-SA"/>
        </w:rPr>
        <w:t>万元，与</w:t>
      </w:r>
      <w:r>
        <w:rPr>
          <w:rFonts w:ascii="仿宋" w:eastAsia="仿宋" w:cs="Times New Roman" w:hAnsi="仿宋" w:hint="eastAsia"/>
          <w:color w:val="auto"/>
          <w:sz w:val="28"/>
          <w:szCs w:val="28"/>
          <w:lang w:bidi="ar-SA"/>
        </w:rPr>
        <w:t>20</w:t>
      </w:r>
      <w:r>
        <w:rPr>
          <w:rFonts w:ascii="仿宋" w:eastAsia="仿宋" w:cs="Times New Roman" w:hAnsi="仿宋" w:hint="eastAsia"/>
          <w:color w:val="auto"/>
          <w:sz w:val="28"/>
          <w:szCs w:val="28"/>
          <w:lang w:val="en-US" w:eastAsia="zh-CN" w:bidi="ar-SA"/>
        </w:rPr>
        <w:t>20</w:t>
      </w:r>
      <w:r>
        <w:rPr>
          <w:rFonts w:ascii="仿宋" w:eastAsia="仿宋" w:cs="Times New Roman" w:hAnsi="仿宋" w:hint="eastAsia"/>
          <w:color w:val="auto"/>
          <w:sz w:val="28"/>
          <w:szCs w:val="28"/>
          <w:lang w:bidi="ar-SA"/>
        </w:rPr>
        <w:t>年持平，无增减变化。</w:t>
      </w:r>
    </w:p>
    <w:p>
      <w:pPr>
        <w:spacing w:line="560" w:lineRule="exact"/>
        <w:ind w:firstLine="640"/>
        <w:rPr>
          <w:rFonts w:ascii="黑体" w:eastAsia="黑体" w:cs="Times New Roman" w:hAnsi="黑体" w:hint="eastAsia"/>
          <w:sz w:val="32"/>
          <w:szCs w:val="32"/>
          <w:lang w:bidi="ar-SA"/>
        </w:rPr>
      </w:pPr>
      <w:r>
        <w:rPr>
          <w:rFonts w:ascii="黑体" w:eastAsia="黑体" w:cs="Times New Roman" w:hAnsi="黑体" w:hint="eastAsia"/>
          <w:sz w:val="32"/>
          <w:szCs w:val="32"/>
          <w:lang w:bidi="ar-SA"/>
        </w:rPr>
        <w:t>五、绩效预算信息</w:t>
      </w:r>
    </w:p>
    <w:p>
      <w:pPr>
        <w:adjustRightInd w:val="0"/>
        <w:snapToGrid w:val="0"/>
        <w:spacing w:line="560" w:lineRule="exact"/>
        <w:ind w:firstLineChars="200" w:firstLine="640"/>
        <w:rPr>
          <w:rFonts w:ascii="楷体" w:eastAsia="楷体" w:cs="Times New Roman" w:hAnsi="楷体" w:hint="eastAsia"/>
          <w:b/>
          <w:sz w:val="32"/>
          <w:szCs w:val="32"/>
          <w:lang w:bidi="ar-SA"/>
        </w:rPr>
      </w:pPr>
      <w:bookmarkStart w:id="1" w:name="_Toc471398463"/>
      <w:r>
        <w:rPr>
          <w:rFonts w:ascii="楷体" w:eastAsia="楷体" w:cs="Times New Roman" w:hAnsi="楷体" w:hint="eastAsia"/>
          <w:b/>
          <w:sz w:val="32"/>
          <w:szCs w:val="32"/>
          <w:lang w:eastAsia="zh-CN" w:bidi="ar-SA"/>
        </w:rPr>
        <w:t>（一）</w:t>
      </w:r>
      <w:r>
        <w:rPr>
          <w:rFonts w:ascii="楷体" w:eastAsia="楷体" w:cs="Times New Roman" w:hAnsi="楷体" w:hint="eastAsia"/>
          <w:b/>
          <w:sz w:val="32"/>
          <w:szCs w:val="32"/>
          <w:lang w:bidi="ar-SA"/>
        </w:rPr>
        <w:t>总体绩效目标：</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按照国务院、河北省、唐山市及遵化市各级党委政府关于加快供销社综合改革与发展的文件精神，充分发挥好为“三农”服务的职能作用，以强化新型供销社建设和项目建设为重点，推进体制和组织机制创新，继续抓好新型乡镇供销社建设、农合联建设、农民专业合作社及联合社建设等，组织新型乡镇供销社、农民专业合作社、农产品经纪人、农资营销人员等搞好观摩交流、学习培训、规范提升等各项工作；继续做好农村产权流转交易中心工作，做好业务宣传，开展好农村产权交易各项业务，进一步规范农村产权交易行为，激活农村生产要素，提高农民收入，更好为“三农”服务；继续努力解决好改制企业历史遗留各种问题尤其是做好改制等退人员医疗保险费缴纳工作，保障职工合法权益，维护和扩大改制成果，为供销社改革与发展夯实基础；抓好供销社机关运行工作，做好各项政务性、事务性工作，做好信访接待、安全维稳、业务宣传、机关财务和资产管理、政务信息公开、人事管理等各项工作，保障机关工作正常、高效运转。</w:t>
      </w:r>
    </w:p>
    <w:p>
      <w:pPr>
        <w:spacing w:line="560" w:lineRule="exact"/>
        <w:ind w:firstLineChars="200" w:firstLine="640"/>
        <w:rPr>
          <w:rFonts w:ascii="方正楷体简体" w:eastAsia="方正楷体简体" w:cs="方正楷体简体" w:hAnsi="方正楷体简体" w:hint="eastAsia"/>
          <w:b/>
          <w:bCs/>
          <w:sz w:val="32"/>
          <w:szCs w:val="32"/>
          <w:lang w:eastAsia="zh-CN" w:bidi="ar-SA"/>
        </w:rPr>
      </w:pPr>
      <w:r>
        <w:rPr>
          <w:rFonts w:ascii="方正楷体简体" w:eastAsia="方正楷体简体" w:cs="方正楷体简体" w:hAnsi="方正楷体简体" w:hint="eastAsia"/>
          <w:b/>
          <w:bCs/>
          <w:sz w:val="32"/>
          <w:szCs w:val="32"/>
          <w:lang w:eastAsia="zh-CN" w:bidi="ar-SA"/>
        </w:rPr>
        <w:t>（二）</w:t>
      </w:r>
      <w:r>
        <w:rPr>
          <w:rFonts w:ascii="方正楷体简体" w:eastAsia="方正楷体简体" w:cs="方正楷体简体" w:hAnsi="方正楷体简体" w:hint="eastAsia"/>
          <w:b/>
          <w:bCs/>
          <w:sz w:val="32"/>
          <w:szCs w:val="32"/>
          <w:lang w:bidi="ar-SA"/>
        </w:rPr>
        <w:t>分项绩效目标</w:t>
      </w:r>
      <w:r>
        <w:rPr>
          <w:rFonts w:ascii="方正楷体简体" w:eastAsia="方正楷体简体" w:cs="方正楷体简体" w:hAnsi="方正楷体简体" w:hint="eastAsia"/>
          <w:b/>
          <w:bCs/>
          <w:sz w:val="32"/>
          <w:szCs w:val="32"/>
          <w:lang w:eastAsia="zh-CN" w:bidi="ar-SA"/>
        </w:rPr>
        <w:t>：</w:t>
      </w:r>
    </w:p>
    <w:p>
      <w:pPr>
        <w:spacing w:line="560" w:lineRule="exact"/>
        <w:ind w:firstLineChars="200" w:firstLine="560"/>
        <w:rPr>
          <w:rFonts w:ascii="仿宋" w:eastAsia="仿宋" w:cs="Times New Roman" w:hAnsi="仿宋" w:hint="eastAsia"/>
          <w:b/>
          <w:bCs/>
          <w:sz w:val="28"/>
          <w:szCs w:val="28"/>
          <w:lang w:bidi="ar-SA"/>
        </w:rPr>
      </w:pPr>
      <w:r>
        <w:rPr>
          <w:rFonts w:ascii="仿宋" w:eastAsia="仿宋" w:cs="Times New Roman" w:hAnsi="仿宋" w:hint="eastAsia"/>
          <w:b/>
          <w:bCs/>
          <w:sz w:val="28"/>
          <w:szCs w:val="28"/>
          <w:lang w:val="en-US" w:eastAsia="zh-CN" w:bidi="ar-SA"/>
        </w:rPr>
        <w:t>1.</w:t>
      </w:r>
      <w:r>
        <w:rPr>
          <w:rFonts w:ascii="仿宋" w:eastAsia="仿宋" w:cs="Times New Roman" w:hAnsi="仿宋" w:hint="eastAsia"/>
          <w:b/>
          <w:bCs/>
          <w:sz w:val="28"/>
          <w:szCs w:val="28"/>
          <w:lang w:bidi="ar-SA"/>
        </w:rPr>
        <w:t>社有资产运营管理</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确保社有资产管理规范、科学，社有资产运行平稳、安全、高效。</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社有资产利用率（本年社有资产利用占全部社有资产利用的比例），优（≥90%）、良（≥85%）、中（≥75%）、差（＜75%）。</w:t>
      </w:r>
    </w:p>
    <w:p>
      <w:pPr>
        <w:spacing w:line="560" w:lineRule="exact"/>
        <w:ind w:firstLineChars="200" w:firstLine="560"/>
        <w:rPr>
          <w:rFonts w:ascii="仿宋" w:eastAsia="仿宋" w:cs="Times New Roman" w:hAnsi="仿宋" w:hint="eastAsia"/>
          <w:b/>
          <w:bCs/>
          <w:sz w:val="28"/>
          <w:szCs w:val="28"/>
          <w:lang w:bidi="ar-SA"/>
        </w:rPr>
      </w:pPr>
      <w:r>
        <w:rPr>
          <w:rFonts w:ascii="仿宋" w:eastAsia="仿宋" w:cs="Times New Roman" w:hAnsi="仿宋" w:hint="eastAsia"/>
          <w:b/>
          <w:bCs/>
          <w:sz w:val="28"/>
          <w:szCs w:val="28"/>
          <w:lang w:val="en-US" w:eastAsia="zh-CN" w:bidi="ar-SA"/>
        </w:rPr>
        <w:t>2.</w:t>
      </w:r>
      <w:r>
        <w:rPr>
          <w:rFonts w:ascii="仿宋" w:eastAsia="仿宋" w:cs="Times New Roman" w:hAnsi="仿宋" w:hint="eastAsia"/>
          <w:b/>
          <w:bCs/>
          <w:sz w:val="28"/>
          <w:szCs w:val="28"/>
          <w:lang w:bidi="ar-SA"/>
        </w:rPr>
        <w:t>发展现代流通网络建设及管理</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推进农资、农副产品、日用消费品、再生资源回收利用四大网络建设，加快形成连锁化、规模化、品牌化经营服务新格局。规范农村产权交易行为，发展农村电子商务，形成网上交易、仓储物流、终端配送一体化经营，推动线上线下融合发展。</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连锁经营销售额占全市供销社销售额比重（年末连锁经营销售额占全市供销社销售总额的比例），优（≥3%）、良（≥2%）、中（≥1%）、差（＜1%）。</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推进农资、农副产品、日用消费品、再生资源回收利用四大网络，加快形成连锁化、规模化、品牌化经营服务新格局。规范农村产权交易行为，发展农村电子商务，形成网上交易、仓储物流、终端配送一体化经营，推动线上线下融合发展。</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全市供销社流通网络购销总额增长率（本年度供销社流通网络购销总额同上一年度供销社流通网络购销总额差值的比例），优（≥2%）、良（≥1.5%）、中（≥1%）、差（＜1%）。</w:t>
      </w:r>
    </w:p>
    <w:p>
      <w:pPr>
        <w:spacing w:line="560" w:lineRule="exact"/>
        <w:ind w:firstLineChars="200" w:firstLine="560"/>
        <w:rPr>
          <w:rFonts w:ascii="仿宋" w:eastAsia="仿宋" w:cs="Times New Roman" w:hAnsi="仿宋" w:hint="eastAsia"/>
          <w:b/>
          <w:bCs/>
          <w:sz w:val="28"/>
          <w:szCs w:val="28"/>
          <w:lang w:bidi="ar-SA"/>
        </w:rPr>
      </w:pPr>
      <w:r>
        <w:rPr>
          <w:rFonts w:ascii="仿宋" w:eastAsia="仿宋" w:cs="Times New Roman" w:hAnsi="仿宋" w:hint="eastAsia"/>
          <w:b/>
          <w:bCs/>
          <w:sz w:val="28"/>
          <w:szCs w:val="28"/>
          <w:lang w:val="en-US" w:eastAsia="zh-CN" w:bidi="ar-SA"/>
        </w:rPr>
        <w:t>3.</w:t>
      </w:r>
      <w:r>
        <w:rPr>
          <w:rFonts w:ascii="仿宋" w:eastAsia="仿宋" w:cs="Times New Roman" w:hAnsi="仿宋" w:hint="eastAsia"/>
          <w:b/>
          <w:bCs/>
          <w:sz w:val="28"/>
          <w:szCs w:val="28"/>
          <w:lang w:bidi="ar-SA"/>
        </w:rPr>
        <w:t>组织体系建设</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推动供销农民合作社联合社建设。</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带动区域内产业发展个数（带动区域内产业发展情况），优（3）、良（2）、中（1）、差（0）。</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推动供销农民合作社联合社建设。</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联合农民专业合作社个数（联合农民专业合作社的情况），优（6）、良（5）、中（3）、差（2）。</w:t>
      </w:r>
    </w:p>
    <w:p>
      <w:pPr>
        <w:spacing w:line="560" w:lineRule="exact"/>
        <w:ind w:firstLineChars="200" w:firstLine="560"/>
        <w:rPr>
          <w:rFonts w:ascii="仿宋" w:eastAsia="仿宋" w:cs="Times New Roman" w:hAnsi="仿宋" w:hint="eastAsia"/>
          <w:b/>
          <w:bCs/>
          <w:sz w:val="28"/>
          <w:szCs w:val="28"/>
          <w:lang w:bidi="ar-SA"/>
        </w:rPr>
      </w:pPr>
      <w:r>
        <w:rPr>
          <w:rFonts w:ascii="仿宋" w:eastAsia="仿宋" w:cs="Times New Roman" w:hAnsi="仿宋" w:hint="eastAsia"/>
          <w:b/>
          <w:bCs/>
          <w:sz w:val="28"/>
          <w:szCs w:val="28"/>
          <w:lang w:val="en-US" w:eastAsia="zh-CN" w:bidi="ar-SA"/>
        </w:rPr>
        <w:t>4.</w:t>
      </w:r>
      <w:r>
        <w:rPr>
          <w:rFonts w:ascii="仿宋" w:eastAsia="仿宋" w:cs="Times New Roman" w:hAnsi="仿宋" w:hint="eastAsia"/>
          <w:b/>
          <w:bCs/>
          <w:sz w:val="28"/>
          <w:szCs w:val="28"/>
          <w:lang w:bidi="ar-SA"/>
        </w:rPr>
        <w:t>服务体系建设</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示范性培训新型农民和农村实用技能人才人次（示范性培训新型农民和农村实用技能人才情况），优（200以上）、良（150）、中（100）、差（100以下）。</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服务体系覆盖率（服务体系在所有行政村中的覆盖比率），优（≥20%）、良（≥15%）、中（≥5%）、差（＜5%）。</w:t>
      </w:r>
    </w:p>
    <w:p>
      <w:pPr>
        <w:spacing w:line="560" w:lineRule="exact"/>
        <w:ind w:firstLineChars="200" w:firstLine="560"/>
        <w:rPr>
          <w:rFonts w:ascii="仿宋" w:eastAsia="仿宋" w:cs="Times New Roman" w:hAnsi="仿宋" w:hint="eastAsia"/>
          <w:b/>
          <w:bCs/>
          <w:sz w:val="28"/>
          <w:szCs w:val="28"/>
          <w:lang w:bidi="ar-SA"/>
        </w:rPr>
      </w:pPr>
      <w:r>
        <w:rPr>
          <w:rFonts w:ascii="仿宋" w:eastAsia="仿宋" w:cs="Times New Roman" w:hAnsi="仿宋" w:hint="eastAsia"/>
          <w:b/>
          <w:bCs/>
          <w:sz w:val="28"/>
          <w:szCs w:val="28"/>
          <w:lang w:val="en-US" w:eastAsia="zh-CN" w:bidi="ar-SA"/>
        </w:rPr>
        <w:t>5.</w:t>
      </w:r>
      <w:r>
        <w:rPr>
          <w:rFonts w:ascii="仿宋" w:eastAsia="仿宋" w:cs="Times New Roman" w:hAnsi="仿宋" w:hint="eastAsia"/>
          <w:b/>
          <w:bCs/>
          <w:sz w:val="28"/>
          <w:szCs w:val="28"/>
          <w:lang w:bidi="ar-SA"/>
        </w:rPr>
        <w:t>综合业务管理</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确保各项业务工作谋划到位、顺利开展。</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系统业务活动完成率（系统业务活动完成程度），优（≥90%）、良（≥80%）、中（≥60%）、差（＜60%）。</w:t>
      </w:r>
    </w:p>
    <w:p>
      <w:pPr>
        <w:spacing w:line="560" w:lineRule="exact"/>
        <w:ind w:firstLineChars="200" w:firstLine="560"/>
        <w:rPr>
          <w:rFonts w:ascii="仿宋" w:eastAsia="仿宋" w:cs="Times New Roman" w:hAnsi="仿宋" w:hint="eastAsia"/>
          <w:b/>
          <w:bCs/>
          <w:sz w:val="28"/>
          <w:szCs w:val="28"/>
          <w:lang w:bidi="ar-SA"/>
        </w:rPr>
      </w:pPr>
      <w:r>
        <w:rPr>
          <w:rFonts w:ascii="仿宋" w:eastAsia="仿宋" w:cs="Times New Roman" w:hAnsi="仿宋" w:hint="eastAsia"/>
          <w:b/>
          <w:bCs/>
          <w:sz w:val="28"/>
          <w:szCs w:val="28"/>
          <w:lang w:val="en-US" w:eastAsia="zh-CN" w:bidi="ar-SA"/>
        </w:rPr>
        <w:t>6.</w:t>
      </w:r>
      <w:r>
        <w:rPr>
          <w:rFonts w:ascii="仿宋" w:eastAsia="仿宋" w:cs="Times New Roman" w:hAnsi="仿宋" w:hint="eastAsia"/>
          <w:b/>
          <w:bCs/>
          <w:sz w:val="28"/>
          <w:szCs w:val="28"/>
          <w:lang w:bidi="ar-SA"/>
        </w:rPr>
        <w:t>综合事务管理</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绩效目标：</w:t>
      </w:r>
      <w:r>
        <w:rPr>
          <w:rFonts w:ascii="仿宋" w:eastAsia="仿宋" w:cs="Times New Roman" w:hAnsi="仿宋" w:hint="eastAsia"/>
          <w:sz w:val="28"/>
          <w:szCs w:val="28"/>
          <w:lang w:bidi="ar-SA"/>
        </w:rPr>
        <w:t>保障机关工作正常高效运转。</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绩效指标：</w:t>
      </w:r>
      <w:r>
        <w:rPr>
          <w:rFonts w:ascii="仿宋" w:eastAsia="仿宋" w:cs="Times New Roman" w:hAnsi="仿宋" w:hint="eastAsia"/>
          <w:sz w:val="28"/>
          <w:szCs w:val="28"/>
          <w:lang w:bidi="ar-SA"/>
        </w:rPr>
        <w:t>综合行政事务办结率（行政性事务的办理完成情况），优（≥90%）、良（≥80%）、中（≥60%）、差（＜60%）。</w:t>
      </w:r>
    </w:p>
    <w:p>
      <w:pPr>
        <w:spacing w:line="560" w:lineRule="exact"/>
        <w:ind w:firstLineChars="200" w:firstLine="640"/>
        <w:rPr>
          <w:rFonts w:ascii="方正楷体简体" w:eastAsia="方正楷体简体" w:cs="方正楷体简体" w:hAnsi="方正楷体简体" w:hint="eastAsia"/>
          <w:b/>
          <w:bCs/>
          <w:sz w:val="32"/>
          <w:szCs w:val="32"/>
          <w:lang w:bidi="ar-SA"/>
        </w:rPr>
      </w:pPr>
      <w:r>
        <w:rPr>
          <w:rFonts w:ascii="方正楷体简体" w:eastAsia="方正楷体简体" w:cs="方正楷体简体" w:hAnsi="方正楷体简体" w:hint="eastAsia"/>
          <w:b/>
          <w:bCs/>
          <w:sz w:val="32"/>
          <w:szCs w:val="32"/>
          <w:lang w:eastAsia="zh-CN" w:bidi="ar-SA"/>
        </w:rPr>
        <w:t>（三）</w:t>
      </w:r>
      <w:r>
        <w:rPr>
          <w:rFonts w:ascii="方正楷体简体" w:eastAsia="方正楷体简体" w:cs="方正楷体简体" w:hAnsi="方正楷体简体" w:hint="eastAsia"/>
          <w:b/>
          <w:bCs/>
          <w:sz w:val="32"/>
          <w:szCs w:val="32"/>
          <w:lang w:bidi="ar-SA"/>
        </w:rPr>
        <w:t>工作保障措施</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1.完善制度建设。</w:t>
      </w:r>
      <w:r>
        <w:rPr>
          <w:rFonts w:ascii="仿宋" w:eastAsia="仿宋" w:cs="Times New Roman" w:hAnsi="仿宋" w:hint="eastAsia"/>
          <w:sz w:val="28"/>
          <w:szCs w:val="28"/>
          <w:lang w:bidi="ar-SA"/>
        </w:rPr>
        <w:t>在不断完善《内部控制手册》建设的同时，注重制定和完善预算绩效管理制度、资金管理办法、工作保障制度等，为全年预算绩效目标的实现奠定制度基础。</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2.加强支出管理。</w:t>
      </w:r>
      <w:r>
        <w:rPr>
          <w:rFonts w:ascii="仿宋" w:eastAsia="仿宋" w:cs="Times New Roman" w:hAnsi="仿宋" w:hint="eastAsia"/>
          <w:sz w:val="28"/>
          <w:szCs w:val="28"/>
          <w:lang w:bidi="ar-SA"/>
        </w:rPr>
        <w:t>通过优化支出结构、编细编实预算、加快履行政府采购手续、尽快启动项目、及时支付资金、按规定及时下达资金等多种措施，确保支出进度达标。</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3.加强绩效运行监控。</w:t>
      </w:r>
      <w:r>
        <w:rPr>
          <w:rFonts w:ascii="仿宋" w:eastAsia="仿宋" w:cs="Times New Roman" w:hAnsi="仿宋" w:hint="eastAsia"/>
          <w:sz w:val="28"/>
          <w:szCs w:val="28"/>
          <w:lang w:bidi="ar-SA"/>
        </w:rPr>
        <w:t>按要求开展绩效运行监控，发现问题及时采取措施，确保绩效目标如期保质实现。</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4.做好绩效自评。</w:t>
      </w:r>
      <w:r>
        <w:rPr>
          <w:rFonts w:ascii="仿宋" w:eastAsia="仿宋" w:cs="Times New Roman" w:hAnsi="仿宋" w:hint="eastAsia"/>
          <w:sz w:val="28"/>
          <w:szCs w:val="28"/>
          <w:lang w:bidi="ar-SA"/>
        </w:rPr>
        <w:t>按时间节点要求，开展好</w:t>
      </w:r>
      <w:r>
        <w:rPr>
          <w:rFonts w:ascii="仿宋" w:eastAsia="仿宋" w:cs="Times New Roman" w:hAnsi="仿宋" w:hint="eastAsia"/>
          <w:sz w:val="28"/>
          <w:szCs w:val="28"/>
          <w:lang w:bidi="ar-SA"/>
        </w:rPr>
        <w:t>单位</w:t>
      </w:r>
      <w:r>
        <w:rPr>
          <w:rFonts w:ascii="仿宋" w:eastAsia="仿宋" w:cs="Times New Roman" w:hAnsi="仿宋" w:hint="eastAsia"/>
          <w:sz w:val="28"/>
          <w:szCs w:val="28"/>
          <w:lang w:bidi="ar-SA"/>
        </w:rPr>
        <w:t>预算绩效自评和重点评价工作，对评价中发现的问题及时整改，调整优化支出结构，提高财政资金使用效益。</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5.规范财务资产管理。</w:t>
      </w:r>
      <w:r>
        <w:rPr>
          <w:rFonts w:ascii="仿宋" w:eastAsia="仿宋" w:cs="Times New Roman" w:hAnsi="仿宋" w:hint="eastAsia"/>
          <w:sz w:val="28"/>
          <w:szCs w:val="28"/>
          <w:lang w:bidi="ar-SA"/>
        </w:rPr>
        <w:t>完善财务管理制度，严格审批程序，加强固定资产登记、使用和报废处置管理，做到支出合理，物尽其用。</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6.加强内部监督。</w:t>
      </w:r>
      <w:r>
        <w:rPr>
          <w:rFonts w:ascii="仿宋" w:eastAsia="仿宋" w:cs="Times New Roman" w:hAnsi="仿宋" w:hint="eastAsia"/>
          <w:sz w:val="28"/>
          <w:szCs w:val="28"/>
          <w:lang w:bidi="ar-SA"/>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b/>
          <w:bCs/>
          <w:sz w:val="28"/>
          <w:szCs w:val="28"/>
          <w:lang w:bidi="ar-SA"/>
        </w:rPr>
        <w:t>7.加强宣传培训调研等。</w:t>
      </w:r>
      <w:r>
        <w:rPr>
          <w:rFonts w:ascii="仿宋" w:eastAsia="仿宋" w:cs="Times New Roman" w:hAnsi="仿宋" w:hint="eastAsia"/>
          <w:sz w:val="28"/>
          <w:szCs w:val="28"/>
          <w:lang w:bidi="ar-SA"/>
        </w:rPr>
        <w:t>加强人员培训，提高本</w:t>
      </w:r>
      <w:r>
        <w:rPr>
          <w:rFonts w:ascii="仿宋" w:eastAsia="仿宋" w:cs="Times New Roman" w:hAnsi="仿宋" w:hint="eastAsia"/>
          <w:sz w:val="28"/>
          <w:szCs w:val="28"/>
          <w:lang w:bidi="ar-SA"/>
        </w:rPr>
        <w:t>单位</w:t>
      </w:r>
      <w:r>
        <w:rPr>
          <w:rFonts w:ascii="仿宋" w:eastAsia="仿宋" w:cs="Times New Roman" w:hAnsi="仿宋" w:hint="eastAsia"/>
          <w:sz w:val="28"/>
          <w:szCs w:val="28"/>
          <w:lang w:bidi="ar-SA"/>
        </w:rPr>
        <w:t>职工业务素质；加强调研，提出优化财政资金配置、提高资金使用效益的意见意见；加大宣传力度，强化预算绩效管理意识，促进预算绩效管理水平进一步提升。</w:t>
      </w:r>
    </w:p>
    <w:p>
      <w:pPr>
        <w:spacing w:line="560" w:lineRule="exact"/>
        <w:ind w:firstLineChars="200" w:firstLine="560"/>
        <w:rPr>
          <w:rFonts w:ascii="方正楷体简体" w:eastAsia="方正楷体简体" w:cs="方正楷体简体" w:hAnsi="方正楷体简体" w:hint="eastAsia"/>
          <w:b/>
          <w:bCs/>
          <w:sz w:val="28"/>
          <w:szCs w:val="28"/>
          <w:lang w:eastAsia="zh-CN" w:bidi="ar-SA"/>
        </w:rPr>
      </w:pPr>
      <w:r>
        <w:rPr>
          <w:rFonts w:ascii="方正楷体简体" w:eastAsia="方正楷体简体" w:cs="方正楷体简体" w:hAnsi="方正楷体简体" w:hint="eastAsia"/>
          <w:b/>
          <w:bCs/>
          <w:sz w:val="28"/>
          <w:szCs w:val="28"/>
          <w:lang w:eastAsia="zh-CN" w:bidi="ar-SA"/>
        </w:rPr>
        <w:t>（四）预算项目绩效目标表：</w:t>
      </w:r>
    </w:p>
    <w:p>
      <w:pPr>
        <w:spacing w:line="560" w:lineRule="exact"/>
        <w:ind w:firstLineChars="200" w:firstLine="560"/>
        <w:rPr>
          <w:rFonts w:ascii="方正楷体简体" w:eastAsia="方正楷体简体" w:cs="方正楷体简体" w:hAnsi="方正楷体简体" w:hint="eastAsia"/>
          <w:b/>
          <w:bCs/>
          <w:sz w:val="28"/>
          <w:szCs w:val="28"/>
          <w:lang w:eastAsia="zh-CN" w:bidi="ar-SA"/>
        </w:rPr>
      </w:pPr>
    </w:p>
    <w:p>
      <w:pPr>
        <w:keepNext w:val="0"/>
        <w:keepLines w:val="0"/>
        <w:pageBreakBefore w:val="0"/>
        <w:widowControl w:val="0"/>
        <w:numPr>
          <w:ilvl w:val="0"/>
          <w:numId w:val="1"/>
        </w:numPr>
        <w:tabs>
          <w:tab w:val="clear" w:pos="312"/>
          <w:tab w:val="left" w:pos="312"/>
        </w:tabs>
        <w:kinsoku/>
        <w:wordWrap/>
        <w:overflowPunct/>
        <w:topLinePunct w:val="0"/>
        <w:autoSpaceDE/>
        <w:autoSpaceDN/>
        <w:bidi w:val="0"/>
        <w:adjustRightInd/>
        <w:snapToGrid/>
        <w:spacing w:line="580" w:lineRule="exact"/>
        <w:ind w:left="0" w:firstLineChars="200" w:firstLine="560"/>
        <w:jc w:val="both"/>
        <w:textAlignment w:val="auto"/>
        <w:rPr>
          <w:rFonts w:ascii="方正仿宋简体" w:eastAsia="方正仿宋简体" w:cs="方正仿宋简体" w:hAnsi="方正仿宋简体" w:hint="eastAsia"/>
          <w:b/>
          <w:bCs/>
          <w:sz w:val="28"/>
          <w:szCs w:val="28"/>
          <w:lang w:val="en-US" w:eastAsia="zh-CN" w:bidi="ar-SA"/>
        </w:rPr>
      </w:pPr>
      <w:r>
        <w:rPr>
          <w:rFonts w:ascii="方正仿宋简体" w:eastAsia="方正仿宋简体" w:cs="方正仿宋简体" w:hAnsi="方正仿宋简体" w:hint="eastAsia"/>
          <w:b/>
          <w:bCs/>
          <w:sz w:val="28"/>
          <w:szCs w:val="28"/>
          <w:lang w:val="en-US" w:eastAsia="zh-CN" w:bidi="ar-SA"/>
        </w:rPr>
        <w:t>供销社人员类项目绩效表</w:t>
      </w:r>
    </w:p>
    <w:tbl>
      <w:tblPr>
        <w:jc w:val="center"/>
        <w:tblW w:w="1374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36"/>
        <w:gridCol w:w="1003"/>
        <w:gridCol w:w="1003"/>
        <w:gridCol w:w="1929"/>
        <w:gridCol w:w="2133"/>
        <w:gridCol w:w="1477"/>
        <w:gridCol w:w="1320"/>
        <w:gridCol w:w="413"/>
        <w:gridCol w:w="589"/>
        <w:gridCol w:w="1397"/>
        <w:gridCol w:w="1940"/>
      </w:tblGrid>
      <w:tr>
        <w:trPr>
          <w:trHeight w:val="90"/>
        </w:trPr>
        <w:tc>
          <w:tcPr>
            <w:tcW w:w="13740" w:type="dxa"/>
            <w:gridSpan w:val="11"/>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36"/>
                <w:szCs w:val="36"/>
                <w:u w:val="none"/>
                <w:lang w:bidi="ar-SA"/>
              </w:rPr>
            </w:pPr>
            <w:r>
              <w:rPr>
                <w:rFonts w:ascii="宋体" w:eastAsia="宋体" w:cs="宋体" w:hAnsi="宋体" w:hint="eastAsia"/>
                <w:b/>
                <w:color w:val="000000"/>
                <w:kern w:val="0"/>
                <w:sz w:val="32"/>
                <w:szCs w:val="32"/>
                <w:u w:val="none"/>
                <w:lang w:val="en-US" w:eastAsia="zh-CN" w:bidi="ar-SA"/>
              </w:rPr>
              <w:t>预算项目绩效表</w:t>
            </w:r>
          </w:p>
        </w:tc>
      </w:tr>
      <w:tr>
        <w:trPr>
          <w:trHeight w:val="90"/>
        </w:trPr>
        <w:tc>
          <w:tcPr>
            <w:tcW w:w="536" w:type="dxa"/>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序号</w:t>
            </w:r>
          </w:p>
        </w:tc>
        <w:tc>
          <w:tcPr>
            <w:tcW w:w="7545" w:type="dxa"/>
            <w:gridSpan w:val="5"/>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项目编码及名称：[13028121F5625E7PFYD8W]人员类项目</w:t>
            </w:r>
          </w:p>
        </w:tc>
        <w:tc>
          <w:tcPr>
            <w:tcW w:w="1320" w:type="dxa"/>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预算年度：2021</w:t>
            </w:r>
          </w:p>
        </w:tc>
        <w:tc>
          <w:tcPr>
            <w:tcW w:w="4339" w:type="dxa"/>
            <w:gridSpan w:val="4"/>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金额单位：万元</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栏次</w:t>
            </w:r>
          </w:p>
        </w:tc>
        <w:tc>
          <w:tcPr>
            <w:tcW w:w="1003"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w:t>
            </w:r>
          </w:p>
        </w:tc>
        <w:tc>
          <w:tcPr>
            <w:tcW w:w="1003"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w:t>
            </w:r>
          </w:p>
        </w:tc>
        <w:tc>
          <w:tcPr>
            <w:tcW w:w="1929"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w:t>
            </w:r>
          </w:p>
        </w:tc>
        <w:tc>
          <w:tcPr>
            <w:tcW w:w="2133"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1477"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1320"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1397"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1940"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项目编码</w:t>
            </w:r>
          </w:p>
        </w:tc>
        <w:tc>
          <w:tcPr>
            <w:tcW w:w="5065"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13028121F5625E7PFYD8W</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项目名称</w:t>
            </w:r>
          </w:p>
        </w:tc>
        <w:tc>
          <w:tcPr>
            <w:tcW w:w="5659" w:type="dxa"/>
            <w:gridSpan w:val="5"/>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人员类项目</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6068"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项目绩效模板</w:t>
            </w:r>
          </w:p>
        </w:tc>
        <w:tc>
          <w:tcPr>
            <w:tcW w:w="7136" w:type="dxa"/>
            <w:gridSpan w:val="6"/>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资金用途</w:t>
            </w:r>
          </w:p>
        </w:tc>
        <w:tc>
          <w:tcPr>
            <w:tcW w:w="12201" w:type="dxa"/>
            <w:gridSpan w:val="9"/>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资金用途234.90万元,其中:财政资金234.90万元,其他0万元。用于遵化市供销合作社机关全额事业人员工资及保险等人员类经费支出。</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100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资金支出计划</w:t>
            </w:r>
          </w:p>
        </w:tc>
        <w:tc>
          <w:tcPr>
            <w:tcW w:w="293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3月底</w:t>
            </w:r>
          </w:p>
        </w:tc>
        <w:tc>
          <w:tcPr>
            <w:tcW w:w="3610"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6月底</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10月底</w:t>
            </w:r>
          </w:p>
        </w:tc>
        <w:tc>
          <w:tcPr>
            <w:tcW w:w="4339"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12月底</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293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25</w:t>
            </w:r>
          </w:p>
        </w:tc>
        <w:tc>
          <w:tcPr>
            <w:tcW w:w="3610"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50</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75</w:t>
            </w:r>
          </w:p>
        </w:tc>
        <w:tc>
          <w:tcPr>
            <w:tcW w:w="4339"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c>
          <w:tcPr>
            <w:tcW w:w="100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绩效目标</w:t>
            </w: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目标1</w:t>
            </w:r>
          </w:p>
        </w:tc>
        <w:tc>
          <w:tcPr>
            <w:tcW w:w="11198" w:type="dxa"/>
            <w:gridSpan w:val="8"/>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单位人员工资津贴补贴发放，保障给遵化市供销合作社机关全额事业人员按时发放工资津贴补贴。</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目标2</w:t>
            </w:r>
          </w:p>
        </w:tc>
        <w:tc>
          <w:tcPr>
            <w:tcW w:w="11198" w:type="dxa"/>
            <w:gridSpan w:val="8"/>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单位人员各项保险缴纳，保障给遵化市供销合作社机关全额事业人员按时缴纳各项保险。</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11</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1198" w:type="dxa"/>
            <w:gridSpan w:val="8"/>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12</w:t>
            </w:r>
          </w:p>
        </w:tc>
        <w:tc>
          <w:tcPr>
            <w:tcW w:w="100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一级指标</w:t>
            </w:r>
          </w:p>
        </w:tc>
        <w:tc>
          <w:tcPr>
            <w:tcW w:w="100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二级指标</w:t>
            </w:r>
          </w:p>
        </w:tc>
        <w:tc>
          <w:tcPr>
            <w:tcW w:w="1929"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三级指标</w:t>
            </w:r>
          </w:p>
        </w:tc>
        <w:tc>
          <w:tcPr>
            <w:tcW w:w="213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绩效指标描述（指标内容）</w:t>
            </w:r>
          </w:p>
        </w:tc>
        <w:tc>
          <w:tcPr>
            <w:tcW w:w="1477"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评（扣）分标准</w:t>
            </w:r>
          </w:p>
        </w:tc>
        <w:tc>
          <w:tcPr>
            <w:tcW w:w="1733"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指标值</w:t>
            </w:r>
          </w:p>
        </w:tc>
        <w:tc>
          <w:tcPr>
            <w:tcW w:w="3926"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指标确定依据</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929"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213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477"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符号</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值</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单位（文字描述）</w:t>
            </w:r>
          </w:p>
        </w:tc>
        <w:tc>
          <w:tcPr>
            <w:tcW w:w="1940" w:type="dxa"/>
            <w:tcBorders>
              <w:top w:val="single" w:sz="4" w:space="0" w:color="000000"/>
              <w:left w:val="single" w:sz="4" w:space="0" w:color="000000"/>
              <w:bottom w:val="nil"/>
              <w:right w:val="single" w:sz="4" w:space="0" w:color="000000"/>
              <w:tl2br w:val="nil"/>
              <w:tr2bl w:val="nil"/>
            </w:tcBorders>
            <w:tcMar>
              <w:top w:w="15" w:type="dxa"/>
              <w:left w:w="15" w:type="dxa"/>
              <w:right w:w="15" w:type="dxa"/>
            </w:tcMar>
            <w:vAlign w:val="center"/>
          </w:tcPr>
          <w:p>
            <w:pPr>
              <w:jc w:val="center"/>
              <w:rPr>
                <w:rFonts w:ascii="宋体" w:eastAsia="宋体" w:cs="宋体" w:hAnsi="宋体" w:hint="eastAsia"/>
                <w:b/>
                <w:color w:val="000000"/>
                <w:sz w:val="18"/>
                <w:szCs w:val="18"/>
                <w:u w:val="none"/>
                <w:lang w:bidi="ar-SA"/>
              </w:rPr>
            </w:pP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14</w:t>
            </w:r>
          </w:p>
        </w:tc>
        <w:tc>
          <w:tcPr>
            <w:tcW w:w="100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产出指标</w:t>
            </w: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数量指标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保障人数</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保障单位发放工资福利及缴纳保险的人数</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15.00</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人</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15</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质量指标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全体人员年底考核合格率</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单位人员年底考核合格率</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95.00</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16</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时效指标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工资费用发放及时率</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工资发放金额占全年金额的比例</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17</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成本指标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预算资金完成率</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预算资金完成率</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文字描述</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right"/>
              <w:rPr>
                <w:rFonts w:ascii="宋体" w:eastAsia="宋体" w:cs="宋体" w:hAnsi="宋体" w:hint="eastAsia"/>
                <w:color w:val="000000"/>
                <w:sz w:val="18"/>
                <w:szCs w:val="18"/>
                <w:u w:val="none"/>
                <w:lang w:bidi="ar-SA"/>
              </w:rPr>
            </w:pP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2021年12月底前</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18</w:t>
            </w:r>
          </w:p>
        </w:tc>
        <w:tc>
          <w:tcPr>
            <w:tcW w:w="100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效益指标</w:t>
            </w: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可持续影响指标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年初预算执行情况</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严格执行年初预算，有效防止超预算</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19</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经济效益指标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协调劳资关系</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提高职工工作积极性和劳动生产率</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20</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社会效益指标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促进社会和谐稳定</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促进社会和谐稳定</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21</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生态效益指标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环保意识增强</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环保意识明显提高（如减少开车次数、单位可自行增加相关指标）</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90.00</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22</w:t>
            </w:r>
          </w:p>
        </w:tc>
        <w:tc>
          <w:tcPr>
            <w:tcW w:w="100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满意度指标</w:t>
            </w: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服务对象满意度指标</w:t>
            </w: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单位人员满意度</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走访调查或以问卷形式征求满意度</w:t>
            </w: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95.00</w:t>
            </w: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53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23</w:t>
            </w:r>
          </w:p>
        </w:tc>
        <w:tc>
          <w:tcPr>
            <w:tcW w:w="100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0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9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47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3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00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right"/>
              <w:rPr>
                <w:rFonts w:ascii="宋体" w:eastAsia="宋体" w:cs="宋体" w:hAnsi="宋体" w:hint="eastAsia"/>
                <w:color w:val="000000"/>
                <w:sz w:val="18"/>
                <w:szCs w:val="18"/>
                <w:u w:val="none"/>
                <w:lang w:bidi="ar-SA"/>
              </w:rPr>
            </w:pPr>
          </w:p>
        </w:tc>
        <w:tc>
          <w:tcPr>
            <w:tcW w:w="1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94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bl>
    <w:p>
      <w:pPr>
        <w:spacing w:line="580" w:lineRule="exact"/>
        <w:jc w:val="both"/>
        <w:rPr>
          <w:rFonts w:ascii="方正小标宋_GBK" w:eastAsia="方正小标宋_GBK" w:hAnsi="方正小标宋_GBK"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560"/>
        <w:jc w:val="left"/>
        <w:textAlignment w:val="auto"/>
        <w:rPr>
          <w:rFonts w:ascii="方正仿宋简体" w:eastAsia="方正仿宋简体" w:cs="方正仿宋简体" w:hAnsi="方正仿宋简体" w:hint="eastAsia"/>
          <w:b/>
          <w:bCs/>
          <w:sz w:val="28"/>
          <w:szCs w:val="28"/>
          <w:lang w:val="en-US" w:eastAsia="zh-CN" w:bidi="ar-SA"/>
        </w:rPr>
      </w:pPr>
      <w:r>
        <w:rPr>
          <w:rFonts w:ascii="方正仿宋简体" w:eastAsia="方正仿宋简体" w:cs="方正仿宋简体" w:hAnsi="方正仿宋简体" w:hint="eastAsia"/>
          <w:b/>
          <w:bCs/>
          <w:sz w:val="28"/>
          <w:szCs w:val="28"/>
          <w:lang w:val="en-US" w:eastAsia="zh-CN" w:bidi="ar-SA"/>
        </w:rPr>
        <w:t>2.供销社公用类项目绩效表</w:t>
      </w:r>
    </w:p>
    <w:tbl>
      <w:tblPr>
        <w:jc w:val="center"/>
        <w:tblW w:w="1368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645"/>
        <w:gridCol w:w="1551"/>
        <w:gridCol w:w="1216"/>
        <w:gridCol w:w="1491"/>
        <w:gridCol w:w="3187"/>
        <w:gridCol w:w="1557"/>
        <w:gridCol w:w="762"/>
        <w:gridCol w:w="908"/>
        <w:gridCol w:w="622"/>
        <w:gridCol w:w="1741"/>
      </w:tblGrid>
      <w:tr>
        <w:trPr>
          <w:trHeight w:val="90"/>
        </w:trPr>
        <w:tc>
          <w:tcPr>
            <w:tcW w:w="13680" w:type="dxa"/>
            <w:gridSpan w:val="10"/>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36"/>
                <w:szCs w:val="36"/>
                <w:u w:val="none"/>
                <w:lang w:bidi="ar-SA"/>
              </w:rPr>
            </w:pPr>
            <w:r>
              <w:rPr>
                <w:rFonts w:ascii="宋体" w:eastAsia="宋体" w:cs="宋体" w:hAnsi="宋体" w:hint="eastAsia"/>
                <w:b/>
                <w:color w:val="000000"/>
                <w:kern w:val="0"/>
                <w:sz w:val="32"/>
                <w:szCs w:val="32"/>
                <w:u w:val="none"/>
                <w:lang w:val="en-US" w:eastAsia="zh-CN" w:bidi="ar-SA"/>
              </w:rPr>
              <w:t>预算项目绩效表</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序号</w:t>
            </w:r>
          </w:p>
        </w:tc>
        <w:tc>
          <w:tcPr>
            <w:tcW w:w="9002" w:type="dxa"/>
            <w:gridSpan w:val="5"/>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项目编码及名称：[13028121PAA5RY9SW4702]公用类项目</w:t>
            </w:r>
          </w:p>
        </w:tc>
        <w:tc>
          <w:tcPr>
            <w:tcW w:w="167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预算年度：2021</w:t>
            </w:r>
          </w:p>
        </w:tc>
        <w:tc>
          <w:tcPr>
            <w:tcW w:w="236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金额单位：万元</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栏次</w:t>
            </w:r>
          </w:p>
        </w:tc>
        <w:tc>
          <w:tcPr>
            <w:tcW w:w="1551"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w:t>
            </w:r>
          </w:p>
        </w:tc>
        <w:tc>
          <w:tcPr>
            <w:tcW w:w="1216"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w:t>
            </w:r>
          </w:p>
        </w:tc>
        <w:tc>
          <w:tcPr>
            <w:tcW w:w="1491"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w:t>
            </w:r>
          </w:p>
        </w:tc>
        <w:tc>
          <w:tcPr>
            <w:tcW w:w="3187"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1557"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76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908"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62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1741"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15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项目编码</w:t>
            </w:r>
          </w:p>
        </w:tc>
        <w:tc>
          <w:tcPr>
            <w:tcW w:w="5894"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13028121PAA5RY9SW4702</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项目名称</w:t>
            </w:r>
          </w:p>
        </w:tc>
        <w:tc>
          <w:tcPr>
            <w:tcW w:w="4033"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公用类项目</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7445"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项目绩效模板</w:t>
            </w:r>
          </w:p>
        </w:tc>
        <w:tc>
          <w:tcPr>
            <w:tcW w:w="5590" w:type="dxa"/>
            <w:gridSpan w:val="5"/>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15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资金用途</w:t>
            </w:r>
          </w:p>
        </w:tc>
        <w:tc>
          <w:tcPr>
            <w:tcW w:w="11484" w:type="dxa"/>
            <w:gridSpan w:val="8"/>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预算资金总额12.12万元,其中:财政拨款12.12万元,其他资金0万元。主要用于保障遵化市供销合作社机关正常日常运转经费。</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155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资金支出计划</w:t>
            </w:r>
          </w:p>
        </w:tc>
        <w:tc>
          <w:tcPr>
            <w:tcW w:w="2707"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3月底</w:t>
            </w:r>
          </w:p>
        </w:tc>
        <w:tc>
          <w:tcPr>
            <w:tcW w:w="474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6月底</w:t>
            </w:r>
          </w:p>
        </w:tc>
        <w:tc>
          <w:tcPr>
            <w:tcW w:w="1670"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10月底</w:t>
            </w:r>
          </w:p>
        </w:tc>
        <w:tc>
          <w:tcPr>
            <w:tcW w:w="2363"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12月底</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2707"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25</w:t>
            </w:r>
          </w:p>
        </w:tc>
        <w:tc>
          <w:tcPr>
            <w:tcW w:w="474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50</w:t>
            </w:r>
          </w:p>
        </w:tc>
        <w:tc>
          <w:tcPr>
            <w:tcW w:w="1670"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75</w:t>
            </w:r>
          </w:p>
        </w:tc>
        <w:tc>
          <w:tcPr>
            <w:tcW w:w="2363"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c>
          <w:tcPr>
            <w:tcW w:w="155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绩效目标</w:t>
            </w: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目标1</w:t>
            </w:r>
          </w:p>
        </w:tc>
        <w:tc>
          <w:tcPr>
            <w:tcW w:w="10268"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严格按照各项办公经费管理办法，保障单位位各项公用经费及时、顺畅报销。</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目标2</w:t>
            </w:r>
          </w:p>
        </w:tc>
        <w:tc>
          <w:tcPr>
            <w:tcW w:w="10268"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加强预算监督，提高资金使用效益，保障单位工作顺利开展。</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11</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0268"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12</w:t>
            </w:r>
          </w:p>
        </w:tc>
        <w:tc>
          <w:tcPr>
            <w:tcW w:w="155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一级指标</w:t>
            </w:r>
          </w:p>
        </w:tc>
        <w:tc>
          <w:tcPr>
            <w:tcW w:w="1216"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二级指标</w:t>
            </w:r>
          </w:p>
        </w:tc>
        <w:tc>
          <w:tcPr>
            <w:tcW w:w="149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三级指标</w:t>
            </w:r>
          </w:p>
        </w:tc>
        <w:tc>
          <w:tcPr>
            <w:tcW w:w="3187"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绩效指标描述（指标内容）</w:t>
            </w:r>
          </w:p>
        </w:tc>
        <w:tc>
          <w:tcPr>
            <w:tcW w:w="1557"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评（扣）分标准</w:t>
            </w:r>
          </w:p>
        </w:tc>
        <w:tc>
          <w:tcPr>
            <w:tcW w:w="2292"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指标值</w:t>
            </w:r>
          </w:p>
        </w:tc>
        <w:tc>
          <w:tcPr>
            <w:tcW w:w="174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指标确定依据</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49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3187"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557"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符号</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值</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单位（文字描述）</w:t>
            </w:r>
          </w:p>
        </w:tc>
        <w:tc>
          <w:tcPr>
            <w:tcW w:w="174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14</w:t>
            </w:r>
          </w:p>
        </w:tc>
        <w:tc>
          <w:tcPr>
            <w:tcW w:w="155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产出指标</w:t>
            </w: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数量指标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保障人数</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单位经费保障人数</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16.00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人</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15</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数量指标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审核金额</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按照办公经费管理办法审核经费开支</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12.12</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万元</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16</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质量指标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办公用品质量</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把关采购办公用品质优价廉</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95.00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17</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时效指标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费用报销及时性</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按照审批程序及时报销公用经费、不拖延</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90.00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18</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成本指标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公用经费节约率</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率节约率=（预算金额-报销金额）/预算金额</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19</w:t>
            </w:r>
          </w:p>
        </w:tc>
        <w:tc>
          <w:tcPr>
            <w:tcW w:w="155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效益指标</w:t>
            </w: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可持续影响指标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年初预算执行情况</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严格执行年初预算，有效防止超预算</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righ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70.00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tcPr>
          <w:p>
            <w:pPr>
              <w:keepNext w:val="0"/>
              <w:keepLines w:val="0"/>
              <w:widowControl/>
              <w:suppressLineNumbers w:val="0"/>
              <w:jc w:val="left"/>
              <w:textAlignment w:val="top"/>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20</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经济效益指标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节约经费开支</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践行厉行节约反对浪费制度体系建设</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21</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社会效益指标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提升公共服务水平</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保障机关运转对公共服务水平提升情况</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22</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生态效益指标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工作环境改善程度</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购买办公用品、专用材料等对工作环境的改善程度</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23</w:t>
            </w:r>
          </w:p>
        </w:tc>
        <w:tc>
          <w:tcPr>
            <w:tcW w:w="155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满意度指标</w:t>
            </w: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服务对象满意度指标</w:t>
            </w: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群众满意度</w:t>
            </w: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群众满意度</w:t>
            </w: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90.00</w:t>
            </w: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根据年初工作计划安排</w:t>
            </w:r>
          </w:p>
        </w:tc>
      </w:tr>
      <w:tr>
        <w:trPr>
          <w:trHeight w:val="90"/>
        </w:trPr>
        <w:tc>
          <w:tcPr>
            <w:tcW w:w="6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24</w:t>
            </w:r>
          </w:p>
        </w:tc>
        <w:tc>
          <w:tcPr>
            <w:tcW w:w="15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49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31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55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76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9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right"/>
              <w:rPr>
                <w:rFonts w:ascii="宋体" w:eastAsia="宋体" w:cs="宋体" w:hAnsi="宋体" w:hint="eastAsia"/>
                <w:color w:val="000000"/>
                <w:sz w:val="18"/>
                <w:szCs w:val="18"/>
                <w:u w:val="none"/>
                <w:lang w:bidi="ar-SA"/>
              </w:rPr>
            </w:pPr>
          </w:p>
        </w:tc>
        <w:tc>
          <w:tcPr>
            <w:tcW w:w="6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74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bl>
    <w:p>
      <w:pPr>
        <w:keepNext w:val="0"/>
        <w:keepLines w:val="0"/>
        <w:pageBreakBefore w:val="0"/>
        <w:widowControl w:val="0"/>
        <w:kinsoku/>
        <w:wordWrap/>
        <w:overflowPunct/>
        <w:topLinePunct w:val="0"/>
        <w:autoSpaceDE/>
        <w:autoSpaceDN/>
        <w:bidi w:val="0"/>
        <w:adjustRightInd/>
        <w:snapToGrid/>
        <w:spacing w:line="580" w:lineRule="exact"/>
        <w:ind w:leftChars="200" w:left="420"/>
        <w:textAlignment w:val="auto"/>
        <w:rPr>
          <w:rFonts w:ascii="宋体" w:eastAsia="宋体" w:cs="宋体" w:hAnsi="宋体" w:hint="eastAsia"/>
          <w:b/>
          <w:bCs/>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Chars="200" w:left="420"/>
        <w:textAlignment w:val="auto"/>
        <w:rPr>
          <w:rFonts w:ascii="宋体" w:eastAsia="宋体" w:cs="宋体" w:hAnsi="宋体" w:hint="eastAsia"/>
          <w:b/>
          <w:bCs/>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560"/>
        <w:textAlignment w:val="auto"/>
        <w:rPr>
          <w:rFonts w:ascii="方正仿宋简体" w:eastAsia="方正仿宋简体" w:cs="方正仿宋简体" w:hAnsi="方正仿宋简体" w:hint="eastAsia"/>
          <w:b/>
          <w:bCs/>
          <w:sz w:val="28"/>
          <w:szCs w:val="28"/>
          <w:lang w:val="en-US" w:eastAsia="zh-CN" w:bidi="ar-SA"/>
        </w:rPr>
      </w:pPr>
      <w:r>
        <w:rPr>
          <w:rFonts w:ascii="方正仿宋简体" w:eastAsia="方正仿宋简体" w:cs="方正仿宋简体" w:hAnsi="方正仿宋简体" w:hint="eastAsia"/>
          <w:b/>
          <w:bCs/>
          <w:sz w:val="28"/>
          <w:szCs w:val="28"/>
          <w:lang w:val="en-US" w:eastAsia="zh-CN" w:bidi="ar-SA"/>
        </w:rPr>
        <w:t>3.供销社农村产权流转交易中心工作经费项目绩效表</w:t>
      </w:r>
    </w:p>
    <w:tbl>
      <w:tblPr>
        <w:jc w:val="center"/>
        <w:tblW w:w="1356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514"/>
        <w:gridCol w:w="1210"/>
        <w:gridCol w:w="989"/>
        <w:gridCol w:w="1210"/>
        <w:gridCol w:w="2481"/>
        <w:gridCol w:w="1261"/>
        <w:gridCol w:w="529"/>
        <w:gridCol w:w="1172"/>
        <w:gridCol w:w="831"/>
        <w:gridCol w:w="3363"/>
      </w:tblGrid>
      <w:tr>
        <w:trPr>
          <w:trHeight w:val="90"/>
        </w:trPr>
        <w:tc>
          <w:tcPr>
            <w:tcW w:w="13560" w:type="dxa"/>
            <w:gridSpan w:val="10"/>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36"/>
                <w:szCs w:val="36"/>
                <w:u w:val="none"/>
                <w:lang w:bidi="ar-SA"/>
              </w:rPr>
            </w:pPr>
            <w:r>
              <w:rPr>
                <w:rFonts w:ascii="宋体" w:eastAsia="宋体" w:cs="宋体" w:hAnsi="宋体" w:hint="eastAsia"/>
                <w:b/>
                <w:color w:val="000000"/>
                <w:kern w:val="0"/>
                <w:sz w:val="32"/>
                <w:szCs w:val="32"/>
                <w:u w:val="none"/>
                <w:lang w:val="en-US" w:eastAsia="zh-CN" w:bidi="ar-SA"/>
              </w:rPr>
              <w:t>预算项目绩效表</w:t>
            </w:r>
          </w:p>
        </w:tc>
      </w:tr>
      <w:tr>
        <w:trPr>
          <w:trHeight w:val="663"/>
        </w:trPr>
        <w:tc>
          <w:tcPr>
            <w:tcW w:w="514" w:type="dxa"/>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序号</w:t>
            </w:r>
          </w:p>
        </w:tc>
        <w:tc>
          <w:tcPr>
            <w:tcW w:w="7151" w:type="dxa"/>
            <w:gridSpan w:val="5"/>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项目编码及名称：[13028121FBMO7KNN29WXX]供销社农村产权流转交易中心工作经费</w:t>
            </w:r>
          </w:p>
        </w:tc>
        <w:tc>
          <w:tcPr>
            <w:tcW w:w="1701" w:type="dxa"/>
            <w:gridSpan w:val="2"/>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预算年度：2021</w:t>
            </w:r>
          </w:p>
        </w:tc>
        <w:tc>
          <w:tcPr>
            <w:tcW w:w="4194" w:type="dxa"/>
            <w:gridSpan w:val="2"/>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金额单位：万元</w:t>
            </w:r>
          </w:p>
        </w:tc>
      </w:tr>
      <w:tr>
        <w:trPr>
          <w:trHeight w:val="430"/>
        </w:trPr>
        <w:tc>
          <w:tcPr>
            <w:tcW w:w="514"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栏次</w:t>
            </w:r>
          </w:p>
        </w:tc>
        <w:tc>
          <w:tcPr>
            <w:tcW w:w="1210"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w:t>
            </w:r>
          </w:p>
        </w:tc>
        <w:tc>
          <w:tcPr>
            <w:tcW w:w="989"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w:t>
            </w:r>
          </w:p>
        </w:tc>
        <w:tc>
          <w:tcPr>
            <w:tcW w:w="1210"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w:t>
            </w:r>
          </w:p>
        </w:tc>
        <w:tc>
          <w:tcPr>
            <w:tcW w:w="2481"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1261"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529"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117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831"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3363"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r>
      <w:tr>
        <w:trPr>
          <w:trHeight w:val="524"/>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项目编码</w:t>
            </w:r>
          </w:p>
        </w:tc>
        <w:tc>
          <w:tcPr>
            <w:tcW w:w="4680"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13028121FBMO7KNN29WXX</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项目名称</w:t>
            </w:r>
          </w:p>
        </w:tc>
        <w:tc>
          <w:tcPr>
            <w:tcW w:w="5895"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供销社农村产权流转交易中心工作经费</w:t>
            </w:r>
          </w:p>
        </w:tc>
      </w:tr>
      <w:tr>
        <w:trPr>
          <w:trHeight w:val="539"/>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5890"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项目绩效模板</w:t>
            </w:r>
          </w:p>
        </w:tc>
        <w:tc>
          <w:tcPr>
            <w:tcW w:w="7156" w:type="dxa"/>
            <w:gridSpan w:val="5"/>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r>
        <w:trPr>
          <w:trHeight w:val="1242"/>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资金用途</w:t>
            </w:r>
          </w:p>
        </w:tc>
        <w:tc>
          <w:tcPr>
            <w:tcW w:w="11836" w:type="dxa"/>
            <w:gridSpan w:val="8"/>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数20万元,其中:财政资金20万元,其他资金0万元。主要用于（1）生活补助17.85万元，为5名劳务派遣人员按月发放工资11.40万元和缴纳社保费预计6.45万元；（2）办公费0.85万元，为市农村产权流转交易中心办公费0.5万元、劳务派遣管理费0.35万元；（3）维修（护）费1.0万元，为上级部门对各县级市农村产权流转交易中心收取的网络平台运营维护费；（4）其他商品和服务支出0.3万元，为参加农村产权交易平台建设学习及组织25个乡镇农村产权交易服务站工作人员进行网络平台操作等学习培训费用。</w:t>
            </w:r>
          </w:p>
        </w:tc>
      </w:tr>
      <w:tr>
        <w:trPr>
          <w:trHeight w:val="425"/>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1210"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资金支出计划</w:t>
            </w:r>
          </w:p>
        </w:tc>
        <w:tc>
          <w:tcPr>
            <w:tcW w:w="2199"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3月底</w:t>
            </w:r>
          </w:p>
        </w:tc>
        <w:tc>
          <w:tcPr>
            <w:tcW w:w="374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6月底</w:t>
            </w:r>
          </w:p>
        </w:tc>
        <w:tc>
          <w:tcPr>
            <w:tcW w:w="1701"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10月底</w:t>
            </w:r>
          </w:p>
        </w:tc>
        <w:tc>
          <w:tcPr>
            <w:tcW w:w="419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12月底</w:t>
            </w:r>
          </w:p>
        </w:tc>
      </w:tr>
      <w:tr>
        <w:trPr>
          <w:trHeight w:val="395"/>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2199"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30</w:t>
            </w:r>
          </w:p>
        </w:tc>
        <w:tc>
          <w:tcPr>
            <w:tcW w:w="3742"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60</w:t>
            </w:r>
          </w:p>
        </w:tc>
        <w:tc>
          <w:tcPr>
            <w:tcW w:w="1701"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90</w:t>
            </w:r>
          </w:p>
        </w:tc>
        <w:tc>
          <w:tcPr>
            <w:tcW w:w="419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w:t>
            </w:r>
          </w:p>
        </w:tc>
      </w:tr>
      <w:tr>
        <w:trPr>
          <w:trHeight w:val="524"/>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c>
          <w:tcPr>
            <w:tcW w:w="1210"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绩效目标</w:t>
            </w: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目标1</w:t>
            </w:r>
          </w:p>
        </w:tc>
        <w:tc>
          <w:tcPr>
            <w:tcW w:w="10847"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按时为5名劳务派遣人员发放工资、缴纳保险费，确保发放及时，维护职工合法权益和社会稳定</w:t>
            </w:r>
          </w:p>
        </w:tc>
      </w:tr>
      <w:tr>
        <w:trPr>
          <w:trHeight w:val="494"/>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目标2</w:t>
            </w:r>
          </w:p>
        </w:tc>
        <w:tc>
          <w:tcPr>
            <w:tcW w:w="10847"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足额为5名劳务派遣人员发放工资、缴纳保险费，确保发放足额，维护职工合法权益和社会稳定</w:t>
            </w:r>
          </w:p>
        </w:tc>
      </w:tr>
      <w:tr>
        <w:trPr>
          <w:trHeight w:val="464"/>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11</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目标3</w:t>
            </w:r>
          </w:p>
        </w:tc>
        <w:tc>
          <w:tcPr>
            <w:tcW w:w="10847"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保障市农村产权流转交易中心正常高效运转，持续充分发挥为“三农”服务的职能作用</w:t>
            </w:r>
          </w:p>
        </w:tc>
      </w:tr>
      <w:tr>
        <w:trPr>
          <w:trHeight w:val="449"/>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12</w:t>
            </w:r>
          </w:p>
        </w:tc>
        <w:tc>
          <w:tcPr>
            <w:tcW w:w="1210"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一级指标</w:t>
            </w:r>
          </w:p>
        </w:tc>
        <w:tc>
          <w:tcPr>
            <w:tcW w:w="989"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二级指标</w:t>
            </w:r>
          </w:p>
        </w:tc>
        <w:tc>
          <w:tcPr>
            <w:tcW w:w="1210"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三级指标</w:t>
            </w:r>
          </w:p>
        </w:tc>
        <w:tc>
          <w:tcPr>
            <w:tcW w:w="248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绩效指标描述（指标内容）</w:t>
            </w:r>
          </w:p>
        </w:tc>
        <w:tc>
          <w:tcPr>
            <w:tcW w:w="126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评（扣）分标准</w:t>
            </w:r>
          </w:p>
        </w:tc>
        <w:tc>
          <w:tcPr>
            <w:tcW w:w="2532"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指标值</w:t>
            </w:r>
          </w:p>
        </w:tc>
        <w:tc>
          <w:tcPr>
            <w:tcW w:w="336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指标确定依据</w:t>
            </w:r>
          </w:p>
        </w:tc>
      </w:tr>
      <w:tr>
        <w:trPr>
          <w:trHeight w:val="611"/>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24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26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符号</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值</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单位（文字描述）</w:t>
            </w:r>
          </w:p>
        </w:tc>
        <w:tc>
          <w:tcPr>
            <w:tcW w:w="33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r>
      <w:tr>
        <w:trPr>
          <w:trHeight w:val="1122"/>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14</w:t>
            </w:r>
          </w:p>
        </w:tc>
        <w:tc>
          <w:tcPr>
            <w:tcW w:w="1210"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产出指标</w:t>
            </w: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数量指标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发布农村产权信息数量（条）</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年内发布农村产权信息的数量（条）</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条</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大于等于10条</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1182"/>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15</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质量指标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工资及社保费缴纳完成率</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为五名劳务派遣人员发放工资、缴纳社保费金额占全年预算数的比例，保证他们的基本生活质量</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小于等于100%</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1242"/>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16</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时效指标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完成率（%）</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按时给农村产权流转交易中心5名劳务派遣人员发放工资、缴纳保险完成率</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1347"/>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17</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成本指标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成本控制率</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完成项目的成本控制占预算水平的比例</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小于等于100%</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1272"/>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18</w:t>
            </w:r>
          </w:p>
        </w:tc>
        <w:tc>
          <w:tcPr>
            <w:tcW w:w="1210"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效益指标</w:t>
            </w: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可持续影响指标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持续推动农村资产资本化</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 xml:space="preserve">持续推动农村资产资本化服务乡村振兴，促进为“三农”服务，持续发挥职能作用  </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大于等于70%</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1242"/>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19</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经济效益指标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5名劳务派遣人员的工资收入</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按时为5名派遣人员发放工资，保障他们的工资收入</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1302"/>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20</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社会效益指标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个人生活补助发放率</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 xml:space="preserve">给农村产权流转交易中心5名劳务派遣人员发放工资、保险等生活补助比例  </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1287"/>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21</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生态效益指标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推动力</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推动农村产权交易中心工作有序发展</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大于等于80%</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1257"/>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22</w:t>
            </w:r>
          </w:p>
        </w:tc>
        <w:tc>
          <w:tcPr>
            <w:tcW w:w="1210"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满意度指标</w:t>
            </w: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服务对象满意度指标</w:t>
            </w: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服务对象满意度（%）</w:t>
            </w: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 xml:space="preserve">通过问卷调查，满意和较满意的服务对象占全部调查对象的比例  </w:t>
            </w: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大于等于80%</w:t>
            </w: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2"/>
                <w:szCs w:val="12"/>
                <w:u w:val="none"/>
                <w:lang w:bidi="ar-SA"/>
              </w:rPr>
            </w:pPr>
            <w:r>
              <w:rPr>
                <w:rFonts w:ascii="宋体" w:eastAsia="宋体" w:cs="宋体" w:hAnsi="宋体" w:hint="eastAsia"/>
                <w:color w:val="000000"/>
                <w:kern w:val="0"/>
                <w:sz w:val="12"/>
                <w:szCs w:val="12"/>
                <w:u w:val="none"/>
                <w:lang w:val="en-US" w:eastAsia="zh-CN" w:bidi="ar-SA"/>
              </w:rPr>
              <w:t>《遵化市人民政府办公室关于印发&lt;遵化市农村产权交易市场建设实施意见&gt;的通知》（遵政办[2017]65号）、《遵化市供销合作社关于申请将市农村产权流转交易中心经费纳入财政预算的请示》及市政府批示等文件精神</w:t>
            </w:r>
          </w:p>
        </w:tc>
      </w:tr>
      <w:tr>
        <w:trPr>
          <w:trHeight w:val="526"/>
        </w:trPr>
        <w:tc>
          <w:tcPr>
            <w:tcW w:w="51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23</w:t>
            </w:r>
          </w:p>
        </w:tc>
        <w:tc>
          <w:tcPr>
            <w:tcW w:w="121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8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2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24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26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1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right"/>
              <w:rPr>
                <w:rFonts w:ascii="宋体" w:eastAsia="宋体" w:cs="宋体" w:hAnsi="宋体" w:hint="eastAsia"/>
                <w:color w:val="000000"/>
                <w:sz w:val="18"/>
                <w:szCs w:val="18"/>
                <w:u w:val="none"/>
                <w:lang w:bidi="ar-SA"/>
              </w:rPr>
            </w:pPr>
          </w:p>
        </w:tc>
        <w:tc>
          <w:tcPr>
            <w:tcW w:w="8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33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bl>
    <w:p>
      <w:pPr>
        <w:keepNext w:val="0"/>
        <w:keepLines w:val="0"/>
        <w:pageBreakBefore w:val="0"/>
        <w:widowControl w:val="0"/>
        <w:kinsoku/>
        <w:wordWrap/>
        <w:overflowPunct/>
        <w:topLinePunct w:val="0"/>
        <w:autoSpaceDE/>
        <w:autoSpaceDN/>
        <w:bidi w:val="0"/>
        <w:adjustRightInd/>
        <w:snapToGrid/>
        <w:spacing w:line="580" w:lineRule="exact"/>
        <w:ind w:left="0" w:firstLineChars="200" w:firstLine="560"/>
        <w:textAlignment w:val="auto"/>
        <w:rPr>
          <w:rFonts w:ascii="方正仿宋简体" w:eastAsia="方正仿宋简体" w:cs="方正仿宋简体" w:hAnsi="方正仿宋简体" w:hint="eastAsia"/>
          <w:b/>
          <w:bCs/>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firstLineChars="200" w:firstLine="560"/>
        <w:textAlignment w:val="auto"/>
        <w:rPr>
          <w:rFonts w:ascii="方正仿宋简体" w:eastAsia="方正仿宋简体" w:cs="方正仿宋简体" w:hAnsi="方正仿宋简体" w:hint="eastAsia"/>
          <w:b/>
          <w:bCs/>
          <w:sz w:val="28"/>
          <w:szCs w:val="28"/>
          <w:lang w:val="en-US" w:eastAsia="zh-CN" w:bidi="ar-SA"/>
        </w:rPr>
      </w:pPr>
      <w:r>
        <w:rPr>
          <w:rFonts w:ascii="方正仿宋简体" w:eastAsia="方正仿宋简体" w:cs="方正仿宋简体" w:hAnsi="方正仿宋简体" w:hint="eastAsia"/>
          <w:b/>
          <w:bCs/>
          <w:sz w:val="28"/>
          <w:szCs w:val="28"/>
          <w:lang w:val="en-US" w:eastAsia="zh-CN" w:bidi="ar-SA"/>
        </w:rPr>
        <w:t>4.供销社农合联工作经费项目绩效表</w:t>
      </w:r>
    </w:p>
    <w:tbl>
      <w:tblPr>
        <w:jc w:val="center"/>
        <w:tblW w:w="1368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487"/>
        <w:gridCol w:w="1081"/>
        <w:gridCol w:w="1197"/>
        <w:gridCol w:w="1912"/>
        <w:gridCol w:w="2532"/>
        <w:gridCol w:w="934"/>
        <w:gridCol w:w="701"/>
        <w:gridCol w:w="922"/>
        <w:gridCol w:w="792"/>
        <w:gridCol w:w="3122"/>
      </w:tblGrid>
      <w:tr>
        <w:trPr>
          <w:trHeight w:val="507"/>
        </w:trPr>
        <w:tc>
          <w:tcPr>
            <w:tcW w:w="13680" w:type="dxa"/>
            <w:gridSpan w:val="10"/>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36"/>
                <w:szCs w:val="36"/>
                <w:u w:val="none"/>
                <w:lang w:bidi="ar-SA"/>
              </w:rPr>
            </w:pPr>
            <w:r>
              <w:rPr>
                <w:rFonts w:ascii="宋体" w:eastAsia="宋体" w:cs="宋体" w:hAnsi="宋体" w:hint="eastAsia"/>
                <w:b/>
                <w:color w:val="000000"/>
                <w:kern w:val="0"/>
                <w:sz w:val="36"/>
                <w:szCs w:val="36"/>
                <w:u w:val="none"/>
                <w:lang w:val="en-US" w:eastAsia="zh-CN" w:bidi="ar-SA"/>
              </w:rPr>
              <w:t>预算项目绩效表</w:t>
            </w:r>
          </w:p>
        </w:tc>
      </w:tr>
      <w:tr>
        <w:trPr>
          <w:trHeight w:val="507"/>
        </w:trPr>
        <w:tc>
          <w:tcPr>
            <w:tcW w:w="487" w:type="dxa"/>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序号</w:t>
            </w:r>
          </w:p>
        </w:tc>
        <w:tc>
          <w:tcPr>
            <w:tcW w:w="7656" w:type="dxa"/>
            <w:gridSpan w:val="5"/>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项目编码及名称：[130281212P2G9K22R4FGK]供销社农合联工作经费</w:t>
            </w:r>
          </w:p>
        </w:tc>
        <w:tc>
          <w:tcPr>
            <w:tcW w:w="1623" w:type="dxa"/>
            <w:gridSpan w:val="2"/>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预算年度：2021</w:t>
            </w:r>
          </w:p>
        </w:tc>
        <w:tc>
          <w:tcPr>
            <w:tcW w:w="3914" w:type="dxa"/>
            <w:gridSpan w:val="2"/>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金额单位：万元</w:t>
            </w:r>
          </w:p>
        </w:tc>
      </w:tr>
      <w:tr>
        <w:trPr>
          <w:trHeight w:val="542"/>
        </w:trPr>
        <w:tc>
          <w:tcPr>
            <w:tcW w:w="487"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栏次</w:t>
            </w:r>
          </w:p>
        </w:tc>
        <w:tc>
          <w:tcPr>
            <w:tcW w:w="1081"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w:t>
            </w:r>
          </w:p>
        </w:tc>
        <w:tc>
          <w:tcPr>
            <w:tcW w:w="1197"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w:t>
            </w:r>
          </w:p>
        </w:tc>
        <w:tc>
          <w:tcPr>
            <w:tcW w:w="191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w:t>
            </w:r>
          </w:p>
        </w:tc>
        <w:tc>
          <w:tcPr>
            <w:tcW w:w="253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934"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701"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92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79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312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r>
      <w:tr>
        <w:trPr>
          <w:trHeight w:val="542"/>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10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项目编码</w:t>
            </w:r>
          </w:p>
        </w:tc>
        <w:tc>
          <w:tcPr>
            <w:tcW w:w="5641"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130281212P2G9K22R4FGK</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项目名称</w:t>
            </w:r>
          </w:p>
        </w:tc>
        <w:tc>
          <w:tcPr>
            <w:tcW w:w="5537"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供销社农合联工作经费</w:t>
            </w:r>
          </w:p>
        </w:tc>
      </w:tr>
      <w:tr>
        <w:trPr>
          <w:trHeight w:val="316"/>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6722"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项目绩效模板</w:t>
            </w:r>
          </w:p>
        </w:tc>
        <w:tc>
          <w:tcPr>
            <w:tcW w:w="6471" w:type="dxa"/>
            <w:gridSpan w:val="5"/>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r>
        <w:trPr>
          <w:trHeight w:val="1449"/>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108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资金用途</w:t>
            </w:r>
          </w:p>
        </w:tc>
        <w:tc>
          <w:tcPr>
            <w:tcW w:w="12112" w:type="dxa"/>
            <w:gridSpan w:val="8"/>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数6万元，其中：财政资金6万元，其他资金0万元。主要用于（1）组织专业社和新型供销社种养殖大户、涉农营销人员等搞好观摩交流、调研、参观业务学习及内部交流等差旅费计划4.5万元，更好助力供销社综合改革与发展；（2）对会员单位及专业社、新型供销社等发挥农合联职能作用进行管理、宣传、考核等进行通讯联络沟通计划邮电费0.40万元；（3）为对专业社及新型供销社等进行规范提升、组建农民合作经济组织联合社及自身运转等工作计划办公费开支1.10万元。</w:t>
            </w:r>
          </w:p>
        </w:tc>
      </w:tr>
      <w:tr>
        <w:trPr>
          <w:trHeight w:val="316"/>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108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资金支出计划</w:t>
            </w:r>
          </w:p>
        </w:tc>
        <w:tc>
          <w:tcPr>
            <w:tcW w:w="3109"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3月底</w:t>
            </w:r>
          </w:p>
        </w:tc>
        <w:tc>
          <w:tcPr>
            <w:tcW w:w="3466"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6月底</w:t>
            </w:r>
          </w:p>
        </w:tc>
        <w:tc>
          <w:tcPr>
            <w:tcW w:w="1623"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10月底</w:t>
            </w:r>
          </w:p>
        </w:tc>
        <w:tc>
          <w:tcPr>
            <w:tcW w:w="391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12月底</w:t>
            </w:r>
          </w:p>
        </w:tc>
      </w:tr>
      <w:tr>
        <w:trPr>
          <w:trHeight w:val="316"/>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3109"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30</w:t>
            </w:r>
          </w:p>
        </w:tc>
        <w:tc>
          <w:tcPr>
            <w:tcW w:w="3466"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60</w:t>
            </w:r>
          </w:p>
        </w:tc>
        <w:tc>
          <w:tcPr>
            <w:tcW w:w="1623"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90</w:t>
            </w:r>
          </w:p>
        </w:tc>
        <w:tc>
          <w:tcPr>
            <w:tcW w:w="391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w:t>
            </w:r>
          </w:p>
        </w:tc>
      </w:tr>
      <w:tr>
        <w:trPr>
          <w:trHeight w:val="542"/>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c>
          <w:tcPr>
            <w:tcW w:w="108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绩效目标</w:t>
            </w: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目标1</w:t>
            </w:r>
          </w:p>
        </w:tc>
        <w:tc>
          <w:tcPr>
            <w:tcW w:w="10915"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组织人员不断学习外地供销社综合改革先进经验，做好学习、交流培训等各项工作，为供销社综合改革与发展服务</w:t>
            </w:r>
          </w:p>
        </w:tc>
      </w:tr>
      <w:tr>
        <w:trPr>
          <w:trHeight w:val="542"/>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目标2</w:t>
            </w:r>
          </w:p>
        </w:tc>
        <w:tc>
          <w:tcPr>
            <w:tcW w:w="10915"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 xml:space="preserve">不断做好农合联各项工作，充分发挥其职能作用，加强新型供销社、合作社的规范提升，为“三农”服务     </w:t>
            </w:r>
          </w:p>
        </w:tc>
      </w:tr>
      <w:tr>
        <w:trPr>
          <w:trHeight w:val="316"/>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11</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目标3</w:t>
            </w:r>
          </w:p>
        </w:tc>
        <w:tc>
          <w:tcPr>
            <w:tcW w:w="10915"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发挥农合联职能作用，促进供销社综合改革发展。</w:t>
            </w:r>
          </w:p>
        </w:tc>
      </w:tr>
      <w:tr>
        <w:trPr>
          <w:trHeight w:val="316"/>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12</w:t>
            </w:r>
          </w:p>
        </w:tc>
        <w:tc>
          <w:tcPr>
            <w:tcW w:w="108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一级指标</w:t>
            </w:r>
          </w:p>
        </w:tc>
        <w:tc>
          <w:tcPr>
            <w:tcW w:w="1197"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二级指标</w:t>
            </w:r>
          </w:p>
        </w:tc>
        <w:tc>
          <w:tcPr>
            <w:tcW w:w="1912"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三级指标</w:t>
            </w:r>
          </w:p>
        </w:tc>
        <w:tc>
          <w:tcPr>
            <w:tcW w:w="2532"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绩效指标描述（指标内容）</w:t>
            </w:r>
          </w:p>
        </w:tc>
        <w:tc>
          <w:tcPr>
            <w:tcW w:w="934"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评（扣）分标准</w:t>
            </w:r>
          </w:p>
        </w:tc>
        <w:tc>
          <w:tcPr>
            <w:tcW w:w="2415"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指标值</w:t>
            </w:r>
          </w:p>
        </w:tc>
        <w:tc>
          <w:tcPr>
            <w:tcW w:w="3122"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指标确定依据</w:t>
            </w:r>
          </w:p>
        </w:tc>
      </w:tr>
      <w:tr>
        <w:trPr>
          <w:trHeight w:val="995"/>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912"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2532"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934"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符号</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值</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单位（文字描述）</w:t>
            </w:r>
          </w:p>
        </w:tc>
        <w:tc>
          <w:tcPr>
            <w:tcW w:w="3122"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r>
      <w:tr>
        <w:trPr>
          <w:trHeight w:val="1223"/>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14</w:t>
            </w:r>
          </w:p>
        </w:tc>
        <w:tc>
          <w:tcPr>
            <w:tcW w:w="108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产出指标</w:t>
            </w: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数量指标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组织业务学习、交流培训差旅次数</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组织相关人员参加业务学习、交流、培训等出差次数</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次</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大于等于4次</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980"/>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15</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质量指标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保证村级供销社登记质量</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保障当年村级供销社登记的质量的个数</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个</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大于等于3个</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1223"/>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16</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时效指标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完成率</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确保项目支出按照实际工作进度完成比例</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大于等于80%</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1223"/>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17</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成本指标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成本控制率（%）</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保证项目支出金额占预算数的比例</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小于等于100%</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1223"/>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18</w:t>
            </w:r>
          </w:p>
        </w:tc>
        <w:tc>
          <w:tcPr>
            <w:tcW w:w="108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效益指标</w:t>
            </w: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可持续影响指标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充分发挥为“三农”服务职能作用</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促进为三农服务持续发挥职能左右</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大于等于80%</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1223"/>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19</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经济效益指标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按照预算指标完成</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 xml:space="preserve">  通过科学编制预算，严格遵守各项规章制度，提高财政资金的使用效率，做到节俭高效。</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小于等于100%</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980"/>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20</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社会效益指标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社会影响力</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发挥农合联职能作用，为供销社综合改革与发展服务，提升供销社的社会影响力</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70.00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大于等于70%</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1223"/>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21</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生态效益指标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推动力</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推动农合联工作有序开展</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大于等于80%</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1223"/>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22</w:t>
            </w:r>
          </w:p>
        </w:tc>
        <w:tc>
          <w:tcPr>
            <w:tcW w:w="108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满意度指标</w:t>
            </w: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服务对象满意度指标</w:t>
            </w: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服务对象满意度（%）</w:t>
            </w: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通过问卷调查，满意度和较满意度的服务对象占全部调查对象的比例</w:t>
            </w: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大于等于80%</w:t>
            </w: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《中共遵化市委、遵化市人民政府关于加快农民合作经济组织联合会的实施意见》（遵字[2008]72号）</w:t>
            </w:r>
          </w:p>
        </w:tc>
      </w:tr>
      <w:tr>
        <w:trPr>
          <w:trHeight w:val="351"/>
        </w:trPr>
        <w:tc>
          <w:tcPr>
            <w:tcW w:w="4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23</w:t>
            </w:r>
          </w:p>
        </w:tc>
        <w:tc>
          <w:tcPr>
            <w:tcW w:w="108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1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91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25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93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7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9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right"/>
              <w:rPr>
                <w:rFonts w:ascii="宋体" w:eastAsia="宋体" w:cs="宋体" w:hAnsi="宋体" w:hint="eastAsia"/>
                <w:color w:val="000000"/>
                <w:sz w:val="18"/>
                <w:szCs w:val="18"/>
                <w:u w:val="none"/>
                <w:lang w:bidi="ar-SA"/>
              </w:rPr>
            </w:pPr>
          </w:p>
        </w:tc>
        <w:tc>
          <w:tcPr>
            <w:tcW w:w="79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312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bl>
    <w:p>
      <w:pPr>
        <w:spacing w:line="580" w:lineRule="exact"/>
        <w:rPr>
          <w:rFonts w:eastAsia="方正仿宋_GBK" w:hAnsi="方正仿宋_GBK"/>
          <w:sz w:val="32"/>
          <w:szCs w:val="32"/>
          <w:lang w:val="en-US" w:eastAsia="zh-CN"/>
        </w:rPr>
      </w:pPr>
    </w:p>
    <w:p>
      <w:pPr>
        <w:spacing w:line="580" w:lineRule="exact"/>
        <w:rPr>
          <w:rFonts w:ascii="方正仿宋简体" w:eastAsia="方正仿宋简体" w:cs="方正仿宋简体" w:hAnsi="方正仿宋简体" w:hint="eastAsia"/>
          <w:b/>
          <w:bCs/>
          <w:sz w:val="28"/>
          <w:szCs w:val="28"/>
          <w:lang w:val="en-US" w:eastAsia="zh-CN" w:bidi="ar-SA"/>
        </w:rPr>
      </w:pPr>
      <w:r>
        <w:rPr>
          <w:rFonts w:ascii="方正仿宋简体" w:eastAsia="方正仿宋简体" w:cs="方正仿宋简体" w:hAnsi="方正仿宋简体" w:hint="eastAsia"/>
          <w:b/>
          <w:bCs/>
          <w:sz w:val="28"/>
          <w:szCs w:val="28"/>
          <w:lang w:val="en-US" w:eastAsia="zh-CN" w:bidi="ar-SA"/>
        </w:rPr>
        <w:t>5.供销社改制等退经费项目绩效表</w:t>
      </w:r>
    </w:p>
    <w:tbl>
      <w:tblPr>
        <w:jc w:val="center"/>
        <w:tblW w:w="1374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02"/>
        <w:gridCol w:w="1163"/>
        <w:gridCol w:w="848"/>
        <w:gridCol w:w="1549"/>
        <w:gridCol w:w="2529"/>
        <w:gridCol w:w="785"/>
        <w:gridCol w:w="698"/>
        <w:gridCol w:w="732"/>
        <w:gridCol w:w="1047"/>
        <w:gridCol w:w="3887"/>
      </w:tblGrid>
      <w:tr>
        <w:trPr>
          <w:trHeight w:val="90"/>
        </w:trPr>
        <w:tc>
          <w:tcPr>
            <w:tcW w:w="13740" w:type="dxa"/>
            <w:gridSpan w:val="10"/>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36"/>
                <w:szCs w:val="36"/>
                <w:u w:val="none"/>
                <w:lang w:bidi="ar-SA"/>
              </w:rPr>
            </w:pPr>
            <w:r>
              <w:rPr>
                <w:rFonts w:ascii="宋体" w:eastAsia="宋体" w:cs="宋体" w:hAnsi="宋体" w:hint="eastAsia"/>
                <w:b/>
                <w:color w:val="000000"/>
                <w:kern w:val="0"/>
                <w:sz w:val="32"/>
                <w:szCs w:val="32"/>
                <w:u w:val="none"/>
                <w:lang w:val="en-US" w:eastAsia="zh-CN" w:bidi="ar-SA"/>
              </w:rPr>
              <w:t>预算项目绩效表</w:t>
            </w:r>
          </w:p>
        </w:tc>
      </w:tr>
      <w:tr>
        <w:trPr>
          <w:trHeight w:val="90"/>
        </w:trPr>
        <w:tc>
          <w:tcPr>
            <w:tcW w:w="502" w:type="dxa"/>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序号</w:t>
            </w:r>
          </w:p>
        </w:tc>
        <w:tc>
          <w:tcPr>
            <w:tcW w:w="6874" w:type="dxa"/>
            <w:gridSpan w:val="5"/>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项目编码及名称：[13028121BPGXPHMB38NLW]供销社改制等退经费</w:t>
            </w:r>
          </w:p>
        </w:tc>
        <w:tc>
          <w:tcPr>
            <w:tcW w:w="1430" w:type="dxa"/>
            <w:gridSpan w:val="2"/>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预算年度：2021</w:t>
            </w:r>
          </w:p>
        </w:tc>
        <w:tc>
          <w:tcPr>
            <w:tcW w:w="4934" w:type="dxa"/>
            <w:gridSpan w:val="2"/>
            <w:tcBorders>
              <w:top w:val="nil"/>
              <w:left w:val="nil"/>
              <w:bottom w:val="nil"/>
              <w:right w:val="nil"/>
              <w:tl2br w:val="nil"/>
              <w:tr2bl w:val="nil"/>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金额单位：万元</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栏次</w:t>
            </w:r>
          </w:p>
        </w:tc>
        <w:tc>
          <w:tcPr>
            <w:tcW w:w="1163"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w:t>
            </w:r>
          </w:p>
        </w:tc>
        <w:tc>
          <w:tcPr>
            <w:tcW w:w="848"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w:t>
            </w:r>
          </w:p>
        </w:tc>
        <w:tc>
          <w:tcPr>
            <w:tcW w:w="1549"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w:t>
            </w:r>
          </w:p>
        </w:tc>
        <w:tc>
          <w:tcPr>
            <w:tcW w:w="2529"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785"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698"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732"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1047"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3887" w:type="dxa"/>
            <w:tcBorders>
              <w:top w:val="single" w:sz="4" w:space="0" w:color="000000"/>
              <w:left w:val="single" w:sz="4" w:space="0" w:color="000000"/>
              <w:bottom w:val="single" w:sz="4" w:space="0" w:color="000000"/>
              <w:right w:val="single" w:sz="4" w:space="0" w:color="000000"/>
              <w:tl2br w:val="nil"/>
              <w:tr2bl w:val="nil"/>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4</w:t>
            </w:r>
          </w:p>
        </w:tc>
        <w:tc>
          <w:tcPr>
            <w:tcW w:w="11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项目编码</w:t>
            </w:r>
          </w:p>
        </w:tc>
        <w:tc>
          <w:tcPr>
            <w:tcW w:w="4926"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13028121BPGXPHMB38NLW</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项目名称</w:t>
            </w:r>
          </w:p>
        </w:tc>
        <w:tc>
          <w:tcPr>
            <w:tcW w:w="6364"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供销社改制等退经费</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w:t>
            </w:r>
          </w:p>
        </w:tc>
        <w:tc>
          <w:tcPr>
            <w:tcW w:w="6089"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项目绩效模板</w:t>
            </w:r>
          </w:p>
        </w:tc>
        <w:tc>
          <w:tcPr>
            <w:tcW w:w="7149" w:type="dxa"/>
            <w:gridSpan w:val="5"/>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w:t>
            </w:r>
          </w:p>
        </w:tc>
        <w:tc>
          <w:tcPr>
            <w:tcW w:w="11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资金用途</w:t>
            </w:r>
          </w:p>
        </w:tc>
        <w:tc>
          <w:tcPr>
            <w:tcW w:w="12075" w:type="dxa"/>
            <w:gridSpan w:val="8"/>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预算数5万元，其中：财政资金5万元，其他资金0万元。主要用于根据遵化市医疗保险部门每月核实确认的改制等退人员医疗保险费金额，按月据实缴纳，2021年预算5万元。</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7</w:t>
            </w:r>
          </w:p>
        </w:tc>
        <w:tc>
          <w:tcPr>
            <w:tcW w:w="116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资金支出计划</w:t>
            </w:r>
          </w:p>
        </w:tc>
        <w:tc>
          <w:tcPr>
            <w:tcW w:w="2397"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3月底</w:t>
            </w:r>
          </w:p>
        </w:tc>
        <w:tc>
          <w:tcPr>
            <w:tcW w:w="331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6月底</w:t>
            </w:r>
          </w:p>
        </w:tc>
        <w:tc>
          <w:tcPr>
            <w:tcW w:w="1430"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10月底</w:t>
            </w:r>
          </w:p>
        </w:tc>
        <w:tc>
          <w:tcPr>
            <w:tcW w:w="493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12月底</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2397"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30</w:t>
            </w:r>
          </w:p>
        </w:tc>
        <w:tc>
          <w:tcPr>
            <w:tcW w:w="331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60</w:t>
            </w:r>
          </w:p>
        </w:tc>
        <w:tc>
          <w:tcPr>
            <w:tcW w:w="1430"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90</w:t>
            </w:r>
          </w:p>
        </w:tc>
        <w:tc>
          <w:tcPr>
            <w:tcW w:w="4934" w:type="dxa"/>
            <w:gridSpan w:val="2"/>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9</w:t>
            </w:r>
          </w:p>
        </w:tc>
        <w:tc>
          <w:tcPr>
            <w:tcW w:w="116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绩效目标</w:t>
            </w: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目标1</w:t>
            </w:r>
          </w:p>
        </w:tc>
        <w:tc>
          <w:tcPr>
            <w:tcW w:w="11227"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按照遵化市医疗保险部门每月核实确认的改制等退人员医疗保险费金额，为改制等退人员缴纳医保费，确保人员全覆盖</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目标2</w:t>
            </w:r>
          </w:p>
        </w:tc>
        <w:tc>
          <w:tcPr>
            <w:tcW w:w="11227"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按照遵化市医疗保险部门每月核实确认的改制等退人员医疗保险费金额，为改制等退人员缴纳医保费，确保缴费及时</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11</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目标3</w:t>
            </w:r>
          </w:p>
        </w:tc>
        <w:tc>
          <w:tcPr>
            <w:tcW w:w="11227"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按照遵化市医疗保险部门每月核实确认的改制等退人员医疗保险费金额，为改制等退人员缴纳医保费，确保缴费足额</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12</w:t>
            </w:r>
          </w:p>
        </w:tc>
        <w:tc>
          <w:tcPr>
            <w:tcW w:w="116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一级指标</w:t>
            </w:r>
          </w:p>
        </w:tc>
        <w:tc>
          <w:tcPr>
            <w:tcW w:w="848"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二级指标</w:t>
            </w:r>
          </w:p>
        </w:tc>
        <w:tc>
          <w:tcPr>
            <w:tcW w:w="1549"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三级指标</w:t>
            </w:r>
          </w:p>
        </w:tc>
        <w:tc>
          <w:tcPr>
            <w:tcW w:w="2529"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绩效指标描述（指标内容）</w:t>
            </w:r>
          </w:p>
        </w:tc>
        <w:tc>
          <w:tcPr>
            <w:tcW w:w="785"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评（扣）分标准</w:t>
            </w:r>
          </w:p>
        </w:tc>
        <w:tc>
          <w:tcPr>
            <w:tcW w:w="2477"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指标值</w:t>
            </w:r>
          </w:p>
        </w:tc>
        <w:tc>
          <w:tcPr>
            <w:tcW w:w="3887"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指标确定依据</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13</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1549"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2529"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785"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符号</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值</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b/>
                <w:color w:val="000000"/>
                <w:sz w:val="18"/>
                <w:szCs w:val="18"/>
                <w:u w:val="none"/>
                <w:lang w:bidi="ar-SA"/>
              </w:rPr>
            </w:pPr>
            <w:r>
              <w:rPr>
                <w:rFonts w:ascii="宋体" w:eastAsia="宋体" w:cs="宋体" w:hAnsi="宋体" w:hint="eastAsia"/>
                <w:b/>
                <w:color w:val="000000"/>
                <w:kern w:val="0"/>
                <w:sz w:val="18"/>
                <w:szCs w:val="18"/>
                <w:u w:val="none"/>
                <w:lang w:val="en-US" w:eastAsia="zh-CN" w:bidi="ar-SA"/>
              </w:rPr>
              <w:t>单位（文字描述）</w:t>
            </w:r>
          </w:p>
        </w:tc>
        <w:tc>
          <w:tcPr>
            <w:tcW w:w="3887"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14</w:t>
            </w:r>
          </w:p>
        </w:tc>
        <w:tc>
          <w:tcPr>
            <w:tcW w:w="116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产出指标</w:t>
            </w: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数量指标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为改制等退人员缴纳医保费的人数</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年内按时为改制等退人员缴纳医疗保险的人数</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人</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16.00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小于等于16人</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15</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质量指标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为改制等退人员缴纳医保费覆盖率</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年内按时为改制等退人员缴纳医疗保险的人员覆盖率</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16</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时效指标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完成率</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按时给改制等退人员缴纳医疗保险完成率</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17</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成本指标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项目成本</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确保项目成本支出小于等于预算金额</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万元</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5.00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小于等于5万元</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18</w:t>
            </w:r>
          </w:p>
        </w:tc>
        <w:tc>
          <w:tcPr>
            <w:tcW w:w="116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效益指标</w:t>
            </w: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可持续影响指标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持续影响力</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确保改制等退人员缴纳医疗保险费的完成率，持续提高供销社的影响能力</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19</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经济效益指标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间接经济效益</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通过给改制等退人员缴纳医疗保险费，增加国家社保基金收入</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20</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社会效益指标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社会稳定水平</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通过给改制等退人员缴纳医疗保险费维护职工合法权益，促进社会稳定</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21</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生态效益指标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推动力</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推动缴纳供销社改制等退人员医疗保险费工作有序发展</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100.00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等于100%</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90"/>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22</w:t>
            </w:r>
          </w:p>
        </w:tc>
        <w:tc>
          <w:tcPr>
            <w:tcW w:w="1163"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Microsoft Sans Serif" w:eastAsia="Microsoft Sans Serif" w:cs="Microsoft Sans Serif" w:hAnsi="Microsoft Sans Serif"/>
                <w:b/>
                <w:color w:val="000000"/>
                <w:sz w:val="18"/>
                <w:szCs w:val="18"/>
                <w:u w:val="none"/>
                <w:lang w:bidi="ar-SA"/>
              </w:rPr>
            </w:pPr>
            <w:r>
              <w:rPr>
                <w:rFonts w:ascii="Microsoft Sans Serif" w:eastAsia="Microsoft Sans Serif" w:cs="Microsoft Sans Serif" w:hAnsi="Microsoft Sans Serif"/>
                <w:b/>
                <w:color w:val="000000"/>
                <w:kern w:val="0"/>
                <w:sz w:val="18"/>
                <w:szCs w:val="18"/>
                <w:u w:val="none"/>
                <w:lang w:val="en-US" w:eastAsia="zh-CN" w:bidi="ar-SA"/>
              </w:rPr>
              <w:t>满意度指标</w:t>
            </w: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服务对象满意度指标</w:t>
            </w: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服务对象满意度（%）</w:t>
            </w: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通过问卷调查，满意和较满意的服务对象占全部调查对象的比例</w:t>
            </w: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百分比</w:t>
            </w: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w:t>
            </w: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righ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80.00</w:t>
            </w: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大于等于80%</w:t>
            </w: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根据有关市政府批示及财政局答复精神，按照医疗保险部门核定的数额据实缴纳</w:t>
            </w:r>
          </w:p>
        </w:tc>
      </w:tr>
      <w:tr>
        <w:trPr>
          <w:trHeight w:val="417"/>
        </w:trPr>
        <w:tc>
          <w:tcPr>
            <w:tcW w:w="50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宋体" w:eastAsia="宋体" w:cs="宋体" w:hAnsi="宋体" w:hint="eastAsia"/>
                <w:color w:val="000000"/>
                <w:sz w:val="18"/>
                <w:szCs w:val="18"/>
                <w:u w:val="none"/>
                <w:lang w:bidi="ar-SA"/>
              </w:rPr>
            </w:pPr>
            <w:r>
              <w:rPr>
                <w:rFonts w:ascii="宋体" w:eastAsia="宋体" w:cs="宋体" w:hAnsi="宋体" w:hint="eastAsia"/>
                <w:color w:val="000000"/>
                <w:kern w:val="0"/>
                <w:sz w:val="18"/>
                <w:szCs w:val="18"/>
                <w:u w:val="none"/>
                <w:lang w:val="en-US" w:eastAsia="zh-CN" w:bidi="ar-SA"/>
              </w:rPr>
              <w:t>23</w:t>
            </w:r>
          </w:p>
        </w:tc>
        <w:tc>
          <w:tcPr>
            <w:tcW w:w="1163"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tc>
        <w:tc>
          <w:tcPr>
            <w:tcW w:w="84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15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252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78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69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73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right"/>
              <w:rPr>
                <w:rFonts w:ascii="宋体" w:eastAsia="宋体" w:cs="宋体" w:hAnsi="宋体" w:hint="eastAsia"/>
                <w:color w:val="000000"/>
                <w:sz w:val="18"/>
                <w:szCs w:val="18"/>
                <w:u w:val="none"/>
                <w:lang w:bidi="ar-SA"/>
              </w:rPr>
            </w:pPr>
          </w:p>
        </w:tc>
        <w:tc>
          <w:tcPr>
            <w:tcW w:w="104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c>
          <w:tcPr>
            <w:tcW w:w="388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left"/>
              <w:rPr>
                <w:rFonts w:ascii="宋体" w:eastAsia="宋体" w:cs="宋体" w:hAnsi="宋体" w:hint="eastAsia"/>
                <w:color w:val="000000"/>
                <w:sz w:val="18"/>
                <w:szCs w:val="18"/>
                <w:u w:val="none"/>
                <w:lang w:bidi="ar-SA"/>
              </w:rPr>
            </w:pPr>
          </w:p>
        </w:tc>
      </w:tr>
    </w:tbl>
    <w:p>
      <w:pPr>
        <w:autoSpaceDE w:val="0"/>
        <w:autoSpaceDN w:val="0"/>
        <w:adjustRightInd w:val="0"/>
        <w:spacing w:line="560" w:lineRule="exact"/>
        <w:ind w:firstLineChars="200" w:firstLine="640"/>
        <w:jc w:val="left"/>
        <w:rPr>
          <w:rFonts w:ascii="黑体" w:eastAsia="黑体" w:cs="Times New Roman" w:hAnsi="黑体" w:hint="eastAsia"/>
          <w:sz w:val="32"/>
          <w:szCs w:val="32"/>
          <w:lang w:bidi="ar-SA"/>
        </w:rPr>
      </w:pPr>
      <w:bookmarkEnd w:id="1"/>
      <w:r>
        <w:rPr>
          <w:rFonts w:ascii="黑体" w:eastAsia="黑体" w:cs="Times New Roman" w:hAnsi="黑体" w:hint="eastAsia"/>
          <w:sz w:val="32"/>
          <w:szCs w:val="32"/>
          <w:lang w:bidi="ar-SA"/>
        </w:rPr>
        <w:t>六、政府采购预算情况</w:t>
      </w:r>
    </w:p>
    <w:p>
      <w:pPr>
        <w:spacing w:line="560" w:lineRule="exact"/>
        <w:ind w:firstLineChars="300" w:firstLine="840"/>
        <w:rPr>
          <w:rFonts w:ascii="仿宋" w:eastAsia="仿宋" w:cs="Times New Roman" w:hAnsi="仿宋" w:hint="eastAsia"/>
          <w:color w:val="FF0000"/>
          <w:sz w:val="28"/>
          <w:szCs w:val="28"/>
          <w:lang w:bidi="ar-SA"/>
          <w:highlight w:val="red"/>
        </w:rPr>
      </w:pPr>
      <w:bookmarkStart w:id="2" w:name="_Toc471398468"/>
      <w:r>
        <w:rPr>
          <w:rFonts w:ascii="仿宋" w:eastAsia="仿宋" w:cs="Times New Roman" w:hAnsi="仿宋" w:hint="eastAsia"/>
          <w:sz w:val="28"/>
          <w:szCs w:val="28"/>
          <w:lang w:bidi="ar-SA"/>
        </w:rPr>
        <w:t>20</w:t>
      </w:r>
      <w:r>
        <w:rPr>
          <w:rFonts w:ascii="仿宋" w:eastAsia="仿宋" w:cs="Times New Roman" w:hAnsi="仿宋" w:hint="eastAsia"/>
          <w:sz w:val="28"/>
          <w:szCs w:val="28"/>
          <w:lang w:val="en-US" w:eastAsia="zh-CN" w:bidi="ar-SA"/>
        </w:rPr>
        <w:t>21</w:t>
      </w:r>
      <w:r>
        <w:rPr>
          <w:rFonts w:ascii="仿宋" w:eastAsia="仿宋" w:cs="Times New Roman" w:hAnsi="仿宋" w:hint="eastAsia"/>
          <w:sz w:val="28"/>
          <w:szCs w:val="28"/>
          <w:lang w:bidi="ar-SA"/>
        </w:rPr>
        <w:t>年纳入政府采购的预算</w:t>
      </w:r>
      <w:r>
        <w:rPr>
          <w:rFonts w:ascii="仿宋" w:eastAsia="仿宋" w:cs="Times New Roman" w:hAnsi="仿宋" w:hint="eastAsia"/>
          <w:sz w:val="28"/>
          <w:szCs w:val="28"/>
          <w:lang w:val="en-US" w:eastAsia="zh-CN" w:bidi="ar-SA"/>
        </w:rPr>
        <w:t>0万元，</w:t>
      </w:r>
      <w:r>
        <w:rPr>
          <w:rFonts w:ascii="仿宋" w:eastAsia="仿宋" w:cs="Times New Roman" w:hAnsi="仿宋" w:hint="eastAsia"/>
          <w:sz w:val="28"/>
          <w:szCs w:val="28"/>
          <w:lang w:bidi="ar-SA"/>
        </w:rPr>
        <w:t>相较于20</w:t>
      </w:r>
      <w:r>
        <w:rPr>
          <w:rFonts w:ascii="仿宋" w:eastAsia="仿宋" w:cs="Times New Roman" w:hAnsi="仿宋" w:hint="eastAsia"/>
          <w:sz w:val="28"/>
          <w:szCs w:val="28"/>
          <w:lang w:val="en-US" w:eastAsia="zh-CN" w:bidi="ar-SA"/>
        </w:rPr>
        <w:t>20</w:t>
      </w:r>
      <w:r>
        <w:rPr>
          <w:rFonts w:ascii="仿宋" w:eastAsia="仿宋" w:cs="Times New Roman" w:hAnsi="仿宋" w:hint="eastAsia"/>
          <w:sz w:val="28"/>
          <w:szCs w:val="28"/>
          <w:lang w:bidi="ar-SA"/>
        </w:rPr>
        <w:t>年</w:t>
      </w:r>
      <w:r>
        <w:rPr>
          <w:rFonts w:ascii="仿宋" w:eastAsia="仿宋" w:cs="Times New Roman" w:hAnsi="仿宋" w:hint="eastAsia"/>
          <w:sz w:val="28"/>
          <w:szCs w:val="28"/>
          <w:lang w:val="en-US" w:eastAsia="zh-CN" w:bidi="ar-SA"/>
        </w:rPr>
        <w:t>1.35万元</w:t>
      </w:r>
      <w:r>
        <w:rPr>
          <w:rFonts w:ascii="仿宋" w:eastAsia="仿宋" w:cs="Times New Roman" w:hAnsi="仿宋" w:hint="eastAsia"/>
          <w:sz w:val="28"/>
          <w:szCs w:val="28"/>
          <w:lang w:eastAsia="zh-CN" w:bidi="ar-SA"/>
        </w:rPr>
        <w:t>减少</w:t>
      </w:r>
      <w:r>
        <w:rPr>
          <w:rFonts w:ascii="仿宋" w:eastAsia="仿宋" w:cs="Times New Roman" w:hAnsi="仿宋" w:hint="eastAsia"/>
          <w:sz w:val="28"/>
          <w:szCs w:val="28"/>
          <w:lang w:val="en-US" w:eastAsia="zh-CN" w:bidi="ar-SA"/>
        </w:rPr>
        <w:t>1.35</w:t>
      </w:r>
      <w:r>
        <w:rPr>
          <w:rFonts w:ascii="仿宋" w:eastAsia="仿宋" w:cs="Times New Roman" w:hAnsi="仿宋" w:hint="eastAsia"/>
          <w:sz w:val="28"/>
          <w:szCs w:val="28"/>
          <w:lang w:bidi="ar-SA"/>
        </w:rPr>
        <w:t>万元，主要为</w:t>
      </w:r>
      <w:r>
        <w:rPr>
          <w:rFonts w:ascii="仿宋" w:eastAsia="仿宋" w:cs="Times New Roman" w:hAnsi="仿宋" w:hint="eastAsia"/>
          <w:sz w:val="28"/>
          <w:szCs w:val="28"/>
          <w:lang w:val="en-US" w:eastAsia="zh-CN" w:bidi="ar-SA"/>
        </w:rPr>
        <w:t>2020年列入政府采购预算项目内的车辆设备的维修和保养服务1.0万元、保险服务0.35万元，今年此项不用列入政府采购预算</w:t>
      </w:r>
      <w:r>
        <w:rPr>
          <w:rFonts w:ascii="仿宋" w:eastAsia="仿宋" w:cs="Times New Roman" w:hAnsi="仿宋" w:hint="eastAsia"/>
          <w:sz w:val="28"/>
          <w:szCs w:val="28"/>
          <w:lang w:bidi="ar-SA"/>
        </w:rPr>
        <w:t>。</w:t>
      </w:r>
      <w:bookmarkEnd w:id="2"/>
    </w:p>
    <w:p>
      <w:pPr>
        <w:autoSpaceDE w:val="0"/>
        <w:autoSpaceDN w:val="0"/>
        <w:adjustRightInd w:val="0"/>
        <w:spacing w:line="560" w:lineRule="exact"/>
        <w:ind w:firstLineChars="200" w:firstLine="640"/>
        <w:jc w:val="left"/>
        <w:rPr>
          <w:rFonts w:ascii="黑体" w:eastAsia="黑体" w:cs="Times New Roman" w:hAnsi="黑体" w:hint="eastAsia"/>
          <w:sz w:val="32"/>
          <w:szCs w:val="32"/>
          <w:lang w:bidi="ar-SA"/>
        </w:rPr>
      </w:pPr>
      <w:r>
        <w:rPr>
          <w:rFonts w:ascii="黑体" w:eastAsia="黑体" w:cs="Times New Roman" w:hAnsi="黑体" w:hint="eastAsia"/>
          <w:sz w:val="32"/>
          <w:szCs w:val="32"/>
          <w:lang w:bidi="ar-SA"/>
        </w:rPr>
        <w:t>七、国有资产信息</w:t>
      </w:r>
    </w:p>
    <w:p>
      <w:pPr>
        <w:spacing w:line="560" w:lineRule="exact"/>
        <w:ind w:firstLineChars="300" w:firstLine="840"/>
        <w:rPr>
          <w:rFonts w:ascii="仿宋" w:eastAsia="仿宋" w:cs="Times New Roman" w:hAnsi="仿宋" w:hint="eastAsia"/>
          <w:sz w:val="28"/>
          <w:szCs w:val="28"/>
          <w:lang w:bidi="ar-SA"/>
        </w:rPr>
      </w:pPr>
      <w:r>
        <w:rPr>
          <w:rFonts w:ascii="仿宋" w:eastAsia="仿宋" w:cs="Times New Roman" w:hAnsi="仿宋" w:hint="eastAsia"/>
          <w:sz w:val="28"/>
          <w:szCs w:val="28"/>
          <w:lang w:bidi="ar-SA"/>
        </w:rPr>
        <w:t>遵化市供销合作社</w:t>
      </w:r>
      <w:r>
        <w:rPr>
          <w:rFonts w:ascii="仿宋" w:eastAsia="仿宋" w:cs="Times New Roman" w:hAnsi="仿宋" w:hint="eastAsia"/>
          <w:sz w:val="28"/>
          <w:szCs w:val="28"/>
          <w:lang w:bidi="ar-SA"/>
        </w:rPr>
        <w:t>单位</w:t>
      </w:r>
      <w:r>
        <w:rPr>
          <w:rFonts w:ascii="仿宋" w:eastAsia="仿宋" w:cs="Times New Roman" w:hAnsi="仿宋" w:hint="eastAsia"/>
          <w:sz w:val="28"/>
          <w:szCs w:val="28"/>
          <w:lang w:bidi="ar-SA"/>
        </w:rPr>
        <w:t>上年末固定资产金额为</w:t>
      </w:r>
      <w:r>
        <w:rPr>
          <w:rFonts w:ascii="仿宋" w:eastAsia="仿宋" w:cs="Times New Roman" w:hAnsi="仿宋" w:hint="eastAsia"/>
          <w:b/>
          <w:sz w:val="28"/>
          <w:szCs w:val="28"/>
          <w:lang w:bidi="ar-SA"/>
        </w:rPr>
        <w:t>102.44万元（详见下表）</w:t>
      </w:r>
      <w:r>
        <w:rPr>
          <w:rFonts w:ascii="仿宋" w:eastAsia="仿宋" w:cs="Times New Roman" w:hAnsi="仿宋" w:hint="eastAsia"/>
          <w:sz w:val="28"/>
          <w:szCs w:val="28"/>
          <w:lang w:bidi="ar-SA"/>
        </w:rPr>
        <w:t>，本年度未安排固定资产采购预算。</w:t>
      </w:r>
    </w:p>
    <w:p>
      <w:pPr>
        <w:spacing w:line="560" w:lineRule="exact"/>
        <w:ind w:firstLineChars="300" w:firstLine="840"/>
        <w:rPr>
          <w:rFonts w:ascii="仿宋" w:eastAsia="仿宋" w:cs="Times New Roman" w:hAnsi="仿宋" w:hint="eastAsia"/>
          <w:sz w:val="28"/>
          <w:szCs w:val="28"/>
          <w:lang w:bidi="ar-SA"/>
        </w:rPr>
      </w:pPr>
    </w:p>
    <w:tbl>
      <w:tblPr>
        <w:jc w:val="left"/>
        <w:tblInd w:w="10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224"/>
        <w:gridCol w:w="3155"/>
        <w:gridCol w:w="5103"/>
      </w:tblGrid>
      <w:tr>
        <w:trPr>
          <w:trHeight w:val="534"/>
        </w:trPr>
        <w:tc>
          <w:tcPr>
            <w:tcW w:w="13482" w:type="dxa"/>
            <w:gridSpan w:val="3"/>
            <w:tcBorders>
              <w:top w:val="nil"/>
              <w:left w:val="nil"/>
              <w:bottom w:val="nil"/>
              <w:right w:val="nil"/>
              <w:tl2br w:val="nil"/>
              <w:tr2bl w:val="nil"/>
            </w:tcBorders>
            <w:vAlign w:val="center"/>
          </w:tcPr>
          <w:p>
            <w:pPr>
              <w:widowControl/>
              <w:jc w:val="center"/>
              <w:rPr>
                <w:rFonts w:ascii="宋体" w:cs="宋体" w:hint="eastAsia"/>
                <w:b/>
                <w:bCs/>
                <w:kern w:val="0"/>
                <w:sz w:val="32"/>
                <w:szCs w:val="32"/>
                <w:lang w:bidi="ar-SA"/>
              </w:rPr>
            </w:pPr>
            <w:r>
              <w:rPr>
                <w:rFonts w:ascii="宋体" w:cs="宋体" w:hint="eastAsia"/>
                <w:b/>
                <w:bCs/>
                <w:kern w:val="0"/>
                <w:sz w:val="32"/>
                <w:szCs w:val="32"/>
                <w:lang w:bidi="ar-SA"/>
              </w:rPr>
              <w:t>遵化市供销合作社</w:t>
            </w:r>
            <w:r>
              <w:rPr>
                <w:rFonts w:ascii="宋体" w:cs="宋体" w:hint="eastAsia"/>
                <w:b/>
                <w:bCs/>
                <w:kern w:val="0"/>
                <w:sz w:val="32"/>
                <w:szCs w:val="32"/>
                <w:lang w:bidi="ar-SA"/>
              </w:rPr>
              <w:t>单位</w:t>
            </w:r>
            <w:r>
              <w:rPr>
                <w:rFonts w:ascii="宋体" w:cs="宋体" w:hint="eastAsia"/>
                <w:b/>
                <w:bCs/>
                <w:kern w:val="0"/>
                <w:sz w:val="32"/>
                <w:szCs w:val="32"/>
                <w:lang w:bidi="ar-SA"/>
              </w:rPr>
              <w:t>固定资产占用情况表</w:t>
            </w:r>
          </w:p>
        </w:tc>
      </w:tr>
      <w:tr>
        <w:trPr>
          <w:trHeight w:val="510"/>
        </w:trPr>
        <w:tc>
          <w:tcPr>
            <w:tcW w:w="8379" w:type="dxa"/>
            <w:gridSpan w:val="2"/>
            <w:tcBorders>
              <w:top w:val="nil"/>
              <w:left w:val="nil"/>
              <w:bottom w:val="nil"/>
              <w:right w:val="nil"/>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编制</w:t>
            </w:r>
            <w:r>
              <w:rPr>
                <w:rFonts w:ascii="宋体" w:cs="宋体" w:hint="eastAsia"/>
                <w:kern w:val="0"/>
                <w:sz w:val="22"/>
                <w:lang w:bidi="ar-SA"/>
              </w:rPr>
              <w:t>单位</w:t>
            </w:r>
            <w:r>
              <w:rPr>
                <w:rFonts w:ascii="宋体" w:cs="宋体" w:hint="eastAsia"/>
                <w:kern w:val="0"/>
                <w:sz w:val="22"/>
                <w:lang w:bidi="ar-SA"/>
              </w:rPr>
              <w:t>：遵化市供销合作社</w:t>
            </w:r>
          </w:p>
        </w:tc>
        <w:tc>
          <w:tcPr>
            <w:tcW w:w="5103" w:type="dxa"/>
            <w:tcBorders>
              <w:top w:val="nil"/>
              <w:left w:val="nil"/>
              <w:bottom w:val="nil"/>
              <w:right w:val="nil"/>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截止时间：</w:t>
            </w:r>
            <w:r>
              <w:rPr>
                <w:rFonts w:ascii="宋体" w:cs="宋体" w:hint="eastAsia"/>
                <w:kern w:val="0"/>
                <w:sz w:val="22"/>
                <w:lang w:bidi="ar-SA"/>
              </w:rPr>
              <w:t>20</w:t>
            </w:r>
            <w:r>
              <w:rPr>
                <w:rFonts w:ascii="宋体" w:cs="宋体" w:hint="eastAsia"/>
                <w:kern w:val="0"/>
                <w:sz w:val="22"/>
                <w:lang w:val="en-US" w:eastAsia="zh-CN" w:bidi="ar-SA"/>
              </w:rPr>
              <w:t>20</w:t>
            </w:r>
            <w:r>
              <w:rPr>
                <w:rFonts w:ascii="宋体" w:cs="宋体" w:hint="eastAsia"/>
                <w:kern w:val="0"/>
                <w:sz w:val="22"/>
                <w:lang w:bidi="ar-SA"/>
              </w:rPr>
              <w:t>年</w:t>
            </w:r>
            <w:r>
              <w:rPr>
                <w:rFonts w:ascii="宋体" w:cs="宋体" w:hint="eastAsia"/>
                <w:kern w:val="0"/>
                <w:sz w:val="22"/>
                <w:lang w:bidi="ar-SA"/>
              </w:rPr>
              <w:t>12</w:t>
            </w:r>
            <w:r>
              <w:rPr>
                <w:rFonts w:ascii="宋体" w:cs="宋体" w:hint="eastAsia"/>
                <w:kern w:val="0"/>
                <w:sz w:val="22"/>
                <w:lang w:bidi="ar-SA"/>
              </w:rPr>
              <w:t>月</w:t>
            </w:r>
            <w:r>
              <w:rPr>
                <w:rFonts w:ascii="宋体" w:cs="宋体" w:hint="eastAsia"/>
                <w:kern w:val="0"/>
                <w:sz w:val="22"/>
                <w:lang w:bidi="ar-SA"/>
              </w:rPr>
              <w:t>31</w:t>
            </w:r>
            <w:r>
              <w:rPr>
                <w:rFonts w:ascii="宋体" w:cs="宋体" w:hint="eastAsia"/>
                <w:kern w:val="0"/>
                <w:sz w:val="22"/>
                <w:lang w:bidi="ar-SA"/>
              </w:rPr>
              <w:t>日</w:t>
            </w:r>
            <w:r>
              <w:rPr>
                <w:rFonts w:ascii="宋体" w:cs="宋体" w:hint="eastAsia"/>
                <w:kern w:val="0"/>
                <w:sz w:val="22"/>
                <w:lang w:bidi="ar-SA"/>
              </w:rPr>
              <w:t xml:space="preserve">  </w:t>
            </w:r>
          </w:p>
        </w:tc>
      </w:tr>
      <w:tr>
        <w:trPr>
          <w:trHeight w:hRule="exact" w:val="567"/>
        </w:trPr>
        <w:tc>
          <w:tcPr>
            <w:tcW w:w="5224"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宋体" w:cs="宋体" w:hint="eastAsia"/>
                <w:b/>
                <w:bCs/>
                <w:kern w:val="0"/>
                <w:sz w:val="22"/>
                <w:lang w:bidi="ar-SA"/>
              </w:rPr>
            </w:pPr>
            <w:r>
              <w:rPr>
                <w:rFonts w:ascii="宋体" w:cs="宋体" w:hint="eastAsia"/>
                <w:b/>
                <w:bCs/>
                <w:kern w:val="0"/>
                <w:sz w:val="22"/>
                <w:lang w:bidi="ar-SA"/>
              </w:rPr>
              <w:t>项</w:t>
            </w:r>
            <w:r>
              <w:rPr>
                <w:rFonts w:ascii="宋体" w:cs="宋体" w:hint="eastAsia"/>
                <w:b/>
                <w:bCs/>
                <w:kern w:val="0"/>
                <w:sz w:val="22"/>
                <w:lang w:bidi="ar-SA"/>
              </w:rPr>
              <w:t xml:space="preserve">   </w:t>
            </w:r>
            <w:r>
              <w:rPr>
                <w:rFonts w:ascii="宋体" w:cs="宋体" w:hint="eastAsia"/>
                <w:b/>
                <w:bCs/>
                <w:kern w:val="0"/>
                <w:sz w:val="22"/>
                <w:lang w:bidi="ar-SA"/>
              </w:rPr>
              <w:t>目</w:t>
            </w:r>
          </w:p>
        </w:tc>
        <w:tc>
          <w:tcPr>
            <w:tcW w:w="3155"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int="eastAsia"/>
                <w:b/>
                <w:bCs/>
                <w:kern w:val="0"/>
                <w:sz w:val="22"/>
                <w:lang w:bidi="ar-SA"/>
              </w:rPr>
            </w:pPr>
            <w:r>
              <w:rPr>
                <w:rFonts w:ascii="宋体" w:cs="宋体" w:hint="eastAsia"/>
                <w:b/>
                <w:bCs/>
                <w:kern w:val="0"/>
                <w:sz w:val="22"/>
                <w:lang w:bidi="ar-SA"/>
              </w:rPr>
              <w:t>数量</w:t>
            </w:r>
          </w:p>
        </w:tc>
        <w:tc>
          <w:tcPr>
            <w:tcW w:w="5103"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int="eastAsia"/>
                <w:b/>
                <w:bCs/>
                <w:kern w:val="0"/>
                <w:sz w:val="22"/>
                <w:lang w:bidi="ar-SA"/>
              </w:rPr>
            </w:pPr>
            <w:r>
              <w:rPr>
                <w:rFonts w:ascii="宋体" w:cs="宋体" w:hint="eastAsia"/>
                <w:b/>
                <w:bCs/>
                <w:kern w:val="0"/>
                <w:sz w:val="22"/>
                <w:lang w:bidi="ar-SA"/>
              </w:rPr>
              <w:t>价值（金额单位：万元）</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center"/>
              <w:rPr>
                <w:rFonts w:ascii="宋体" w:cs="宋体" w:hint="eastAsia"/>
                <w:kern w:val="0"/>
                <w:sz w:val="22"/>
                <w:lang w:bidi="ar-SA"/>
              </w:rPr>
            </w:pPr>
            <w:r>
              <w:rPr>
                <w:rFonts w:ascii="宋体" w:cs="宋体" w:hint="eastAsia"/>
                <w:kern w:val="0"/>
                <w:sz w:val="22"/>
                <w:lang w:bidi="ar-SA"/>
              </w:rPr>
              <w:t>资产总额</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sz w:val="22"/>
              </w:rPr>
              <w:t>——</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102.44</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1</w:t>
            </w:r>
            <w:r>
              <w:rPr>
                <w:rFonts w:ascii="宋体" w:cs="宋体" w:hint="eastAsia"/>
                <w:kern w:val="0"/>
                <w:sz w:val="22"/>
                <w:lang w:bidi="ar-SA"/>
              </w:rPr>
              <w:t>、房屋（平方米）</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0</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0</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 xml:space="preserve">   </w:t>
            </w:r>
            <w:r>
              <w:rPr>
                <w:rFonts w:ascii="宋体" w:cs="宋体" w:hint="eastAsia"/>
                <w:kern w:val="0"/>
                <w:sz w:val="22"/>
                <w:lang w:bidi="ar-SA"/>
              </w:rPr>
              <w:t>其中：办公用房（平方米）</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0</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0</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2</w:t>
            </w:r>
            <w:r>
              <w:rPr>
                <w:rFonts w:ascii="宋体" w:cs="宋体" w:hint="eastAsia"/>
                <w:kern w:val="0"/>
                <w:sz w:val="22"/>
                <w:lang w:bidi="ar-SA"/>
              </w:rPr>
              <w:t>、车辆（台、辆）</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1</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23.17</w:t>
            </w:r>
          </w:p>
        </w:tc>
      </w:tr>
      <w:tr>
        <w:trPr>
          <w:trHeight w:hRule="exact" w:val="567"/>
        </w:trPr>
        <w:tc>
          <w:tcPr>
            <w:tcW w:w="5224" w:type="dxa"/>
            <w:tcBorders>
              <w:top w:val="nil"/>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3</w:t>
            </w:r>
            <w:r>
              <w:rPr>
                <w:rFonts w:ascii="宋体" w:cs="宋体" w:hint="eastAsia"/>
                <w:kern w:val="0"/>
                <w:sz w:val="22"/>
                <w:lang w:bidi="ar-SA"/>
              </w:rPr>
              <w:t>、单价在</w:t>
            </w:r>
            <w:r>
              <w:rPr>
                <w:rFonts w:ascii="宋体" w:cs="宋体" w:hint="eastAsia"/>
                <w:kern w:val="0"/>
                <w:sz w:val="22"/>
                <w:lang w:bidi="ar-SA"/>
              </w:rPr>
              <w:t>20</w:t>
            </w:r>
            <w:r>
              <w:rPr>
                <w:rFonts w:ascii="宋体" w:cs="宋体" w:hint="eastAsia"/>
                <w:kern w:val="0"/>
                <w:sz w:val="22"/>
                <w:lang w:bidi="ar-SA"/>
              </w:rPr>
              <w:t>万元以上的设备</w:t>
            </w:r>
          </w:p>
        </w:tc>
        <w:tc>
          <w:tcPr>
            <w:tcW w:w="3155"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rPr>
              <w:t>　</w:t>
            </w:r>
          </w:p>
        </w:tc>
        <w:tc>
          <w:tcPr>
            <w:tcW w:w="5103" w:type="dxa"/>
            <w:tcBorders>
              <w:top w:val="nil"/>
              <w:left w:val="nil"/>
              <w:bottom w:val="single" w:sz="4" w:space="0" w:color="auto"/>
              <w:right w:val="single" w:sz="4" w:space="0" w:color="auto"/>
              <w:tl2br w:val="nil"/>
              <w:tr2bl w:val="nil"/>
            </w:tcBorders>
            <w:vAlign w:val="center"/>
          </w:tcPr>
          <w:p>
            <w:pPr>
              <w:jc w:val="center"/>
              <w:rPr>
                <w:rFonts w:ascii="宋体" w:cs="宋体" w:hint="eastAsia"/>
                <w:sz w:val="22"/>
                <w:lang w:bidi="ar-SA"/>
              </w:rPr>
            </w:pPr>
          </w:p>
        </w:tc>
      </w:tr>
      <w:tr>
        <w:trPr>
          <w:trHeight w:hRule="exact" w:val="567"/>
        </w:trPr>
        <w:tc>
          <w:tcPr>
            <w:tcW w:w="5224"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left"/>
              <w:rPr>
                <w:rFonts w:ascii="宋体" w:cs="宋体" w:hint="eastAsia"/>
                <w:kern w:val="0"/>
                <w:sz w:val="22"/>
                <w:lang w:bidi="ar-SA"/>
              </w:rPr>
            </w:pPr>
            <w:r>
              <w:rPr>
                <w:rFonts w:ascii="宋体" w:cs="宋体" w:hint="eastAsia"/>
                <w:kern w:val="0"/>
                <w:sz w:val="22"/>
                <w:lang w:bidi="ar-SA"/>
              </w:rPr>
              <w:t>4</w:t>
            </w:r>
            <w:r>
              <w:rPr>
                <w:rFonts w:ascii="宋体" w:cs="宋体" w:hint="eastAsia"/>
                <w:kern w:val="0"/>
                <w:sz w:val="22"/>
                <w:lang w:bidi="ar-SA"/>
              </w:rPr>
              <w:t>、其他固定资产</w:t>
            </w:r>
          </w:p>
        </w:tc>
        <w:tc>
          <w:tcPr>
            <w:tcW w:w="3155" w:type="dxa"/>
            <w:tcBorders>
              <w:top w:val="single" w:sz="4" w:space="0" w:color="auto"/>
              <w:left w:val="nil"/>
              <w:bottom w:val="single" w:sz="4" w:space="0" w:color="auto"/>
              <w:right w:val="single" w:sz="4" w:space="0" w:color="auto"/>
              <w:tl2br w:val="nil"/>
              <w:tr2bl w:val="nil"/>
            </w:tcBorders>
            <w:vAlign w:val="center"/>
          </w:tcPr>
          <w:p>
            <w:pPr>
              <w:jc w:val="center"/>
              <w:rPr>
                <w:rFonts w:ascii="宋体" w:cs="宋体" w:hint="eastAsia"/>
                <w:sz w:val="22"/>
                <w:lang w:bidi="ar-SA"/>
              </w:rPr>
            </w:pPr>
            <w:r>
              <w:rPr>
                <w:rFonts w:hint="eastAsia"/>
                <w:sz w:val="22"/>
                <w:lang w:val="en-US" w:eastAsia="zh-CN"/>
              </w:rPr>
              <w:t>13</w:t>
            </w:r>
            <w:r>
              <w:rPr>
                <w:rFonts w:hint="eastAsia"/>
                <w:sz w:val="22"/>
              </w:rPr>
              <w:t>　</w:t>
            </w:r>
          </w:p>
        </w:tc>
        <w:tc>
          <w:tcPr>
            <w:tcW w:w="5103" w:type="dxa"/>
            <w:tcBorders>
              <w:top w:val="single" w:sz="4" w:space="0" w:color="auto"/>
              <w:left w:val="nil"/>
              <w:bottom w:val="single" w:sz="4" w:space="0" w:color="auto"/>
              <w:right w:val="single" w:sz="4" w:space="0" w:color="auto"/>
              <w:tl2br w:val="nil"/>
              <w:tr2bl w:val="nil"/>
            </w:tcBorders>
            <w:vAlign w:val="center"/>
          </w:tcPr>
          <w:p>
            <w:pPr>
              <w:jc w:val="center"/>
              <w:rPr>
                <w:rFonts w:hint="eastAsia"/>
                <w:sz w:val="22"/>
              </w:rPr>
            </w:pPr>
            <w:r>
              <w:rPr>
                <w:rFonts w:hint="eastAsia"/>
                <w:sz w:val="22"/>
              </w:rPr>
              <w:t>79.27</w:t>
            </w:r>
          </w:p>
          <w:p>
            <w:pPr>
              <w:rPr>
                <w:rFonts w:ascii="宋体" w:cs="宋体" w:hint="eastAsia"/>
                <w:sz w:val="22"/>
                <w:lang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firstLineChars="200" w:firstLine="560"/>
        <w:textAlignment w:val="auto"/>
        <w:rPr>
          <w:rFonts w:ascii="黑体" w:eastAsia="黑体" w:cs="Times New Roman" w:hAnsi="黑体" w:hint="eastAsia"/>
          <w:sz w:val="32"/>
          <w:szCs w:val="32"/>
          <w:lang w:bidi="ar-SA"/>
        </w:rPr>
      </w:pPr>
      <w:r>
        <w:rPr>
          <w:rFonts w:ascii="仿宋" w:eastAsia="仿宋" w:cs="Times New Roman" w:hAnsi="仿宋" w:hint="eastAsia"/>
          <w:color w:val="000000"/>
          <w:sz w:val="28"/>
          <w:szCs w:val="28"/>
          <w:lang w:bidi="ar-SA"/>
        </w:rPr>
        <w:t>说明：</w:t>
      </w:r>
      <w:r>
        <w:rPr>
          <w:rFonts w:ascii="仿宋" w:eastAsia="仿宋" w:cs="Times New Roman" w:hAnsi="仿宋" w:hint="eastAsia"/>
          <w:color w:val="000000"/>
          <w:sz w:val="28"/>
          <w:szCs w:val="28"/>
          <w:lang w:eastAsia="zh-CN" w:bidi="ar-SA"/>
        </w:rPr>
        <w:t>（</w:t>
      </w:r>
      <w:r>
        <w:rPr>
          <w:rFonts w:ascii="仿宋" w:eastAsia="仿宋" w:cs="Times New Roman" w:hAnsi="仿宋" w:hint="eastAsia"/>
          <w:color w:val="000000"/>
          <w:sz w:val="28"/>
          <w:szCs w:val="28"/>
          <w:lang w:val="en-US" w:eastAsia="zh-CN" w:bidi="ar-SA"/>
        </w:rPr>
        <w:t>1</w:t>
      </w:r>
      <w:r>
        <w:rPr>
          <w:rFonts w:ascii="仿宋" w:eastAsia="仿宋" w:cs="Times New Roman" w:hAnsi="仿宋" w:hint="eastAsia"/>
          <w:color w:val="000000"/>
          <w:sz w:val="28"/>
          <w:szCs w:val="28"/>
          <w:lang w:eastAsia="zh-CN" w:bidi="ar-SA"/>
        </w:rPr>
        <w:t>）</w:t>
      </w:r>
      <w:r>
        <w:rPr>
          <w:rFonts w:ascii="仿宋" w:eastAsia="仿宋" w:cs="Times New Roman" w:hAnsi="仿宋" w:hint="eastAsia"/>
          <w:color w:val="000000"/>
          <w:sz w:val="28"/>
          <w:szCs w:val="28"/>
          <w:lang w:bidi="ar-SA"/>
        </w:rPr>
        <w:t>房屋为0平方米，原因为供销社机关为借用场地办公。</w:t>
      </w:r>
      <w:r>
        <w:rPr>
          <w:rFonts w:ascii="仿宋" w:eastAsia="仿宋" w:cs="Times New Roman" w:hAnsi="仿宋" w:hint="eastAsia"/>
          <w:color w:val="000000"/>
          <w:sz w:val="28"/>
          <w:szCs w:val="28"/>
          <w:lang w:eastAsia="zh-CN" w:bidi="ar-SA"/>
        </w:rPr>
        <w:t>（</w:t>
      </w:r>
      <w:r>
        <w:rPr>
          <w:rFonts w:ascii="仿宋" w:eastAsia="仿宋" w:cs="Times New Roman" w:hAnsi="仿宋" w:hint="eastAsia"/>
          <w:color w:val="000000"/>
          <w:sz w:val="28"/>
          <w:szCs w:val="28"/>
          <w:lang w:val="en-US" w:eastAsia="zh-CN" w:bidi="ar-SA"/>
        </w:rPr>
        <w:t>2</w:t>
      </w:r>
      <w:r>
        <w:rPr>
          <w:rFonts w:ascii="仿宋" w:eastAsia="仿宋" w:cs="Times New Roman" w:hAnsi="仿宋" w:hint="eastAsia"/>
          <w:color w:val="000000"/>
          <w:sz w:val="28"/>
          <w:szCs w:val="28"/>
          <w:lang w:eastAsia="zh-CN" w:bidi="ar-SA"/>
        </w:rPr>
        <w:t>）上述固定资产价值为固定资产原值，按照政府会计制度规定累计提取固定资产折旧后，上述固定资产净值为</w:t>
      </w:r>
      <w:r>
        <w:rPr>
          <w:rFonts w:ascii="仿宋" w:eastAsia="仿宋" w:cs="Times New Roman" w:hAnsi="仿宋" w:hint="eastAsia"/>
          <w:color w:val="000000"/>
          <w:sz w:val="28"/>
          <w:szCs w:val="28"/>
          <w:lang w:val="en-US" w:eastAsia="zh-CN" w:bidi="ar-SA"/>
        </w:rPr>
        <w:t>6.21</w:t>
      </w:r>
      <w:r>
        <w:rPr>
          <w:rFonts w:ascii="仿宋" w:eastAsia="仿宋" w:cs="Times New Roman" w:hAnsi="仿宋" w:hint="eastAsia"/>
          <w:color w:val="000000"/>
          <w:sz w:val="28"/>
          <w:szCs w:val="28"/>
          <w:lang w:eastAsia="zh-CN" w:bidi="ar-SA"/>
        </w:rPr>
        <w:t>万元，其中：车辆</w:t>
      </w:r>
      <w:r>
        <w:rPr>
          <w:rFonts w:ascii="仿宋" w:eastAsia="仿宋" w:cs="Times New Roman" w:hAnsi="仿宋" w:hint="eastAsia"/>
          <w:color w:val="000000"/>
          <w:sz w:val="28"/>
          <w:szCs w:val="28"/>
          <w:lang w:val="en-US" w:eastAsia="zh-CN" w:bidi="ar-SA"/>
        </w:rPr>
        <w:t>0万元、其他固定资产6.21万元。</w:t>
      </w:r>
    </w:p>
    <w:p>
      <w:pPr>
        <w:autoSpaceDE w:val="0"/>
        <w:autoSpaceDN w:val="0"/>
        <w:adjustRightInd w:val="0"/>
        <w:spacing w:line="560" w:lineRule="exact"/>
        <w:ind w:firstLineChars="200" w:firstLine="640"/>
        <w:jc w:val="left"/>
        <w:rPr>
          <w:rFonts w:ascii="黑体" w:eastAsia="黑体" w:cs="Times New Roman" w:hAnsi="黑体" w:hint="eastAsia"/>
          <w:sz w:val="32"/>
          <w:szCs w:val="32"/>
          <w:lang w:bidi="ar-SA"/>
        </w:rPr>
      </w:pPr>
      <w:r>
        <w:rPr>
          <w:rFonts w:ascii="黑体" w:eastAsia="黑体" w:cs="Times New Roman" w:hAnsi="黑体" w:hint="eastAsia"/>
          <w:sz w:val="32"/>
          <w:szCs w:val="32"/>
          <w:lang w:bidi="ar-SA"/>
        </w:rPr>
        <w:t>八、名词解释</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1、一般</w:t>
      </w:r>
      <w:r>
        <w:rPr>
          <w:rFonts w:ascii="仿宋" w:eastAsia="仿宋" w:cs="Times New Roman" w:hAnsi="仿宋" w:hint="eastAsia"/>
          <w:sz w:val="28"/>
          <w:szCs w:val="28"/>
          <w:lang w:bidi="ar-SA"/>
        </w:rPr>
        <w:t>公</w:t>
      </w:r>
      <w:r>
        <w:rPr>
          <w:rFonts w:ascii="仿宋" w:eastAsia="仿宋" w:cs="Times New Roman" w:hAnsi="仿宋" w:hint="eastAsia"/>
          <w:sz w:val="28"/>
          <w:szCs w:val="28"/>
          <w:lang w:bidi="ar-SA"/>
        </w:rPr>
        <w:t>共预算拨款收入：指</w:t>
      </w:r>
      <w:r>
        <w:rPr>
          <w:rFonts w:ascii="仿宋" w:eastAsia="仿宋" w:cs="Times New Roman" w:hAnsi="仿宋" w:hint="eastAsia"/>
          <w:sz w:val="28"/>
          <w:szCs w:val="28"/>
          <w:lang w:bidi="ar-SA"/>
        </w:rPr>
        <w:t>市</w:t>
      </w:r>
      <w:r>
        <w:rPr>
          <w:rFonts w:ascii="仿宋" w:eastAsia="仿宋" w:cs="Times New Roman" w:hAnsi="仿宋" w:hint="eastAsia"/>
          <w:sz w:val="28"/>
          <w:szCs w:val="28"/>
          <w:lang w:bidi="ar-SA"/>
        </w:rPr>
        <w:t>级财政当年拨付的资金。</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2、事业收入：指事业单位开展专业业务活动及辅助活动所取得的收入。</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3、其他收入：指除“</w:t>
      </w:r>
      <w:r>
        <w:rPr>
          <w:rFonts w:ascii="仿宋" w:eastAsia="仿宋" w:cs="Times New Roman" w:hAnsi="仿宋" w:hint="eastAsia"/>
          <w:sz w:val="28"/>
          <w:szCs w:val="28"/>
          <w:lang w:bidi="ar-SA"/>
        </w:rPr>
        <w:t>一般公共预算</w:t>
      </w:r>
      <w:r>
        <w:rPr>
          <w:rFonts w:ascii="仿宋" w:eastAsia="仿宋" w:cs="Times New Roman" w:hAnsi="仿宋" w:hint="eastAsia"/>
          <w:sz w:val="28"/>
          <w:szCs w:val="28"/>
          <w:lang w:bidi="ar-SA"/>
        </w:rPr>
        <w:t>拨款收入”、“事业收入”等以外的收入。主要是按规定动用的租房收入、存款利息收入等。</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4、基本支出：</w:t>
      </w:r>
      <w:r>
        <w:rPr>
          <w:rFonts w:ascii="仿宋" w:eastAsia="仿宋" w:cs="Times New Roman" w:hAnsi="仿宋" w:hint="eastAsia"/>
          <w:sz w:val="28"/>
          <w:szCs w:val="28"/>
          <w:lang w:bidi="ar-SA"/>
        </w:rPr>
        <w:t>指为保障机构正常运转、完成日常工作任务而发生的人员支出和公用支出。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5、项目支出：</w:t>
      </w:r>
      <w:r>
        <w:rPr>
          <w:rFonts w:ascii="仿宋" w:eastAsia="仿宋" w:cs="Times New Roman" w:hAnsi="仿宋" w:hint="eastAsia"/>
          <w:sz w:val="28"/>
          <w:szCs w:val="28"/>
          <w:lang w:bidi="ar-SA"/>
        </w:rPr>
        <w:t>指在基本支出之外为完成特定行政任务和事业发展目标所发生的支出。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6、上缴上级支出：</w:t>
      </w:r>
      <w:r>
        <w:rPr>
          <w:rFonts w:ascii="仿宋" w:eastAsia="仿宋" w:cs="Times New Roman" w:hAnsi="仿宋" w:hint="eastAsia"/>
          <w:sz w:val="28"/>
          <w:szCs w:val="28"/>
          <w:lang w:bidi="ar-SA"/>
        </w:rPr>
        <w:t>指下级单位上缴上级的支出。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7、“三公”经费：纳入省级财政预算管理的“三公”经费，是指省级</w:t>
      </w:r>
      <w:r>
        <w:rPr>
          <w:rFonts w:ascii="仿宋" w:eastAsia="仿宋" w:cs="Times New Roman" w:hAnsi="仿宋" w:hint="eastAsia"/>
          <w:sz w:val="28"/>
          <w:szCs w:val="28"/>
          <w:lang w:bidi="ar-SA"/>
        </w:rPr>
        <w:t>单位</w:t>
      </w:r>
      <w:r>
        <w:rPr>
          <w:rFonts w:ascii="仿宋" w:eastAsia="仿宋" w:cs="Times New Roman" w:hAnsi="仿宋" w:hint="eastAsia"/>
          <w:sz w:val="28"/>
          <w:szCs w:val="28"/>
          <w:lang w:bidi="ar-SA"/>
        </w:rPr>
        <w:t>用财政拨款安排的因公出国（境）费、公务用车购置及运</w:t>
      </w:r>
      <w:r>
        <w:rPr>
          <w:rFonts w:ascii="仿宋" w:eastAsia="仿宋" w:cs="Times New Roman" w:hAnsi="仿宋" w:hint="eastAsia"/>
          <w:sz w:val="28"/>
          <w:szCs w:val="28"/>
          <w:lang w:bidi="ar-SA"/>
        </w:rPr>
        <w:t>维</w:t>
      </w:r>
      <w:r>
        <w:rPr>
          <w:rFonts w:ascii="仿宋" w:eastAsia="仿宋" w:cs="Times New Roman" w:hAnsi="仿宋" w:hint="eastAsia"/>
          <w:sz w:val="28"/>
          <w:szCs w:val="28"/>
          <w:lang w:bidi="ar-SA"/>
        </w:rPr>
        <w:t>费和公务接待费。其中，因公出国（境）费反映单位公务出国（境）的住宿费、旅费、伙食补助费、杂费、培训费等支出；公务用车购置及运</w:t>
      </w:r>
      <w:r>
        <w:rPr>
          <w:rFonts w:ascii="仿宋" w:eastAsia="仿宋" w:cs="Times New Roman" w:hAnsi="仿宋" w:hint="eastAsia"/>
          <w:sz w:val="28"/>
          <w:szCs w:val="28"/>
          <w:lang w:bidi="ar-SA"/>
        </w:rPr>
        <w:t>维</w:t>
      </w:r>
      <w:r>
        <w:rPr>
          <w:rFonts w:ascii="仿宋" w:eastAsia="仿宋" w:cs="Times New Roman" w:hAnsi="仿宋" w:hint="eastAsia"/>
          <w:sz w:val="28"/>
          <w:szCs w:val="28"/>
          <w:lang w:bidi="ar-SA"/>
        </w:rPr>
        <w:t>费反映单位公务用车购置费及租用费、燃料费、维修费、过路过桥费、保险费、安全奖励费用等支出；公务接待费反映单位按规定开支的各类公务接待（含外宾接待）支出。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8、机关运行费：</w:t>
      </w:r>
      <w:r>
        <w:rPr>
          <w:rFonts w:ascii="仿宋" w:eastAsia="仿宋" w:cs="Times New Roman" w:hAnsi="仿宋" w:hint="eastAsia"/>
          <w:sz w:val="28"/>
          <w:szCs w:val="28"/>
          <w:lang w:bidi="ar-SA"/>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 w:eastAsia="仿宋" w:cs="Times New Roman" w:hAnsi="仿宋" w:hint="eastAsia"/>
          <w:sz w:val="28"/>
          <w:szCs w:val="28"/>
          <w:lang w:bidi="ar-SA"/>
        </w:rPr>
        <w:t>其他费用。</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9、上年结转：指以前年度尚未完成、结转到本年仍按原规定用途继续使用的资金。</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10、事业单位经营支出：指事业单位在专业业务活动及其辅助活动之外开展非独立核算经营活动发生的支出。</w:t>
      </w:r>
    </w:p>
    <w:p>
      <w:pPr>
        <w:tabs>
          <w:tab w:val="left" w:pos="11490"/>
        </w:tabs>
        <w:spacing w:line="560" w:lineRule="exact"/>
        <w:ind w:firstLineChars="200" w:firstLine="640"/>
        <w:rPr>
          <w:rFonts w:ascii="仿宋" w:eastAsia="仿宋" w:cs="Times New Roman" w:hAnsi="仿宋" w:hint="eastAsia"/>
          <w:sz w:val="32"/>
          <w:szCs w:val="32"/>
          <w:lang w:bidi="ar-SA"/>
        </w:rPr>
      </w:pPr>
      <w:r>
        <w:rPr>
          <w:rFonts w:ascii="黑体" w:eastAsia="黑体" w:cs="Times New Roman" w:hAnsi="黑体" w:hint="eastAsia"/>
          <w:sz w:val="32"/>
          <w:szCs w:val="32"/>
          <w:lang w:bidi="ar-SA"/>
        </w:rPr>
        <w:t>九、其他需要说明的事项</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1、遵化市供销合作社20</w:t>
      </w:r>
      <w:r>
        <w:rPr>
          <w:rFonts w:ascii="仿宋" w:eastAsia="仿宋" w:cs="Times New Roman" w:hAnsi="仿宋" w:hint="eastAsia"/>
          <w:sz w:val="28"/>
          <w:szCs w:val="28"/>
          <w:lang w:val="en-US" w:eastAsia="zh-CN" w:bidi="ar-SA"/>
        </w:rPr>
        <w:t>21</w:t>
      </w:r>
      <w:r>
        <w:rPr>
          <w:rFonts w:ascii="仿宋" w:eastAsia="仿宋" w:cs="Times New Roman" w:hAnsi="仿宋" w:hint="eastAsia"/>
          <w:sz w:val="28"/>
          <w:szCs w:val="28"/>
          <w:lang w:bidi="ar-SA"/>
        </w:rPr>
        <w:t>年</w:t>
      </w:r>
      <w:r>
        <w:rPr>
          <w:rFonts w:ascii="仿宋" w:eastAsia="仿宋" w:cs="Times New Roman" w:hAnsi="仿宋" w:hint="eastAsia"/>
          <w:sz w:val="28"/>
          <w:szCs w:val="28"/>
          <w:lang w:bidi="ar-SA"/>
        </w:rPr>
        <w:t>单位</w:t>
      </w:r>
      <w:r>
        <w:rPr>
          <w:rFonts w:ascii="仿宋" w:eastAsia="仿宋" w:cs="Times New Roman" w:hAnsi="仿宋" w:hint="eastAsia"/>
          <w:sz w:val="28"/>
          <w:szCs w:val="28"/>
          <w:lang w:bidi="ar-SA"/>
        </w:rPr>
        <w:t>预算中未安排政府性基金预算，故政府性基金预算支出表为空。</w:t>
      </w:r>
    </w:p>
    <w:p>
      <w:pPr>
        <w:tabs>
          <w:tab w:val="left" w:pos="11490"/>
        </w:tabs>
        <w:spacing w:line="560" w:lineRule="exact"/>
        <w:ind w:firstLineChars="200" w:firstLine="560"/>
        <w:rPr>
          <w:rFonts w:ascii="仿宋" w:eastAsia="仿宋" w:cs="Times New Roman" w:hAnsi="仿宋" w:hint="eastAsia"/>
          <w:sz w:val="28"/>
          <w:szCs w:val="28"/>
          <w:lang w:bidi="ar-SA"/>
        </w:rPr>
      </w:pPr>
      <w:r>
        <w:rPr>
          <w:rFonts w:ascii="仿宋" w:eastAsia="仿宋" w:cs="Times New Roman" w:hAnsi="仿宋" w:hint="eastAsia"/>
          <w:sz w:val="28"/>
          <w:szCs w:val="28"/>
          <w:lang w:bidi="ar-SA"/>
        </w:rPr>
        <w:t>2、遵化市供销合作社20</w:t>
      </w:r>
      <w:r>
        <w:rPr>
          <w:rFonts w:ascii="仿宋" w:eastAsia="仿宋" w:cs="Times New Roman" w:hAnsi="仿宋" w:hint="eastAsia"/>
          <w:sz w:val="28"/>
          <w:szCs w:val="28"/>
          <w:lang w:val="en-US" w:eastAsia="zh-CN" w:bidi="ar-SA"/>
        </w:rPr>
        <w:t>21</w:t>
      </w:r>
      <w:r>
        <w:rPr>
          <w:rFonts w:ascii="仿宋" w:eastAsia="仿宋" w:cs="Times New Roman" w:hAnsi="仿宋" w:hint="eastAsia"/>
          <w:sz w:val="28"/>
          <w:szCs w:val="28"/>
          <w:lang w:bidi="ar-SA"/>
        </w:rPr>
        <w:t>年</w:t>
      </w:r>
      <w:r>
        <w:rPr>
          <w:rFonts w:ascii="仿宋" w:eastAsia="仿宋" w:cs="Times New Roman" w:hAnsi="仿宋" w:hint="eastAsia"/>
          <w:sz w:val="28"/>
          <w:szCs w:val="28"/>
          <w:lang w:bidi="ar-SA"/>
        </w:rPr>
        <w:t>单位</w:t>
      </w:r>
      <w:r>
        <w:rPr>
          <w:rFonts w:ascii="仿宋" w:eastAsia="仿宋" w:cs="Times New Roman" w:hAnsi="仿宋" w:hint="eastAsia"/>
          <w:sz w:val="28"/>
          <w:szCs w:val="28"/>
          <w:lang w:bidi="ar-SA"/>
        </w:rPr>
        <w:t>预算中未安排国有资本经营预算，故国有资本经营预算支出表为空。</w:t>
      </w:r>
    </w:p>
    <w:sectPr>
      <w:headerReference w:type="default" r:id="rId2"/>
      <w:headerReference w:type="even" r:id="rId3"/>
      <w:headerReference w:type="first" r:id="rId4"/>
      <w:footerReference w:type="default" r:id="rId5"/>
      <w:footerReference w:type="even" r:id="rId6"/>
      <w:footerReference w:type="first" r:id="rId7"/>
      <w:pgSz w:w="16838" w:h="11906" w:orient="landscape"/>
      <w:pgMar w:top="1800" w:right="1440" w:bottom="1800" w:left="144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86"/>
    <w:family w:val="roman"/>
    <w:pitch w:val="variable"/>
    <w:sig w:usb0="E0002AFF" w:usb1="C0007841" w:usb2="00000009" w:usb3="00000000" w:csb0="400001FF" w:csb1="FFFF0000"/>
  </w:font>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方正楷体简体">
    <w:panose1 w:val="03000509000000000000"/>
    <w:charset w:val="86"/>
    <w:family w:val="auto"/>
    <w:pitch w:val="variable"/>
    <w:sig w:usb0="00000001" w:usb1="080E0000" w:usb2="00000000" w:usb3="00000000" w:csb0="00040000" w:csb1="00000000"/>
  </w:font>
  <w:font w:name="方正仿宋简体">
    <w:panose1 w:val="03000509000000000000"/>
    <w:charset w:val="86"/>
    <w:family w:val="auto"/>
    <w:pitch w:val="variable"/>
    <w:sig w:usb0="00000001" w:usb1="080E0000" w:usb2="00000000" w:usb3="00000000" w:csb0="00040000" w:csb1="00000000"/>
  </w:font>
  <w:font w:name="Microsoft Sans Serif">
    <w:panose1 w:val="020B0604020202020204"/>
    <w:charset w:val="00"/>
    <w:family w:val="auto"/>
    <w:pitch w:val="variable"/>
    <w:sig w:usb0="E1002AFF" w:usb1="C0000002" w:usb2="00000008" w:usb3="00000000" w:csb0="200101FF" w:csb1="20280000"/>
  </w:font>
  <w:font w:name="方正小标宋_GBK">
    <w:altName w:val="微软雅黑"/>
    <w:panose1 w:val="03000509000000000000"/>
    <w:charset w:val="86"/>
    <w:family w:val="script"/>
    <w:pitch w:val="variable"/>
    <w:sig w:usb0="00000000" w:usb1="00000000" w:usb2="00000010" w:usb3="00000000" w:csb0="00040000" w:csb1="00000000"/>
  </w:font>
  <w:font w:name="方正仿宋_GBK">
    <w:altName w:val="微软雅黑"/>
    <w:panose1 w:val="03000509000000000000"/>
    <w:charset w:val="86"/>
    <w:family w:val="script"/>
    <w:pitch w:val="variable"/>
    <w:sig w:usb0="00000000" w:usb1="00000000" w:usb2="00000010" w:usb3="00000000" w:csb0="0004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tabs>
        <w:tab w:val="clear" w:pos="4153"/>
        <w:tab w:val="clear" w:pos="8306"/>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-6797675</wp:posOffset>
              </wp:positionV>
              <wp:extent cx="76200" cy="131433"/>
              <wp:effectExtent l="0" t="0" r="0" b="0"/>
              <wp:wrapNone/>
              <wp:docPr id="2" name="文本框 2"/>
              <wp:cNvGraphicFramePr>
                <a:graphicFrameLocks noChangeAspect="0"/>
              </wp:cNvGraphicFramePr>
              <a:graphic>
                <a:graphicData uri="http://schemas.microsoft.com/office/word/2010/wordprocessingShape">
                  <wps:wsp>
                    <wps:cNvSpPr/>
                    <wps:spPr>
                      <a:xfrm rot="0">
                        <a:off x="0" y="0"/>
                        <a:ext cx="76200" cy="131433"/>
                      </a:xfrm>
                      <a:prstGeom prst="rect"/>
                      <a:noFill/>
                      <a:ln w="9525" cmpd="sng" cap="flat">
                        <a:noFill/>
                        <a:prstDash val="solid"/>
                        <a:miter/>
                      </a:ln>
                    </wps:spPr>
                    <wps:txbx id="1">
                      <w:txbxContent>
                        <w:p>
                          <w:pPr>
                            <w:pStyle w:val="24"/>
                            <w:tabs>
                              <w:tab w:val="clear" w:pos="4153"/>
                              <w:tab w:val="clear" w:pos="8306"/>
                              <w:tab w:val="center" w:pos="4153"/>
                              <w:tab w:val="right" w:pos="8306"/>
                            </w:tabs>
                            <w:rPr>
                              <w:rFonts w:eastAsia="宋体" w:hAnsi="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vert="horz" wrap="none" lIns="0" tIns="0" rIns="0" bIns="0" anchor="t" anchorCtr="0" upright="1">
                      <a:spAutoFit/>
                    </wps:bodyPr>
                  </wps:wsp>
                </a:graphicData>
              </a:graphic>
            </wp:anchor>
          </w:drawing>
        </mc:Choice>
        <mc:Fallback>
          <w:pict>
            <v:shape type="#_x0000_t202" id="文本框 2" o:spid="_x0000_s2" filled="f" stroked="f" style="position:absolute;margin-left:-416.35pt;margin-top:-535.25pt;width:6.0pt;height:10.349121pt;z-index:12;mso-position-horizontal:center;mso-position-horizontal-relative:margin;mso-position-vertical:absolute;mso-wrap-style:none;">
              <v:stroke color="#000000"/>
              <v:textbox id="848" inset="0mm,0mm,0mm,0mm" o:insetmode="custom" style="layout-flow:horizontal;v-text-anchor:top;mso-fit-shape-to-text:t;">
                <w:txbxContent>
                  <w:p>
                    <w:pPr>
                      <w:pStyle w:val="24"/>
                      <w:tabs>
                        <w:tab w:val="clear" w:pos="4153"/>
                        <w:tab w:val="clear" w:pos="8306"/>
                        <w:tab w:val="center" w:pos="4153"/>
                        <w:tab w:val="right" w:pos="8306"/>
                      </w:tabs>
                      <w:rPr>
                        <w:rFonts w:eastAsia="宋体" w:hAnsi="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tabs>
        <w:tab w:val="clear" w:pos="4153"/>
        <w:tab w:val="clear" w:pos="8306"/>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4"/>
      <w:tabs>
        <w:tab w:val="clear" w:pos="4153"/>
        <w:tab w:val="clear" w:pos="8306"/>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pBdr>
        <w:bottom w:val="none" w:sz="0" w:space="0" w:color="auto"/>
      </w:pBdr>
      <w:tabs>
        <w:tab w:val="clear" w:pos="4153"/>
        <w:tab w:val="clear" w:pos="8306"/>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lear" w:pos="4153"/>
        <w:tab w:val="clear" w:pos="8306"/>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lear" w:pos="4153"/>
        <w:tab w:val="clear" w:pos="8306"/>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4001ADE"/>
    <w:multiLevelType w:val="singleLevel"/>
    <w:tmpl w:val="54001ADE"/>
    <w:lvl w:ilvl="0">
      <w:start w:val="1"/>
      <w:numFmt w:val="decimal"/>
      <w:lvlRestart w:val="0"/>
      <w:lvlText w:val="%1."/>
      <w:lvlJc w:val="left"/>
      <w:pPr>
        <w:tabs>
          <w:tab w:val="num" w:pos="312"/>
        </w:tabs>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doNotShadeFormData/>
  <w:characterSpacingControl w:val="compressPunctuation"/>
  <w:compat>
    <w:spaceForUL/>
    <w:balanceSingleByteDoubleByteWidth/>
    <w:adjustLineHeightInTable/>
    <w:doNotUseIndentAsNumberingTabStop/>
    <w:useAltKinsokuLineBreakRules/>
    <w:doNotSuppressIndentation/>
    <w:splitPgBreakAndParaMark/>
    <w:autofitToFirstFixedWidthCell/>
    <w:compatSetting w:name="compatibilityMode" w:uri="http://schemas.microsoft.com/office/word" w:val="11"/>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黑体" w:hAnsi="宋体"/>
      <w:kern w:val="2"/>
      <w:sz w:val="21"/>
      <w:szCs w:val="22"/>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黑体" w:hAnsi="宋体"/>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黑体"/>
      <w:b/>
      <w:bCs/>
      <w:sz w:val="32"/>
      <w:szCs w:val="32"/>
    </w:rPr>
  </w:style>
  <w:style w:type="character" w:customStyle="1" w:styleId="2Char">
    <w:name w:val="heading 2 Char"/>
    <w:basedOn w:val="10"/>
    <w:link w:val="2"/>
    <w:rPr>
      <w:rFonts w:ascii="Times New Roman" w:eastAsia="黑体" w:cs="黑体" w:hAnsi="黑体"/>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黑体" w:hAnsi="宋体"/>
      <w:b/>
      <w:bCs/>
      <w:kern w:val="2"/>
      <w:sz w:val="32"/>
      <w:szCs w:val="32"/>
      <w:lang w:val="en-US" w:eastAsia="zh-CN" w:bidi="ar-SA"/>
    </w:rPr>
  </w:style>
  <w:style w:type="character" w:default="1" w:styleId="10">
    <w:name w:val="Default Paragraph Font"/>
    <w:qFormat/>
  </w:style>
  <w:style w:type="character" w:customStyle="1" w:styleId="15">
    <w:name w:val="Footer Char"/>
    <w:qFormat/>
    <w:basedOn w:val="10"/>
    <w:locked/>
    <w:rPr>
      <w:rFonts w:ascii="Times New Roman" w:eastAsia="宋体" w:cs="Times New Roman" w:hAnsi="宋体"/>
      <w:sz w:val="18"/>
      <w:szCs w:val="18"/>
      <w:lang w:bidi="ar-SA"/>
    </w:rPr>
  </w:style>
  <w:style w:type="character" w:styleId="16">
    <w:name w:val="footnote reference"/>
    <w:qFormat/>
    <w:basedOn w:val="10"/>
    <w:rPr>
      <w:vertAlign w:val="superscript"/>
    </w:rPr>
  </w:style>
  <w:style w:type="character" w:customStyle="1" w:styleId="17">
    <w:name w:val="Header Char"/>
    <w:qFormat/>
    <w:basedOn w:val="10"/>
    <w:locked/>
    <w:rPr>
      <w:rFonts w:ascii="Times New Roman" w:eastAsia="宋体" w:cs="Times New Roman" w:hAnsi="宋体"/>
      <w:sz w:val="18"/>
      <w:szCs w:val="18"/>
      <w:lang w:bidi="ar-SA"/>
    </w:rPr>
  </w:style>
  <w:style w:type="character" w:styleId="18">
    <w:name w:val="page number"/>
    <w:qFormat/>
    <w:basedOn w:val="10"/>
  </w:style>
  <w:style w:type="character" w:customStyle="1" w:styleId="19">
    <w:name w:val="Balloon Text Char"/>
    <w:qFormat/>
    <w:basedOn w:val="10"/>
    <w:locked/>
    <w:rPr>
      <w:rFonts w:cs="Times New Roman"/>
      <w:sz w:val="18"/>
      <w:szCs w:val="18"/>
      <w:lang w:bidi="ar-SA"/>
    </w:rPr>
  </w:style>
  <w:style w:type="paragraph" w:styleId="20">
    <w:name w:val="toc 1"/>
    <w:qFormat/>
    <w:basedOn w:val="0"/>
    <w:next w:val="0"/>
    <w:rPr>
      <w:rFonts w:ascii="Times New Roman" w:eastAsia="宋体" w:cs="Times New Roman" w:hAnsi="宋体"/>
      <w:szCs w:val="24"/>
      <w:lang w:bidi="ar-SA"/>
    </w:rPr>
  </w:style>
  <w:style w:type="paragraph" w:styleId="21">
    <w:name w:val="toc 2"/>
    <w:qFormat/>
    <w:basedOn w:val="0"/>
    <w:next w:val="0"/>
    <w:pPr>
      <w:ind w:leftChars="200" w:left="200"/>
    </w:pPr>
    <w:rPr>
      <w:rFonts w:ascii="Times New Roman" w:eastAsia="宋体" w:cs="Times New Roman" w:hAnsi="宋体"/>
      <w:szCs w:val="24"/>
      <w:lang w:bidi="ar-SA"/>
    </w:rPr>
  </w:style>
  <w:style w:type="paragraph" w:styleId="22">
    <w:name w:val="footnote text"/>
    <w:qFormat/>
    <w:basedOn w:val="0"/>
    <w:pPr>
      <w:snapToGrid w:val="0"/>
      <w:jc w:val="left"/>
    </w:pPr>
    <w:rPr>
      <w:rFonts w:cs="Times New Roman"/>
      <w:sz w:val="18"/>
      <w:szCs w:val="18"/>
      <w:lang w:bidi="ar-SA"/>
    </w:rPr>
  </w:style>
  <w:style w:type="paragraph" w:styleId="23">
    <w:name w:val="header"/>
    <w:qFormat/>
    <w:basedOn w:val="0"/>
    <w:pPr>
      <w:pBdr>
        <w:bottom w:val="single" w:sz="6" w:space="1" w:color="auto"/>
      </w:pBdr>
      <w:tabs>
        <w:tab w:val="center" w:pos="4153"/>
        <w:tab w:val="right" w:pos="8306"/>
      </w:tabs>
      <w:snapToGrid w:val="0"/>
      <w:jc w:val="center"/>
    </w:pPr>
    <w:rPr>
      <w:rFonts w:ascii="Times New Roman" w:eastAsia="宋体" w:cs="Times New Roman" w:hAnsi="宋体"/>
      <w:sz w:val="18"/>
      <w:szCs w:val="18"/>
      <w:bdr w:val="none" w:sz="0" w:space="0" w:color="auto"/>
      <w:lang w:bidi="ar-SA"/>
    </w:rPr>
  </w:style>
  <w:style w:type="paragraph" w:styleId="24">
    <w:name w:val="footer"/>
    <w:qFormat/>
    <w:basedOn w:val="0"/>
    <w:pPr>
      <w:tabs>
        <w:tab w:val="center" w:pos="4153"/>
        <w:tab w:val="right" w:pos="8306"/>
      </w:tabs>
      <w:snapToGrid w:val="0"/>
      <w:jc w:val="left"/>
    </w:pPr>
    <w:rPr>
      <w:rFonts w:ascii="Times New Roman" w:eastAsia="宋体" w:cs="Times New Roman" w:hAnsi="宋体"/>
      <w:sz w:val="18"/>
      <w:szCs w:val="18"/>
      <w:lang w:bidi="ar-SA"/>
    </w:rPr>
  </w:style>
  <w:style w:type="paragraph" w:styleId="25">
    <w:name w:val="Balloon Text"/>
    <w:qFormat/>
    <w:basedOn w:val="0"/>
    <w:rPr>
      <w:sz w:val="18"/>
      <w:szCs w:val="18"/>
    </w:rPr>
  </w:style>
  <w:style w:type="paragraph" w:customStyle="1" w:styleId="26">
    <w:name w:val="Default"/>
    <w:qFormat/>
    <w:pPr>
      <w:widowControl w:val="0"/>
      <w:autoSpaceDE w:val="0"/>
      <w:autoSpaceDN w:val="0"/>
      <w:adjustRightInd w:val="0"/>
    </w:pPr>
    <w:rPr>
      <w:rFonts w:ascii="Times New Roman" w:eastAsia="宋体" w:cs="Times New Roman" w:hAnsi="宋体"/>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styles" Target="styl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customXml" Target="../customXml/item1.xml"/><Relationship Id="rId1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6280061-28B5-4870-9332-D1F353D3AA0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14136671</TotalTime>
  <Application>Yozo_Office27021597764231189</Application>
  <Pages>11</Pages>
  <Words>0</Words>
  <Characters>9840</Characters>
  <Lines>0</Lines>
  <Paragraphs>105</Paragraphs>
  <CharactersWithSpaces>13120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user</dc:title>
  <dc:creator>guest</dc:creator>
  <cp:lastModifiedBy>Administrator</cp:lastModifiedBy>
  <cp:revision>7</cp:revision>
  <cp:lastPrinted>2020-03-19T04:46:00Z</cp:lastPrinted>
  <dcterms:created xsi:type="dcterms:W3CDTF">2018-01-29T01:48:00Z</dcterms:created>
  <dcterms:modified xsi:type="dcterms:W3CDTF">2024-08-23T05:42:18Z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y fmtid="{D5CDD505-2E9C-101B-9397-08002B2CF9AE}" pid="3" name="KSOSaveFontToCloudKey">
    <vt:lpwstr>376905995_btnclosed</vt:lpwstr>
  </property>
</Properties>
</file>