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方正小标宋简体" w:eastAsia="方正小标宋简体" w:cs="方正小标宋简体" w:hAnsi="方正小标宋简体" w:hint="eastAsia"/>
          <w:b/>
          <w:bCs w:val="0"/>
        </w:rPr>
      </w:pPr>
      <w:r>
        <w:rPr>
          <w:rFonts w:ascii="方正小标宋简体" w:eastAsia="方正小标宋简体" w:cs="方正小标宋简体" w:hAnsi="方正小标宋简体" w:hint="eastAsia"/>
          <w:b/>
          <w:bCs w:val="0"/>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rPr>
          <w:rFonts w:ascii="方正楷体_GBK" w:eastAsia="方正楷体_GBK" w:cs="方正楷体_GBK" w:hAnsi="方正楷体_GBK"/>
          <w:b/>
          <w:color w:val="000000"/>
          <w:sz w:val="28"/>
        </w:rPr>
      </w:pPr>
    </w:p>
    <w:p>
      <w:pPr>
        <w:spacing w:before="0" w:after="0" w:line="240" w:lineRule="auto"/>
        <w:ind w:firstLine="0"/>
        <w:jc w:val="left"/>
        <w:outlineLvl w:val="9"/>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color w:val="000000"/>
          <w:sz w:val="32"/>
          <w:szCs w:val="32"/>
        </w:rPr>
        <w:t>部门预算公开表</w:t>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"2-2"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部门预算收支总表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部门预算收入总表</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部门预算支出总表</w:t>
        <w:tab/>
      </w: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部门预算财政拨款收支总表</w:t>
        <w:tab/>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部门预算一般公共预算财政拨款支出表</w:t>
        <w:tab/>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9</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部门预算一般公共预算财政拨款基本支出表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0</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部门预算政府基金预算财政拨款支出表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2</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部门预算国有资本经营预算财政拨款支出表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3</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"_Toc_2_2_0000000009"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部门预算财政拨款“三公”经费支出表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color w:val="000000"/>
          <w:sz w:val="32"/>
          <w:szCs w:val="32"/>
        </w:rPr>
        <w:t>部门预算信息公开情况说明</w:t>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"3-3"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"_Toc_3_3_0000000010"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一、部门职责及机构设置情况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_Toc_3_3_0000000010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15</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sectPr>
          <w:pgSz w:w="16840" w:h="11900" w:orient="landscape"/>
          <w:pgMar w:top="1587" w:right="1134" w:bottom="1361" w:left="1134" w:header="720" w:footer="720" w:gutter="0"/>
          <w:pgNumType w:start="1"/>
          <w:cols w:num="1" w:space="720"/>
          <w:docGrid w:linePitch="326" w:charSpace="0"/>
        </w:sectPr>
      </w:pP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二、部门预算安排的总体情况</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三、机关运行经费安排情况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_Toc_3_3_0000000012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25</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四、财政拨款“三公”经费预算情况及增减变化原因</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5</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五、预算绩效信息</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6</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六、政府采购预算情况</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七、国有资产信息</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八、名词解释</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5</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九、其他需要说明的事项</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6</w:t>
      </w:r>
    </w:p>
    <w:p>
      <w:pP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rPr>
          <w:rFonts w:ascii="方正仿宋简体" w:eastAsia="方正仿宋简体" w:cs="方正仿宋简体" w:hAnsi="方正仿宋简体" w:hint="eastAsia"/>
          <w:sz w:val="32"/>
          <w:szCs w:val="32"/>
        </w:rPr>
        <w:sectPr>
          <w:footerReference w:type="default" r:id="rId2"/>
          <w:footerReference w:type="even" r:id="rId3"/>
          <w:pgSz w:w="16840" w:h="11900" w:orient="landscape"/>
          <w:pgMar w:top="1587" w:right="1134" w:bottom="1361" w:left="1134" w:header="720" w:footer="720" w:gutter="0"/>
          <w:pgNumType w:start="1"/>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0" w:name="_Toc_2_2_0000000001"/>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1-1</w:t>
      </w:r>
    </w:p>
    <w:p>
      <w:pPr>
        <w:spacing w:before="0" w:after="0" w:line="240" w:lineRule="auto"/>
        <w:ind w:firstLine="0"/>
        <w:jc w:val="center"/>
        <w:outlineLvl w:val="1"/>
      </w:pPr>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91"/>
        <w:gridCol w:w="4552"/>
        <w:gridCol w:w="1442"/>
        <w:gridCol w:w="4056"/>
        <w:gridCol w:w="2737"/>
      </w:tblGrid>
      <w:tr>
        <w:trPr>
          <w:trHeight w:val="369"/>
          <w:tblHeader/>
        </w:trPr>
        <w:tc>
          <w:tcPr>
            <w:tcW w:w="14178" w:type="dxa"/>
            <w:gridSpan w:val="5"/>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w:t>
            </w:r>
            <w:r>
              <w:rPr>
                <w:rFonts w:ascii="方正仿宋简体" w:eastAsia="方正仿宋简体" w:cs="方正仿宋简体" w:hAnsi="方正仿宋简体" w:hint="eastAsia"/>
                <w:sz w:val="24"/>
                <w:szCs w:val="24"/>
                <w:lang w:val="en-US" w:eastAsia="zh-CN"/>
              </w:rPr>
              <w:t xml:space="preserve">2023                                          </w:t>
            </w:r>
            <w:r>
              <w:rPr>
                <w:rFonts w:ascii="方正仿宋简体" w:eastAsia="方正仿宋简体" w:cs="方正仿宋简体" w:hAnsi="方正仿宋简体" w:hint="eastAsia"/>
                <w:sz w:val="24"/>
                <w:szCs w:val="24"/>
              </w:rPr>
              <w:t>单位：万元</w:t>
            </w:r>
          </w:p>
        </w:tc>
      </w:tr>
      <w:tr>
        <w:trPr>
          <w:trHeight w:val="369"/>
          <w:tblHeader/>
        </w:trPr>
        <w:tc>
          <w:tcPr>
            <w:tcW w:w="1391"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994"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w:t>
            </w:r>
          </w:p>
        </w:tc>
        <w:tc>
          <w:tcPr>
            <w:tcW w:w="6793"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w:t>
            </w:r>
          </w:p>
        </w:tc>
      </w:tr>
      <w:tr>
        <w:trPr>
          <w:trHeight w:val="369"/>
          <w:tblHeader/>
        </w:trPr>
        <w:tc>
          <w:tcPr>
            <w:tcW w:w="1391" w:type="dxa"/>
            <w:vMerge/>
          </w:tcPr>
          <w:p/>
        </w:tc>
        <w:tc>
          <w:tcPr>
            <w:tcW w:w="45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144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预算数</w:t>
            </w:r>
          </w:p>
        </w:tc>
        <w:tc>
          <w:tcPr>
            <w:tcW w:w="405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273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预算数</w:t>
            </w:r>
          </w:p>
        </w:tc>
      </w:tr>
      <w:tr>
        <w:trPr>
          <w:trHeight w:val="369"/>
          <w:tblHeader/>
        </w:trPr>
        <w:tc>
          <w:tcPr>
            <w:tcW w:w="1391"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45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44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405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273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一、一般公共预算拨款收入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一、一般公共服务支出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二、政府性基金预算拨款收入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二、外交支出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三、国有资本经营预算拨款收入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三、国防支出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四、财政专户管理资金收入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四、公共安全支出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五、事业收入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五、教育支出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六、事业单位经营收入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六、科学技术支出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七、上级补助收入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七、文化旅游体育与传媒支出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八、附属单位上缴收入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八、社会保障和就业支出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九、其他收入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九、社会保险基金支出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十、卫生健康支出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十一、节能环保支出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十二、城乡社区支出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十三、农林水支出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十四、交通运输支出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十五、资源勘探工业信息等支出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十六、商业服务业等支出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十七、金融支出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十八、援助其他地区支出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十九、自然资源海洋气象等支出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二十、住房保障支出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二十一、粮油物资储备支出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二十二、国有资本经营预算支出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二十三、灾害防治及应急管理支出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二十四、预备费</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25</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二十五、其他支出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26</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二十六、转移性支出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27</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二十七、债务还本支出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二十八、债务付息支出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二十九、债务发行费用支出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三十、抗疫特别国债安排的支出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三十一、人行科目</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w:t>
            </w:r>
          </w:p>
        </w:tc>
        <w:tc>
          <w:tcPr>
            <w:tcW w:w="4552"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本年收入合计</w:t>
            </w:r>
          </w:p>
        </w:tc>
        <w:tc>
          <w:tcPr>
            <w:tcW w:w="144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4056"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本年支出合计</w:t>
            </w:r>
          </w:p>
        </w:tc>
        <w:tc>
          <w:tcPr>
            <w:tcW w:w="273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上年结转结余</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年终结转结余</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34</w:t>
            </w:r>
          </w:p>
        </w:tc>
        <w:tc>
          <w:tcPr>
            <w:tcW w:w="4552"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收入总计</w:t>
            </w:r>
          </w:p>
        </w:tc>
        <w:tc>
          <w:tcPr>
            <w:tcW w:w="144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4056"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支出总计</w:t>
            </w:r>
          </w:p>
        </w:tc>
        <w:tc>
          <w:tcPr>
            <w:tcW w:w="273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r>
    </w:tbl>
    <w:p>
      <w:pPr>
        <w:sectPr>
          <w:footerReference w:type="default" r:id="rId4"/>
          <w:footerReference w:type="even" r:id="rId5"/>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1" w:name="_Toc_2_2_0000000002"/>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1-2</w:t>
      </w:r>
    </w:p>
    <w:p>
      <w:pPr>
        <w:spacing w:before="0" w:after="0" w:line="240" w:lineRule="auto"/>
        <w:ind w:firstLine="0"/>
        <w:jc w:val="center"/>
        <w:outlineLvl w:val="1"/>
      </w:pPr>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42"/>
        <w:gridCol w:w="1270"/>
        <w:gridCol w:w="2870"/>
        <w:gridCol w:w="1185"/>
        <w:gridCol w:w="975"/>
        <w:gridCol w:w="1145"/>
        <w:gridCol w:w="995"/>
        <w:gridCol w:w="648"/>
        <w:gridCol w:w="897"/>
        <w:gridCol w:w="900"/>
        <w:gridCol w:w="975"/>
        <w:gridCol w:w="780"/>
        <w:gridCol w:w="845"/>
      </w:tblGrid>
      <w:tr>
        <w:trPr>
          <w:trHeight w:val="431"/>
          <w:tblHeader/>
        </w:trPr>
        <w:tc>
          <w:tcPr>
            <w:tcW w:w="14427" w:type="dxa"/>
            <w:gridSpan w:val="1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88"/>
          <w:tblHeader/>
        </w:trPr>
        <w:tc>
          <w:tcPr>
            <w:tcW w:w="942"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140"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18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7315" w:type="dxa"/>
            <w:gridSpan w:val="8"/>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本年收入</w:t>
            </w:r>
          </w:p>
        </w:tc>
        <w:tc>
          <w:tcPr>
            <w:tcW w:w="84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上年结转</w:t>
            </w:r>
          </w:p>
        </w:tc>
      </w:tr>
      <w:tr>
        <w:trPr>
          <w:trHeight w:val="1127"/>
          <w:tblHeader/>
        </w:trPr>
        <w:tc>
          <w:tcPr>
            <w:tcW w:w="942" w:type="dxa"/>
            <w:vMerge/>
          </w:tcPr>
          <w:p/>
        </w:tc>
        <w:tc>
          <w:tcPr>
            <w:tcW w:w="12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w:t>
            </w:r>
            <w:r>
              <w:rPr>
                <w:rFonts w:ascii="方正仿宋简体" w:eastAsia="方正仿宋简体" w:cs="方正仿宋简体" w:hAnsi="方正仿宋简体" w:hint="eastAsia"/>
                <w:sz w:val="24"/>
                <w:szCs w:val="24"/>
                <w:lang w:eastAsia="zh-CN"/>
              </w:rPr>
              <w:t>目</w:t>
            </w:r>
            <w:r>
              <w:rPr>
                <w:rFonts w:ascii="方正仿宋简体" w:eastAsia="方正仿宋简体" w:cs="方正仿宋简体" w:hAnsi="方正仿宋简体" w:hint="eastAsia"/>
                <w:sz w:val="24"/>
                <w:szCs w:val="24"/>
              </w:rPr>
              <w:t xml:space="preserve"> 编码</w:t>
            </w:r>
          </w:p>
        </w:tc>
        <w:tc>
          <w:tcPr>
            <w:tcW w:w="28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185" w:type="dxa"/>
            <w:vMerge/>
            <w:tcBorders>
              <w:left w:val="single" w:sz="6" w:space="0" w:color="000000"/>
            </w:tcBorders>
          </w:tcP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小计</w:t>
            </w:r>
          </w:p>
        </w:tc>
        <w:tc>
          <w:tcPr>
            <w:tcW w:w="114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财政拨款 收入</w:t>
            </w:r>
          </w:p>
        </w:tc>
        <w:tc>
          <w:tcPr>
            <w:tcW w:w="99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财政专户 收入</w:t>
            </w:r>
          </w:p>
        </w:tc>
        <w:tc>
          <w:tcPr>
            <w:tcW w:w="64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事业收入</w:t>
            </w:r>
          </w:p>
        </w:tc>
        <w:tc>
          <w:tcPr>
            <w:tcW w:w="89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经营收入</w:t>
            </w:r>
          </w:p>
        </w:tc>
        <w:tc>
          <w:tcPr>
            <w:tcW w:w="90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上级补助收入</w:t>
            </w: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附属单位上缴收入</w:t>
            </w:r>
          </w:p>
        </w:tc>
        <w:tc>
          <w:tcPr>
            <w:tcW w:w="78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其他收入</w:t>
            </w:r>
          </w:p>
        </w:tc>
        <w:tc>
          <w:tcPr>
            <w:tcW w:w="845" w:type="dxa"/>
            <w:vMerge/>
            <w:tcBorders>
              <w:left w:val="single" w:sz="6" w:space="0" w:color="000000"/>
            </w:tcBorders>
          </w:tcPr>
          <w:p/>
        </w:tc>
      </w:tr>
      <w:tr>
        <w:trPr>
          <w:trHeight w:val="388"/>
          <w:tblHeader/>
        </w:trPr>
        <w:tc>
          <w:tcPr>
            <w:tcW w:w="942"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2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28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18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14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99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64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89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90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78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84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r>
      <w:tr>
        <w:trPr>
          <w:trHeight w:val="41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270"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2870"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18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97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14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99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47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社会保障和就业支出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7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行政事业单位养老支出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74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2080505</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74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2080506</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机关事业单位职业年金缴费支出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88"/>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企业改革补助</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88"/>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企业关闭破产补助</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1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卫生健康支出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4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行政事业单位医疗</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0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行政单位医疗</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7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商业服务业等支出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9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商业流通事务</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4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行政运行</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63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2160202</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一般行政管理事务</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60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住房保障支出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60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住房改革支出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7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rPr>
          <w:rFonts w:ascii="方正仿宋简体" w:eastAsia="方正仿宋简体" w:cs="方正仿宋简体" w:hAnsi="方正仿宋简体" w:hint="eastAsia"/>
          <w:sz w:val="24"/>
          <w:szCs w:val="24"/>
        </w:r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2" w:name="_Toc_2_2_0000000003"/>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1-3</w:t>
      </w:r>
    </w:p>
    <w:p>
      <w:pPr>
        <w:spacing w:before="0" w:after="0" w:line="240" w:lineRule="auto"/>
        <w:ind w:firstLine="0"/>
        <w:jc w:val="center"/>
        <w:outlineLvl w:val="1"/>
      </w:pPr>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3"/>
        <w:gridCol w:w="1387"/>
        <w:gridCol w:w="4152"/>
        <w:gridCol w:w="1369"/>
        <w:gridCol w:w="1135"/>
        <w:gridCol w:w="1135"/>
        <w:gridCol w:w="1135"/>
        <w:gridCol w:w="1135"/>
        <w:gridCol w:w="1482"/>
      </w:tblGrid>
      <w:tr>
        <w:trPr>
          <w:trHeight w:val="452"/>
          <w:tblHeader/>
        </w:trPr>
        <w:tc>
          <w:tcPr>
            <w:tcW w:w="13803" w:type="dxa"/>
            <w:gridSpan w:val="9"/>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407"/>
          <w:tblHeader/>
        </w:trPr>
        <w:tc>
          <w:tcPr>
            <w:tcW w:w="873"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539"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369"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经营支出</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上解上级     支出</w:t>
            </w:r>
          </w:p>
        </w:tc>
        <w:tc>
          <w:tcPr>
            <w:tcW w:w="1482"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对附属单位补助支出</w:t>
            </w:r>
          </w:p>
        </w:tc>
      </w:tr>
      <w:tr>
        <w:trPr>
          <w:trHeight w:val="780"/>
          <w:tblHeader/>
        </w:trPr>
        <w:tc>
          <w:tcPr>
            <w:tcW w:w="873" w:type="dxa"/>
            <w:vMerge/>
          </w:tcPr>
          <w:p/>
        </w:tc>
        <w:tc>
          <w:tcPr>
            <w:tcW w:w="138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41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369" w:type="dxa"/>
            <w:vMerge/>
            <w:tcBorders>
              <w:left w:val="single" w:sz="6" w:space="0" w:color="000000"/>
            </w:tcBorders>
          </w:tcPr>
          <w:p/>
        </w:tc>
        <w:tc>
          <w:tcPr>
            <w:tcW w:w="1135" w:type="dxa"/>
            <w:vMerge/>
            <w:tcBorders>
              <w:left w:val="single" w:sz="6" w:space="0" w:color="000000"/>
            </w:tcBorders>
          </w:tcPr>
          <w:p/>
        </w:tc>
        <w:tc>
          <w:tcPr>
            <w:tcW w:w="1135" w:type="dxa"/>
            <w:vMerge/>
            <w:tcBorders>
              <w:left w:val="single" w:sz="6" w:space="0" w:color="000000"/>
            </w:tcBorders>
          </w:tcPr>
          <w:p/>
        </w:tc>
        <w:tc>
          <w:tcPr>
            <w:tcW w:w="1135" w:type="dxa"/>
            <w:vMerge/>
            <w:tcBorders>
              <w:left w:val="single" w:sz="6" w:space="0" w:color="000000"/>
            </w:tcBorders>
          </w:tcPr>
          <w:p/>
        </w:tc>
        <w:tc>
          <w:tcPr>
            <w:tcW w:w="1135" w:type="dxa"/>
            <w:vMerge/>
            <w:tcBorders>
              <w:left w:val="single" w:sz="6" w:space="0" w:color="000000"/>
            </w:tcBorders>
          </w:tcPr>
          <w:p/>
        </w:tc>
        <w:tc>
          <w:tcPr>
            <w:tcW w:w="1482" w:type="dxa"/>
            <w:vMerge/>
            <w:tcBorders>
              <w:left w:val="single" w:sz="6" w:space="0" w:color="000000"/>
            </w:tcBorders>
          </w:tcPr>
          <w:p/>
        </w:tc>
      </w:tr>
      <w:tr>
        <w:trPr>
          <w:trHeight w:val="407"/>
          <w:tblHeader/>
        </w:trPr>
        <w:tc>
          <w:tcPr>
            <w:tcW w:w="873"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38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1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36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48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387"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4152"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36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293.06</w:t>
            </w: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33.5</w:t>
            </w: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社会保障和就业支出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行政事业单位养老支出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2080505</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2080506</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机关事业单位职业年金缴费支出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企业改革补助</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企业关闭破产补助</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卫生健康支出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行政事业单位医疗</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行政单位医疗</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商业服务业等支出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商业流通事务</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行政运行</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2160202</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一般行政管理事务</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住房保障支出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住房改革支出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23"/>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rPr>
          <w:rFonts w:ascii="方正仿宋简体" w:eastAsia="方正仿宋简体" w:cs="方正仿宋简体" w:hAnsi="方正仿宋简体" w:hint="eastAsia"/>
          <w:sz w:val="24"/>
          <w:szCs w:val="24"/>
        </w:rPr>
        <w:sectPr>
          <w:pgSz w:w="16840" w:h="11900" w:orient="landscape"/>
          <w:pgMar w:top="1361" w:right="1020" w:bottom="1134" w:left="1020" w:header="720" w:footer="720" w:gutter="0"/>
          <w:pgNumType/>
          <w:cols w:num="1" w:space="720"/>
          <w:docGrid w:linePitch="326" w:charSpace="0"/>
        </w:sectPr>
      </w:pPr>
    </w:p>
    <w:tbl>
      <w:tblPr>
        <w:tblpPr w:leftFromText="180" w:rightFromText="180" w:vertAnchor="text" w:horzAnchor="page" w:tblpX="1427" w:tblpY="487"/>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99"/>
        <w:gridCol w:w="3141"/>
        <w:gridCol w:w="1196"/>
        <w:gridCol w:w="3709"/>
        <w:gridCol w:w="1036"/>
        <w:gridCol w:w="1349"/>
        <w:gridCol w:w="1515"/>
        <w:gridCol w:w="1590"/>
      </w:tblGrid>
      <w:tr>
        <w:trPr>
          <w:trHeight w:val="369"/>
          <w:tblHeader/>
        </w:trPr>
        <w:tc>
          <w:tcPr>
            <w:tcW w:w="14235" w:type="dxa"/>
            <w:gridSpan w:val="8"/>
            <w:tcBorders>
              <w:top w:val="single" w:sz="6" w:space="0" w:color="FFFFFF"/>
              <w:left w:val="single" w:sz="6" w:space="0" w:color="FFFFFF"/>
              <w:right w:val="single" w:sz="6" w:space="0" w:color="FFFFFF"/>
            </w:tcBorders>
            <w:shd w:val="clear" w:color="auto" w:fill="auto"/>
            <w:vAlign w:val="center"/>
          </w:tcPr>
          <w:p>
            <w:pPr>
              <w:pStyle w:val="25"/>
              <w:jc w:val="left"/>
              <w:rPr>
                <w:rFonts w:ascii="方正仿宋简体" w:eastAsia="方正仿宋简体" w:cs="方正仿宋简体" w:hAnsi="方正仿宋简体"/>
                <w:b w:val="0"/>
                <w:bCs w:val="0"/>
                <w:color w:val="auto"/>
                <w:sz w:val="24"/>
                <w:szCs w:val="24"/>
                <w:lang w:val="en-US" w:eastAsia="zh-CN"/>
              </w:rPr>
            </w:pPr>
            <w:bookmarkStart w:id="3" w:name="_Toc_2_2_0000000004"/>
            <w:r>
              <w:rPr>
                <w:rFonts w:ascii="方正仿宋简体" w:eastAsia="方正仿宋简体" w:cs="方正仿宋简体" w:hAnsi="方正仿宋简体" w:hint="eastAsia"/>
                <w:b w:val="0"/>
                <w:bCs w:val="0"/>
                <w:color w:val="auto"/>
                <w:sz w:val="24"/>
                <w:szCs w:val="24"/>
                <w:lang w:eastAsia="zh-CN"/>
              </w:rPr>
              <w:t>附表</w:t>
            </w:r>
            <w:r>
              <w:rPr>
                <w:rFonts w:ascii="方正仿宋简体" w:eastAsia="方正仿宋简体" w:cs="方正仿宋简体" w:hAnsi="方正仿宋简体" w:hint="eastAsia"/>
                <w:b w:val="0"/>
                <w:bCs w:val="0"/>
                <w:color w:val="auto"/>
                <w:sz w:val="24"/>
                <w:szCs w:val="24"/>
                <w:lang w:val="en-US" w:eastAsia="zh-CN"/>
              </w:rPr>
              <w:t>1-4</w:t>
            </w:r>
          </w:p>
          <w:p>
            <w:pPr>
              <w:pStyle w:val="25"/>
              <w:jc w:val="center"/>
              <w:rPr>
                <w:rFonts w:ascii="方正小标宋简体" w:eastAsia="方正小标宋简体" w:cs="方正小标宋简体" w:hAnsi="方正小标宋简体" w:hint="eastAsia"/>
                <w:b w:val="0"/>
                <w:bCs w:val="0"/>
                <w:color w:val="auto"/>
                <w:sz w:val="36"/>
                <w:szCs w:val="36"/>
              </w:rPr>
            </w:pPr>
            <w:r>
              <w:rPr>
                <w:rFonts w:ascii="方正小标宋简体" w:eastAsia="方正小标宋简体" w:cs="方正小标宋简体" w:hAnsi="方正小标宋简体" w:hint="eastAsia"/>
                <w:b w:val="0"/>
                <w:bCs w:val="0"/>
                <w:color w:val="auto"/>
                <w:sz w:val="36"/>
                <w:szCs w:val="36"/>
              </w:rPr>
              <w:t>部门预算财政拨款收支总表</w:t>
            </w:r>
          </w:p>
          <w:p>
            <w:pPr>
              <w:pStyle w:val="23"/>
              <w:jc w:val="left"/>
              <w:rPr>
                <w:rFonts w:ascii="方正仿宋简体" w:eastAsia="方正仿宋简体" w:cs="方正仿宋简体" w:hAnsi="方正仿宋简体" w:hint="eastAsia"/>
                <w:color w:val="auto"/>
                <w:sz w:val="24"/>
                <w:szCs w:val="24"/>
              </w:rPr>
            </w:pPr>
          </w:p>
          <w:p>
            <w:pPr>
              <w:pStyle w:val="23"/>
              <w:jc w:val="left"/>
              <w:rPr>
                <w:rFonts w:ascii="方正仿宋简体" w:eastAsia="方正仿宋简体" w:cs="方正仿宋简体" w:hAnsi="方正仿宋简体" w:hint="eastAsia"/>
                <w:color w:val="auto"/>
                <w:sz w:val="24"/>
                <w:szCs w:val="24"/>
              </w:rPr>
            </w:pPr>
            <w:r>
              <w:rPr>
                <w:rFonts w:ascii="方正仿宋简体" w:eastAsia="方正仿宋简体" w:cs="方正仿宋简体" w:hAnsi="方正仿宋简体" w:hint="eastAsia"/>
                <w:color w:val="auto"/>
                <w:sz w:val="24"/>
                <w:szCs w:val="24"/>
              </w:rPr>
              <w:t>975遵化市供销合作社</w:t>
            </w:r>
            <w:r>
              <w:rPr>
                <w:rFonts w:ascii="方正仿宋简体" w:eastAsia="方正仿宋简体" w:cs="方正仿宋简体" w:hAnsi="方正仿宋简体" w:hint="eastAsia"/>
                <w:color w:val="auto"/>
                <w:sz w:val="24"/>
                <w:szCs w:val="24"/>
                <w:lang w:val="en-US" w:eastAsia="zh-CN"/>
              </w:rPr>
              <w:t xml:space="preserve">                                   </w:t>
            </w:r>
            <w:r>
              <w:rPr>
                <w:rFonts w:ascii="方正仿宋简体" w:eastAsia="方正仿宋简体" w:cs="方正仿宋简体" w:hAnsi="方正仿宋简体" w:hint="eastAsia"/>
                <w:color w:val="auto"/>
                <w:sz w:val="24"/>
                <w:szCs w:val="24"/>
              </w:rPr>
              <w:t>预算年度：2023</w:t>
            </w:r>
            <w:r>
              <w:rPr>
                <w:rFonts w:ascii="方正仿宋简体" w:eastAsia="方正仿宋简体" w:cs="方正仿宋简体" w:hAnsi="方正仿宋简体" w:hint="eastAsia"/>
                <w:color w:val="auto"/>
                <w:sz w:val="24"/>
                <w:szCs w:val="24"/>
                <w:lang w:val="en-US" w:eastAsia="zh-CN"/>
              </w:rPr>
              <w:t xml:space="preserve">                                           </w:t>
            </w:r>
            <w:r>
              <w:rPr>
                <w:rFonts w:ascii="方正仿宋简体" w:eastAsia="方正仿宋简体" w:cs="方正仿宋简体" w:hAnsi="方正仿宋简体" w:hint="eastAsia"/>
                <w:color w:val="auto"/>
                <w:sz w:val="24"/>
                <w:szCs w:val="24"/>
              </w:rPr>
              <w:t>单位：万元</w:t>
            </w:r>
          </w:p>
        </w:tc>
      </w:tr>
      <w:tr>
        <w:trPr>
          <w:trHeight w:val="369"/>
          <w:tblHeader/>
        </w:trPr>
        <w:tc>
          <w:tcPr>
            <w:tcW w:w="69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337"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w:t>
            </w:r>
          </w:p>
        </w:tc>
        <w:tc>
          <w:tcPr>
            <w:tcW w:w="9199" w:type="dxa"/>
            <w:gridSpan w:val="5"/>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w:t>
            </w:r>
          </w:p>
        </w:tc>
      </w:tr>
      <w:tr>
        <w:trPr>
          <w:trHeight w:val="369"/>
          <w:tblHeader/>
        </w:trPr>
        <w:tc>
          <w:tcPr>
            <w:tcW w:w="699" w:type="dxa"/>
            <w:vMerge/>
          </w:tcPr>
          <w:p/>
        </w:tc>
        <w:tc>
          <w:tcPr>
            <w:tcW w:w="314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119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金额</w:t>
            </w:r>
          </w:p>
        </w:tc>
        <w:tc>
          <w:tcPr>
            <w:tcW w:w="370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103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34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一般公共预算财政拨款</w:t>
            </w:r>
          </w:p>
        </w:tc>
        <w:tc>
          <w:tcPr>
            <w:tcW w:w="151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政府性基金预算财政拨款</w:t>
            </w:r>
          </w:p>
        </w:tc>
        <w:tc>
          <w:tcPr>
            <w:tcW w:w="159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国有资本经营预算财政拨款</w:t>
            </w:r>
          </w:p>
        </w:tc>
      </w:tr>
      <w:tr>
        <w:trPr>
          <w:trHeight w:val="90"/>
          <w:tblHeader/>
        </w:trPr>
        <w:tc>
          <w:tcPr>
            <w:tcW w:w="69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314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19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370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03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34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51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59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一、一般公共预算拨款</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一、一般公共服务支出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二、政府性基金预算拨款</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二、外交支出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三、国有资本经营预算拨款</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三、国防支出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四、公共安全支出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五、教育支出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六、科学技术支出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七、文化旅游体育与传媒支出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八、社会保障和就业支出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九、社会保险基金支出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十、卫生健康支出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十一、节能环保支出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十二、城乡社区支出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十三、农林水支出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十四、交通运输支出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十五、资源勘探工业信息等支出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十六、商业服务业等支出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十七、金融支出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十八、援助其他地区支出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十九、自然资源海洋气象等支出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二十、住房保障支出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二十一、粮油物资储备支出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二十二、国有资本经营预算支出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23</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二十三、灾害防治及应急管理支出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二十四、预备费</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25</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二十五、其他支出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26</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二十六、转移性支出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27</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二十七、债务还本支出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二十八、债务付息支出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二十九、债务发行费用支出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三十、抗疫特别国债安排的支出</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31</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三十一、人行科目</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w:t>
            </w:r>
          </w:p>
        </w:tc>
        <w:tc>
          <w:tcPr>
            <w:tcW w:w="3141"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本年收入合计</w:t>
            </w:r>
          </w:p>
        </w:tc>
        <w:tc>
          <w:tcPr>
            <w:tcW w:w="119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3709"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本年支出合计</w:t>
            </w:r>
          </w:p>
        </w:tc>
        <w:tc>
          <w:tcPr>
            <w:tcW w:w="103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34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51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年初财政拨款结转和结余</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年末财政拨款结转和结余</w:t>
            </w: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34</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一、一般公共预算拨款</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二、政府性基金预算拨款</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36</w:t>
            </w:r>
          </w:p>
        </w:tc>
        <w:tc>
          <w:tcPr>
            <w:tcW w:w="3141"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三、国有资本经营预算拨款</w:t>
            </w:r>
          </w:p>
        </w:tc>
        <w:tc>
          <w:tcPr>
            <w:tcW w:w="119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70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03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4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69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37</w:t>
            </w:r>
          </w:p>
        </w:tc>
        <w:tc>
          <w:tcPr>
            <w:tcW w:w="3141"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收入总计</w:t>
            </w:r>
          </w:p>
        </w:tc>
        <w:tc>
          <w:tcPr>
            <w:tcW w:w="119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3709"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支出总计</w:t>
            </w:r>
          </w:p>
        </w:tc>
        <w:tc>
          <w:tcPr>
            <w:tcW w:w="103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34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51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590"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bl>
    <w:p>
      <w:pPr>
        <w:sectPr>
          <w:pgSz w:w="16840" w:h="11900" w:orient="landscape"/>
          <w:pgMar w:top="1361" w:right="1020" w:bottom="1134" w:left="1020" w:header="720" w:footer="720" w:gutter="0"/>
          <w:pgNumType/>
          <w:cols w:num="1" w:space="720"/>
          <w:docGrid w:linePitch="326" w:charSpace="0"/>
        </w:sectPr>
      </w:pPr>
      <w:bookmarkEnd w:id="3"/>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4" w:name="_Toc_2_2_0000000005"/>
      <w:r>
        <w:rPr>
          <w:rFonts w:ascii="方正仿宋简体" w:eastAsia="方正仿宋简体" w:cs="方正仿宋简体" w:hAnsi="方正仿宋简体" w:hint="eastAsia"/>
          <w:color w:val="000000"/>
          <w:sz w:val="24"/>
          <w:szCs w:val="24"/>
          <w:lang w:val="en-US" w:eastAsia="zh-CN"/>
        </w:rPr>
        <w:t>附表1-5</w:t>
      </w:r>
    </w:p>
    <w:p>
      <w:pPr>
        <w:spacing w:before="0" w:after="0" w:line="240" w:lineRule="auto"/>
        <w:ind w:firstLine="0"/>
        <w:jc w:val="center"/>
        <w:outlineLvl w:val="1"/>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53"/>
        <w:gridCol w:w="1799"/>
        <w:gridCol w:w="4254"/>
        <w:gridCol w:w="1686"/>
        <w:gridCol w:w="1654"/>
        <w:gridCol w:w="4292"/>
      </w:tblGrid>
      <w:tr>
        <w:trPr>
          <w:trHeight w:val="369"/>
          <w:tblHeader/>
        </w:trPr>
        <w:tc>
          <w:tcPr>
            <w:tcW w:w="14638"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69"/>
          <w:tblHeader/>
        </w:trPr>
        <w:tc>
          <w:tcPr>
            <w:tcW w:w="953"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6053"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686"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654"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4292"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r>
      <w:tr>
        <w:trPr>
          <w:trHeight w:val="369"/>
          <w:tblHeader/>
        </w:trPr>
        <w:tc>
          <w:tcPr>
            <w:tcW w:w="953" w:type="dxa"/>
            <w:vMerge/>
          </w:tcPr>
          <w:p/>
        </w:tc>
        <w:tc>
          <w:tcPr>
            <w:tcW w:w="179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425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686" w:type="dxa"/>
            <w:vMerge/>
            <w:tcBorders>
              <w:left w:val="single" w:sz="6" w:space="0" w:color="000000"/>
            </w:tcBorders>
          </w:tcPr>
          <w:p/>
        </w:tc>
        <w:tc>
          <w:tcPr>
            <w:tcW w:w="1654" w:type="dxa"/>
            <w:vMerge/>
            <w:tcBorders>
              <w:left w:val="single" w:sz="6" w:space="0" w:color="000000"/>
            </w:tcBorders>
          </w:tcPr>
          <w:p/>
        </w:tc>
        <w:tc>
          <w:tcPr>
            <w:tcW w:w="4292" w:type="dxa"/>
            <w:vMerge/>
            <w:tcBorders>
              <w:left w:val="single" w:sz="6" w:space="0" w:color="000000"/>
            </w:tcBorders>
          </w:tcPr>
          <w:p/>
        </w:tc>
      </w:tr>
      <w:tr>
        <w:trPr>
          <w:trHeight w:val="369"/>
          <w:tblHeader/>
        </w:trPr>
        <w:tc>
          <w:tcPr>
            <w:tcW w:w="953"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79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25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68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65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429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799"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4254"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68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654"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293.06</w:t>
            </w:r>
          </w:p>
        </w:tc>
        <w:tc>
          <w:tcPr>
            <w:tcW w:w="429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社会保障和就业支出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行政事业单位养老支出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2080505</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2080506</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机关事业单位职业年金缴费支出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企业改革补助</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企业关闭破产补助</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卫生健康支出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行政事业单位医疗</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行政单位医疗</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商业服务业等支出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29.00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商业流通事务</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29.00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行政运行</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2160202</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一般行政管理事务</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29.00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住房保障支出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住房改革支出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rPr>
          <w:rFonts w:ascii="方正仿宋简体" w:eastAsia="方正仿宋简体" w:cs="方正仿宋简体" w:hAnsi="方正仿宋简体" w:hint="eastAsia"/>
          <w:sz w:val="24"/>
          <w:szCs w:val="24"/>
        </w:r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5" w:name="_Toc_2_2_0000000006"/>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1-6</w:t>
      </w:r>
    </w:p>
    <w:p>
      <w:pPr>
        <w:spacing w:before="0" w:after="0" w:line="240" w:lineRule="auto"/>
        <w:ind w:firstLine="0"/>
        <w:jc w:val="center"/>
        <w:outlineLvl w:val="1"/>
      </w:pPr>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79"/>
        <w:gridCol w:w="1418"/>
        <w:gridCol w:w="4149"/>
        <w:gridCol w:w="2359"/>
        <w:gridCol w:w="2721"/>
        <w:gridCol w:w="2694"/>
      </w:tblGrid>
      <w:tr>
        <w:trPr>
          <w:trHeight w:val="369"/>
          <w:tblHeader/>
        </w:trPr>
        <w:tc>
          <w:tcPr>
            <w:tcW w:w="14520"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69"/>
          <w:tblHeader/>
        </w:trPr>
        <w:tc>
          <w:tcPr>
            <w:tcW w:w="117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567"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支出部门经济分类科目</w:t>
            </w:r>
          </w:p>
        </w:tc>
        <w:tc>
          <w:tcPr>
            <w:tcW w:w="7774" w:type="dxa"/>
            <w:gridSpan w:val="3"/>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一般公共预算基本支出</w:t>
            </w:r>
          </w:p>
        </w:tc>
      </w:tr>
      <w:tr>
        <w:trPr>
          <w:trHeight w:val="369"/>
          <w:tblHeader/>
        </w:trPr>
        <w:tc>
          <w:tcPr>
            <w:tcW w:w="1179" w:type="dxa"/>
            <w:vMerge/>
          </w:tcPr>
          <w:p/>
        </w:tc>
        <w:tc>
          <w:tcPr>
            <w:tcW w:w="141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414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235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72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人员经费</w:t>
            </w:r>
          </w:p>
        </w:tc>
        <w:tc>
          <w:tcPr>
            <w:tcW w:w="269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公用经费</w:t>
            </w:r>
          </w:p>
        </w:tc>
      </w:tr>
      <w:tr>
        <w:trPr>
          <w:trHeight w:val="369"/>
          <w:tblHeader/>
        </w:trPr>
        <w:tc>
          <w:tcPr>
            <w:tcW w:w="117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41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14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235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272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69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418"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4149"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35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293.06</w:t>
            </w:r>
          </w:p>
        </w:tc>
        <w:tc>
          <w:tcPr>
            <w:tcW w:w="2721"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284.3</w:t>
            </w:r>
          </w:p>
        </w:tc>
        <w:tc>
          <w:tcPr>
            <w:tcW w:w="2694"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8.76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工资福利支出</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195.27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195.27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基本工资</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61.81</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61.81</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津贴补贴</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11.49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11.49</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30103</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奖金</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15.47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15.47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绩效工资</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45.83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45.83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30108</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30109</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职业年金缴费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30110</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职工基本医疗保险缴费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7.49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7.49</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公务员医疗补助缴费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8.56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8.56</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其他社会保障缴费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1.62</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1.62</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30113</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商品和服务支出</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8.76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8.76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办公费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0.39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0.39</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30206</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电费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邮电费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30208</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取暖费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4.46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4.46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差旅费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30215</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会议费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30216</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培训费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0.07</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公务接待费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30228</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工会经费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1.42</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1.42</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23</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30229</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福利费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1.55</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1.55</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30299</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其他商品和服务支出</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25</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对个人和家庭的补助</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89.03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89.03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26</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30302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退休费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68.83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68.83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27</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30305</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生活补助</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0.93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0.93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30307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医疗费补助</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19.27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19.27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rPr>
          <w:rFonts w:ascii="方正仿宋简体" w:eastAsia="方正仿宋简体" w:cs="方正仿宋简体" w:hAnsi="方正仿宋简体" w:hint="eastAsia"/>
          <w:sz w:val="24"/>
          <w:szCs w:val="24"/>
        </w:r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b w:val="0"/>
          <w:bCs w:val="0"/>
          <w:color w:val="000000"/>
          <w:sz w:val="24"/>
          <w:szCs w:val="24"/>
          <w:lang w:val="en-US" w:eastAsia="zh-CN"/>
        </w:rPr>
      </w:pPr>
      <w:bookmarkStart w:id="6" w:name="_Toc_2_2_0000000007"/>
      <w:r>
        <w:rPr>
          <w:rFonts w:ascii="方正仿宋简体" w:eastAsia="方正仿宋简体" w:cs="方正仿宋简体" w:hAnsi="方正仿宋简体" w:hint="eastAsia"/>
          <w:b w:val="0"/>
          <w:bCs w:val="0"/>
          <w:color w:val="000000"/>
          <w:sz w:val="24"/>
          <w:szCs w:val="24"/>
          <w:lang w:eastAsia="zh-CN"/>
        </w:rPr>
        <w:t>附表</w:t>
      </w:r>
      <w:r>
        <w:rPr>
          <w:rFonts w:ascii="方正仿宋简体" w:eastAsia="方正仿宋简体" w:cs="方正仿宋简体" w:hAnsi="方正仿宋简体" w:hint="eastAsia"/>
          <w:b w:val="0"/>
          <w:bCs w:val="0"/>
          <w:color w:val="000000"/>
          <w:sz w:val="24"/>
          <w:szCs w:val="24"/>
          <w:lang w:val="en-US" w:eastAsia="zh-CN"/>
        </w:rPr>
        <w:t>1-7</w:t>
      </w:r>
    </w:p>
    <w:p>
      <w:pPr>
        <w:spacing w:before="0" w:after="0" w:line="240" w:lineRule="auto"/>
        <w:ind w:firstLine="0"/>
        <w:jc w:val="center"/>
        <w:outlineLvl w:val="1"/>
        <w:rPr>
          <w:rFonts w:ascii="方正小标宋简体" w:eastAsia="方正小标宋简体" w:cs="方正小标宋简体" w:hAnsi="方正小标宋简体" w:hint="eastAsia"/>
          <w:b w:val="0"/>
          <w:bCs w:val="0"/>
          <w:sz w:val="36"/>
          <w:szCs w:val="36"/>
        </w:rPr>
      </w:pPr>
      <w:r>
        <w:rPr>
          <w:rFonts w:ascii="方正小标宋简体" w:eastAsia="方正小标宋简体" w:cs="方正小标宋简体" w:hAnsi="方正小标宋简体" w:hint="eastAsia"/>
          <w:b w:val="0"/>
          <w:bCs w:val="0"/>
          <w:color w:val="000000"/>
          <w:sz w:val="36"/>
          <w:szCs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491"/>
        <w:gridCol w:w="3544"/>
        <w:gridCol w:w="1705"/>
        <w:gridCol w:w="1703"/>
        <w:gridCol w:w="1703"/>
        <w:gridCol w:w="2472"/>
      </w:tblGrid>
      <w:tr>
        <w:trPr>
          <w:trHeight w:val="874"/>
          <w:tblHeader/>
        </w:trPr>
        <w:tc>
          <w:tcPr>
            <w:tcW w:w="14618"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400"/>
          <w:tblHeader/>
        </w:trPr>
        <w:tc>
          <w:tcPr>
            <w:tcW w:w="3491"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249"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703"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703"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2472"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r>
      <w:tr>
        <w:trPr>
          <w:trHeight w:val="400"/>
          <w:tblHeader/>
        </w:trPr>
        <w:tc>
          <w:tcPr>
            <w:tcW w:w="3491" w:type="dxa"/>
            <w:vMerge/>
          </w:tcPr>
          <w:p/>
        </w:tc>
        <w:tc>
          <w:tcPr>
            <w:tcW w:w="354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170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703" w:type="dxa"/>
            <w:vMerge/>
            <w:tcBorders>
              <w:left w:val="single" w:sz="6" w:space="0" w:color="000000"/>
            </w:tcBorders>
          </w:tcPr>
          <w:p/>
        </w:tc>
        <w:tc>
          <w:tcPr>
            <w:tcW w:w="1703" w:type="dxa"/>
            <w:vMerge/>
            <w:tcBorders>
              <w:left w:val="single" w:sz="6" w:space="0" w:color="000000"/>
            </w:tcBorders>
          </w:tcPr>
          <w:p/>
        </w:tc>
        <w:tc>
          <w:tcPr>
            <w:tcW w:w="2472" w:type="dxa"/>
            <w:vMerge/>
            <w:tcBorders>
              <w:left w:val="single" w:sz="6" w:space="0" w:color="000000"/>
            </w:tcBorders>
          </w:tcPr>
          <w:p/>
        </w:tc>
      </w:tr>
      <w:tr>
        <w:trPr>
          <w:trHeight w:val="400"/>
          <w:tblHeader/>
        </w:trPr>
        <w:tc>
          <w:tcPr>
            <w:tcW w:w="3491"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354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70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70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70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47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416"/>
        </w:trPr>
        <w:tc>
          <w:tcPr>
            <w:tcW w:w="3491" w:type="dxa"/>
            <w:vAlign w:val="center"/>
          </w:tcPr>
          <w:p>
            <w:pPr>
              <w:pStyle w:val="29"/>
              <w:rPr>
                <w:rFonts w:ascii="方正仿宋简体" w:eastAsia="方正仿宋简体" w:cs="方正仿宋简体" w:hAnsi="方正仿宋简体" w:hint="eastAsia"/>
                <w:sz w:val="24"/>
                <w:szCs w:val="24"/>
              </w:rPr>
            </w:pPr>
          </w:p>
        </w:tc>
        <w:tc>
          <w:tcPr>
            <w:tcW w:w="354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70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70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0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cols w:num="1" w:space="720"/>
          <w:docGrid w:linePitch="326" w:charSpace="0"/>
        </w:sectPr>
      </w:pPr>
      <w:r>
        <w:rPr>
          <w:rFonts w:ascii="方正仿宋简体" w:eastAsia="方正仿宋简体" w:cs="方正仿宋简体" w:hAnsi="方正仿宋简体" w:hint="eastAsia"/>
          <w:color w:val="000000"/>
          <w:sz w:val="24"/>
          <w:szCs w:val="24"/>
        </w:rPr>
        <w:t>注：无政府基金预算财政拨款预算，空表列示。</w:t>
      </w: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7" w:name="_Toc_2_2_0000000008"/>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1-8</w:t>
      </w:r>
    </w:p>
    <w:p>
      <w:pPr>
        <w:spacing w:before="0" w:after="0" w:line="240" w:lineRule="auto"/>
        <w:ind w:firstLine="0"/>
        <w:jc w:val="center"/>
        <w:outlineLvl w:val="1"/>
      </w:pPr>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39"/>
        <w:gridCol w:w="2439"/>
        <w:gridCol w:w="2443"/>
        <w:gridCol w:w="2439"/>
        <w:gridCol w:w="2439"/>
        <w:gridCol w:w="2440"/>
      </w:tblGrid>
      <w:tr>
        <w:trPr>
          <w:trHeight w:val="988"/>
          <w:tblHeader/>
        </w:trPr>
        <w:tc>
          <w:tcPr>
            <w:tcW w:w="14639"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469"/>
          <w:tblHeader/>
        </w:trPr>
        <w:tc>
          <w:tcPr>
            <w:tcW w:w="243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882"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2439"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439"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2440"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r>
      <w:tr>
        <w:trPr>
          <w:trHeight w:val="469"/>
          <w:tblHeader/>
        </w:trPr>
        <w:tc>
          <w:tcPr>
            <w:tcW w:w="2439" w:type="dxa"/>
            <w:vMerge/>
          </w:tcP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244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2439" w:type="dxa"/>
            <w:vMerge/>
            <w:tcBorders>
              <w:left w:val="single" w:sz="6" w:space="0" w:color="000000"/>
            </w:tcBorders>
          </w:tcPr>
          <w:p/>
        </w:tc>
        <w:tc>
          <w:tcPr>
            <w:tcW w:w="2439" w:type="dxa"/>
            <w:vMerge/>
            <w:tcBorders>
              <w:left w:val="single" w:sz="6" w:space="0" w:color="000000"/>
            </w:tcBorders>
          </w:tcPr>
          <w:p/>
        </w:tc>
        <w:tc>
          <w:tcPr>
            <w:tcW w:w="2440" w:type="dxa"/>
            <w:vMerge/>
            <w:tcBorders>
              <w:left w:val="single" w:sz="6" w:space="0" w:color="000000"/>
            </w:tcBorders>
          </w:tcPr>
          <w:p/>
        </w:tc>
      </w:tr>
      <w:tr>
        <w:trPr>
          <w:trHeight w:val="469"/>
          <w:tblHeader/>
        </w:trPr>
        <w:tc>
          <w:tcPr>
            <w:tcW w:w="243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244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44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517"/>
        </w:trPr>
        <w:tc>
          <w:tcPr>
            <w:tcW w:w="2439" w:type="dxa"/>
            <w:vAlign w:val="center"/>
          </w:tcPr>
          <w:p>
            <w:pPr>
              <w:pStyle w:val="29"/>
              <w:rPr>
                <w:rFonts w:ascii="方正仿宋简体" w:eastAsia="方正仿宋简体" w:cs="方正仿宋简体" w:hAnsi="方正仿宋简体" w:hint="eastAsia"/>
                <w:sz w:val="24"/>
                <w:szCs w:val="24"/>
              </w:rPr>
            </w:pPr>
          </w:p>
        </w:tc>
        <w:tc>
          <w:tcPr>
            <w:tcW w:w="243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2443"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243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43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44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cols w:num="1" w:space="720"/>
          <w:docGrid w:linePitch="326" w:charSpace="0"/>
        </w:sectPr>
      </w:pPr>
      <w:r>
        <w:rPr>
          <w:rFonts w:ascii="方正仿宋简体" w:eastAsia="方正仿宋简体" w:cs="方正仿宋简体" w:hAnsi="方正仿宋简体" w:hint="eastAsia"/>
          <w:color w:val="000000"/>
          <w:sz w:val="24"/>
          <w:szCs w:val="24"/>
        </w:rPr>
        <w:t>注：无国有资本经营预算财政拨款预算，空表列示。</w:t>
      </w: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8" w:name="_Toc_2_2_0000000009"/>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1-9</w:t>
      </w:r>
    </w:p>
    <w:p>
      <w:pPr>
        <w:spacing w:before="0" w:after="0" w:line="240" w:lineRule="auto"/>
        <w:ind w:firstLine="0"/>
        <w:jc w:val="center"/>
        <w:outlineLvl w:val="1"/>
      </w:pPr>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59"/>
        <w:gridCol w:w="4890"/>
        <w:gridCol w:w="1832"/>
        <w:gridCol w:w="2373"/>
        <w:gridCol w:w="1715"/>
        <w:gridCol w:w="2271"/>
      </w:tblGrid>
      <w:tr>
        <w:trPr>
          <w:trHeight w:val="841"/>
          <w:tblHeader/>
        </w:trPr>
        <w:tc>
          <w:tcPr>
            <w:tcW w:w="14340"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975遵化市供销合作社</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85"/>
          <w:tblHeader/>
        </w:trPr>
        <w:tc>
          <w:tcPr>
            <w:tcW w:w="125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890"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8191" w:type="dxa"/>
            <w:gridSpan w:val="4"/>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资 金 性 质</w:t>
            </w:r>
          </w:p>
        </w:tc>
      </w:tr>
      <w:tr>
        <w:trPr>
          <w:trHeight w:val="737"/>
          <w:tblHeader/>
        </w:trPr>
        <w:tc>
          <w:tcPr>
            <w:tcW w:w="1259" w:type="dxa"/>
            <w:vMerge/>
          </w:tcPr>
          <w:p/>
        </w:tc>
        <w:tc>
          <w:tcPr>
            <w:tcW w:w="4890" w:type="dxa"/>
            <w:vMerge/>
            <w:tcBorders>
              <w:left w:val="single" w:sz="6" w:space="0" w:color="000000"/>
            </w:tcBorders>
          </w:tcPr>
          <w:p/>
        </w:tc>
        <w:tc>
          <w:tcPr>
            <w:tcW w:w="183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37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一般公共预算              财政拨款</w:t>
            </w:r>
          </w:p>
        </w:tc>
        <w:tc>
          <w:tcPr>
            <w:tcW w:w="171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政府性基金                  预算拨款</w:t>
            </w:r>
          </w:p>
        </w:tc>
        <w:tc>
          <w:tcPr>
            <w:tcW w:w="227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国有资本经营              预算财政拨款</w:t>
            </w:r>
          </w:p>
        </w:tc>
      </w:tr>
      <w:tr>
        <w:trPr>
          <w:trHeight w:val="388"/>
          <w:tblHeader/>
        </w:trPr>
        <w:tc>
          <w:tcPr>
            <w:tcW w:w="125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489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83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237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71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27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44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890"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832" w:type="dxa"/>
            <w:tcBorders>
              <w:left w:val="single" w:sz="6" w:space="0" w:color="000000"/>
            </w:tcBorders>
            <w:vAlign w:val="center"/>
          </w:tcPr>
          <w:p>
            <w:pPr>
              <w:pStyle w:val="31"/>
              <w:rPr>
                <w:rFonts w:ascii="方正仿宋简体" w:eastAsia="方正仿宋简体" w:cs="方正仿宋简体" w:hAnsi="方正仿宋简体"/>
                <w:sz w:val="24"/>
                <w:szCs w:val="24"/>
                <w:lang w:val="en-US" w:eastAsia="zh-CN"/>
              </w:rPr>
            </w:pPr>
            <w:r>
              <w:rPr>
                <w:rFonts w:ascii="方正仿宋简体" w:eastAsia="方正仿宋简体" w:cs="方正仿宋简体" w:hAnsi="方正仿宋简体" w:hint="eastAsia"/>
                <w:sz w:val="24"/>
                <w:szCs w:val="24"/>
                <w:lang w:val="en-US" w:eastAsia="zh-CN"/>
              </w:rPr>
              <w:t>0.03</w:t>
            </w:r>
          </w:p>
        </w:tc>
        <w:tc>
          <w:tcPr>
            <w:tcW w:w="2373" w:type="dxa"/>
            <w:tcBorders>
              <w:left w:val="single" w:sz="6" w:space="0" w:color="000000"/>
            </w:tcBorders>
            <w:vAlign w:val="center"/>
          </w:tcPr>
          <w:p>
            <w:pPr>
              <w:pStyle w:val="31"/>
              <w:rPr>
                <w:rFonts w:ascii="方正仿宋简体" w:eastAsia="方正仿宋简体" w:cs="方正仿宋简体" w:hAnsi="方正仿宋简体"/>
                <w:sz w:val="24"/>
                <w:szCs w:val="24"/>
                <w:lang w:val="en-US" w:eastAsia="zh-CN"/>
              </w:rPr>
            </w:pPr>
            <w:r>
              <w:rPr>
                <w:rFonts w:ascii="方正仿宋简体" w:eastAsia="方正仿宋简体" w:cs="方正仿宋简体" w:hAnsi="方正仿宋简体" w:hint="eastAsia"/>
                <w:sz w:val="24"/>
                <w:szCs w:val="24"/>
                <w:lang w:val="en-US" w:eastAsia="zh-CN"/>
              </w:rPr>
              <w:t>0.03</w:t>
            </w:r>
          </w:p>
        </w:tc>
        <w:tc>
          <w:tcPr>
            <w:tcW w:w="171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44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“三公”经费小计</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4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一、因公出国（境）费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93"/>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其中：教学科研人员因公出国（境）费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84"/>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其他因公出国（境）费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0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二、公务用车购置及运维费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93"/>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其中：公务用车购置费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7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公务用车运行维护费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0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三、公务接待费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pacing w:before="0" w:after="0" w:line="240" w:lineRule="auto"/>
        <w:ind w:firstLine="0"/>
        <w:jc w:val="center"/>
        <w:outlineLvl w:val="0"/>
        <w:sectPr>
          <w:pgSz w:w="16840" w:h="11900" w:orient="landscape"/>
          <w:pgMar w:top="1361" w:right="1020" w:bottom="1361" w:left="1020" w:header="720" w:footer="720" w:gutter="0"/>
          <w:pgNumType/>
          <w:cols w:num="1" w:space="720"/>
          <w:docGrid w:linePitch="326"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44"/>
        </w:rPr>
        <w:t>遵化市供销合作社2023年部门预算信息公开情况说明</w:t>
      </w:r>
    </w:p>
    <w:p>
      <w:pPr>
        <w:spacing w:before="0" w:after="0" w:line="500" w:lineRule="exact"/>
        <w:ind w:firstLine="560"/>
        <w:jc w:val="left"/>
        <w:outlineLvl w:val="9"/>
        <w:rPr>
          <w:rFonts w:ascii="Times New Roman" w:eastAsia="方正仿宋_GBK" w:cs="Times New Roman" w:hAnsi="Times New Roman"/>
          <w:color w:val="000000"/>
          <w:sz w:val="28"/>
        </w:rPr>
      </w:pP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按照《</w:t>
      </w:r>
      <w:r>
        <w:rPr>
          <w:rFonts w:ascii="方正仿宋简体" w:eastAsia="方正仿宋简体" w:cs="方正仿宋简体" w:hAnsi="方正仿宋简体"/>
          <w:color w:val="000000"/>
          <w:sz w:val="32"/>
          <w:szCs w:val="32"/>
        </w:rPr>
        <w:t>中华人民共和国</w:t>
      </w:r>
      <w:r>
        <w:rPr>
          <w:rFonts w:ascii="方正仿宋简体" w:eastAsia="方正仿宋简体" w:cs="方正仿宋简体" w:hAnsi="方正仿宋简体" w:hint="eastAsia"/>
          <w:color w:val="000000"/>
          <w:sz w:val="32"/>
          <w:szCs w:val="32"/>
        </w:rPr>
        <w:t>预算法》、《地方预决算公开操作规程》和《关于进一步推进预算公开工作的实施意见》规定，现将遵化市供销合作社2023年部门预算公开如下：</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b w:val="0"/>
          <w:bCs w:val="0"/>
          <w:color w:val="000000"/>
          <w:sz w:val="32"/>
          <w:szCs w:val="32"/>
        </w:rPr>
      </w:pPr>
      <w:bookmarkStart w:id="9" w:name="_Toc_3_3_0000000010"/>
      <w:r>
        <w:rPr>
          <w:rFonts w:ascii="方正黑体简体" w:eastAsia="方正黑体简体" w:cs="方正黑体简体" w:hAnsi="方正黑体简体" w:hint="eastAsia"/>
          <w:b w:val="0"/>
          <w:bCs w:val="0"/>
          <w:color w:val="000000"/>
          <w:sz w:val="32"/>
          <w:szCs w:val="32"/>
        </w:rPr>
        <w:t>一、部门职责及机构设置情况</w:t>
      </w:r>
      <w:bookmarkEnd w:id="9"/>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楷体简体" w:eastAsia="方正楷体简体" w:cs="方正楷体简体" w:hAnsi="方正楷体简体" w:hint="eastAsia"/>
          <w:b w:val="0"/>
          <w:bCs w:val="0"/>
          <w:sz w:val="32"/>
          <w:szCs w:val="32"/>
          <w:lang w:eastAsia="zh-CN"/>
        </w:rPr>
      </w:pPr>
      <w:r>
        <w:rPr>
          <w:rFonts w:ascii="方正楷体简体" w:eastAsia="方正楷体简体" w:cs="方正楷体简体" w:hAnsi="方正楷体简体" w:hint="eastAsia"/>
          <w:b w:val="0"/>
          <w:bCs w:val="0"/>
          <w:sz w:val="32"/>
          <w:szCs w:val="32"/>
          <w:lang w:eastAsia="zh-CN"/>
        </w:rPr>
        <w:t>（一）部门职责</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根据《中共遵化市委机构编制委员会关于印发&lt;遵化市供销合作社机关职能配置、内设机构和人员编制规定&gt;的通知》（遵机编字[2020]15号）等有关文件，本单位主要职责是：</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宣传贯彻党委和政府“三农”工作方针政策，指导全市供销合作事业发展。</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负责研究制定全市供销合作社的发展战略和发展规划，指导服务系统改革发展。</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按照政府授权对食盐、重要农业生产资料、农副产品的经营进行组织、协调和管理，承担政府委托的公益性服务和其他任务，负责管理政府委托的重要物资、商品的储备工作；受本级政府委托负责全市烟花爆竹批发业务；负责指导所属盐业专营企业做好食盐批发经营工作。</w:t>
      </w:r>
    </w:p>
    <w:p>
      <w:pPr>
        <w:pStyle w:val="33"/>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4</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负责推进供销合作社法制建设，研究提出促进农村经济社会和行业发展的政策法规建议，维护各级供销合作社的合法权益。</w:t>
      </w:r>
    </w:p>
    <w:p>
      <w:pPr>
        <w:pStyle w:val="33"/>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5</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发展农业生产资料现代经营服务网络，构建连锁经营体系；负责发展农副产品购销网络，创办各类农副产品批发市场，推动农超对接；负责发展日用消费品现代经营网络，构建现代连锁经营体系；负责再生资源回收体系建设。</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6</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协同有关部门的关系，指导全市供销合作社业务活动，支持系统发展电子商务和开展农村合作金融服务，指导推进全市农村产权交易体系建设和管理，指导系统领办创办农民专业合作社，更好履行为农服务职责。</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7</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负责管理运营全市社有资产，对出资企业行使出资人职能；负责推进直属企业改革，建立健全现代企业制度；负责系统财产安全统筹工作。</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8</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负责基层供销合作社的组织建设；监督指导基层供销合作社的经营管理和改革发展。</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9</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负责完成上级交办的其他工作任务。</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lang w:eastAsia="zh-CN"/>
        </w:rPr>
        <w:t>（二）</w:t>
      </w:r>
      <w:r>
        <w:rPr>
          <w:rFonts w:ascii="方正楷体简体" w:eastAsia="方正楷体简体" w:cs="方正楷体简体" w:hAnsi="方正楷体简体" w:hint="eastAsia"/>
          <w:b w:val="0"/>
          <w:bCs w:val="0"/>
          <w:color w:val="000000"/>
          <w:sz w:val="32"/>
          <w:szCs w:val="32"/>
        </w:rPr>
        <w:t>机构设置</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rPr>
        <w:t>综合办公室（含党委办公室、工会、安全统筹办公室）</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掌握供销社全面工作情况，负责综合协调各科室工作，当好领导的参谋和助手，协助领导处理好日常工作；贯彻落实市委、市政府及上级部门部署的综合性工作，包括拟订工作方案、督导落实、情况反馈；负责综合性工作安排、总结、报告、领导讲话等文字材料。负责公文管理（包括文件收发、传递、归档、督办及提示）、信息反馈、政务公开等工作。负责拟发市社党委和政务公文及审核各科室以市社名义拟发的公文；负责机关会议[包括党委和主任办公（扩大）会议、系统内其他综合性会议]的组织筹备和会议记录、纪要起草及会后督导落实工作；负责督导机关各科室制定年度工作计划，负责整理汇总各科室上报的工作信息、工作总结，按要求及时上报有关部门；负责供销社机关和留守改制企业的印章保管、使用登记和审批等；负责文书档案管理和史志年鉴编纂工作；负责公务内网的建设和管理，确保公文正常传输及网络运行安全；负责制定机关工作制度并监督实施；负责上级部门和本市相关部门的公务性接待，拟订重大活动的接待方案；负责机关行政事务、后勤服务、公务用车管理、卫生管理和值班安排工作；负责机要保密工作，做好涉密公文和计算机管理，并做好秘密文件的清理、销毁和上缴工作；负责抓好本科室政治理论、业务知识的学习和党风廉政建设工作，严格落实“一岗双责”责任制</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加强与市委、市政府和相关部门的联系与沟通，完成供销社党政班子交办的其他相关工作</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党委文件和各类文字材料的起草工作；负责组织、安排党委各项会议、学习和重要活动、会议记录、纪要起草及会后督导落实工作；负责抓好党委精神文明建设工作；负责抓好党组织建设、党组织宣传和党员统计工作；负责抓好党委所属的基层党组织建设工作，包括组织活动、换届选举、民主评议等工作；负责做好党费收缴、管理使用和接转党组织关系工作；负责党委理论学习</w:t>
      </w:r>
      <w:r>
        <w:rPr>
          <w:rFonts w:ascii="方正仿宋简体" w:eastAsia="方正仿宋简体" w:cs="方正仿宋简体" w:hAnsi="方正仿宋简体"/>
          <w:b w:val="0"/>
          <w:bCs w:val="0"/>
          <w:color w:val="000000"/>
          <w:sz w:val="32"/>
          <w:szCs w:val="32"/>
        </w:rPr>
        <w:t>中心组的学习</w:t>
      </w:r>
      <w:r>
        <w:rPr>
          <w:rFonts w:ascii="方正仿宋简体" w:eastAsia="方正仿宋简体" w:cs="方正仿宋简体" w:hAnsi="方正仿宋简体" w:hint="eastAsia"/>
          <w:b w:val="0"/>
          <w:bCs w:val="0"/>
          <w:color w:val="000000"/>
          <w:sz w:val="32"/>
          <w:szCs w:val="32"/>
        </w:rPr>
        <w:t>、计划和组织工作；负责抓好共青团和计划生育工作；负责党委印鉴的保管和日常使用、登记、审批以及机要文件的管理和党委保密工作；加强与市委各党群口的联系与沟通，完成党群口交办的各项工作任务</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负责系统内困难职工的摸排和上报工作；负责调整完善困难职工家庭档案及上报工作；负责对重病职工、困难职工、特困职工进行慰问工作；负责工会会员纳新实名</w:t>
      </w:r>
      <w:bookmarkStart w:id="10" w:name="_GoBack"/>
      <w:bookmarkEnd w:id="10"/>
      <w:r>
        <w:rPr>
          <w:rFonts w:ascii="方正仿宋简体" w:eastAsia="方正仿宋简体" w:cs="方正仿宋简体" w:hAnsi="方正仿宋简体" w:hint="eastAsia"/>
          <w:b w:val="0"/>
          <w:bCs w:val="0"/>
          <w:color w:val="000000"/>
          <w:sz w:val="32"/>
          <w:szCs w:val="32"/>
        </w:rPr>
        <w:t>录入、大病互助等基础性工作；加强与市总工会的联系与沟通，完成市总工会交办的各项工作任务。贯彻执行国务院、省、市和上级社的文件、规定、决议，在市社安全统筹工作领导小组领导下开展各项工作；负责制定全系统安全统筹规章制度，奖惩措施和工作计划等；负责全系统安全统筹业务开展、督导、考核、奖励等工作；负责对安全统筹金的收取、归集、管理、分配和使用；负责对安全事故的勘查、核损和对事故损失的赔偿；负责对安全统筹工作人员的业务培训和对外宣传工作；负责向上级社和本级社安全统筹领导小组汇报工作计划和工作总结；接受上级安全统筹部门的管理，加强沟通和联系，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2、</w:t>
      </w:r>
      <w:r>
        <w:rPr>
          <w:rFonts w:ascii="方正仿宋简体" w:eastAsia="方正仿宋简体" w:cs="方正仿宋简体" w:hAnsi="方正仿宋简体" w:hint="eastAsia"/>
          <w:b w:val="0"/>
          <w:bCs w:val="0"/>
          <w:color w:val="000000"/>
          <w:sz w:val="32"/>
          <w:szCs w:val="32"/>
        </w:rPr>
        <w:t>人事教育科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贯彻落实党的组织路线和干部政策，抓好系统股级（含股级）以下人员的评先评优、组织推荐和考评工作；负责系统劳动人事等各类档案资料的管理、企业改制职工安置、解决解答原改制企业职工历史遗留问题工作；负责办理系统人员接续工龄和退休手续，并做好离退休干部职工的管理、慰问和各项服务工作；负责组织系统专业技术人员的职称评定和工人等级考核管理工作；负责机关事业待遇和企业化管理的在职人员、离退休人员和遗属人员的工资、退休金、遗属生活费以及其他福利待遇的申报、调整和审批工作；负责建议综合办公室组织召开党委或主任办公（扩大）会议，研究机关股级干部调整、工资和生活费调整、职工历史遗留问题等较大和重大事项；负责系统老干部管理工作，包括医疗保健、健康体检、文体活动、死亡抚恤慰问等；负责系统军转干部的慰问、管理和各项服务工作；负责组织职工义务献血和捐款工作；负责抓好本科室政治理论、业务知识的学习和党风廉政建设工作，严格落实“一岗双责”责任制；负责本科室工作信息的撰写和提供涉及的各类总结、文字的相关材料工作，并及时上报综合办公室汇总；加强与组织、人社、老干部等相关部门的联系和沟通，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3、</w:t>
      </w:r>
      <w:r>
        <w:rPr>
          <w:rFonts w:ascii="方正仿宋简体" w:eastAsia="方正仿宋简体" w:cs="方正仿宋简体" w:hAnsi="方正仿宋简体" w:hint="eastAsia"/>
          <w:b w:val="0"/>
          <w:bCs w:val="0"/>
          <w:color w:val="000000"/>
          <w:sz w:val="32"/>
          <w:szCs w:val="32"/>
        </w:rPr>
        <w:t>合作指导科（含供销农民专业合作社联合社办公室、农合联秘书处）</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新型基层组织、开放办社企业、新参股企业和农村现代流通网络、农业社会化服务体系的建设、规范、提升、管理和考核工作；负责配合财务审计科做好市供销社参股的新型基层组织、新型企业的股比、投资、分红等行为的监管，确保其依法依规运营，防止出现债务纠纷等事宜；负责系统农产品批发市场、连锁经营、农业龙头企业和电子商务的建设、规范和提升工作；负责项目引进、招商引资和项目申报、推进及落实工作；加强对供销社联系的各类社团组织的指导，开展信息服务、业务培训等工作；负责新型基层组织和新型企业的先进集体和先进工作者推荐申报工作；负责抓好新型基层组织、新型企业的安全生产监督、检查和安全生产责任状的签定工作；负责协助指导新型基层组织、新型企业及农村合作经济组织的党组织建设工作；负责加强对各类联合社、专业合作社的指导、扶持、服务，培育、带动、引领新型农业经营主体的发展，增强服务能力；负责春耕备耕、农产品质量安全市创建等工作；负责系统企业营业执照换照、变更和保管工作；负责与上级有关部门协调做好防汛物资储备工作；负责并配合市政府有关部门抓好食盐专营、行政执法和政务公开等工作；负责做好系统内业务统计数据报表的汇总和上报工作；负责配合上级部门做好年度综合业绩考评、检查和评先工作；负责抓好本科室相关业务知识学习和党风廉政建设工作，严格落实“一岗双责”责任制</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负责本科室工作信息的撰写和提供涉及的各类总结、文字的相关材料工作，并及时上报综合办公室汇总；加强与上级社和市涉农部门及相关执法等部门的联系和沟通，完成供销社党政班子交办的其他相关工作</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宣传贯彻农业政策，向成员社提供农产品价格信息、供求信息、气象信息、农业新技术等；负责组织开展成员社产品的推介、销售等服务工作；负责组织成员社内部技术培训、技术交流、法律维权和咨询活动；负责培育打造成员社的产品品牌，扩大区域品牌效应；负责做好年度工作计划和总结工作；加强与上级联合社的联系与沟通，完成上级联合社交办的各项工作任务</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宣传贯彻党和国家在农村的方针和政策，制定、落实农村合作经济组织发展规划；发挥农村合作经济组织联合会作用，吸收农村各类专业合作经济组织、农业龙头企业、新型农业经营主体和农民经纪人加入农合联，并做好单位会员、个人会员的审查、吸纳、管理、规范工作；培育、发展各类农村专业合作经济组织，按照“民办、民有、民营、民收益”的原则，指导合作经济组织规范运作，确保合作经济组织健康发展；为农村各类专业合作经济组织提供信息、生产、技术、销售、维权等服务；组织开展对农村各类专业合作经济组织、新型乡镇供销社、种养殖大户、农产品经纪人等及其会员的教育、培训、学习、交流、考察等工作；组织全市农村合作经济组织、龙头企业以及种、养、加农民大户开展联合与合作；开展合作经济交流活动，加强与有关组织和社团的联系与合作；积极参与我市有关农村经济和农村合作经济组织政策的制定，依法维护农村合作经济组织的合法权益；协助有关部门做好农村各类专业合作经济组织的建设和规范工作；负责总结、宣传农村合作经济组织建设的典型作法和经验；接受上级农合联的指导，完成上级农合联交办的各项工作任务。</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4、</w:t>
      </w:r>
      <w:r>
        <w:rPr>
          <w:rFonts w:ascii="方正仿宋简体" w:eastAsia="方正仿宋简体" w:cs="方正仿宋简体" w:hAnsi="方正仿宋简体" w:hint="eastAsia"/>
          <w:b w:val="0"/>
          <w:bCs w:val="0"/>
          <w:color w:val="000000"/>
          <w:sz w:val="32"/>
          <w:szCs w:val="32"/>
        </w:rPr>
        <w:t>财务审计科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指导、检查原市社直属企业的经济核算、财务管理、资金使用，做好资金的调剂和融通，确保资金依法依规安全运行；编制、平衡、汇总财务报表，负责上报下达，及时向领导和有关部门提供有关情况，负责供销系统内部报表的月度、年度汇总及上报工作；监督检查系统内所属企业财经纪律、财务制度及有关政策规定的执行情况；负责编制部门（单位）财政预算、决算，并做好预、决算的信息公开工作；负责依法依规审核日常运转经费的申领、拨付、报销、入账等财务核算管理工作；负责所属企业“收支两条线”执行、财产损失的处理工作；负责做好系统内所属企业的内部审计工作，开展所属企业的合同履行审计、干部离任审计、资产管理审计、财务收支审计、单项业务审计等内部审计以及专项审计调查，及时、准确地向供销社党政班子提供审计结果，当好领导参谋；负责指导、检查系统内所属企业的自审工作；负责结合合作指导科做好对市供销社参股的新型基层组织、新型企业的股比、投资、分红等行为的监管，确保其依法依规运营，防止出现债务纠纷等事宜；负责抓好本科室政治理论、业务知识的学习和党风廉政建设工作，严格落实“一岗双责”责任制；负责本科室工作信息的撰写和提供涉及的各类总结、文件的相关材料工作，并及时上报综合办公室汇总；加强与财政、国资、审计等相关部门的联系和沟通，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5、</w:t>
      </w:r>
      <w:r>
        <w:rPr>
          <w:rFonts w:ascii="方正仿宋简体" w:eastAsia="方正仿宋简体" w:cs="方正仿宋简体" w:hAnsi="方正仿宋简体" w:hint="eastAsia"/>
          <w:b w:val="0"/>
          <w:bCs w:val="0"/>
          <w:color w:val="000000"/>
          <w:sz w:val="32"/>
          <w:szCs w:val="32"/>
        </w:rPr>
        <w:t>信访保卫监察科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全系统的党风廉政建设、机关作风建设和整治、民主评议行风、岗位作风评议、纪检监察、党员干部违纪违法案件的查处工作；负责全系统各类矛盾纠纷隐患排查、上报、防控及涉军等维稳工作；负责日常来信来访接待、上级交办各类信访案件的查处和上报工作；负责全系统的治安综合治理、消防、防汛和安全生产监督管理工作；负责供销社机关财产安全和保卫工作；负责处理系统内企业经济纠纷的法律诉讼工作；负责武装部、政法委下达的各项工作；负责组织普法知识的学习和考核工作；按上级要求，做好本系统宗教管理相关工作；负责抓好本科室政治理论、业务知识的学习和党风廉政建设工作，严格落实“一岗双责”责任制；负责本科室工作信息的撰写和提供涉及的各类总结、文字的相关材料工作，并及时上报综合办公室汇总；加强与纪检、监委、政法、信访和安监等相关部门的联系和沟通，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6、</w:t>
      </w:r>
      <w:r>
        <w:rPr>
          <w:rFonts w:ascii="方正仿宋简体" w:eastAsia="方正仿宋简体" w:cs="方正仿宋简体" w:hAnsi="方正仿宋简体" w:hint="eastAsia"/>
          <w:b w:val="0"/>
          <w:bCs w:val="0"/>
          <w:color w:val="000000"/>
          <w:sz w:val="32"/>
          <w:szCs w:val="32"/>
        </w:rPr>
        <w:t>农村产权交易中心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农村产权流转各项交易业务的推介、宣传工作；负责农村产权交易业务的信息收集、发布、上报，交易数据的汇总，业务完成情况月报、年报的编制，年度工作计划和总结及“遵化市农村产权交易中心”网站的维护建设工作；负责挂牌征集受让方、撮合农村产权流转交易项目，组织农村产权流转交易活动，农村产权交易鉴证业务，农村产权交易鉴证书的注册登记、变更、遗失补办等业务；负责供求双方提交的《农村产权流转交易申请书》、各种有效证件，产权查档、权属确认、转让审批、评估作价等交易前必备资料的查验、收集，交易完成后业务档案的归档；负责与农口各部门、银行、担保公司、投资公司、小额贷款公司等金融机构及相关部门的业务联系，为交易主体提供融资业务咨询服务，办理农村产权抵押证书及抵押证书的注册登记、变更、注销等业务；负责做好农村产权交易中心分支机构建设与管理；加强与上级农村产权交易等相关部门的联系和沟通，接受遵化市农村产权流转交易监督管理委员会的指导与监督管理</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负责抓好本科室政治理论、业务知识的学习和党风廉政建设工作，严格落实“一岗双责”责任制，不断提升队伍整体素质、形象，争创一流服务“三农”窗口。</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7、</w:t>
      </w:r>
      <w:r>
        <w:rPr>
          <w:rFonts w:ascii="方正仿宋简体" w:eastAsia="方正仿宋简体" w:cs="方正仿宋简体" w:hAnsi="方正仿宋简体" w:hint="eastAsia"/>
          <w:b w:val="0"/>
          <w:bCs w:val="0"/>
          <w:color w:val="000000"/>
          <w:sz w:val="32"/>
          <w:szCs w:val="32"/>
        </w:rPr>
        <w:t>资产运营管理中心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受遵化市供销合作社资产运营管理领导小组（遵化市供销合作社资产运营管理委员会）的领导；负责系统内社有资产的日常监管，实现资产保值增值；负责抓好企业改制具体工作，提出企业改制方案草案，负责组织改制企业的清产核资、协助中介机构土地测绘、资产评估等资产处置相关工作；负责企业出租、出售资产的招标、拍卖具体协调工作，监管所属企业的出租、出售合同的签定、落实，负责所属企业的合同管理工作、企业改制档案的归档及保管工作；负责协调解决企业改制后的各种遗留问题，做好系统内改制企业经济纠纷的法律诉讼工作；负责系统内租赁（承包）企业的租金和有关资费的收缴工作；负责抓好原市社直属企业的安全生产监督、检查和年度安全生产责任状的签定工作；负责抓好本科室政治理论、业务知识的学习和党风廉政建设工作，严格落实“一岗双责”责任制；负责本科室工作信息的撰写和提供涉及的各类总结、文件的相关材料工作，并及时上报综合办公室汇总；加强与国资等相关部门的联系和沟通，完成供销社党政班子交办的相关工作。</w:t>
      </w: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615"/>
        <w:gridCol w:w="3615"/>
        <w:gridCol w:w="3615"/>
        <w:gridCol w:w="3615"/>
      </w:tblGrid>
      <w:tr>
        <w:trPr>
          <w:trHeight w:val="627"/>
          <w:tblHeader/>
        </w:trPr>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单位名称</w:t>
            </w:r>
          </w:p>
        </w:tc>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单位性质</w:t>
            </w:r>
          </w:p>
        </w:tc>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单位规格</w:t>
            </w:r>
          </w:p>
        </w:tc>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经费保障形式</w:t>
            </w:r>
          </w:p>
        </w:tc>
      </w:tr>
      <w:tr>
        <w:trPr>
          <w:trHeight w:val="489"/>
        </w:trPr>
        <w:tc>
          <w:tcPr>
            <w:tcW w:w="3615" w:type="dxa"/>
            <w:vAlign w:val="center"/>
          </w:tcPr>
          <w:p>
            <w:pPr>
              <w:pStyle w:val="28"/>
              <w:keepNext w:val="0"/>
              <w:keepLines w:val="0"/>
              <w:pageBreakBefore w:val="0"/>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遵化市供销合作社</w:t>
            </w:r>
          </w:p>
        </w:tc>
        <w:tc>
          <w:tcPr>
            <w:tcW w:w="3615" w:type="dxa"/>
            <w:tcBorders>
              <w:left w:val="single" w:sz="6" w:space="0" w:color="000000"/>
            </w:tcBorders>
            <w:vAlign w:val="center"/>
          </w:tcPr>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事业</w:t>
            </w:r>
          </w:p>
        </w:tc>
        <w:tc>
          <w:tcPr>
            <w:tcW w:w="3615" w:type="dxa"/>
            <w:tcBorders>
              <w:left w:val="single" w:sz="6" w:space="0" w:color="000000"/>
            </w:tcBorders>
            <w:vAlign w:val="center"/>
          </w:tcPr>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正科级</w:t>
            </w:r>
          </w:p>
        </w:tc>
        <w:tc>
          <w:tcPr>
            <w:tcW w:w="3615" w:type="dxa"/>
            <w:tcBorders>
              <w:left w:val="single" w:sz="6" w:space="0" w:color="000000"/>
            </w:tcBorders>
            <w:vAlign w:val="center"/>
          </w:tcPr>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财政性资金基本保证</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仿宋简体" w:eastAsia="方正仿宋简体" w:cs="方正仿宋简体" w:hAnsi="方正仿宋简体" w:hint="eastAsia"/>
          <w:color w:val="000000"/>
          <w:sz w:val="32"/>
        </w:rPr>
      </w:pPr>
      <w:bookmarkStart w:id="11" w:name="_Toc_3_3_0000000011"/>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b w:val="0"/>
          <w:bCs w:val="0"/>
        </w:rPr>
      </w:pPr>
      <w:r>
        <w:rPr>
          <w:rFonts w:ascii="方正黑体简体" w:eastAsia="方正黑体简体" w:cs="方正黑体简体" w:hAnsi="方正黑体简体" w:hint="eastAsia"/>
          <w:b w:val="0"/>
          <w:bCs w:val="0"/>
          <w:color w:val="000000"/>
          <w:sz w:val="32"/>
        </w:rPr>
        <w:t>二、部门预算安排的总体情况</w:t>
      </w:r>
      <w:bookmarkEnd w:id="11"/>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8"/>
        </w:rPr>
        <w:t>按照预算管理有关规定，目前我</w:t>
      </w:r>
      <w:r>
        <w:rPr>
          <w:rFonts w:ascii="方正仿宋简体" w:eastAsia="方正仿宋简体" w:cs="方正仿宋简体" w:hAnsi="方正仿宋简体" w:hint="eastAsia"/>
          <w:color w:val="000000"/>
          <w:sz w:val="28"/>
          <w:lang w:eastAsia="zh-CN"/>
        </w:rPr>
        <w:t>市</w:t>
      </w:r>
      <w:r>
        <w:rPr>
          <w:rFonts w:ascii="方正仿宋简体" w:eastAsia="方正仿宋简体" w:cs="方正仿宋简体" w:hAnsi="方正仿宋简体" w:hint="eastAsia"/>
          <w:color w:val="000000"/>
          <w:sz w:val="28"/>
        </w:rPr>
        <w:t>部门预算的编制实行综合预算管理，即全部收入和支出都反映在预算中。遵化市供销合作社机关及所属事业单位的收支包含在部门预算中。</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1、收入说明</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反映本部门当年全部收入。2023年预算收入326.56万元，其中：一般公共预算收入326.56万元，基金预算收入0万元，财政专户核拨收入0万元，其他来源收入0万元。</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2、支出说明</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收支预算总表支出栏、基本支出表、项目支出表按经济分类和支出功能分类科目编制，反映遵化市供销合作社年度部门预算中支出预算的总体情况。2023年支出预算326.56万元，其中：基本支出293.06万元，包括人员经费284.3万元和日常公用经费8.76万元；项目支出33.5万元，全部为本级支出，包括：农合联工作经费6万元、农村产权流转交易中心工作经费23万元、改制等退人员医疗补助经费4.5万元。</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3、比上年增减情况</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2023年预算收支安排326.56万元，较2022年预算289.42万元增加37.14万元，增加12.8%，其中：（1）基本支出同比去年预算增加35.14万元，增加13.6%，主要为在职人员工资正常晋级及社保费增加，导致人员经费增加36.49万元；公用类经费中今年除工会经费同比增加0.02万元外，其余因人员减少等导致出较去年减少1.37万元；（2）项目支出同比去年预算增加2万元，增加6.3%，主要为今年农村产权流转交易中心工作经费项目中因河北省人社厅发布的《关于调整最低工资标准的通知》，自2023年1月1日起，河北省实行新的月最低工资标准三档分别为2200元、2000元、1800元，遵化市执行第一档2200元标准。为此5名劳务派遣人员月工资标准调标（由目前的1900元/人.月调整到2200元/人.月）、劳务派遣管理费相应增加等因素导致该项目今年预算同比去年增加。</w:t>
      </w:r>
    </w:p>
    <w:p>
      <w:pPr>
        <w:keepNext w:val="0"/>
        <w:keepLines w:val="0"/>
        <w:pageBreakBefore w:val="0"/>
        <w:numPr>
          <w:ilvl w:val="0"/>
          <w:numId w:val="1"/>
        </w:numPr>
        <w:kinsoku/>
        <w:wordWrap/>
        <w:overflowPunct/>
        <w:topLinePunct w:val="0"/>
        <w:autoSpaceDE/>
        <w:autoSpaceDN/>
        <w:bidi w:val="0"/>
        <w:adjustRightInd/>
        <w:snapToGrid/>
        <w:spacing w:before="10" w:after="10" w:line="570" w:lineRule="exact"/>
        <w:ind w:left="0" w:firstLine="640"/>
        <w:jc w:val="left"/>
        <w:textAlignment w:val="auto"/>
        <w:outlineLvl w:val="2"/>
        <w:rPr>
          <w:rFonts w:ascii="方正黑体简体" w:eastAsia="方正黑体简体" w:cs="方正黑体简体" w:hAnsi="方正黑体简体" w:hint="eastAsia"/>
          <w:color w:val="000000"/>
          <w:sz w:val="32"/>
        </w:rPr>
      </w:pPr>
      <w:bookmarkStart w:id="12" w:name="_Toc_3_3_0000000012"/>
      <w:r>
        <w:rPr>
          <w:rFonts w:ascii="方正黑体简体" w:eastAsia="方正黑体简体" w:cs="方正黑体简体" w:hAnsi="方正黑体简体" w:hint="eastAsia"/>
          <w:color w:val="000000"/>
          <w:sz w:val="32"/>
        </w:rPr>
        <w:t>机关运行经费安排情况</w:t>
      </w:r>
      <w:bookmarkEnd w:id="12"/>
    </w:p>
    <w:p>
      <w:pPr>
        <w:keepNext w:val="0"/>
        <w:keepLines w:val="0"/>
        <w:pageBreakBefore w:val="0"/>
        <w:widowControl/>
        <w:kinsoku/>
        <w:wordWrap/>
        <w:overflowPunct/>
        <w:topLinePunct w:val="0"/>
        <w:autoSpaceDE/>
        <w:autoSpaceDN/>
        <w:bidi w:val="0"/>
        <w:adjustRightInd/>
        <w:snapToGrid/>
        <w:spacing w:before="10" w:after="10" w:line="570" w:lineRule="exact"/>
        <w:ind w:left="0" w:firstLineChars="200" w:firstLine="640"/>
        <w:jc w:val="left"/>
        <w:textAlignment w:val="auto"/>
        <w:outlineLvl w:val="2"/>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我社属于财政补助事业单位，不属于行政单位（包括参照公务员法管理的事业单位），无机关运转经费。</w:t>
      </w:r>
    </w:p>
    <w:p>
      <w:pPr>
        <w:keepNext w:val="0"/>
        <w:keepLines w:val="0"/>
        <w:pageBreakBefore w:val="0"/>
        <w:widowControl/>
        <w:kinsoku/>
        <w:wordWrap/>
        <w:overflowPunct/>
        <w:topLinePunct w:val="0"/>
        <w:autoSpaceDE/>
        <w:autoSpaceDN/>
        <w:bidi w:val="0"/>
        <w:adjustRightInd/>
        <w:snapToGrid/>
        <w:spacing w:before="10" w:after="10" w:line="570" w:lineRule="exact"/>
        <w:ind w:firstLineChars="200" w:firstLine="640"/>
        <w:jc w:val="left"/>
        <w:textAlignment w:val="auto"/>
        <w:outlineLvl w:val="2"/>
        <w:rPr>
          <w:rFonts w:ascii="方正黑体简体" w:eastAsia="方正黑体简体" w:cs="方正黑体简体" w:hAnsi="方正黑体简体" w:hint="eastAsia"/>
          <w:b w:val="0"/>
          <w:bCs w:val="0"/>
          <w:sz w:val="32"/>
          <w:szCs w:val="32"/>
        </w:rPr>
      </w:pPr>
      <w:bookmarkStart w:id="13" w:name="_Toc_3_3_0000000013"/>
      <w:r>
        <w:rPr>
          <w:rFonts w:ascii="方正黑体简体" w:eastAsia="方正黑体简体" w:cs="方正黑体简体" w:hAnsi="方正黑体简体" w:hint="eastAsia"/>
          <w:b w:val="0"/>
          <w:bCs w:val="0"/>
          <w:color w:val="000000"/>
          <w:sz w:val="32"/>
          <w:szCs w:val="32"/>
        </w:rPr>
        <w:t>四、财政拨款“三公”经费预算情况及增减变化原因</w:t>
      </w:r>
      <w:bookmarkEnd w:id="13"/>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2023年我部门“三公”经费预算安排0.03万元，与2022年持平。具体安排情况为： </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rPr>
        <w:t>（一）公务用车购置及运行费。</w:t>
      </w:r>
      <w:r>
        <w:rPr>
          <w:rFonts w:ascii="方正仿宋简体" w:eastAsia="方正仿宋简体" w:cs="方正仿宋简体" w:hAnsi="方正仿宋简体" w:hint="eastAsia"/>
        </w:rPr>
        <w:t>共计安排0万元，与2022年预算</w:t>
      </w:r>
      <w:r>
        <w:rPr>
          <w:rFonts w:ascii="方正仿宋简体" w:eastAsia="方正仿宋简体" w:cs="方正仿宋简体" w:hAnsi="方正仿宋简体" w:hint="eastAsia"/>
          <w:lang w:eastAsia="zh-CN"/>
        </w:rPr>
        <w:t>相比</w:t>
      </w:r>
      <w:r>
        <w:rPr>
          <w:rFonts w:ascii="方正仿宋简体" w:eastAsia="方正仿宋简体" w:cs="方正仿宋简体" w:hAnsi="方正仿宋简体" w:hint="eastAsia"/>
        </w:rPr>
        <w:t>持平，无增减变化。其中：①公务用车购置安排0万元，与2022年</w:t>
      </w:r>
      <w:r>
        <w:rPr>
          <w:rFonts w:ascii="方正仿宋简体" w:eastAsia="方正仿宋简体" w:cs="方正仿宋简体" w:hAnsi="方正仿宋简体" w:hint="eastAsia"/>
          <w:lang w:eastAsia="zh-CN"/>
        </w:rPr>
        <w:t>预算相比</w:t>
      </w:r>
      <w:r>
        <w:rPr>
          <w:rFonts w:ascii="方正仿宋简体" w:eastAsia="方正仿宋简体" w:cs="方正仿宋简体" w:hAnsi="方正仿宋简体" w:hint="eastAsia"/>
        </w:rPr>
        <w:t>持平，无增减变化；②公车运行维护经费安排0万元，与2022年预算</w:t>
      </w:r>
      <w:r>
        <w:rPr>
          <w:rFonts w:ascii="方正仿宋简体" w:eastAsia="方正仿宋简体" w:cs="方正仿宋简体" w:hAnsi="方正仿宋简体" w:hint="eastAsia"/>
          <w:lang w:eastAsia="zh-CN"/>
        </w:rPr>
        <w:t>相比</w:t>
      </w:r>
      <w:r>
        <w:rPr>
          <w:rFonts w:ascii="方正仿宋简体" w:eastAsia="方正仿宋简体" w:cs="方正仿宋简体" w:hAnsi="方正仿宋简体" w:hint="eastAsia"/>
        </w:rPr>
        <w:t>持平，</w:t>
      </w:r>
      <w:r>
        <w:rPr>
          <w:rFonts w:ascii="方正仿宋简体" w:eastAsia="方正仿宋简体" w:cs="方正仿宋简体" w:hAnsi="方正仿宋简体" w:hint="eastAsia"/>
          <w:lang w:eastAsia="zh-CN"/>
        </w:rPr>
        <w:t>自</w:t>
      </w:r>
      <w:r>
        <w:rPr>
          <w:rFonts w:ascii="方正仿宋简体" w:eastAsia="方正仿宋简体" w:cs="方正仿宋简体" w:hAnsi="方正仿宋简体" w:hint="eastAsia"/>
          <w:lang w:val="en-US" w:eastAsia="zh-CN"/>
        </w:rPr>
        <w:t>2021年10月份仅有的一辆公务用车经批准报废后开始无公务用车，为此</w:t>
      </w:r>
      <w:r>
        <w:rPr>
          <w:rFonts w:ascii="方正仿宋简体" w:eastAsia="方正仿宋简体" w:cs="方正仿宋简体" w:hAnsi="方正仿宋简体" w:hint="eastAsia"/>
          <w:lang w:eastAsia="zh-CN"/>
        </w:rPr>
        <w:t>自</w:t>
      </w:r>
      <w:r>
        <w:rPr>
          <w:rFonts w:ascii="方正仿宋简体" w:eastAsia="方正仿宋简体" w:cs="方正仿宋简体" w:hAnsi="方正仿宋简体" w:hint="eastAsia"/>
          <w:lang w:val="en-US" w:eastAsia="zh-CN"/>
        </w:rPr>
        <w:t>2022年开始</w:t>
      </w:r>
      <w:r>
        <w:rPr>
          <w:rFonts w:ascii="方正仿宋简体" w:eastAsia="方正仿宋简体" w:cs="方正仿宋简体" w:hAnsi="方正仿宋简体" w:hint="eastAsia"/>
          <w:lang w:eastAsia="zh-CN"/>
        </w:rPr>
        <w:t>未安排公车运行维护经费，今年与去年相比</w:t>
      </w:r>
      <w:r>
        <w:rPr>
          <w:rFonts w:ascii="方正仿宋简体" w:eastAsia="方正仿宋简体" w:cs="方正仿宋简体" w:hAnsi="方正仿宋简体" w:hint="eastAsia"/>
        </w:rPr>
        <w:t>无增减变化。</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rPr>
        <w:t>（二）公务接待费。</w:t>
      </w:r>
      <w:r>
        <w:rPr>
          <w:rFonts w:ascii="方正仿宋简体" w:eastAsia="方正仿宋简体" w:cs="方正仿宋简体" w:hAnsi="方正仿宋简体" w:hint="eastAsia"/>
        </w:rPr>
        <w:t>安排0.03万元，与2022年预算持平，</w:t>
      </w:r>
      <w:r>
        <w:rPr>
          <w:rFonts w:ascii="方正仿宋简体" w:eastAsia="方正仿宋简体" w:cs="方正仿宋简体" w:hAnsi="方正仿宋简体" w:hint="eastAsia"/>
          <w:lang w:eastAsia="zh-CN"/>
        </w:rPr>
        <w:t>按照统一定额标准计算，</w:t>
      </w:r>
      <w:r>
        <w:rPr>
          <w:rFonts w:ascii="方正仿宋简体" w:eastAsia="方正仿宋简体" w:cs="方正仿宋简体" w:hAnsi="方正仿宋简体" w:hint="eastAsia"/>
        </w:rPr>
        <w:t>无增减变化。</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rPr>
        <w:t>（三）因公出国（境）费</w:t>
      </w:r>
      <w:r>
        <w:rPr>
          <w:rFonts w:ascii="方正楷体简体" w:eastAsia="方正楷体简体" w:cs="方正楷体简体" w:hAnsi="方正楷体简体" w:hint="eastAsia"/>
          <w:lang w:eastAsia="zh-CN"/>
        </w:rPr>
        <w:t>。</w:t>
      </w:r>
      <w:r>
        <w:rPr>
          <w:rFonts w:ascii="方正仿宋简体" w:eastAsia="方正仿宋简体" w:cs="方正仿宋简体" w:hAnsi="方正仿宋简体" w:hint="eastAsia"/>
        </w:rPr>
        <w:t>安排0万元，与2022年</w:t>
      </w:r>
      <w:r>
        <w:rPr>
          <w:rFonts w:ascii="方正仿宋简体" w:eastAsia="方正仿宋简体" w:cs="方正仿宋简体" w:hAnsi="方正仿宋简体" w:hint="eastAsia"/>
          <w:lang w:eastAsia="zh-CN"/>
        </w:rPr>
        <w:t>预算相比</w:t>
      </w:r>
      <w:r>
        <w:rPr>
          <w:rFonts w:ascii="方正仿宋简体" w:eastAsia="方正仿宋简体" w:cs="方正仿宋简体" w:hAnsi="方正仿宋简体" w:hint="eastAsia"/>
        </w:rPr>
        <w:t>持平，</w:t>
      </w:r>
      <w:r>
        <w:rPr>
          <w:rFonts w:ascii="方正仿宋简体" w:eastAsia="方正仿宋简体" w:cs="方正仿宋简体" w:hAnsi="方正仿宋简体" w:hint="eastAsia"/>
          <w:lang w:eastAsia="zh-CN"/>
        </w:rPr>
        <w:t>没有因公出国安排，所以未安排因公出国费，与去年比</w:t>
      </w:r>
      <w:r>
        <w:rPr>
          <w:rFonts w:ascii="方正仿宋简体" w:eastAsia="方正仿宋简体" w:cs="方正仿宋简体" w:hAnsi="方正仿宋简体" w:hint="eastAsia"/>
        </w:rPr>
        <w:t>无增减变化。</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rPr>
      </w:pPr>
      <w:bookmarkStart w:id="14" w:name="_Toc_3_3_0000000014"/>
      <w:r>
        <w:rPr>
          <w:rFonts w:ascii="方正黑体简体" w:eastAsia="方正黑体简体" w:cs="方正黑体简体" w:hAnsi="方正黑体简体" w:hint="eastAsia"/>
          <w:color w:val="000000"/>
          <w:sz w:val="32"/>
        </w:rPr>
        <w:t>五、预算绩效信息</w:t>
      </w:r>
      <w:bookmarkEnd w:id="14"/>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color w:val="000000"/>
          <w:sz w:val="32"/>
        </w:rPr>
        <w:t>第一部分 部门整体绩效目标</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rPr>
      </w:pPr>
      <w:r>
        <w:rPr>
          <w:rFonts w:ascii="方正楷体简体" w:eastAsia="方正楷体简体" w:cs="方正楷体简体" w:hAnsi="方正楷体简体" w:hint="eastAsia"/>
          <w:color w:val="000000"/>
          <w:sz w:val="28"/>
        </w:rPr>
        <w:t>（一）总体绩效目标</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rPr>
      </w:pPr>
      <w:r>
        <w:rPr>
          <w:rFonts w:ascii="方正楷体简体" w:eastAsia="方正楷体简体" w:cs="方正楷体简体" w:hAnsi="方正楷体简体" w:hint="eastAsia"/>
          <w:color w:val="000000"/>
          <w:sz w:val="28"/>
        </w:rPr>
        <w:t>（二）分项绩效目标</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lang w:val="en-US" w:eastAsia="zh-CN"/>
        </w:rPr>
        <w:t>1、</w:t>
      </w:r>
      <w:r>
        <w:rPr>
          <w:rFonts w:ascii="方正仿宋简体" w:eastAsia="方正仿宋简体" w:cs="方正仿宋简体" w:hAnsi="方正仿宋简体" w:hint="eastAsia"/>
          <w:lang w:eastAsia="zh-CN"/>
        </w:rPr>
        <w:t>改制等退人员医疗补助经费</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绩效目标：按照遵化市医疗保险部门每月核实确认的改制等退人员医疗保险费金额，为改制等退人员缴纳医保费，确保人员全覆盖</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缴费及时</w:t>
      </w:r>
      <w:r>
        <w:rPr>
          <w:rFonts w:ascii="方正仿宋简体" w:eastAsia="方正仿宋简体" w:cs="方正仿宋简体" w:hAnsi="方正仿宋简体" w:hint="eastAsia"/>
          <w:lang w:eastAsia="zh-CN"/>
        </w:rPr>
        <w:t>和</w:t>
      </w:r>
      <w:r>
        <w:rPr>
          <w:rFonts w:ascii="方正仿宋简体" w:eastAsia="方正仿宋简体" w:cs="方正仿宋简体" w:hAnsi="方正仿宋简体" w:hint="eastAsia"/>
        </w:rPr>
        <w:t>缴费足额。</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绩效指标：为改制等退人员缴纳医保费的人数≤215人</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为改制等退人员缴纳医保费覆盖率≥90%</w:t>
      </w:r>
      <w:r>
        <w:rPr>
          <w:rFonts w:ascii="方正仿宋简体" w:eastAsia="方正仿宋简体" w:cs="方正仿宋简体" w:hAnsi="方正仿宋简体" w:hint="eastAsia"/>
          <w:lang w:eastAsia="zh-CN"/>
        </w:rPr>
        <w:t>、完成率≥90%、项目成本≤4.5万元、间接经济效益、推动力、社会稳定水平、持续影响力≥90%、</w:t>
      </w:r>
      <w:r>
        <w:rPr>
          <w:rFonts w:ascii="方正仿宋简体" w:eastAsia="方正仿宋简体" w:cs="方正仿宋简体" w:hAnsi="方正仿宋简体" w:hint="eastAsia"/>
        </w:rPr>
        <w:t>服务对象满意度≥80%。</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val="en-US" w:eastAsia="zh-CN"/>
        </w:rPr>
      </w:pPr>
      <w:r>
        <w:rPr>
          <w:rFonts w:ascii="方正仿宋简体" w:eastAsia="方正仿宋简体" w:cs="方正仿宋简体" w:hAnsi="方正仿宋简体" w:hint="eastAsia"/>
          <w:lang w:val="en-US" w:eastAsia="zh-CN"/>
        </w:rPr>
        <w:t>2、农村产权流转交易中心工作经费</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绩效目标：按时</w:t>
      </w:r>
      <w:r>
        <w:rPr>
          <w:rFonts w:ascii="方正仿宋简体" w:eastAsia="方正仿宋简体" w:cs="方正仿宋简体" w:hAnsi="方正仿宋简体" w:hint="eastAsia"/>
          <w:lang w:eastAsia="zh-CN"/>
        </w:rPr>
        <w:t>、足额</w:t>
      </w:r>
      <w:r>
        <w:rPr>
          <w:rFonts w:ascii="方正仿宋简体" w:eastAsia="方正仿宋简体" w:cs="方正仿宋简体" w:hAnsi="方正仿宋简体" w:hint="eastAsia"/>
        </w:rPr>
        <w:t>为5名劳务派遣人员发放工资、缴纳保险费，确保发放及时，维护职工合法权益和社会稳定</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保障市农村产权流转交易中心正常高效运转，持续充分发挥为“三农”服务的职能作用</w:t>
      </w:r>
      <w:r>
        <w:rPr>
          <w:rFonts w:ascii="方正仿宋简体" w:eastAsia="方正仿宋简体" w:cs="方正仿宋简体" w:hAnsi="方正仿宋简体" w:hint="eastAsia"/>
          <w:lang w:eastAsia="zh-CN"/>
        </w:rPr>
        <w:t>。</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绩效指标：发布农村产权信息数量≥10条</w:t>
      </w:r>
      <w:r>
        <w:rPr>
          <w:rFonts w:ascii="方正仿宋简体" w:eastAsia="方正仿宋简体" w:cs="方正仿宋简体" w:hAnsi="方正仿宋简体" w:hint="eastAsia"/>
          <w:lang w:eastAsia="zh-CN"/>
        </w:rPr>
        <w:t>、工资及社保费缴纳完成率≥90%、完成率（%）≥90%、成本控制率≤90%、持续推动农村资产资本化≥70%、5名劳务派遣人员的工资收入≥90%、个人生活补助发放率≥90%、推动力≥80%、服务对象满意度≥80%。</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val="en-US" w:eastAsia="zh-CN"/>
        </w:rPr>
      </w:pPr>
      <w:r>
        <w:rPr>
          <w:rFonts w:ascii="方正仿宋简体" w:eastAsia="方正仿宋简体" w:cs="方正仿宋简体" w:hAnsi="方正仿宋简体" w:hint="eastAsia"/>
          <w:lang w:val="en-US" w:eastAsia="zh-CN"/>
        </w:rPr>
        <w:t>3、农合联工作经费</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绩效目标：组织人员不断学习外地供销社综合改革先进经验，做好学习、交流培训等各项工作，为供销社综合改革与发展服务</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不断做好农合联各项工作，充分发挥其职能作用，加强新型供销社、合作社的规范提升，为“三农”服务</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发挥农合联职能作用，促进供销社综合改革发展</w:t>
      </w:r>
      <w:r>
        <w:rPr>
          <w:rFonts w:ascii="方正仿宋简体" w:eastAsia="方正仿宋简体" w:cs="方正仿宋简体" w:hAnsi="方正仿宋简体" w:hint="eastAsia"/>
          <w:lang w:eastAsia="zh-CN"/>
        </w:rPr>
        <w:t>。</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绩效指标：组织业务学习、交流培训差旅次数≥4次</w:t>
      </w:r>
      <w:r>
        <w:rPr>
          <w:rFonts w:ascii="方正仿宋简体" w:eastAsia="方正仿宋简体" w:cs="方正仿宋简体" w:hAnsi="方正仿宋简体" w:hint="eastAsia"/>
          <w:lang w:eastAsia="zh-CN"/>
        </w:rPr>
        <w:t>、保证规范新型供销社的质量≥80%、完成率≥80%、成本控制率≤90%、按照预算指标完成≤90%、社会影响力≥70%、推动力≥80%、充分发挥为“三农”服务职能作用≥80%服务对象满意度≥80%。</w:t>
      </w: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560"/>
        <w:jc w:val="left"/>
        <w:textAlignment w:val="auto"/>
        <w:outlineLvl w:val="9"/>
        <w:rPr>
          <w:rFonts w:ascii="方正楷体简体" w:eastAsia="方正楷体简体" w:cs="方正楷体简体" w:hAnsi="方正楷体简体" w:hint="eastAsia"/>
        </w:rPr>
      </w:pPr>
      <w:r>
        <w:rPr>
          <w:rFonts w:ascii="方正楷体简体" w:eastAsia="方正楷体简体" w:cs="方正楷体简体" w:hAnsi="方正楷体简体" w:hint="eastAsia"/>
          <w:color w:val="000000"/>
          <w:sz w:val="28"/>
        </w:rPr>
        <w:t>（三）工作保障措施</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完善制度建设。在不断完善《内部控制手册》建设的同时，注重制定和完善预算绩效管理制度、资金管理办法、工作保障制度等，为全年预算绩效目标的实现奠定制度基础。</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加强支出管理。通过优化支出结构、编细编实预算、加快履行政府采购手续、尽快启动项目、及时支付资金、按规定及时下达资金等多种措施，确保支出进度达标。</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加强绩效运行监控。按要求开展绩效运行监控，发现问题及时采取措施，确保绩效目标如期保质实现。</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做好绩效自评。按时间节点要求，开展好部门预算绩效自评和重点评价工作，对评价中发现的问题及时整改，调整优化支出结构，提高财政资金使用效益。</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规范财务资产管理。完善财务管理制度，严格审批程序，加强固定资产登记、使用和报废处置管理，做到支出合理，物尽其用。</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color w:val="000000"/>
          <w:sz w:val="32"/>
        </w:rPr>
      </w:pPr>
      <w:r>
        <w:rPr>
          <w:rFonts w:ascii="方正仿宋简体" w:eastAsia="方正仿宋简体" w:cs="方正仿宋简体" w:hAnsi="方正仿宋简体" w:hint="eastAsia"/>
        </w:rPr>
        <w:t>7</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0" w:after="0" w:line="570" w:lineRule="exact"/>
        <w:ind w:left="0" w:firstLineChars="200" w:firstLine="640"/>
        <w:jc w:val="left"/>
        <w:textAlignment w:val="auto"/>
        <w:outlineLvl w:val="9"/>
        <w:rPr>
          <w:rFonts w:ascii="方正仿宋简体" w:eastAsia="方正仿宋简体" w:cs="方正仿宋简体" w:hAnsi="方正仿宋简体" w:hint="eastAsia"/>
          <w:b/>
          <w:color w:val="000000"/>
          <w:sz w:val="32"/>
        </w:rPr>
      </w:pPr>
      <w:r>
        <w:rPr>
          <w:rFonts w:ascii="方正仿宋简体" w:eastAsia="方正仿宋简体" w:cs="方正仿宋简体" w:hAnsi="方正仿宋简体" w:hint="eastAsia"/>
          <w:b/>
          <w:color w:val="000000"/>
          <w:sz w:val="32"/>
          <w:lang w:eastAsia="zh-CN"/>
        </w:rPr>
        <w:t>第二部分</w:t>
      </w:r>
      <w:r>
        <w:rPr>
          <w:rFonts w:ascii="方正仿宋简体" w:eastAsia="方正仿宋简体" w:cs="方正仿宋简体" w:hAnsi="方正仿宋简体" w:hint="eastAsia"/>
          <w:b/>
          <w:color w:val="000000"/>
          <w:sz w:val="32"/>
          <w:lang w:val="en-US" w:eastAsia="zh-CN"/>
        </w:rPr>
        <w:t xml:space="preserve"> </w:t>
      </w:r>
      <w:r>
        <w:rPr>
          <w:rFonts w:ascii="方正仿宋简体" w:eastAsia="方正仿宋简体" w:cs="方正仿宋简体" w:hAnsi="方正仿宋简体" w:hint="eastAsia"/>
          <w:b/>
          <w:color w:val="000000"/>
          <w:sz w:val="32"/>
        </w:rPr>
        <w:t>专项资金绩效目标</w:t>
      </w:r>
    </w:p>
    <w:p>
      <w:pPr>
        <w:pStyle w:val="15"/>
        <w:rPr>
          <w:rFonts w:hint="eastAsia"/>
        </w:rPr>
      </w:pPr>
      <w:r>
        <w:rPr>
          <w:rFonts w:ascii="方正仿宋简体" w:eastAsia="方正仿宋简体" w:cs="方正仿宋简体" w:hAnsi="方正仿宋简体" w:hint="eastAsia"/>
          <w:b w:val="0"/>
          <w:bCs/>
          <w:color w:val="000000"/>
          <w:sz w:val="32"/>
          <w:lang w:val="en-US" w:eastAsia="zh-CN"/>
        </w:rPr>
        <w:t>2023年无专项资金预算，此内容为空。</w:t>
      </w:r>
    </w:p>
    <w:tbl>
      <w:tblPr>
        <w:tblpPr w:leftFromText="180" w:rightFromText="180" w:vertAnchor="text" w:horzAnchor="page" w:tblpX="1220" w:tblpY="677"/>
        <w:tblOverlap w:val="nev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10"/>
        <w:gridCol w:w="4233"/>
        <w:gridCol w:w="1404"/>
        <w:gridCol w:w="2222"/>
        <w:gridCol w:w="1395"/>
        <w:gridCol w:w="1400"/>
        <w:gridCol w:w="1461"/>
      </w:tblGrid>
      <w:tr>
        <w:trPr>
          <w:trHeight w:val="90"/>
        </w:trPr>
        <w:tc>
          <w:tcPr>
            <w:tcW w:w="14625" w:type="dxa"/>
            <w:gridSpan w:val="7"/>
            <w:tcBorders>
              <w:top w:val="single" w:sz="6" w:space="0" w:color="FFFFFF"/>
              <w:left w:val="single" w:sz="6" w:space="0" w:color="FFFFFF"/>
              <w:right w:val="single" w:sz="6" w:space="0" w:color="FFFFFF"/>
            </w:tcBorders>
            <w:vAlign w:val="center"/>
          </w:tcPr>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b/>
                <w:color w:val="000000"/>
                <w:sz w:val="32"/>
                <w:szCs w:val="32"/>
                <w:lang w:eastAsia="zh-CN"/>
              </w:rPr>
            </w:pPr>
            <w:r>
              <w:rPr>
                <w:rFonts w:ascii="方正仿宋简体" w:eastAsia="方正仿宋简体" w:cs="方正仿宋简体" w:hAnsi="方正仿宋简体" w:hint="eastAsia"/>
                <w:b/>
                <w:color w:val="000000"/>
                <w:sz w:val="32"/>
                <w:szCs w:val="32"/>
                <w:lang w:eastAsia="zh-CN"/>
              </w:rPr>
              <w:t>第三部分</w:t>
            </w:r>
            <w:r>
              <w:rPr>
                <w:rFonts w:ascii="方正仿宋简体" w:eastAsia="方正仿宋简体" w:cs="方正仿宋简体" w:hAnsi="方正仿宋简体" w:hint="eastAsia"/>
                <w:b/>
                <w:color w:val="000000"/>
                <w:sz w:val="32"/>
                <w:szCs w:val="32"/>
                <w:lang w:val="en-US" w:eastAsia="zh-CN"/>
              </w:rPr>
              <w:t xml:space="preserve"> </w:t>
            </w:r>
            <w:r>
              <w:rPr>
                <w:rFonts w:ascii="方正仿宋简体" w:eastAsia="方正仿宋简体" w:cs="方正仿宋简体" w:hAnsi="方正仿宋简体" w:hint="eastAsia"/>
                <w:b/>
                <w:color w:val="000000"/>
                <w:sz w:val="32"/>
                <w:szCs w:val="32"/>
                <w:lang w:eastAsia="zh-CN"/>
              </w:rPr>
              <w:t>预算项目绩效目标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color w:val="000000"/>
                <w:sz w:val="32"/>
                <w:szCs w:val="32"/>
              </w:rPr>
              <w:t>1、改制等退人员医疗补助经费绩效目标表</w:t>
            </w:r>
          </w:p>
          <w:p>
            <w:pPr>
              <w:pStyle w:val="27"/>
              <w:keepNext w:val="0"/>
              <w:keepLines w:val="0"/>
              <w:pageBreakBefore w:val="0"/>
              <w:widowControl/>
              <w:kinsoku/>
              <w:wordWrap/>
              <w:overflowPunct/>
              <w:topLinePunct w:val="0"/>
              <w:autoSpaceDE/>
              <w:autoSpaceDN/>
              <w:bidi w:val="0"/>
              <w:adjustRightInd/>
              <w:snapToGrid/>
              <w:spacing w:line="570" w:lineRule="exact"/>
              <w:ind w:leftChars="260" w:left="13224" w:hangingChars="6000" w:hanging="12600"/>
              <w:jc w:val="left"/>
              <w:textAlignment w:val="auto"/>
            </w:pPr>
            <w:r>
              <w:rPr>
                <w:rFonts w:ascii="方正仿宋简体" w:eastAsia="方正仿宋简体" w:cs="方正仿宋简体" w:hAnsi="方正仿宋简体" w:hint="eastAsia"/>
                <w:b/>
                <w:bCs/>
              </w:rPr>
              <w:t>975遵化市供销合作社</w:t>
            </w:r>
            <w:r>
              <w:rPr>
                <w:rFonts w:ascii="方正仿宋简体" w:eastAsia="方正仿宋简体" w:cs="方正仿宋简体" w:hAnsi="方正仿宋简体" w:hint="eastAsia"/>
                <w:b/>
                <w:bCs/>
                <w:lang w:eastAsia="zh-CN"/>
              </w:rPr>
              <w:t>部门</w:t>
            </w:r>
            <w:r>
              <w:rPr>
                <w:rFonts w:ascii="方正仿宋简体" w:eastAsia="方正仿宋简体" w:cs="方正仿宋简体" w:hAnsi="方正仿宋简体" w:hint="eastAsia"/>
                <w:b/>
                <w:bCs/>
                <w:lang w:val="en-US" w:eastAsia="zh-CN"/>
              </w:rPr>
              <w:t xml:space="preserve">                                                                                                </w:t>
            </w:r>
            <w:r>
              <w:rPr>
                <w:rFonts w:ascii="方正仿宋简体" w:eastAsia="方正仿宋简体" w:cs="方正仿宋简体" w:hAnsi="方正仿宋简体" w:hint="eastAsia"/>
                <w:b/>
                <w:bCs/>
              </w:rPr>
              <w:t>单位：万元</w:t>
            </w:r>
          </w:p>
        </w:tc>
      </w:tr>
      <w:tr>
        <w:trPr>
          <w:trHeight w:val="413"/>
        </w:trPr>
        <w:tc>
          <w:tcPr>
            <w:tcW w:w="251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5637"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13028123P000185100042</w:t>
            </w:r>
          </w:p>
        </w:tc>
        <w:tc>
          <w:tcPr>
            <w:tcW w:w="222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4256"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改制等退人员医疗补助经费</w:t>
            </w:r>
          </w:p>
        </w:tc>
      </w:tr>
      <w:tr>
        <w:trPr>
          <w:trHeight w:val="489"/>
        </w:trPr>
        <w:tc>
          <w:tcPr>
            <w:tcW w:w="2510"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423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4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4.5</w:t>
            </w:r>
          </w:p>
        </w:tc>
        <w:tc>
          <w:tcPr>
            <w:tcW w:w="222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4.5</w:t>
            </w:r>
          </w:p>
        </w:tc>
        <w:tc>
          <w:tcPr>
            <w:tcW w:w="140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146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777"/>
        </w:trPr>
        <w:tc>
          <w:tcPr>
            <w:tcW w:w="2510" w:type="dxa"/>
            <w:vMerge/>
          </w:tcPr>
          <w:p/>
        </w:tc>
        <w:tc>
          <w:tcPr>
            <w:tcW w:w="12115"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预算数4.5万元，其中：财政资金4.5万元，其他资金0万元。主要用途：根据遵化市医疗保险部门每月核实确认的改制等退人员医疗保险费金额，按月据实缴纳。</w:t>
            </w:r>
          </w:p>
        </w:tc>
      </w:tr>
      <w:tr>
        <w:trPr>
          <w:trHeight w:val="413"/>
        </w:trPr>
        <w:tc>
          <w:tcPr>
            <w:tcW w:w="2510"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5637"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222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139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2861"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443"/>
        </w:trPr>
        <w:tc>
          <w:tcPr>
            <w:tcW w:w="2510" w:type="dxa"/>
            <w:vMerge/>
          </w:tcPr>
          <w:p/>
        </w:tc>
        <w:tc>
          <w:tcPr>
            <w:tcW w:w="5637"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2222"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139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2861"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bl>
    <w:tbl>
      <w:tblPr>
        <w:tblpPr w:leftFromText="180" w:rightFromText="180" w:vertAnchor="text" w:horzAnchor="page" w:tblpX="1213" w:tblpY="211"/>
        <w:tblOverlap w:val="nev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76"/>
        <w:gridCol w:w="13269"/>
      </w:tblGrid>
      <w:tr>
        <w:trPr>
          <w:trHeight w:val="397"/>
        </w:trPr>
        <w:tc>
          <w:tcPr>
            <w:tcW w:w="1376" w:type="dxa"/>
            <w:tcBorders>
              <w:bottom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269" w:type="dxa"/>
            <w:tcBorders>
              <w:bottom w:val="single" w:sz="6" w:space="0" w:color="FFFFFF"/>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1.按照遵化市医疗保险部门每月核实确认的改制等退人员医疗保险费金额，为改制等退人员缴纳医保费，确保人员全覆盖</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2.按照遵化市医疗保险部门每月核实确认的改制等退人员医疗保险费金额，为改制等退人员缴纳医保费，确保缴费及时</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3.按照遵化市医疗保险部门每月核实确认的改制等退人员医疗保险费金额，为改制等退人员缴纳医保费，确保缴费足额</w:t>
            </w:r>
          </w:p>
        </w:tc>
      </w:tr>
    </w:tbl>
    <w:tbl>
      <w:tblPr>
        <w:tblpPr w:leftFromText="180" w:rightFromText="180" w:vertAnchor="text" w:horzAnchor="page" w:tblpX="1206" w:tblpY="63"/>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1710"/>
        <w:gridCol w:w="1950"/>
        <w:gridCol w:w="3930"/>
        <w:gridCol w:w="1395"/>
        <w:gridCol w:w="4334"/>
      </w:tblGrid>
      <w:tr>
        <w:trPr>
          <w:trHeight w:val="397"/>
          <w:tblHeader/>
        </w:trPr>
        <w:tc>
          <w:tcPr>
            <w:tcW w:w="1326"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一指标</w:t>
            </w:r>
          </w:p>
        </w:tc>
        <w:tc>
          <w:tcPr>
            <w:tcW w:w="171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195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393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139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4334"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397"/>
        </w:trPr>
        <w:tc>
          <w:tcPr>
            <w:tcW w:w="1326"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为改制等退人员缴纳医保费的人数</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年内按时为改制等退人员缴纳医疗保险的人数</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≤215人</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为改制等退人员缴纳医保费覆盖率</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年内按时为改制等退人员缴纳医疗保险的人员覆盖率</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完成率</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按时给改制等退人员缴纳医疗保险完成率</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项目成本</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确保项目成本支出小于等于预算金额</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≤4.5万元</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间接经济效益</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通过给改制等退人员缴纳医疗保险费，增加国家社保基金收入</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推动力</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推动供销社缴纳改制等退人员医疗保险费工作的有序开展</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社会稳定水平</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通过给改制等退人员缴纳医疗保险费，维护职工合法权益，促进社会稳定</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持续影响力</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确保改制等退人员缴纳医疗保险费的完成率，持续提高供销社的影响能力</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通过问卷调查等形式，满意和较满意的服务对象占全部调查对象的比例</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bl>
    <w:p>
      <w:pPr>
        <w:keepNext w:val="0"/>
        <w:keepLines w:val="0"/>
        <w:pageBreakBefore w:val="0"/>
        <w:widowControl/>
        <w:kinsoku/>
        <w:wordWrap/>
        <w:overflowPunct/>
        <w:topLinePunct w:val="0"/>
        <w:autoSpaceDE/>
        <w:autoSpaceDN/>
        <w:bidi w:val="0"/>
        <w:adjustRightInd/>
        <w:snapToGrid/>
        <w:spacing w:before="0" w:after="0" w:line="570" w:lineRule="exact"/>
        <w:ind w:left="0" w:firstLineChars="200" w:firstLine="640"/>
        <w:jc w:val="left"/>
        <w:textAlignment w:val="auto"/>
        <w:outlineLvl w:val="9"/>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b/>
          <w:color w:val="000000"/>
          <w:sz w:val="32"/>
          <w:szCs w:val="32"/>
          <w:lang w:val="en-US" w:eastAsia="zh-CN"/>
        </w:rPr>
        <w:t>2、</w:t>
      </w:r>
      <w:r>
        <w:rPr>
          <w:rFonts w:ascii="方正仿宋简体" w:eastAsia="方正仿宋简体" w:cs="方正仿宋简体" w:hAnsi="方正仿宋简体" w:hint="eastAsia"/>
          <w:b/>
          <w:color w:val="000000"/>
          <w:sz w:val="32"/>
          <w:szCs w:val="32"/>
        </w:rPr>
        <w:t>农村产权流转交易中心工作经费绩效目标表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77"/>
        <w:gridCol w:w="2759"/>
        <w:gridCol w:w="2097"/>
        <w:gridCol w:w="2096"/>
        <w:gridCol w:w="2096"/>
        <w:gridCol w:w="2104"/>
        <w:gridCol w:w="2211"/>
      </w:tblGrid>
      <w:tr>
        <w:trPr>
          <w:trHeight w:val="472"/>
        </w:trPr>
        <w:tc>
          <w:tcPr>
            <w:tcW w:w="12529" w:type="dxa"/>
            <w:gridSpan w:val="6"/>
            <w:tcBorders>
              <w:top w:val="single" w:sz="6" w:space="0" w:color="FFFFFF"/>
              <w:left w:val="single" w:sz="6" w:space="0" w:color="FFFFFF"/>
              <w:right w:val="single" w:sz="6" w:space="0" w:color="FFFFFF"/>
            </w:tcBorders>
            <w:vAlign w:val="center"/>
          </w:tcPr>
          <w:p>
            <w:pPr>
              <w:pStyle w:val="32"/>
              <w:keepNext w:val="0"/>
              <w:keepLines w:val="0"/>
              <w:pageBreakBefore w:val="0"/>
              <w:widowControl/>
              <w:kinsoku/>
              <w:wordWrap/>
              <w:overflowPunct/>
              <w:topLinePunct w:val="0"/>
              <w:autoSpaceDE/>
              <w:autoSpaceDN/>
              <w:bidi w:val="0"/>
              <w:adjustRightInd/>
              <w:snapToGrid/>
              <w:spacing w:line="400" w:lineRule="exact"/>
              <w:ind w:firstLineChars="300" w:firstLine="630"/>
              <w:textAlignment w:val="auto"/>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975遵化市供销合作社</w:t>
            </w:r>
            <w:r>
              <w:rPr>
                <w:rFonts w:ascii="方正仿宋简体" w:eastAsia="方正仿宋简体" w:cs="方正仿宋简体" w:hAnsi="方正仿宋简体" w:hint="eastAsia"/>
                <w:sz w:val="21"/>
                <w:szCs w:val="21"/>
                <w:lang w:eastAsia="zh-CN"/>
              </w:rPr>
              <w:t>部门</w:t>
            </w:r>
          </w:p>
        </w:tc>
        <w:tc>
          <w:tcPr>
            <w:tcW w:w="2211" w:type="dxa"/>
            <w:tcBorders>
              <w:top w:val="single" w:sz="6" w:space="0" w:color="FFFFFF"/>
              <w:left w:val="single" w:sz="6" w:space="0" w:color="FFFFFF"/>
              <w:right w:val="single" w:sz="6" w:space="0" w:color="FFFFFF"/>
            </w:tcBorders>
            <w:vAlign w:val="center"/>
          </w:tcPr>
          <w:p>
            <w:pPr>
              <w:pStyle w:val="27"/>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442"/>
        </w:trPr>
        <w:tc>
          <w:tcPr>
            <w:tcW w:w="1377"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4856"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13028123P00018710004D</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6411"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农村产权流转交易中心工作经费</w:t>
            </w:r>
          </w:p>
        </w:tc>
      </w:tr>
      <w:tr>
        <w:trPr>
          <w:trHeight w:val="584"/>
        </w:trPr>
        <w:tc>
          <w:tcPr>
            <w:tcW w:w="1377"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275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209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23</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209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23</w:t>
            </w:r>
          </w:p>
        </w:tc>
        <w:tc>
          <w:tcPr>
            <w:tcW w:w="210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21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1359"/>
        </w:trPr>
        <w:tc>
          <w:tcPr>
            <w:tcW w:w="1377" w:type="dxa"/>
            <w:vMerge/>
          </w:tcPr>
          <w:p/>
        </w:tc>
        <w:tc>
          <w:tcPr>
            <w:tcW w:w="13363"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23万元,其中:财政资金23万元,其他资金0万元。主要用于（1）生活补助21.1万元，为5名劳务派遣人员按月发放工资13.2万元和缴纳社保费预计7.9万元；（2）办公费0.9万元，为市农村产权流转交易中心日常办公费0.5万元、向遵化市利民劳务派遣公司缴纳劳务派遣管理费0.4万元；（3）维修（护）费1万元，为上级部门对各县级市农村产权流转交易中心收取的网络平台运营维护费。</w:t>
            </w:r>
          </w:p>
        </w:tc>
      </w:tr>
      <w:tr>
        <w:trPr>
          <w:trHeight w:val="442"/>
        </w:trPr>
        <w:tc>
          <w:tcPr>
            <w:tcW w:w="1377"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4856"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4315"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488"/>
        </w:trPr>
        <w:tc>
          <w:tcPr>
            <w:tcW w:w="1377" w:type="dxa"/>
            <w:vMerge/>
          </w:tcPr>
          <w:p/>
        </w:tc>
        <w:tc>
          <w:tcPr>
            <w:tcW w:w="4856"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2096"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2096"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15"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bl>
    <w:tbl>
      <w:tblPr>
        <w:tblpPr w:leftFromText="180" w:rightFromText="180" w:vertAnchor="text" w:horzAnchor="page" w:tblpX="1158" w:tblpY="10"/>
        <w:tblOverlap w:val="nev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98"/>
        <w:gridCol w:w="13357"/>
      </w:tblGrid>
      <w:tr>
        <w:trPr>
          <w:trHeight w:val="397"/>
        </w:trPr>
        <w:tc>
          <w:tcPr>
            <w:tcW w:w="1398" w:type="dxa"/>
            <w:tcBorders>
              <w:bottom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357" w:type="dxa"/>
            <w:tcBorders>
              <w:bottom w:val="single" w:sz="6" w:space="0" w:color="FFFFFF"/>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1.按时为5名劳务派遣人员发放工资、缴纳保险费，确保发放及时，维护职工合法权益和社会稳定</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2.足额为5名劳务派遣人员发放工资、缴纳保险费，确保发放及时，维护职工合法权益和社会稳定</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3.保障市农村产权流转交易中心正常高效运转，持续充分发挥为“三农”服务的职能作用</w:t>
            </w:r>
          </w:p>
        </w:tc>
      </w:tr>
    </w:tbl>
    <w:tbl>
      <w:tblPr>
        <w:tblpPr w:leftFromText="180" w:rightFromText="180" w:vertAnchor="text" w:horzAnchor="page" w:tblpX="1138" w:tblpY="180"/>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8"/>
        <w:gridCol w:w="1050"/>
        <w:gridCol w:w="1623"/>
        <w:gridCol w:w="3123"/>
        <w:gridCol w:w="982"/>
        <w:gridCol w:w="6880"/>
      </w:tblGrid>
      <w:tr>
        <w:trPr>
          <w:trHeight w:val="397"/>
          <w:tblHeader/>
        </w:trPr>
        <w:tc>
          <w:tcPr>
            <w:tcW w:w="1138"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05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1623"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3123"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982"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688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397"/>
        </w:trPr>
        <w:tc>
          <w:tcPr>
            <w:tcW w:w="1138"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发布农村产权信息数量（条）</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年内发布农村产权信息的数量（条）</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≥10条</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工资及社保费缴纳完成率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为5名劳务派遣人员发放工资、缴纳社保费金额占全年预算数的比例，保证他们基本生活质量</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按时给农村产权流转交易中心5名劳务派遣人员发放工资、缴纳完成率</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成本控制率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完成项目的成本控制在预算水平的比例</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持续推动农村资产资本化</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持续推动农村资产资本化服务乡村振兴，促进为“三农”服务，持续发挥职能作用</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≥70%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5名劳务派遣人员的工资收入</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按时为5名劳务派遣人员发放工资，保障他们的工资收入</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个人生活补助发放率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给农村产权流转交易中心5名劳务派遣人员发放工资、保险等生活补助的完成比率</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推动力</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推动农村产权交易中心工作有序开展</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通过问卷调查等形式，满意和较满意的服务对象占全部调查对象的比例</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bl>
    <w:p>
      <w:pPr>
        <w:keepNext w:val="0"/>
        <w:keepLines w:val="0"/>
        <w:pageBreakBefore w:val="0"/>
        <w:widowControl/>
        <w:kinsoku/>
        <w:wordWrap/>
        <w:overflowPunct/>
        <w:topLinePunct w:val="0"/>
        <w:autoSpaceDE/>
        <w:autoSpaceDN/>
        <w:bidi w:val="0"/>
        <w:adjustRightInd/>
        <w:snapToGrid/>
        <w:spacing w:before="0" w:after="0" w:line="400" w:lineRule="exact"/>
        <w:ind w:left="560"/>
        <w:jc w:val="left"/>
        <w:textAlignment w:val="auto"/>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3、</w:t>
      </w:r>
      <w:r>
        <w:rPr>
          <w:rFonts w:ascii="方正仿宋简体" w:eastAsia="方正仿宋简体" w:cs="方正仿宋简体" w:hAnsi="方正仿宋简体" w:hint="eastAsia"/>
          <w:b w:val="0"/>
          <w:bCs/>
          <w:color w:val="000000"/>
          <w:sz w:val="32"/>
          <w:szCs w:val="32"/>
        </w:rPr>
        <w:t>农合联工作经费绩效目标表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8"/>
        <w:gridCol w:w="2085"/>
        <w:gridCol w:w="1467"/>
        <w:gridCol w:w="2701"/>
        <w:gridCol w:w="2085"/>
        <w:gridCol w:w="2091"/>
        <w:gridCol w:w="2395"/>
      </w:tblGrid>
      <w:tr>
        <w:trPr>
          <w:trHeight w:val="471"/>
        </w:trPr>
        <w:tc>
          <w:tcPr>
            <w:tcW w:w="12327" w:type="dxa"/>
            <w:gridSpan w:val="6"/>
            <w:tcBorders>
              <w:top w:val="single" w:sz="6" w:space="0" w:color="FFFFFF"/>
              <w:left w:val="single" w:sz="6" w:space="0" w:color="FFFFFF"/>
              <w:right w:val="single" w:sz="6" w:space="0" w:color="FFFFFF"/>
            </w:tcBorders>
            <w:vAlign w:val="center"/>
          </w:tcPr>
          <w:p>
            <w:pPr>
              <w:pStyle w:val="32"/>
              <w:keepNext w:val="0"/>
              <w:keepLines w:val="0"/>
              <w:pageBreakBefore w:val="0"/>
              <w:widowControl/>
              <w:kinsoku/>
              <w:wordWrap/>
              <w:overflowPunct/>
              <w:topLinePunct w:val="0"/>
              <w:autoSpaceDE/>
              <w:autoSpaceDN/>
              <w:bidi w:val="0"/>
              <w:adjustRightInd/>
              <w:snapToGrid/>
              <w:spacing w:line="400" w:lineRule="exact"/>
              <w:ind w:firstLineChars="200" w:firstLine="420"/>
              <w:textAlignment w:val="auto"/>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975遵化市供销合作社</w:t>
            </w:r>
            <w:r>
              <w:rPr>
                <w:rFonts w:ascii="方正仿宋简体" w:eastAsia="方正仿宋简体" w:cs="方正仿宋简体" w:hAnsi="方正仿宋简体" w:hint="eastAsia"/>
                <w:sz w:val="21"/>
                <w:szCs w:val="21"/>
                <w:lang w:eastAsia="zh-CN"/>
              </w:rPr>
              <w:t>部门</w:t>
            </w:r>
          </w:p>
        </w:tc>
        <w:tc>
          <w:tcPr>
            <w:tcW w:w="2395" w:type="dxa"/>
            <w:tcBorders>
              <w:top w:val="single" w:sz="6" w:space="0" w:color="FFFFFF"/>
              <w:left w:val="single" w:sz="6" w:space="0" w:color="FFFFFF"/>
              <w:right w:val="single" w:sz="6" w:space="0" w:color="FFFFFF"/>
            </w:tcBorders>
            <w:vAlign w:val="center"/>
          </w:tcPr>
          <w:p>
            <w:pPr>
              <w:pStyle w:val="27"/>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544"/>
        </w:trPr>
        <w:tc>
          <w:tcPr>
            <w:tcW w:w="1898"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3552"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13028123P00018910004Q</w:t>
            </w:r>
          </w:p>
        </w:tc>
        <w:tc>
          <w:tcPr>
            <w:tcW w:w="270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6571"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农合联工作经费</w:t>
            </w:r>
          </w:p>
        </w:tc>
      </w:tr>
      <w:tr>
        <w:trPr>
          <w:trHeight w:val="545"/>
        </w:trPr>
        <w:tc>
          <w:tcPr>
            <w:tcW w:w="1898"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208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46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w:t>
            </w:r>
          </w:p>
        </w:tc>
        <w:tc>
          <w:tcPr>
            <w:tcW w:w="270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20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w:t>
            </w:r>
          </w:p>
        </w:tc>
        <w:tc>
          <w:tcPr>
            <w:tcW w:w="209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1422"/>
        </w:trPr>
        <w:tc>
          <w:tcPr>
            <w:tcW w:w="1898" w:type="dxa"/>
            <w:vMerge/>
          </w:tcPr>
          <w:p/>
        </w:tc>
        <w:tc>
          <w:tcPr>
            <w:tcW w:w="12824"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沟通计划邮电费0.3万元；（3）为对专业社及新型供销社等进行规范提升、组建农民合作经济组织联合社及自身运转等工作计划办公费开支1.2万元。</w:t>
            </w:r>
          </w:p>
        </w:tc>
      </w:tr>
      <w:tr>
        <w:trPr>
          <w:trHeight w:val="442"/>
        </w:trPr>
        <w:tc>
          <w:tcPr>
            <w:tcW w:w="1898"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3552"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270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208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4486"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395"/>
        </w:trPr>
        <w:tc>
          <w:tcPr>
            <w:tcW w:w="1898" w:type="dxa"/>
            <w:vMerge/>
          </w:tcPr>
          <w:p/>
        </w:tc>
        <w:tc>
          <w:tcPr>
            <w:tcW w:w="3552"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2701"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208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486"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bl>
    <w:tbl>
      <w:tblPr>
        <w:tblpPr w:leftFromText="180" w:rightFromText="180" w:vertAnchor="text" w:horzAnchor="page" w:tblpX="1158" w:tblpY="35"/>
        <w:tblOverlap w:val="nev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64"/>
        <w:gridCol w:w="13405"/>
      </w:tblGrid>
      <w:tr>
        <w:trPr>
          <w:trHeight w:val="397"/>
        </w:trPr>
        <w:tc>
          <w:tcPr>
            <w:tcW w:w="1364" w:type="dxa"/>
            <w:tcBorders>
              <w:bottom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405" w:type="dxa"/>
            <w:tcBorders>
              <w:bottom w:val="single" w:sz="6" w:space="0" w:color="FFFFFF"/>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1.组织人员不断学习外地供销社综合改革先进经验，做好学习、交流培训等各项工作，为供销社综合改革与发展服务</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2.不断做好农合联各项工作，充分发挥其职能作用，加强新型供销社、合作社的规范提升，为“三农”服务</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3.发挥农合联职能作用，促进供销社综合改革发展</w:t>
            </w:r>
          </w:p>
        </w:tc>
      </w:tr>
    </w:tbl>
    <w:tbl>
      <w:tblPr>
        <w:tblpPr w:leftFromText="180" w:rightFromText="180" w:vertAnchor="text" w:horzAnchor="page" w:tblpX="1179" w:tblpY="41"/>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61"/>
        <w:gridCol w:w="1695"/>
        <w:gridCol w:w="2010"/>
        <w:gridCol w:w="2625"/>
        <w:gridCol w:w="1485"/>
        <w:gridCol w:w="5620"/>
      </w:tblGrid>
      <w:tr>
        <w:trPr>
          <w:trHeight w:val="397"/>
          <w:tblHeader/>
        </w:trPr>
        <w:tc>
          <w:tcPr>
            <w:tcW w:w="1361"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69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201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262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148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562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397"/>
        </w:trPr>
        <w:tc>
          <w:tcPr>
            <w:tcW w:w="1361"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组织业务学习、交流培训差旅次数</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组织相关人员参加业务学习、交流培训等出差次数</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≥4次</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保证规范新型供销社的质量</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保证规范新型供销社符合质量要求大于等于80%</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完成率</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确保项目支出按照实际工作进度完成比例</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成本控制率（%）</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保证项目支出金额占预算数的比例</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按照预算指标完成</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通过科学编制预算，严格遵守各项规章制度，提高财政资金使用效率，做到节俭高效</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社会影响力</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发挥农合联职能作用，为供销社综合改革发展服务，提升供销社的社会影响力</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≥70%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推动力</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推动农合联工作有序开展</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充分发挥为“三农”服务职能作用</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促进为三农服务，持续发挥职能作用</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通过问卷调查等形式，满意度和较满意度的服务对象占全部调查对象的比例</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bl>
    <w:p>
      <w:pPr>
        <w:keepNext w:val="0"/>
        <w:keepLines w:val="0"/>
        <w:pageBreakBefore w:val="0"/>
        <w:widowControl/>
        <w:kinsoku/>
        <w:wordWrap/>
        <w:overflowPunct/>
        <w:topLinePunct w:val="0"/>
        <w:autoSpaceDE/>
        <w:autoSpaceDN/>
        <w:bidi w:val="0"/>
        <w:adjustRightInd/>
        <w:snapToGrid/>
        <w:spacing w:before="0" w:after="0" w:line="400" w:lineRule="exact"/>
        <w:ind w:left="560"/>
        <w:jc w:val="left"/>
        <w:textAlignment w:val="auto"/>
        <w:outlineLvl w:val="9"/>
        <w:rPr>
          <w:rFonts w:ascii="方正仿宋简体" w:eastAsia="方正仿宋简体" w:cs="方正仿宋简体" w:hAnsi="方正仿宋简体" w:hint="eastAsia"/>
          <w:b/>
          <w:color w:val="000000"/>
          <w:sz w:val="21"/>
          <w:szCs w:val="21"/>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1"/>
          <w:szCs w:val="21"/>
        </w:rPr>
        <w:sectPr>
          <w:pgSz w:w="16840" w:h="11900" w:orient="landscape"/>
          <w:pgMar w:top="1361" w:right="1020" w:bottom="1134" w:left="1020" w:header="720" w:footer="720" w:gutter="0"/>
          <w:pgNumType/>
          <w:cols w:num="1" w:space="720"/>
          <w:docGrid w:linePitch="326" w:charSpace="0"/>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5" w:name="_Toc_3_3_0000000015"/>
      <w:r>
        <w:rPr>
          <w:rFonts w:ascii="方正黑体简体" w:eastAsia="方正黑体简体" w:cs="方正黑体简体" w:hAnsi="方正黑体简体" w:hint="eastAsia"/>
          <w:color w:val="000000"/>
          <w:sz w:val="32"/>
          <w:szCs w:val="32"/>
        </w:rPr>
        <w:t>六、政府采购预算情况</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2023年，遵化市供销合作社安排政府采购预算</w:t>
      </w:r>
      <w:r>
        <w:rPr>
          <w:rFonts w:ascii="方正仿宋简体" w:eastAsia="方正仿宋简体" w:cs="方正仿宋简体" w:hAnsi="方正仿宋简体" w:hint="eastAsia"/>
          <w:b w:val="0"/>
          <w:color w:val="000000"/>
          <w:sz w:val="32"/>
          <w:szCs w:val="32"/>
          <w:lang w:val="en-US" w:eastAsia="zh-CN"/>
        </w:rPr>
        <w:t>0</w:t>
      </w:r>
      <w:r>
        <w:rPr>
          <w:rFonts w:ascii="方正仿宋简体" w:eastAsia="方正仿宋简体" w:cs="方正仿宋简体" w:hAnsi="方正仿宋简体" w:hint="eastAsia"/>
          <w:b w:val="0"/>
          <w:color w:val="000000"/>
          <w:sz w:val="32"/>
          <w:szCs w:val="32"/>
        </w:rPr>
        <w:t>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44"/>
        <w:gridCol w:w="995"/>
        <w:gridCol w:w="914"/>
        <w:gridCol w:w="873"/>
        <w:gridCol w:w="750"/>
        <w:gridCol w:w="600"/>
        <w:gridCol w:w="804"/>
        <w:gridCol w:w="669"/>
        <w:gridCol w:w="995"/>
        <w:gridCol w:w="900"/>
        <w:gridCol w:w="1186"/>
        <w:gridCol w:w="859"/>
        <w:gridCol w:w="900"/>
        <w:gridCol w:w="941"/>
        <w:gridCol w:w="1269"/>
        <w:gridCol w:w="1385"/>
      </w:tblGrid>
      <w:tr>
        <w:trPr>
          <w:cantSplit/>
          <w:tblHeader/>
        </w:trPr>
        <w:tc>
          <w:tcPr>
            <w:tcW w:w="5680" w:type="dxa"/>
            <w:gridSpan w:val="7"/>
            <w:tcBorders>
              <w:top w:val="single" w:sz="6" w:space="0" w:color="FFFFFF"/>
              <w:left w:val="single" w:sz="6" w:space="0" w:color="FFFFFF"/>
              <w:right w:val="single" w:sz="6" w:space="0" w:color="FFFFFF"/>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975遵化市供销合作社</w:t>
            </w:r>
          </w:p>
        </w:tc>
        <w:tc>
          <w:tcPr>
            <w:tcW w:w="9104" w:type="dxa"/>
            <w:gridSpan w:val="9"/>
            <w:tcBorders>
              <w:top w:val="single" w:sz="6" w:space="0" w:color="FFFFFF"/>
              <w:left w:val="single" w:sz="6" w:space="0" w:color="FFFFFF"/>
              <w:right w:val="single" w:sz="6" w:space="0" w:color="FFFFFF"/>
            </w:tcBorders>
            <w:vAlign w:val="center"/>
          </w:tcPr>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单位：万元</w:t>
            </w:r>
          </w:p>
        </w:tc>
      </w:tr>
      <w:tr>
        <w:trPr>
          <w:cantSplit/>
          <w:tblHeader/>
        </w:trPr>
        <w:tc>
          <w:tcPr>
            <w:tcW w:w="1739" w:type="dxa"/>
            <w:gridSpan w:val="2"/>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政府采购项目来源</w:t>
            </w:r>
          </w:p>
        </w:tc>
        <w:tc>
          <w:tcPr>
            <w:tcW w:w="914"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采购物品名称</w:t>
            </w:r>
          </w:p>
        </w:tc>
        <w:tc>
          <w:tcPr>
            <w:tcW w:w="873"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政府采购目录序号</w:t>
            </w:r>
          </w:p>
        </w:tc>
        <w:tc>
          <w:tcPr>
            <w:tcW w:w="750"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计量  单位</w:t>
            </w:r>
          </w:p>
        </w:tc>
        <w:tc>
          <w:tcPr>
            <w:tcW w:w="600"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数量</w:t>
            </w:r>
          </w:p>
        </w:tc>
        <w:tc>
          <w:tcPr>
            <w:tcW w:w="804"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单价</w:t>
            </w:r>
          </w:p>
        </w:tc>
        <w:tc>
          <w:tcPr>
            <w:tcW w:w="7719" w:type="dxa"/>
            <w:gridSpan w:val="8"/>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政府采购金额（当年部门预算安排资金）</w:t>
            </w:r>
          </w:p>
        </w:tc>
        <w:tc>
          <w:tcPr>
            <w:tcW w:w="1385"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2023年  预留中  小微企  业份额</w:t>
            </w:r>
          </w:p>
        </w:tc>
      </w:tr>
      <w:tr>
        <w:trPr>
          <w:cantSplit/>
          <w:tblHeader/>
        </w:trPr>
        <w:tc>
          <w:tcPr>
            <w:tcW w:w="744" w:type="dxa"/>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项目名称</w:t>
            </w:r>
          </w:p>
        </w:tc>
        <w:tc>
          <w:tcPr>
            <w:tcW w:w="99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预算    资金</w:t>
            </w:r>
          </w:p>
        </w:tc>
        <w:tc>
          <w:tcPr>
            <w:tcW w:w="914" w:type="dxa"/>
            <w:vMerge/>
            <w:tcBorders>
              <w:left w:val="single" w:sz="6" w:space="0" w:color="000000"/>
            </w:tcBorders>
          </w:tcPr>
          <w:p/>
        </w:tc>
        <w:tc>
          <w:tcPr>
            <w:tcW w:w="873" w:type="dxa"/>
            <w:vMerge/>
            <w:tcBorders>
              <w:left w:val="single" w:sz="6" w:space="0" w:color="000000"/>
            </w:tcBorders>
          </w:tcPr>
          <w:p/>
        </w:tc>
        <w:tc>
          <w:tcPr>
            <w:tcW w:w="750" w:type="dxa"/>
            <w:vMerge/>
            <w:tcBorders>
              <w:left w:val="single" w:sz="6" w:space="0" w:color="000000"/>
            </w:tcBorders>
          </w:tcPr>
          <w:p/>
        </w:tc>
        <w:tc>
          <w:tcPr>
            <w:tcW w:w="600" w:type="dxa"/>
            <w:vMerge/>
            <w:tcBorders>
              <w:left w:val="single" w:sz="6" w:space="0" w:color="000000"/>
            </w:tcBorders>
          </w:tcPr>
          <w:p/>
        </w:tc>
        <w:tc>
          <w:tcPr>
            <w:tcW w:w="804" w:type="dxa"/>
            <w:vMerge/>
            <w:tcBorders>
              <w:left w:val="single" w:sz="6" w:space="0" w:color="000000"/>
            </w:tcBorders>
          </w:tcPr>
          <w:p/>
        </w:tc>
        <w:tc>
          <w:tcPr>
            <w:tcW w:w="66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合计</w:t>
            </w:r>
          </w:p>
        </w:tc>
        <w:tc>
          <w:tcPr>
            <w:tcW w:w="99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一般公共预算拨款</w:t>
            </w:r>
          </w:p>
        </w:tc>
        <w:tc>
          <w:tcPr>
            <w:tcW w:w="90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基金预算拨款</w:t>
            </w:r>
          </w:p>
        </w:tc>
        <w:tc>
          <w:tcPr>
            <w:tcW w:w="118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国有资本经营预算拨款</w:t>
            </w:r>
          </w:p>
        </w:tc>
        <w:tc>
          <w:tcPr>
            <w:tcW w:w="85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财政专户核拨</w:t>
            </w:r>
          </w:p>
        </w:tc>
        <w:tc>
          <w:tcPr>
            <w:tcW w:w="90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单位    资金</w:t>
            </w:r>
          </w:p>
        </w:tc>
        <w:tc>
          <w:tcPr>
            <w:tcW w:w="94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财政拨    款结转</w:t>
            </w:r>
          </w:p>
        </w:tc>
        <w:tc>
          <w:tcPr>
            <w:tcW w:w="126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非财政    拨款结    转结余</w:t>
            </w:r>
          </w:p>
        </w:tc>
        <w:tc>
          <w:tcPr>
            <w:tcW w:w="1385" w:type="dxa"/>
            <w:vMerge/>
            <w:tcBorders>
              <w:left w:val="single" w:sz="6" w:space="0" w:color="000000"/>
            </w:tcBorders>
          </w:tcPr>
          <w:p/>
        </w:tc>
      </w:tr>
      <w:tr>
        <w:trPr>
          <w:cantSplit/>
        </w:trPr>
        <w:tc>
          <w:tcPr>
            <w:tcW w:w="744"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9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1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87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750"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600"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804"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66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9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00"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1186"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85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00"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41"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126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138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注：无政府采购预算，空表列示。</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黑体简体" w:eastAsia="方正黑体简体" w:cs="方正黑体简体" w:hAnsi="方正黑体简体" w:hint="eastAsia"/>
          <w:b w:val="0"/>
          <w:bCs w:val="0"/>
          <w:sz w:val="32"/>
          <w:szCs w:val="32"/>
        </w:rPr>
      </w:pPr>
      <w:r>
        <w:rPr>
          <w:rFonts w:ascii="方正黑体简体" w:eastAsia="方正黑体简体" w:cs="方正黑体简体" w:hAnsi="方正黑体简体" w:hint="eastAsia"/>
          <w:b w:val="0"/>
          <w:bCs w:val="0"/>
          <w:color w:val="000000"/>
          <w:sz w:val="32"/>
          <w:szCs w:val="32"/>
        </w:rPr>
        <w:t xml:space="preserve"> </w:t>
      </w:r>
      <w:bookmarkStart w:id="16" w:name="_Toc_3_3_0000000016"/>
      <w:r>
        <w:rPr>
          <w:rFonts w:ascii="方正黑体简体" w:eastAsia="方正黑体简体" w:cs="方正黑体简体" w:hAnsi="方正黑体简体" w:hint="eastAsia"/>
          <w:b w:val="0"/>
          <w:bCs w:val="0"/>
          <w:color w:val="000000"/>
          <w:sz w:val="32"/>
          <w:szCs w:val="32"/>
        </w:rPr>
        <w:t>七、国有资产信息</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遵化市供销合作社（含所属单位）上年末固定资产金额为27.33万元（详见下表）。本年度拟购置固定资产总额为0万元。</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975遵化市供销合作社</w:t>
            </w:r>
          </w:p>
        </w:tc>
        <w:tc>
          <w:tcPr>
            <w:tcW w:w="5669" w:type="dxa"/>
            <w:gridSpan w:val="2"/>
            <w:tcBorders>
              <w:top w:val="single" w:sz="6" w:space="0" w:color="FFFFFF"/>
              <w:left w:val="single" w:sz="6" w:space="0" w:color="FFFFFF"/>
              <w:right w:val="single" w:sz="6" w:space="0" w:color="FFFFFF"/>
            </w:tcBorders>
            <w:vAlign w:val="center"/>
          </w:tcPr>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截止时间：2022-12-31</w:t>
            </w:r>
          </w:p>
        </w:tc>
      </w:tr>
      <w:tr>
        <w:trPr>
          <w:tblHeader/>
        </w:trPr>
        <w:tc>
          <w:tcPr>
            <w:tcW w:w="7370" w:type="dxa"/>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   目</w:t>
            </w: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数量</w:t>
            </w: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价值（金额单位：万元）</w:t>
            </w: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资产总额</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27.33</w:t>
            </w: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1、房屋（平方米）</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其中：办公用房（平方米）</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2、车辆（台、辆）</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3、单价在20万元以上的设备</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4、其他固定资产</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21</w:t>
            </w: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27.33</w:t>
            </w: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 xml:space="preserve"> </w:t>
      </w:r>
      <w:bookmarkStart w:id="17" w:name="_Toc_3_3_0000000017"/>
      <w:r>
        <w:rPr>
          <w:rFonts w:ascii="方正黑体简体" w:eastAsia="方正黑体简体" w:cs="方正黑体简体" w:hAnsi="方正黑体简体" w:hint="eastAsia"/>
          <w:color w:val="000000"/>
          <w:sz w:val="32"/>
          <w:szCs w:val="32"/>
        </w:rPr>
        <w:t>八、名词解释</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1、</w:t>
      </w:r>
      <w:r>
        <w:rPr>
          <w:rFonts w:ascii="方正仿宋简体" w:eastAsia="方正仿宋简体" w:cs="方正仿宋简体" w:hAnsi="方正仿宋简体" w:hint="eastAsia"/>
          <w:b/>
          <w:color w:val="000000"/>
          <w:sz w:val="32"/>
          <w:szCs w:val="32"/>
        </w:rPr>
        <w:t>一般公共预算拨款收入：</w:t>
      </w:r>
      <w:r>
        <w:rPr>
          <w:rFonts w:ascii="方正仿宋简体" w:eastAsia="方正仿宋简体" w:cs="方正仿宋简体" w:hAnsi="方正仿宋简体" w:hint="eastAsia"/>
          <w:b w:val="0"/>
          <w:color w:val="000000"/>
          <w:sz w:val="32"/>
          <w:szCs w:val="32"/>
        </w:rPr>
        <w:t>指</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w:t>
      </w:r>
      <w:r>
        <w:rPr>
          <w:rFonts w:ascii="方正仿宋简体" w:eastAsia="方正仿宋简体" w:cs="方正仿宋简体" w:hAnsi="方正仿宋简体" w:hint="eastAsia"/>
          <w:b/>
          <w:color w:val="000000"/>
          <w:sz w:val="32"/>
          <w:szCs w:val="32"/>
        </w:rPr>
        <w:t>事业收入：</w:t>
      </w:r>
      <w:r>
        <w:rPr>
          <w:rFonts w:ascii="方正仿宋简体" w:eastAsia="方正仿宋简体" w:cs="方正仿宋简体" w:hAnsi="方正仿宋简体" w:hint="eastAsia"/>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3、</w:t>
      </w:r>
      <w:r>
        <w:rPr>
          <w:rFonts w:ascii="方正仿宋简体" w:eastAsia="方正仿宋简体" w:cs="方正仿宋简体" w:hAnsi="方正仿宋简体" w:hint="eastAsia"/>
          <w:b/>
          <w:color w:val="000000"/>
          <w:sz w:val="28"/>
        </w:rPr>
        <w:t>其他收入：</w:t>
      </w:r>
      <w:r>
        <w:rPr>
          <w:rFonts w:ascii="方正仿宋简体" w:eastAsia="方正仿宋简体" w:cs="方正仿宋简体" w:hAnsi="方正仿宋简体" w:hint="eastAsia"/>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4、</w:t>
      </w:r>
      <w:r>
        <w:rPr>
          <w:rFonts w:ascii="方正仿宋简体" w:eastAsia="方正仿宋简体" w:cs="方正仿宋简体" w:hAnsi="方正仿宋简体" w:hint="eastAsia"/>
          <w:b/>
          <w:color w:val="000000"/>
          <w:sz w:val="28"/>
        </w:rPr>
        <w:t>基本支出：</w:t>
      </w:r>
      <w:r>
        <w:rPr>
          <w:rFonts w:ascii="方正仿宋简体" w:eastAsia="方正仿宋简体" w:cs="方正仿宋简体" w:hAnsi="方正仿宋简体" w:hint="eastAsia"/>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5、</w:t>
      </w:r>
      <w:r>
        <w:rPr>
          <w:rFonts w:ascii="方正仿宋简体" w:eastAsia="方正仿宋简体" w:cs="方正仿宋简体" w:hAnsi="方正仿宋简体" w:hint="eastAsia"/>
          <w:b/>
          <w:color w:val="000000"/>
          <w:sz w:val="28"/>
        </w:rPr>
        <w:t>项目支出：</w:t>
      </w:r>
      <w:r>
        <w:rPr>
          <w:rFonts w:ascii="方正仿宋简体" w:eastAsia="方正仿宋简体" w:cs="方正仿宋简体" w:hAnsi="方正仿宋简体" w:hint="eastAsia"/>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6、</w:t>
      </w:r>
      <w:r>
        <w:rPr>
          <w:rFonts w:ascii="方正仿宋简体" w:eastAsia="方正仿宋简体" w:cs="方正仿宋简体" w:hAnsi="方正仿宋简体" w:hint="eastAsia"/>
          <w:b/>
          <w:color w:val="000000"/>
          <w:sz w:val="28"/>
        </w:rPr>
        <w:t>上缴上级支出：</w:t>
      </w:r>
      <w:r>
        <w:rPr>
          <w:rFonts w:ascii="方正仿宋简体" w:eastAsia="方正仿宋简体" w:cs="方正仿宋简体" w:hAnsi="方正仿宋简体" w:hint="eastAsia"/>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7、</w:t>
      </w:r>
      <w:r>
        <w:rPr>
          <w:rFonts w:ascii="方正仿宋简体" w:eastAsia="方正仿宋简体" w:cs="方正仿宋简体" w:hAnsi="方正仿宋简体" w:hint="eastAsia"/>
          <w:b/>
          <w:color w:val="000000"/>
          <w:sz w:val="28"/>
        </w:rPr>
        <w:t>“三公”经费：</w:t>
      </w:r>
      <w:r>
        <w:rPr>
          <w:rFonts w:ascii="方正仿宋简体" w:eastAsia="方正仿宋简体" w:cs="方正仿宋简体" w:hAnsi="方正仿宋简体" w:hint="eastAsia"/>
          <w:b w:val="0"/>
          <w:color w:val="000000"/>
          <w:sz w:val="28"/>
        </w:rPr>
        <w:t>纳入</w:t>
      </w:r>
      <w:r>
        <w:rPr>
          <w:rFonts w:ascii="方正仿宋简体" w:eastAsia="方正仿宋简体" w:cs="方正仿宋简体" w:hAnsi="方正仿宋简体" w:hint="eastAsia"/>
          <w:b w:val="0"/>
          <w:color w:val="000000"/>
          <w:sz w:val="28"/>
          <w:lang w:eastAsia="zh-CN"/>
        </w:rPr>
        <w:t>市</w:t>
      </w:r>
      <w:r>
        <w:rPr>
          <w:rFonts w:ascii="方正仿宋简体" w:eastAsia="方正仿宋简体" w:cs="方正仿宋简体" w:hAnsi="方正仿宋简体" w:hint="eastAsia"/>
          <w:b w:val="0"/>
          <w:color w:val="000000"/>
          <w:sz w:val="28"/>
        </w:rPr>
        <w:t>级财政预算管理的“三公”经费，是指</w:t>
      </w:r>
      <w:r>
        <w:rPr>
          <w:rFonts w:ascii="方正仿宋简体" w:eastAsia="方正仿宋简体" w:cs="方正仿宋简体" w:hAnsi="方正仿宋简体" w:hint="eastAsia"/>
          <w:b w:val="0"/>
          <w:color w:val="000000"/>
          <w:sz w:val="28"/>
          <w:lang w:eastAsia="zh-CN"/>
        </w:rPr>
        <w:t>市</w:t>
      </w:r>
      <w:r>
        <w:rPr>
          <w:rFonts w:ascii="方正仿宋简体" w:eastAsia="方正仿宋简体" w:cs="方正仿宋简体" w:hAnsi="方正仿宋简体" w:hint="eastAsia"/>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8、</w:t>
      </w:r>
      <w:r>
        <w:rPr>
          <w:rFonts w:ascii="方正仿宋简体" w:eastAsia="方正仿宋简体" w:cs="方正仿宋简体" w:hAnsi="方正仿宋简体" w:hint="eastAsia"/>
          <w:b/>
          <w:color w:val="000000"/>
          <w:sz w:val="28"/>
        </w:rPr>
        <w:t>机关运行费：</w:t>
      </w:r>
      <w:r>
        <w:rPr>
          <w:rFonts w:ascii="方正仿宋简体" w:eastAsia="方正仿宋简体" w:cs="方正仿宋简体" w:hAnsi="方正仿宋简体" w:hint="eastAsia"/>
          <w:b w:val="0"/>
          <w:color w:val="000000"/>
          <w:sz w:val="28"/>
        </w:rPr>
        <w:t>是指各行政机关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9、</w:t>
      </w:r>
      <w:r>
        <w:rPr>
          <w:rFonts w:ascii="方正仿宋简体" w:eastAsia="方正仿宋简体" w:cs="方正仿宋简体" w:hAnsi="方正仿宋简体" w:hint="eastAsia"/>
          <w:b/>
          <w:color w:val="000000"/>
          <w:sz w:val="28"/>
        </w:rPr>
        <w:t>上年结转：</w:t>
      </w:r>
      <w:r>
        <w:rPr>
          <w:rFonts w:ascii="方正仿宋简体" w:eastAsia="方正仿宋简体" w:cs="方正仿宋简体" w:hAnsi="方正仿宋简体" w:hint="eastAsia"/>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10、</w:t>
      </w:r>
      <w:r>
        <w:rPr>
          <w:rFonts w:ascii="方正仿宋简体" w:eastAsia="方正仿宋简体" w:cs="方正仿宋简体" w:hAnsi="方正仿宋简体" w:hint="eastAsia"/>
          <w:b/>
          <w:color w:val="000000"/>
          <w:sz w:val="28"/>
        </w:rPr>
        <w:t>事业单位经营支出：</w:t>
      </w:r>
      <w:r>
        <w:rPr>
          <w:rFonts w:ascii="方正仿宋简体" w:eastAsia="方正仿宋简体" w:cs="方正仿宋简体" w:hAnsi="方正仿宋简体" w:hint="eastAsia"/>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rPr>
      </w:pPr>
      <w:bookmarkStart w:id="18" w:name="_Toc_3_3_0000000018"/>
      <w:r>
        <w:rPr>
          <w:rFonts w:ascii="方正黑体简体" w:eastAsia="方正黑体简体" w:cs="方正黑体简体" w:hAnsi="方正黑体简体" w:hint="eastAsia"/>
          <w:color w:val="000000"/>
          <w:sz w:val="32"/>
        </w:rPr>
        <w:t>九、其他需要说明的事项</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b w:val="0"/>
          <w:color w:val="000000"/>
          <w:sz w:val="28"/>
        </w:rPr>
        <w:t>我部门无其他需要说明的事</w:t>
      </w:r>
      <w:r>
        <w:rPr>
          <w:rFonts w:ascii="方正仿宋简体" w:eastAsia="方正仿宋简体" w:cs="方正仿宋简体" w:hAnsi="方正仿宋简体" w:hint="eastAsia"/>
          <w:b w:val="0"/>
          <w:color w:val="000000"/>
          <w:sz w:val="28"/>
          <w:lang w:eastAsia="zh-CN"/>
        </w:rPr>
        <w:t>项。</w:t>
      </w:r>
    </w:p>
    <w:sectPr>
      <w:pgSz w:w="16840" w:h="11900" w:orient="landscape"/>
      <w:pgMar w:top="1361" w:right="1020" w:bottom="1134" w:left="1020" w:header="720" w:footer="720" w:gutter="0"/>
      <w:pgNumType/>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黑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86"/>
    <w:family w:val="auto"/>
    <w:pitch w:val="variable"/>
    <w:sig w:usb0="E0002AFF" w:usb1="C0007841" w:usb2="00000009"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 w:name="方正楷体简体">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方正书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13" behindDoc="0" locked="0" layoutInCell="1" hidden="0" allowOverlap="1">
              <wp:simplePos x="0" y="0"/>
              <wp:positionH relativeFrom="margin">
                <wp:align>outside</wp:align>
              </wp:positionH>
              <wp:positionV relativeFrom="paragraph">
                <wp:posOffset>0</wp:posOffset>
              </wp:positionV>
              <wp:extent cx="114300" cy="131433"/>
              <wp:effectExtent l="0" t="0" r="0" b="0"/>
              <wp:wrapNone/>
              <wp:docPr id="3" name="文本框 3"/>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type="#_x0000_t1" id="文本框 3" o:spid="_x0000_s2" filled="f" stroked="f" strokeweight="0.5pt" style="position:absolute;margin-left:0.0pt;margin-top:0.0pt;width:9.0pt;height:10.349121pt;z-index:13;mso-position-horizontal:outside;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114300" cy="131433"/>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4" filled="f" stroked="f" strokeweight="0.5pt" style="position:absolute;margin-left:0.0pt;margin-top:0.0pt;width:9.0pt;height:10.349121pt;z-index:15;mso-position-horizontal:outside;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9560B15"/>
    <w:multiLevelType w:val="singleLevel"/>
    <w:tmpl w:val="89560B15"/>
    <w:lvl w:ilvl="0">
      <w:start w:val="3"/>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48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21">
    <w:name w:val="toc 4"/>
    <w:qFormat/>
    <w:basedOn w:val="0"/>
    <w:next w:val="0"/>
    <w:pPr>
      <w:ind w:left="720"/>
    </w:pPr>
  </w:style>
  <w:style w:type="paragraph" w:styleId="22">
    <w:name w:val="toc 2"/>
    <w:qFormat/>
    <w:basedOn w:val="0"/>
    <w:next w:val="0"/>
    <w:pPr>
      <w:ind w:left="240"/>
    </w:pPr>
  </w:style>
  <w:style w:type="paragraph" w:customStyle="1" w:styleId="23">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4">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5">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6">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8">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9">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0">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1">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32">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3">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单元格样式23"/>
    <w:qFormat/>
    <w:basedOn w:val="0"/>
    <w:pPr>
      <w:spacing w:before="0" w:after="0"/>
      <w:ind w:firstLine="0"/>
      <w:jc w:val="right"/>
      <w:outlineLvl w:val="9"/>
    </w:pPr>
    <w:rPr>
      <w:rFonts w:ascii="方正书宋_GBK" w:eastAsia="方正书宋_GBK" w:cs="方正书宋_GBK" w:hAnsi="方正书宋_GBK"/>
      <w:sz w:val="24"/>
    </w:rPr>
  </w:style>
  <w:style w:type="paragraph" w:customStyle="1" w:styleId="41">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4">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7629CF7F-E564-4B9A-B063-A98185CB679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95</TotalTime>
  <Application>Yozo_Office27021597764231189</Application>
  <Pages>41</Pages>
  <Words>0</Words>
  <Characters>16577</Characters>
  <Lines>0</Lines>
  <Paragraphs>163</Paragraphs>
  <CharactersWithSpaces>22103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cp:lastPrinted>2023-04-21T07:56:00Z</cp:lastPrinted>
  <dcterms:created xsi:type="dcterms:W3CDTF">2023-03-02T08:59:00Z</dcterms:created>
  <dcterms:modified xsi:type="dcterms:W3CDTF">2024-08-23T05:01:28Z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