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Times New Roman" w:hAnsi="宋体"/>
          <w:b/>
          <w:sz w:val="44"/>
        </w:rPr>
      </w:pPr>
      <w:r>
        <w:rPr>
          <w:rFonts w:ascii="黑体" w:eastAsia="黑体" w:hint="eastAsia"/>
          <w:b/>
          <w:sz w:val="44"/>
        </w:rPr>
        <w:t>2022年部门预算信息公开目录</w:t>
      </w:r>
    </w:p>
    <w:p>
      <w:pPr>
        <w:jc w:val="center"/>
        <w:rPr>
          <w:rFonts w:ascii="Times New Roman" w:hAnsi="宋体"/>
          <w:b/>
          <w:sz w:val="30"/>
        </w:rPr>
      </w:pPr>
      <w:r>
        <w:rPr>
          <w:rFonts w:ascii="黑体" w:eastAsia="黑体" w:hAnsi="黑体"/>
          <w:b/>
          <w:sz w:val="30"/>
        </w:rPr>
        <w:t xml:space="preserve"> </w:t>
      </w:r>
    </w:p>
    <w:p>
      <w:pPr>
        <w:jc w:val="left"/>
        <w:rPr>
          <w:rFonts w:ascii="Times New Roman" w:eastAsia="宋体" w:hAnsi="宋体"/>
          <w:b/>
          <w:sz w:val="28"/>
        </w:rPr>
      </w:pPr>
      <w:r>
        <w:rPr>
          <w:rFonts w:ascii="方正楷体_GBK" w:eastAsia="方正楷体_GBK" w:hint="eastAsia"/>
          <w:b/>
          <w:sz w:val="28"/>
        </w:rPr>
        <w:t>部门预算公开表</w:t>
      </w:r>
    </w:p>
    <w:p>
      <w:pPr>
        <w:pStyle w:val="22"/>
        <w:tabs>
          <w:tab w:val="right" w:leader="dot" w:pos="14789"/>
        </w:tabs>
        <w:jc w:val="center"/>
        <w:rPr>
          <w:rFonts w:ascii="Times New Roman" w:eastAsia="方正仿宋_GBK" w:hAnsi="Times New Roman"/>
          <w:sz w:val="28"/>
        </w:rPr>
      </w:pPr>
      <w:r>
        <w:rPr>
          <w:rFonts w:ascii="Times New Roman" w:eastAsia="方正仿宋_GBK" w:hAnsi="Times New Roman"/>
          <w:sz w:val="28"/>
        </w:rPr>
        <w:fldChar w:fldCharType="begin"/>
      </w:r>
      <w:r>
        <w:rPr>
          <w:rFonts w:ascii="Times New Roman" w:eastAsia="方正仿宋_GBK" w:hAnsi="Times New Roman"/>
          <w:sz w:val="28"/>
        </w:rPr>
        <w:instrText xml:space="preserve"> TOC \o "2-2" \h \z \u \t "-1" </w:instrText>
      </w:r>
      <w:r>
        <w:rPr>
          <w:rFonts w:ascii="Times New Roman" w:eastAsia="方正仿宋_GBK" w:hAnsi="Times New Roman"/>
          <w:sz w:val="28"/>
        </w:rPr>
        <w:fldChar w:fldCharType="separate"/>
      </w:r>
      <w:r>
        <w:fldChar w:fldCharType="begin"/>
      </w:r>
      <w:r>
        <w:instrText xml:space="preserve"> HYPERLINK \l "_Toc68791536" </w:instrText>
      </w:r>
      <w:r>
        <w:fldChar w:fldCharType="separate"/>
      </w:r>
      <w:r>
        <w:rPr>
          <w:rFonts w:ascii="Times New Roman" w:eastAsia="方正仿宋_GBK" w:hAnsi="Times New Roman" w:hint="eastAsia"/>
          <w:sz w:val="28"/>
          <w:u w:val="none"/>
        </w:rPr>
        <w:t>部门预算收支总表</w:t>
      </w:r>
      <w:r>
        <w:rPr>
          <w:rFonts w:ascii="Times New Roman" w:eastAsia="方正仿宋_GBK" w:hAnsi="Times New Roman"/>
          <w:sz w:val="28"/>
        </w:rPr>
        <w:tab/>
      </w:r>
      <w:r>
        <w:rPr>
          <w:rFonts w:ascii="Times New Roman" w:hAnsi="Times New Roman" w:hint="eastAsia"/>
          <w:sz w:val="28"/>
        </w:rPr>
        <w:t>1</w:t>
      </w:r>
      <w:r>
        <w:rPr>
          <w:rFonts w:ascii="Times New Roman" w:hAnsi="Times New Roman" w:hint="eastAsia"/>
          <w:sz w:val="28"/>
        </w:rPr>
        <w:fldChar w:fldCharType="end"/>
      </w:r>
    </w:p>
    <w:p>
      <w:pPr>
        <w:pStyle w:val="22"/>
        <w:tabs>
          <w:tab w:val="right" w:leader="dot" w:pos="14789"/>
        </w:tabs>
        <w:jc w:val="center"/>
        <w:rPr>
          <w:rFonts w:ascii="Times New Roman" w:eastAsia="方正仿宋_GBK" w:hAnsi="Times New Roman"/>
          <w:sz w:val="28"/>
        </w:rPr>
      </w:pPr>
      <w:r>
        <w:fldChar w:fldCharType="begin"/>
      </w:r>
      <w:r>
        <w:instrText xml:space="preserve"> HYPERLINK \l "_Toc68791537" </w:instrText>
      </w:r>
      <w:r>
        <w:fldChar w:fldCharType="separate"/>
      </w:r>
      <w:r>
        <w:rPr>
          <w:rFonts w:ascii="Times New Roman" w:eastAsia="方正仿宋_GBK" w:hAnsi="Times New Roman" w:hint="eastAsia"/>
          <w:sz w:val="28"/>
          <w:u w:val="none"/>
        </w:rPr>
        <w:t>部门预算收入总表</w:t>
      </w:r>
      <w:r>
        <w:rPr>
          <w:rFonts w:ascii="Times New Roman" w:eastAsia="方正仿宋_GBK" w:hAnsi="Times New Roman"/>
          <w:sz w:val="28"/>
        </w:rPr>
        <w:tab/>
      </w:r>
      <w:r>
        <w:rPr>
          <w:rFonts w:ascii="Times New Roman" w:hAnsi="Times New Roman" w:hint="eastAsia"/>
          <w:sz w:val="28"/>
        </w:rPr>
        <w:t>3</w:t>
      </w:r>
      <w:r>
        <w:rPr>
          <w:rFonts w:ascii="Times New Roman" w:hAnsi="Times New Roman" w:hint="eastAsia"/>
          <w:sz w:val="28"/>
        </w:rPr>
        <w:fldChar w:fldCharType="end"/>
      </w:r>
    </w:p>
    <w:p>
      <w:pPr>
        <w:pStyle w:val="22"/>
        <w:tabs>
          <w:tab w:val="right" w:leader="dot" w:pos="14789"/>
        </w:tabs>
        <w:jc w:val="center"/>
        <w:rPr>
          <w:rFonts w:ascii="Times New Roman" w:eastAsia="方正仿宋_GBK" w:hAnsi="Times New Roman"/>
          <w:sz w:val="28"/>
        </w:rPr>
      </w:pPr>
      <w:r>
        <w:fldChar w:fldCharType="begin"/>
      </w:r>
      <w:r>
        <w:instrText xml:space="preserve"> HYPERLINK \l "_Toc68791538" </w:instrText>
      </w:r>
      <w:r>
        <w:fldChar w:fldCharType="separate"/>
      </w:r>
      <w:r>
        <w:rPr>
          <w:rFonts w:ascii="Times New Roman" w:eastAsia="方正仿宋_GBK" w:hAnsi="Times New Roman" w:hint="eastAsia"/>
          <w:sz w:val="28"/>
          <w:u w:val="none"/>
        </w:rPr>
        <w:t>部门预算支出总表</w:t>
      </w:r>
      <w:r>
        <w:rPr>
          <w:rFonts w:ascii="Times New Roman" w:eastAsia="方正仿宋_GBK" w:hAnsi="Times New Roman"/>
          <w:sz w:val="28"/>
        </w:rPr>
        <w:tab/>
      </w:r>
      <w:r>
        <w:rPr>
          <w:rFonts w:ascii="Times New Roman" w:hAnsi="Times New Roman" w:hint="eastAsia"/>
          <w:sz w:val="28"/>
        </w:rPr>
        <w:t>7</w:t>
      </w:r>
      <w:r>
        <w:rPr>
          <w:rFonts w:ascii="Times New Roman" w:hAnsi="Times New Roman" w:hint="eastAsia"/>
          <w:sz w:val="28"/>
        </w:rPr>
        <w:fldChar w:fldCharType="end"/>
      </w:r>
    </w:p>
    <w:p>
      <w:pPr>
        <w:pStyle w:val="22"/>
        <w:tabs>
          <w:tab w:val="right" w:leader="dot" w:pos="14789"/>
        </w:tabs>
        <w:jc w:val="center"/>
        <w:rPr>
          <w:rFonts w:ascii="Times New Roman" w:hAnsi="Times New Roman"/>
          <w:sz w:val="28"/>
        </w:rPr>
      </w:pPr>
      <w:r>
        <w:fldChar w:fldCharType="begin"/>
      </w:r>
      <w:r>
        <w:instrText xml:space="preserve"> HYPERLINK \l "_Toc68791539" </w:instrText>
      </w:r>
      <w:r>
        <w:fldChar w:fldCharType="separate"/>
      </w:r>
      <w:r>
        <w:rPr>
          <w:rFonts w:ascii="Times New Roman" w:eastAsia="方正仿宋_GBK" w:hAnsi="Times New Roman" w:hint="eastAsia"/>
          <w:sz w:val="28"/>
          <w:u w:val="none"/>
        </w:rPr>
        <w:t>部门预算财政拨款收支总表</w:t>
      </w:r>
      <w:r>
        <w:rPr>
          <w:rFonts w:ascii="Times New Roman" w:eastAsia="方正仿宋_GBK" w:hAnsi="Times New Roman"/>
          <w:sz w:val="28"/>
        </w:rPr>
        <w:tab/>
      </w:r>
      <w:r>
        <w:rPr>
          <w:rFonts w:ascii="Times New Roman" w:hAnsi="Times New Roman" w:hint="eastAsia"/>
          <w:sz w:val="28"/>
        </w:rPr>
        <w:t>10</w:t>
      </w:r>
      <w:r>
        <w:rPr>
          <w:rFonts w:ascii="Times New Roman" w:hAnsi="Times New Roman" w:hint="eastAsia"/>
          <w:sz w:val="28"/>
        </w:rPr>
        <w:fldChar w:fldCharType="end"/>
      </w:r>
    </w:p>
    <w:p>
      <w:pPr>
        <w:pStyle w:val="22"/>
        <w:tabs>
          <w:tab w:val="right" w:leader="dot" w:pos="14789"/>
        </w:tabs>
        <w:jc w:val="center"/>
        <w:rPr>
          <w:rFonts w:ascii="Times New Roman" w:hAnsi="Times New Roman"/>
          <w:sz w:val="28"/>
        </w:rPr>
      </w:pPr>
      <w:r>
        <w:fldChar w:fldCharType="begin"/>
      </w:r>
      <w:r>
        <w:instrText xml:space="preserve"> HYPERLINK \l "_Toc68791540" </w:instrText>
      </w:r>
      <w:r>
        <w:fldChar w:fldCharType="separate"/>
      </w:r>
      <w:r>
        <w:rPr>
          <w:rFonts w:ascii="Times New Roman" w:eastAsia="方正仿宋_GBK" w:hAnsi="Times New Roman" w:hint="eastAsia"/>
          <w:sz w:val="28"/>
          <w:u w:val="none"/>
        </w:rPr>
        <w:t>部门预算一般公共预算财政拨款支出表</w:t>
      </w:r>
      <w:r>
        <w:rPr>
          <w:rFonts w:ascii="Times New Roman" w:eastAsia="方正仿宋_GBK" w:hAnsi="Times New Roman"/>
          <w:sz w:val="28"/>
        </w:rPr>
        <w:tab/>
      </w:r>
      <w:r>
        <w:rPr>
          <w:rFonts w:ascii="Times New Roman" w:hAnsi="Times New Roman" w:hint="eastAsia"/>
          <w:sz w:val="28"/>
        </w:rPr>
        <w:t>1</w:t>
      </w:r>
      <w:r>
        <w:rPr>
          <w:rFonts w:ascii="Times New Roman" w:hAnsi="Times New Roman" w:hint="eastAsia"/>
          <w:sz w:val="28"/>
        </w:rPr>
        <w:fldChar w:fldCharType="end"/>
      </w:r>
      <w:r>
        <w:rPr>
          <w:rStyle w:val="26"/>
          <w:rFonts w:ascii="Times New Roman" w:hAnsi="Times New Roman" w:hint="eastAsia"/>
          <w:sz w:val="28"/>
          <w:u w:val="none"/>
        </w:rPr>
        <w:t>3</w:t>
      </w:r>
    </w:p>
    <w:p>
      <w:pPr>
        <w:pStyle w:val="22"/>
        <w:tabs>
          <w:tab w:val="right" w:leader="dot" w:pos="14789"/>
        </w:tabs>
        <w:jc w:val="center"/>
        <w:rPr>
          <w:rFonts w:ascii="Times New Roman" w:hAnsi="Times New Roman"/>
          <w:sz w:val="28"/>
        </w:rPr>
      </w:pPr>
      <w:r>
        <w:fldChar w:fldCharType="begin"/>
      </w:r>
      <w:r>
        <w:instrText xml:space="preserve"> HYPERLINK \l "_Toc68791541" </w:instrText>
      </w:r>
      <w:r>
        <w:fldChar w:fldCharType="separate"/>
      </w:r>
      <w:r>
        <w:rPr>
          <w:rFonts w:ascii="Times New Roman" w:eastAsia="方正仿宋_GBK" w:hAnsi="Times New Roman" w:hint="eastAsia"/>
          <w:sz w:val="28"/>
          <w:u w:val="none"/>
        </w:rPr>
        <w:t>部门预算一般公共预算财政拨款基本支出表</w:t>
      </w:r>
      <w:r>
        <w:rPr>
          <w:rFonts w:ascii="Times New Roman" w:eastAsia="方正仿宋_GBK" w:hAnsi="Times New Roman"/>
          <w:sz w:val="28"/>
        </w:rPr>
        <w:tab/>
      </w:r>
      <w:r>
        <w:rPr>
          <w:rFonts w:ascii="Times New Roman" w:hAnsi="Times New Roman" w:hint="eastAsia"/>
          <w:sz w:val="28"/>
        </w:rPr>
        <w:t>1</w:t>
      </w:r>
      <w:r>
        <w:rPr>
          <w:rFonts w:ascii="Times New Roman" w:hAnsi="Times New Roman" w:hint="eastAsia"/>
          <w:sz w:val="28"/>
        </w:rPr>
        <w:fldChar w:fldCharType="end"/>
      </w:r>
      <w:r>
        <w:rPr>
          <w:rStyle w:val="26"/>
          <w:rFonts w:ascii="Times New Roman" w:hAnsi="Times New Roman" w:hint="eastAsia"/>
          <w:sz w:val="28"/>
          <w:u w:val="none"/>
        </w:rPr>
        <w:t>6</w:t>
      </w:r>
    </w:p>
    <w:p>
      <w:pPr>
        <w:pStyle w:val="22"/>
        <w:tabs>
          <w:tab w:val="right" w:leader="dot" w:pos="14789"/>
        </w:tabs>
        <w:jc w:val="center"/>
        <w:rPr>
          <w:rFonts w:ascii="Times New Roman" w:hAnsi="Times New Roman"/>
          <w:sz w:val="28"/>
        </w:rPr>
      </w:pPr>
      <w:r>
        <w:fldChar w:fldCharType="begin"/>
      </w:r>
      <w:r>
        <w:instrText xml:space="preserve"> HYPERLINK \l "_Toc68791542" </w:instrText>
      </w:r>
      <w:r>
        <w:fldChar w:fldCharType="separate"/>
      </w:r>
      <w:r>
        <w:rPr>
          <w:rFonts w:ascii="Times New Roman" w:eastAsia="方正仿宋_GBK" w:hAnsi="Times New Roman" w:hint="eastAsia"/>
          <w:sz w:val="28"/>
          <w:u w:val="none"/>
        </w:rPr>
        <w:t>部门预算政府基金预算财政拨款支出表</w:t>
      </w:r>
      <w:r>
        <w:rPr>
          <w:rFonts w:ascii="Times New Roman" w:eastAsia="方正仿宋_GBK" w:hAnsi="Times New Roman"/>
          <w:sz w:val="28"/>
        </w:rPr>
        <w:tab/>
      </w:r>
      <w:r>
        <w:rPr>
          <w:rFonts w:ascii="Times New Roman" w:hAnsi="Times New Roman" w:hint="eastAsia"/>
          <w:sz w:val="28"/>
        </w:rPr>
        <w:t>19</w:t>
      </w:r>
      <w:r>
        <w:rPr>
          <w:rFonts w:ascii="Times New Roman" w:hAnsi="Times New Roman" w:hint="eastAsia"/>
          <w:sz w:val="28"/>
        </w:rPr>
        <w:fldChar w:fldCharType="end"/>
      </w:r>
    </w:p>
    <w:p>
      <w:pPr>
        <w:pStyle w:val="22"/>
        <w:tabs>
          <w:tab w:val="right" w:leader="dot" w:pos="14789"/>
        </w:tabs>
        <w:jc w:val="center"/>
        <w:rPr>
          <w:rFonts w:ascii="Times New Roman" w:hAnsi="Times New Roman"/>
          <w:sz w:val="28"/>
        </w:rPr>
      </w:pPr>
      <w:r>
        <w:fldChar w:fldCharType="begin"/>
      </w:r>
      <w:r>
        <w:instrText xml:space="preserve"> HYPERLINK \l "_Toc68791543" </w:instrText>
      </w:r>
      <w:r>
        <w:fldChar w:fldCharType="separate"/>
      </w:r>
      <w:r>
        <w:rPr>
          <w:rFonts w:ascii="Times New Roman" w:eastAsia="方正仿宋_GBK" w:hAnsi="Times New Roman" w:hint="eastAsia"/>
          <w:sz w:val="28"/>
          <w:u w:val="none"/>
        </w:rPr>
        <w:t>部门预算国有资本经营预算财政拨款支出表</w:t>
      </w:r>
      <w:r>
        <w:rPr>
          <w:rFonts w:ascii="Times New Roman" w:eastAsia="方正仿宋_GBK" w:hAnsi="Times New Roman"/>
          <w:sz w:val="28"/>
        </w:rPr>
        <w:tab/>
      </w:r>
      <w:r>
        <w:rPr>
          <w:rFonts w:ascii="Times New Roman" w:eastAsia="方正仿宋_GBK" w:hAnsi="Times New Roman" w:hint="eastAsia"/>
          <w:sz w:val="28"/>
        </w:rPr>
        <w:t>2</w:t>
      </w:r>
      <w:r>
        <w:rPr>
          <w:rFonts w:ascii="Times New Roman" w:hAnsi="Times New Roman" w:hint="eastAsia"/>
          <w:sz w:val="28"/>
        </w:rPr>
        <w:t>0</w:t>
      </w:r>
      <w:r>
        <w:rPr>
          <w:rFonts w:ascii="Times New Roman" w:hAnsi="Times New Roman" w:hint="eastAsia"/>
          <w:sz w:val="28"/>
        </w:rPr>
        <w:fldChar w:fldCharType="end"/>
      </w:r>
    </w:p>
    <w:p>
      <w:pPr>
        <w:pStyle w:val="22"/>
        <w:tabs>
          <w:tab w:val="right" w:leader="dot" w:pos="14789"/>
        </w:tabs>
        <w:jc w:val="center"/>
        <w:rPr>
          <w:rFonts w:ascii="Times New Roman" w:hAnsi="Times New Roman"/>
          <w:sz w:val="28"/>
        </w:rPr>
      </w:pPr>
      <w:r>
        <w:fldChar w:fldCharType="begin"/>
      </w:r>
      <w:r>
        <w:instrText xml:space="preserve"> HYPERLINK \l "_Toc68791544" </w:instrText>
      </w:r>
      <w:r>
        <w:fldChar w:fldCharType="separate"/>
      </w:r>
      <w:r>
        <w:rPr>
          <w:rFonts w:ascii="Times New Roman" w:eastAsia="方正仿宋_GBK" w:hAnsi="Times New Roman" w:hint="eastAsia"/>
          <w:sz w:val="28"/>
          <w:u w:val="none"/>
        </w:rPr>
        <w:t>部门预算财政拨款“三公”经费支出表</w:t>
      </w:r>
      <w:r>
        <w:rPr>
          <w:rFonts w:ascii="Times New Roman" w:eastAsia="方正仿宋_GBK" w:hAnsi="Times New Roman"/>
          <w:sz w:val="28"/>
        </w:rPr>
        <w:tab/>
      </w:r>
      <w:r>
        <w:rPr>
          <w:rFonts w:ascii="Times New Roman" w:hAnsi="Times New Roman" w:hint="eastAsia"/>
          <w:sz w:val="28"/>
        </w:rPr>
        <w:t>2</w:t>
      </w:r>
      <w:r>
        <w:rPr>
          <w:rFonts w:ascii="Times New Roman" w:hAnsi="Times New Roman" w:hint="eastAsia"/>
          <w:sz w:val="28"/>
        </w:rPr>
        <w:fldChar w:fldCharType="end"/>
      </w:r>
      <w:r>
        <w:rPr>
          <w:rStyle w:val="26"/>
          <w:rFonts w:ascii="Times New Roman" w:hAnsi="Times New Roman" w:hint="eastAsia"/>
          <w:sz w:val="28"/>
          <w:u w:val="none"/>
        </w:rPr>
        <w:t>1</w:t>
      </w:r>
    </w:p>
    <w:p>
      <w:pPr>
        <w:ind w:leftChars="200" w:left="420"/>
        <w:jc w:val="center"/>
        <w:rPr>
          <w:rFonts w:ascii="Times New Roman" w:hAnsi="宋体"/>
        </w:rPr>
      </w:pPr>
      <w:r>
        <w:rPr>
          <w:rFonts w:ascii="Times New Roman" w:eastAsia="方正仿宋_GBK" w:hAnsi="Times New Roman"/>
          <w:sz w:val="28"/>
        </w:rPr>
        <w:fldChar w:fldCharType="end"/>
      </w:r>
    </w:p>
    <w:p>
      <w:pPr>
        <w:jc w:val="left"/>
        <w:rPr>
          <w:rFonts w:ascii="Times New Roman" w:hAnsi="宋体"/>
          <w:b/>
          <w:sz w:val="28"/>
        </w:rPr>
      </w:pPr>
      <w:r>
        <w:rPr>
          <w:rFonts w:ascii="方正楷体_GBK" w:eastAsia="方正楷体_GBK" w:hint="eastAsia"/>
          <w:b/>
          <w:sz w:val="28"/>
        </w:rPr>
        <w:t>部门预算信息公开情况说明</w:t>
      </w:r>
    </w:p>
    <w:p>
      <w:pPr>
        <w:pStyle w:val="15"/>
        <w:tabs>
          <w:tab w:val="right" w:leader="dot" w:pos="14789"/>
        </w:tabs>
        <w:ind w:leftChars="200" w:left="420"/>
        <w:jc w:val="center"/>
        <w:rPr>
          <w:rFonts w:ascii="Times New Roman" w:hAnsi="Times New Roman"/>
          <w:sz w:val="28"/>
        </w:rPr>
      </w:pPr>
      <w:r>
        <w:rPr>
          <w:rFonts w:ascii="Times New Roman" w:eastAsia="方正仿宋_GBK" w:hAnsi="Times New Roman"/>
          <w:sz w:val="28"/>
        </w:rPr>
        <w:fldChar w:fldCharType="begin"/>
      </w:r>
      <w:r>
        <w:rPr>
          <w:rFonts w:ascii="Times New Roman" w:eastAsia="方正仿宋_GBK" w:hAnsi="Times New Roman"/>
          <w:sz w:val="28"/>
        </w:rPr>
        <w:instrText xml:space="preserve"> TOC \o "3-3" \h \z \u \t "-1" </w:instrText>
      </w:r>
      <w:r>
        <w:rPr>
          <w:rFonts w:ascii="Times New Roman" w:eastAsia="方正仿宋_GBK" w:hAnsi="Times New Roman"/>
          <w:sz w:val="28"/>
        </w:rPr>
        <w:fldChar w:fldCharType="separate"/>
      </w:r>
      <w:r>
        <w:fldChar w:fldCharType="begin"/>
      </w:r>
      <w:r>
        <w:instrText xml:space="preserve"> HYPERLINK \l "_Toc68791545" </w:instrText>
      </w:r>
      <w:r>
        <w:fldChar w:fldCharType="separate"/>
      </w:r>
      <w:r>
        <w:rPr>
          <w:rFonts w:ascii="Times New Roman" w:eastAsia="方正仿宋_GBK" w:hAnsi="黑体" w:hint="eastAsia"/>
          <w:sz w:val="28"/>
          <w:u w:val="none"/>
        </w:rPr>
        <w:t>一、部门职责及机构设置情况</w:t>
      </w:r>
      <w:r>
        <w:rPr>
          <w:rFonts w:ascii="Times New Roman" w:eastAsia="方正仿宋_GBK" w:hAnsi="Times New Roman"/>
          <w:sz w:val="28"/>
        </w:rPr>
        <w:tab/>
      </w:r>
      <w:r>
        <w:rPr>
          <w:rFonts w:ascii="Times New Roman" w:hAnsi="Times New Roman" w:hint="eastAsia"/>
          <w:sz w:val="28"/>
        </w:rPr>
        <w:t>22</w:t>
      </w:r>
      <w:r>
        <w:rPr>
          <w:rFonts w:ascii="Times New Roman" w:hAnsi="Times New Roman" w:hint="eastAsia"/>
          <w:sz w:val="28"/>
        </w:rPr>
        <w:fldChar w:fldCharType="end"/>
      </w:r>
    </w:p>
    <w:p>
      <w:pPr>
        <w:pStyle w:val="15"/>
        <w:tabs>
          <w:tab w:val="right" w:leader="dot" w:pos="14789"/>
        </w:tabs>
        <w:ind w:leftChars="200" w:left="420"/>
        <w:jc w:val="center"/>
        <w:rPr>
          <w:rFonts w:ascii="Times New Roman" w:hAnsi="Times New Roman"/>
          <w:sz w:val="28"/>
        </w:rPr>
      </w:pPr>
      <w:r>
        <w:fldChar w:fldCharType="begin"/>
      </w:r>
      <w:r>
        <w:instrText xml:space="preserve"> HYPERLINK \l "_Toc68791546" </w:instrText>
      </w:r>
      <w:r>
        <w:fldChar w:fldCharType="separate"/>
      </w:r>
      <w:r>
        <w:rPr>
          <w:rFonts w:ascii="Times New Roman" w:eastAsia="方正仿宋_GBK" w:hAnsi="黑体" w:hint="eastAsia"/>
          <w:sz w:val="28"/>
          <w:u w:val="none"/>
        </w:rPr>
        <w:t>二、部门预算安排的总体情况</w:t>
      </w:r>
      <w:r>
        <w:rPr>
          <w:rFonts w:ascii="Times New Roman" w:eastAsia="方正仿宋_GBK" w:hAnsi="Times New Roman"/>
          <w:sz w:val="28"/>
        </w:rPr>
        <w:tab/>
      </w:r>
      <w:r>
        <w:rPr>
          <w:rFonts w:ascii="Times New Roman" w:eastAsia="方正仿宋_GBK" w:hAnsi="Times New Roman"/>
          <w:sz w:val="28"/>
        </w:rPr>
        <w:fldChar w:fldCharType="end"/>
      </w:r>
      <w:r>
        <w:rPr>
          <w:rFonts w:ascii="Times New Roman" w:hAnsi="Times New Roman" w:hint="eastAsia"/>
          <w:sz w:val="28"/>
        </w:rPr>
        <w:t>27</w:t>
      </w:r>
    </w:p>
    <w:p>
      <w:pPr>
        <w:pStyle w:val="15"/>
        <w:tabs>
          <w:tab w:val="right" w:leader="dot" w:pos="14789"/>
        </w:tabs>
        <w:ind w:leftChars="200" w:left="420"/>
        <w:jc w:val="center"/>
        <w:rPr>
          <w:rStyle w:val="26"/>
          <w:rFonts w:ascii="Times New Roman" w:eastAsia="方正仿宋_GBK" w:hAnsi="Times New Roman"/>
          <w:sz w:val="28"/>
          <w:u w:val="none"/>
        </w:rPr>
        <w:sectPr>
          <w:footerReference w:type="default" r:id="rId2"/>
          <w:pgSz w:w="16839" w:h="11907" w:orient="landscape"/>
          <w:pgMar w:top="680" w:right="1020" w:bottom="680" w:left="1020" w:header="851" w:footer="992" w:gutter="0"/>
          <w:cols w:num="1" w:space="720"/>
          <w:docGrid w:type="lines" w:linePitch="312" w:charSpace="0"/>
        </w:sectPr>
      </w:pPr>
    </w:p>
    <w:p>
      <w:pPr>
        <w:pStyle w:val="15"/>
        <w:tabs>
          <w:tab w:val="right" w:leader="dot" w:pos="14789"/>
        </w:tabs>
        <w:ind w:leftChars="200" w:left="420"/>
        <w:jc w:val="center"/>
        <w:rPr>
          <w:rFonts w:ascii="Times New Roman" w:hAnsi="Times New Roman"/>
          <w:sz w:val="28"/>
        </w:rPr>
      </w:pPr>
      <w:r>
        <w:fldChar w:fldCharType="begin"/>
      </w:r>
      <w:r>
        <w:instrText xml:space="preserve"> HYPERLINK \l "_Toc68791547" </w:instrText>
      </w:r>
      <w:r>
        <w:fldChar w:fldCharType="separate"/>
      </w:r>
      <w:r>
        <w:rPr>
          <w:rFonts w:ascii="Times New Roman" w:eastAsia="方正仿宋_GBK" w:hAnsi="黑体" w:hint="eastAsia"/>
          <w:sz w:val="28"/>
          <w:u w:val="none"/>
        </w:rPr>
        <w:t>三、机关运行经费安排情况</w:t>
      </w:r>
      <w:r>
        <w:rPr>
          <w:rFonts w:ascii="Times New Roman" w:eastAsia="方正仿宋_GBK" w:hAnsi="Times New Roman"/>
          <w:sz w:val="28"/>
        </w:rPr>
        <w:tab/>
      </w:r>
      <w:r>
        <w:rPr>
          <w:rFonts w:ascii="Times New Roman" w:eastAsia="方正仿宋_GBK" w:hAnsi="Times New Roman"/>
          <w:sz w:val="28"/>
        </w:rPr>
        <w:fldChar w:fldCharType="end"/>
      </w:r>
      <w:r>
        <w:rPr>
          <w:rFonts w:ascii="Times New Roman" w:hAnsi="Times New Roman" w:hint="eastAsia"/>
          <w:sz w:val="28"/>
        </w:rPr>
        <w:t>28</w:t>
      </w:r>
    </w:p>
    <w:p>
      <w:pPr>
        <w:pStyle w:val="15"/>
        <w:tabs>
          <w:tab w:val="right" w:leader="dot" w:pos="14789"/>
        </w:tabs>
        <w:ind w:leftChars="200" w:left="420"/>
        <w:jc w:val="center"/>
        <w:rPr>
          <w:rFonts w:ascii="Times New Roman" w:hAnsi="Times New Roman"/>
          <w:sz w:val="28"/>
        </w:rPr>
      </w:pPr>
      <w:r>
        <w:fldChar w:fldCharType="begin"/>
      </w:r>
      <w:r>
        <w:instrText xml:space="preserve"> HYPERLINK \l "_Toc68791548" </w:instrText>
      </w:r>
      <w:r>
        <w:fldChar w:fldCharType="separate"/>
      </w:r>
      <w:r>
        <w:rPr>
          <w:rFonts w:ascii="Times New Roman" w:eastAsia="方正仿宋_GBK" w:hAnsi="黑体" w:hint="eastAsia"/>
          <w:sz w:val="28"/>
          <w:u w:val="none"/>
        </w:rPr>
        <w:t>四、财政拨款</w:t>
      </w:r>
      <w:r>
        <w:rPr>
          <w:rFonts w:ascii="Times New Roman" w:eastAsia="方正仿宋_GBK" w:hAnsi="黑体"/>
          <w:sz w:val="28"/>
          <w:u w:val="none"/>
        </w:rPr>
        <w:t>“</w:t>
      </w:r>
      <w:r>
        <w:rPr>
          <w:rFonts w:ascii="Times New Roman" w:eastAsia="方正仿宋_GBK" w:hAnsi="黑体" w:hint="eastAsia"/>
          <w:sz w:val="28"/>
          <w:u w:val="none"/>
        </w:rPr>
        <w:t>三公</w:t>
      </w:r>
      <w:r>
        <w:rPr>
          <w:rFonts w:ascii="Times New Roman" w:eastAsia="方正仿宋_GBK" w:hAnsi="黑体"/>
          <w:sz w:val="28"/>
          <w:u w:val="none"/>
        </w:rPr>
        <w:t>”</w:t>
      </w:r>
      <w:r>
        <w:rPr>
          <w:rFonts w:ascii="Times New Roman" w:eastAsia="方正仿宋_GBK" w:hAnsi="黑体" w:hint="eastAsia"/>
          <w:sz w:val="28"/>
          <w:u w:val="none"/>
        </w:rPr>
        <w:t>经费预算情况及增减变化原因</w:t>
      </w:r>
      <w:r>
        <w:rPr>
          <w:rFonts w:ascii="Times New Roman" w:eastAsia="方正仿宋_GBK" w:hAnsi="Times New Roman"/>
          <w:sz w:val="28"/>
        </w:rPr>
        <w:tab/>
      </w:r>
      <w:r>
        <w:rPr>
          <w:rFonts w:ascii="Times New Roman" w:eastAsia="方正仿宋_GBK" w:hAnsi="Times New Roman"/>
          <w:sz w:val="28"/>
        </w:rPr>
        <w:fldChar w:fldCharType="end"/>
      </w:r>
      <w:r>
        <w:rPr>
          <w:rFonts w:ascii="Times New Roman" w:hAnsi="Times New Roman" w:hint="eastAsia"/>
          <w:sz w:val="28"/>
        </w:rPr>
        <w:t>29</w:t>
      </w:r>
    </w:p>
    <w:p>
      <w:pPr>
        <w:pStyle w:val="15"/>
        <w:tabs>
          <w:tab w:val="right" w:leader="dot" w:pos="14789"/>
        </w:tabs>
        <w:ind w:leftChars="200" w:left="420"/>
        <w:jc w:val="center"/>
        <w:rPr>
          <w:rFonts w:ascii="Times New Roman" w:hAnsi="Times New Roman"/>
          <w:sz w:val="28"/>
        </w:rPr>
      </w:pPr>
      <w:r>
        <w:fldChar w:fldCharType="begin"/>
      </w:r>
      <w:r>
        <w:instrText xml:space="preserve"> HYPERLINK \l "_Toc68791549" </w:instrText>
      </w:r>
      <w:r>
        <w:fldChar w:fldCharType="separate"/>
      </w:r>
      <w:r>
        <w:rPr>
          <w:rFonts w:ascii="Times New Roman" w:eastAsia="方正仿宋_GBK" w:hAnsi="黑体" w:hint="eastAsia"/>
          <w:sz w:val="28"/>
          <w:u w:val="none"/>
        </w:rPr>
        <w:t>五、预算绩效信息</w:t>
      </w:r>
      <w:r>
        <w:rPr>
          <w:rFonts w:ascii="Times New Roman" w:eastAsia="方正仿宋_GBK" w:hAnsi="Times New Roman"/>
          <w:sz w:val="28"/>
        </w:rPr>
        <w:tab/>
      </w:r>
      <w:r>
        <w:rPr>
          <w:rFonts w:ascii="Times New Roman" w:eastAsia="方正仿宋_GBK" w:hAnsi="Times New Roman"/>
          <w:sz w:val="28"/>
        </w:rPr>
        <w:fldChar w:fldCharType="end"/>
      </w:r>
      <w:r>
        <w:rPr>
          <w:rFonts w:ascii="Times New Roman" w:hAnsi="Times New Roman" w:hint="eastAsia"/>
          <w:sz w:val="28"/>
        </w:rPr>
        <w:t>29</w:t>
      </w:r>
    </w:p>
    <w:p>
      <w:pPr>
        <w:pStyle w:val="15"/>
        <w:tabs>
          <w:tab w:val="right" w:leader="dot" w:pos="14789"/>
        </w:tabs>
        <w:ind w:leftChars="200" w:left="420"/>
        <w:jc w:val="center"/>
        <w:rPr>
          <w:rFonts w:ascii="Times New Roman" w:eastAsia="宋体" w:hAnsi="Times New Roman" w:hint="eastAsia"/>
          <w:sz w:val="28"/>
        </w:rPr>
      </w:pPr>
      <w:r>
        <w:fldChar w:fldCharType="begin"/>
      </w:r>
      <w:r>
        <w:instrText xml:space="preserve"> HYPERLINK \l "_Toc68791550" </w:instrText>
      </w:r>
      <w:r>
        <w:fldChar w:fldCharType="separate"/>
      </w:r>
      <w:r>
        <w:rPr>
          <w:rFonts w:ascii="Times New Roman" w:eastAsia="方正仿宋_GBK" w:hAnsi="Times New Roman" w:hint="eastAsia"/>
          <w:sz w:val="28"/>
          <w:u w:val="none"/>
        </w:rPr>
        <w:t>六、政府采购预算情况</w:t>
      </w:r>
      <w:r>
        <w:rPr>
          <w:rFonts w:ascii="Times New Roman" w:eastAsia="方正仿宋_GBK" w:hAnsi="Times New Roman"/>
          <w:sz w:val="28"/>
        </w:rPr>
        <w:tab/>
      </w:r>
      <w:r>
        <w:rPr>
          <w:rFonts w:ascii="Times New Roman" w:eastAsia="方正仿宋_GBK" w:hAnsi="Times New Roman"/>
          <w:sz w:val="28"/>
        </w:rPr>
        <w:fldChar w:fldCharType="end"/>
      </w:r>
      <w:r>
        <w:rPr>
          <w:rFonts w:ascii="Times New Roman" w:eastAsia="宋体" w:hAnsi="Times New Roman" w:hint="eastAsia"/>
          <w:sz w:val="28"/>
        </w:rPr>
        <w:t>86</w:t>
      </w:r>
    </w:p>
    <w:p>
      <w:pPr>
        <w:pStyle w:val="15"/>
        <w:tabs>
          <w:tab w:val="right" w:leader="dot" w:pos="14789"/>
        </w:tabs>
        <w:ind w:leftChars="200" w:left="420"/>
        <w:jc w:val="center"/>
        <w:rPr>
          <w:rFonts w:ascii="Times New Roman" w:eastAsia="宋体" w:hAnsi="Times New Roman" w:hint="eastAsia"/>
          <w:sz w:val="28"/>
        </w:rPr>
      </w:pPr>
      <w:r>
        <w:fldChar w:fldCharType="begin"/>
      </w:r>
      <w:r>
        <w:instrText xml:space="preserve"> HYPERLINK \l "_Toc68791551" </w:instrText>
      </w:r>
      <w:r>
        <w:fldChar w:fldCharType="separate"/>
      </w:r>
      <w:r>
        <w:rPr>
          <w:rFonts w:ascii="Times New Roman" w:eastAsia="方正仿宋_GBK" w:hAnsi="黑体" w:hint="eastAsia"/>
          <w:sz w:val="28"/>
          <w:u w:val="none"/>
        </w:rPr>
        <w:t>七、国有资产信息</w:t>
      </w:r>
      <w:r>
        <w:rPr>
          <w:rFonts w:ascii="Times New Roman" w:eastAsia="方正仿宋_GBK" w:hAnsi="Times New Roman"/>
          <w:sz w:val="28"/>
        </w:rPr>
        <w:tab/>
      </w:r>
      <w:r>
        <w:rPr>
          <w:rFonts w:ascii="Times New Roman" w:eastAsia="方正仿宋_GBK" w:hAnsi="Times New Roman"/>
          <w:sz w:val="28"/>
        </w:rPr>
        <w:fldChar w:fldCharType="end"/>
      </w:r>
      <w:r>
        <w:rPr>
          <w:rFonts w:ascii="Times New Roman" w:eastAsia="宋体" w:hAnsi="Times New Roman" w:hint="eastAsia"/>
          <w:sz w:val="28"/>
        </w:rPr>
        <w:t>87</w:t>
      </w:r>
    </w:p>
    <w:p>
      <w:pPr>
        <w:pStyle w:val="15"/>
        <w:tabs>
          <w:tab w:val="right" w:leader="dot" w:pos="14789"/>
        </w:tabs>
        <w:ind w:leftChars="200" w:left="420"/>
        <w:jc w:val="center"/>
        <w:rPr>
          <w:rFonts w:ascii="Times New Roman" w:eastAsia="宋体" w:hAnsi="Times New Roman" w:hint="eastAsia"/>
          <w:sz w:val="28"/>
        </w:rPr>
      </w:pPr>
      <w:r>
        <w:fldChar w:fldCharType="begin"/>
      </w:r>
      <w:r>
        <w:instrText xml:space="preserve"> HYPERLINK \l "_Toc68791552" </w:instrText>
      </w:r>
      <w:r>
        <w:fldChar w:fldCharType="separate"/>
      </w:r>
      <w:r>
        <w:rPr>
          <w:rFonts w:ascii="Times New Roman" w:eastAsia="方正仿宋_GBK" w:hAnsi="黑体" w:hint="eastAsia"/>
          <w:sz w:val="28"/>
          <w:u w:val="none"/>
        </w:rPr>
        <w:t>八、名词解释</w:t>
      </w:r>
      <w:r>
        <w:rPr>
          <w:rFonts w:ascii="Times New Roman" w:eastAsia="方正仿宋_GBK" w:hAnsi="Times New Roman"/>
          <w:sz w:val="28"/>
        </w:rPr>
        <w:tab/>
      </w:r>
      <w:r>
        <w:rPr>
          <w:rFonts w:ascii="Times New Roman" w:eastAsia="方正仿宋_GBK" w:hAnsi="Times New Roman"/>
          <w:sz w:val="28"/>
        </w:rPr>
        <w:fldChar w:fldCharType="end"/>
      </w:r>
      <w:r>
        <w:rPr>
          <w:rFonts w:ascii="Times New Roman" w:eastAsia="宋体" w:hAnsi="Times New Roman" w:hint="eastAsia"/>
          <w:sz w:val="28"/>
        </w:rPr>
        <w:t>88</w:t>
      </w:r>
    </w:p>
    <w:p>
      <w:pPr>
        <w:pStyle w:val="15"/>
        <w:tabs>
          <w:tab w:val="right" w:leader="dot" w:pos="14789"/>
        </w:tabs>
        <w:ind w:leftChars="200" w:left="420"/>
        <w:jc w:val="center"/>
        <w:rPr>
          <w:rFonts w:ascii="Times New Roman" w:eastAsia="宋体" w:hAnsi="Times New Roman" w:hint="eastAsia"/>
          <w:sz w:val="28"/>
        </w:rPr>
      </w:pPr>
      <w:r>
        <w:fldChar w:fldCharType="begin"/>
      </w:r>
      <w:r>
        <w:instrText xml:space="preserve"> HYPERLINK \l "_Toc68791553" </w:instrText>
      </w:r>
      <w:r>
        <w:fldChar w:fldCharType="separate"/>
      </w:r>
      <w:r>
        <w:rPr>
          <w:rFonts w:ascii="Times New Roman" w:eastAsia="方正仿宋_GBK" w:hAnsi="黑体" w:hint="eastAsia"/>
          <w:sz w:val="28"/>
          <w:u w:val="none"/>
        </w:rPr>
        <w:t>九、其他需要说明的事项</w:t>
      </w:r>
      <w:r>
        <w:rPr>
          <w:rFonts w:ascii="Times New Roman" w:eastAsia="方正仿宋_GBK" w:hAnsi="Times New Roman"/>
          <w:sz w:val="28"/>
        </w:rPr>
        <w:tab/>
      </w:r>
      <w:r>
        <w:rPr>
          <w:rFonts w:ascii="Times New Roman" w:eastAsia="方正仿宋_GBK" w:hAnsi="Times New Roman"/>
          <w:sz w:val="28"/>
        </w:rPr>
        <w:fldChar w:fldCharType="end"/>
      </w:r>
      <w:r>
        <w:rPr>
          <w:rFonts w:ascii="Times New Roman" w:eastAsia="宋体" w:hAnsi="Times New Roman" w:hint="eastAsia"/>
          <w:sz w:val="28"/>
        </w:rPr>
        <w:t>89</w:t>
      </w:r>
    </w:p>
    <w:p>
      <w:pPr>
        <w:ind w:leftChars="200" w:left="420"/>
        <w:jc w:val="center"/>
        <w:rPr>
          <w:rFonts w:ascii="Times New Roman" w:hAnsi="宋体"/>
        </w:rPr>
      </w:pPr>
      <w:r>
        <w:rPr>
          <w:rFonts w:ascii="Times New Roman" w:eastAsia="方正仿宋_GBK" w:hAnsi="Times New Roman"/>
          <w:sz w:val="28"/>
        </w:rPr>
        <w:fldChar w:fldCharType="end"/>
      </w:r>
    </w:p>
    <w:p>
      <w:pPr>
        <w:pStyle w:val="20"/>
        <w:tabs>
          <w:tab w:val="right" w:leader="dot" w:pos="14789"/>
        </w:tabs>
        <w:ind w:leftChars="200" w:left="420"/>
        <w:jc w:val="center"/>
        <w:rPr>
          <w:rFonts w:ascii="Times New Roman" w:eastAsia="方正仿宋_GBK" w:hAnsi="Times New Roman"/>
          <w:sz w:val="28"/>
        </w:rPr>
      </w:pPr>
    </w:p>
    <w:p>
      <w:pPr>
        <w:ind w:leftChars="200" w:left="420"/>
        <w:jc w:val="center"/>
        <w:rPr>
          <w:rFonts w:ascii="Times New Roman" w:hAnsi="宋体"/>
        </w:rPr>
      </w:pPr>
    </w:p>
    <w:p>
      <w:pPr>
        <w:jc w:val="center"/>
      </w:pPr>
      <w:r>
        <w:rPr>
          <w:rFonts w:ascii="方正小标宋_GBK" w:eastAsia="方正小标宋_GBK"/>
          <w:sz w:val="44"/>
        </w:rPr>
        <w:t xml:space="preserve"> </w:t>
      </w:r>
    </w:p>
    <w:p>
      <w:pPr>
        <w:ind w:firstLineChars="200" w:firstLine="560"/>
        <w:jc w:val="left"/>
        <w:rPr>
          <w:rFonts w:ascii="Times New Roman" w:eastAsia="方正仿宋_GBK" w:hAnsi="Times New Roman"/>
          <w:sz w:val="28"/>
        </w:rPr>
      </w:pPr>
    </w:p>
    <w:p>
      <w:pPr>
        <w:spacing w:line="560" w:lineRule="exact"/>
        <w:jc w:val="left"/>
        <w:rPr>
          <w:rStyle w:val="26"/>
          <w:rFonts w:ascii="宋体" w:cs="宋体" w:hAnsi="宋体"/>
          <w:color w:val="auto"/>
          <w:sz w:val="28"/>
          <w:u w:val="none"/>
        </w:rPr>
      </w:pPr>
    </w:p>
    <w:p>
      <w:pPr>
        <w:spacing w:line="560" w:lineRule="exact"/>
        <w:jc w:val="left"/>
        <w:rPr>
          <w:rStyle w:val="26"/>
          <w:rFonts w:ascii="宋体" w:cs="宋体" w:hAnsi="宋体"/>
          <w:color w:val="auto"/>
          <w:sz w:val="28"/>
          <w:u w:val="none"/>
        </w:rPr>
      </w:pPr>
    </w:p>
    <w:p>
      <w:pPr>
        <w:spacing w:line="560" w:lineRule="exact"/>
        <w:jc w:val="left"/>
        <w:rPr>
          <w:rStyle w:val="26"/>
          <w:rFonts w:ascii="宋体" w:cs="宋体" w:hAnsi="宋体"/>
          <w:color w:val="auto"/>
          <w:sz w:val="28"/>
          <w:u w:val="none"/>
        </w:rPr>
        <w:sectPr>
          <w:footerReference w:type="default" r:id="rId3"/>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附表1-1</w:t>
      </w:r>
    </w:p>
    <w:p>
      <w:pPr>
        <w:spacing w:line="560" w:lineRule="exact"/>
        <w:jc w:val="center"/>
        <w:rPr>
          <w:rStyle w:val="26"/>
          <w:rFonts w:ascii="方正小标宋简体" w:eastAsia="方正小标宋简体" w:cs="方正小标宋简体" w:hAnsi="方正小标宋简体"/>
          <w:color w:val="auto"/>
          <w:sz w:val="44"/>
          <w:szCs w:val="44"/>
          <w:u w:val="none"/>
        </w:rPr>
      </w:pPr>
      <w:r>
        <w:rPr>
          <w:rStyle w:val="26"/>
          <w:rFonts w:ascii="方正小标宋简体" w:eastAsia="方正小标宋简体" w:cs="方正小标宋简体" w:hAnsi="方正小标宋简体" w:hint="eastAsia"/>
          <w:color w:val="auto"/>
          <w:sz w:val="44"/>
          <w:szCs w:val="44"/>
          <w:u w:val="none"/>
        </w:rPr>
        <w:t>部门预算收支总表</w:t>
      </w:r>
    </w:p>
    <w:p>
      <w:pPr>
        <w:spacing w:line="560" w:lineRule="exact"/>
        <w:ind w:firstLineChars="100" w:firstLine="280"/>
        <w:rPr>
          <w:rStyle w:val="26"/>
          <w:rFonts w:ascii="方正仿宋简体" w:eastAsia="方正仿宋简体" w:cs="方正仿宋简体" w:hAnsi="方正仿宋简体"/>
          <w:color w:val="auto"/>
          <w:sz w:val="28"/>
          <w:szCs w:val="28"/>
          <w:u w:val="none"/>
        </w:rPr>
      </w:pPr>
      <w:r>
        <w:rPr>
          <w:rStyle w:val="26"/>
          <w:rFonts w:ascii="方正仿宋简体" w:eastAsia="方正仿宋简体" w:cs="方正仿宋简体" w:hAnsi="方正仿宋简体" w:hint="eastAsia"/>
          <w:color w:val="auto"/>
          <w:sz w:val="28"/>
          <w:szCs w:val="28"/>
          <w:u w:val="none"/>
        </w:rPr>
        <w:t xml:space="preserve">361遵化市卫生健康局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tabs>
                <w:tab w:val="left" w:pos="453"/>
              </w:tabs>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序号</w:t>
            </w:r>
          </w:p>
        </w:tc>
        <w:tc>
          <w:tcPr>
            <w:tcW w:w="5790" w:type="dxa"/>
            <w:gridSpan w:val="2"/>
            <w:vAlign w:val="center"/>
          </w:tcPr>
          <w:p>
            <w:pPr>
              <w:spacing w:line="560" w:lineRule="exact"/>
              <w:ind w:firstLineChars="600" w:firstLine="1680"/>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收  入</w:t>
            </w:r>
          </w:p>
        </w:tc>
        <w:tc>
          <w:tcPr>
            <w:tcW w:w="7714" w:type="dxa"/>
            <w:gridSpan w:val="2"/>
            <w:vAlign w:val="center"/>
          </w:tcPr>
          <w:p>
            <w:pPr>
              <w:spacing w:line="560" w:lineRule="exact"/>
              <w:ind w:firstLineChars="800" w:firstLine="2240"/>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支  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项  目</w:t>
            </w:r>
          </w:p>
        </w:tc>
        <w:tc>
          <w:tcPr>
            <w:tcW w:w="153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预算数</w:t>
            </w:r>
          </w:p>
        </w:tc>
        <w:tc>
          <w:tcPr>
            <w:tcW w:w="549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项  目</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预算数</w:t>
            </w:r>
          </w:p>
        </w:tc>
      </w:tr>
      <w:tr>
        <w:trPr>
          <w:trHeight w:hRule="exact" w:val="510"/>
        </w:trPr>
        <w:tc>
          <w:tcPr>
            <w:tcW w:w="1236" w:type="dxa"/>
            <w:vAlign w:val="center"/>
          </w:tcPr>
          <w:p>
            <w:pPr>
              <w:jc w:val="center"/>
              <w:rPr>
                <w:rStyle w:val="26"/>
                <w:rFonts w:ascii="方正仿宋简体" w:eastAsia="方正仿宋简体" w:cs="方正仿宋简体" w:hAnsi="方正仿宋简体"/>
                <w:color w:val="auto"/>
                <w:sz w:val="28"/>
                <w:u w:val="none"/>
              </w:rPr>
            </w:pPr>
            <w:r>
              <w:rPr>
                <w:rFonts w:ascii="方正仿宋简体" w:eastAsia="方正仿宋简体" w:cs="方正仿宋简体" w:hAnsi="方正仿宋简体" w:hint="eastAsia"/>
                <w:sz w:val="28"/>
                <w:szCs w:val="28"/>
              </w:rPr>
              <w:t>栏</w:t>
            </w:r>
            <w:r>
              <w:rPr>
                <w:rStyle w:val="26"/>
                <w:rFonts w:ascii="方正仿宋简体" w:eastAsia="方正仿宋简体" w:cs="方正仿宋简体" w:hAnsi="方正仿宋简体" w:hint="eastAsia"/>
                <w:color w:val="auto"/>
                <w:sz w:val="28"/>
                <w:u w:val="none"/>
              </w:rPr>
              <w:t>次</w:t>
            </w:r>
          </w:p>
        </w:tc>
        <w:tc>
          <w:tcPr>
            <w:tcW w:w="426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153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549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一、一般公共预算拨款收入</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一、一般公共服务支出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二、政府性基金预算拨款收入</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二、外交支出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三、国有资本经营预算拨款收入</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三、国防支出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四、财政专户管理资金收入</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四、公共安全支出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五、事业收入</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五、教育支出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六、事业单位经营收入</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六、科学技术支出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七、上级补助收入</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七、文化旅游体育与传媒支出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八、附属单位上缴收入</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八、社会保障和就业支出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九、其他收入</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九、卫生健康支出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16399.6</w:t>
            </w: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w:t>
            </w:r>
          </w:p>
        </w:tc>
        <w:tc>
          <w:tcPr>
            <w:tcW w:w="426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十、节能环保支出</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w:t>
            </w:r>
          </w:p>
        </w:tc>
        <w:tc>
          <w:tcPr>
            <w:tcW w:w="426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十一、城乡社区支出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12</w:t>
            </w:r>
          </w:p>
        </w:tc>
        <w:tc>
          <w:tcPr>
            <w:tcW w:w="426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十二、农林水支出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w:t>
            </w:r>
          </w:p>
        </w:tc>
        <w:tc>
          <w:tcPr>
            <w:tcW w:w="426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十三、交通运输支出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vAlign w:val="center"/>
          </w:tcPr>
          <w:p>
            <w:pPr>
              <w:tabs>
                <w:tab w:val="left" w:pos="498"/>
              </w:tabs>
              <w:spacing w:line="560" w:lineRule="exact"/>
              <w:jc w:val="center"/>
              <w:rPr>
                <w:rStyle w:val="26"/>
                <w:rFonts w:ascii="方正仿宋简体" w:eastAsia="方正仿宋简体" w:cs="方正仿宋简体" w:hAnsi="方正仿宋简体"/>
                <w:color w:val="auto"/>
                <w:sz w:val="28"/>
                <w:u w:val="none"/>
              </w:rPr>
            </w:pPr>
            <w:r>
              <w:rPr>
                <w:rFonts w:ascii="方正仿宋简体" w:eastAsia="方正仿宋简体" w:cs="方正仿宋简体" w:hAnsi="方正仿宋简体" w:hint="eastAsia"/>
                <w:sz w:val="28"/>
                <w:szCs w:val="28"/>
              </w:rPr>
              <w:t>栏</w:t>
            </w:r>
            <w:r>
              <w:rPr>
                <w:rStyle w:val="26"/>
                <w:rFonts w:ascii="方正仿宋简体" w:eastAsia="方正仿宋简体" w:cs="方正仿宋简体" w:hAnsi="方正仿宋简体" w:hint="eastAsia"/>
                <w:color w:val="auto"/>
                <w:sz w:val="28"/>
                <w:u w:val="none"/>
              </w:rPr>
              <w:t>次</w:t>
            </w:r>
          </w:p>
        </w:tc>
        <w:tc>
          <w:tcPr>
            <w:tcW w:w="426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153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549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22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w:t>
            </w:r>
          </w:p>
        </w:tc>
        <w:tc>
          <w:tcPr>
            <w:tcW w:w="426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十四、资源勘探工业信息等支出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十五、商业服务业等支出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十六、金融支出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17</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十七、援助其他地区支出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十八、自然资源海洋气象等支出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十九、住房保障支出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二十、粮油物资储备支出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二十一、国有资本经营预算支出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二十二、灾害防治及应急管理支出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二十三、债务还本支出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二十四、债务付息支出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25</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二十五、债务发行费用支出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w:t>
            </w:r>
          </w:p>
        </w:tc>
        <w:tc>
          <w:tcPr>
            <w:tcW w:w="426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1530"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二十六、其他支出</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r>
      <w:tr>
        <w:trPr>
          <w:trHeight w:hRule="exact" w:val="510"/>
        </w:trPr>
        <w:tc>
          <w:tcPr>
            <w:tcW w:w="123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27</w:t>
            </w:r>
          </w:p>
        </w:tc>
        <w:tc>
          <w:tcPr>
            <w:tcW w:w="426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本年收入合计</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5495"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本年支出合计</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w:t>
            </w:r>
          </w:p>
        </w:tc>
        <w:tc>
          <w:tcPr>
            <w:tcW w:w="426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上年结转结余</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p>
        </w:tc>
        <w:tc>
          <w:tcPr>
            <w:tcW w:w="5495"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年终结转结余</w:t>
            </w:r>
          </w:p>
        </w:tc>
        <w:tc>
          <w:tcPr>
            <w:tcW w:w="22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510"/>
        </w:trPr>
        <w:tc>
          <w:tcPr>
            <w:tcW w:w="1236" w:type="dxa"/>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w:t>
            </w:r>
          </w:p>
        </w:tc>
        <w:tc>
          <w:tcPr>
            <w:tcW w:w="426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收入总计</w:t>
            </w:r>
          </w:p>
        </w:tc>
        <w:tc>
          <w:tcPr>
            <w:tcW w:w="1530"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5495"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支出总计</w:t>
            </w:r>
          </w:p>
        </w:tc>
        <w:tc>
          <w:tcPr>
            <w:tcW w:w="2219" w:type="dxa"/>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r>
    </w:tbl>
    <w:p>
      <w:pPr>
        <w:spacing w:line="560" w:lineRule="exact"/>
        <w:jc w:val="left"/>
        <w:rPr>
          <w:rStyle w:val="26"/>
          <w:rFonts w:ascii="宋体" w:cs="宋体" w:hAnsi="宋体"/>
          <w:color w:val="auto"/>
          <w:sz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附表1-2</w:t>
      </w:r>
    </w:p>
    <w:p>
      <w:pPr>
        <w:spacing w:line="560" w:lineRule="exact"/>
        <w:jc w:val="center"/>
        <w:rPr>
          <w:rStyle w:val="26"/>
          <w:rFonts w:ascii="方正小标宋简体" w:eastAsia="方正小标宋简体" w:cs="方正小标宋简体" w:hAnsi="方正小标宋简体"/>
          <w:color w:val="auto"/>
          <w:sz w:val="44"/>
          <w:szCs w:val="44"/>
          <w:u w:val="none"/>
        </w:rPr>
      </w:pPr>
      <w:r>
        <w:rPr>
          <w:rStyle w:val="26"/>
          <w:rFonts w:ascii="方正小标宋简体" w:eastAsia="方正小标宋简体" w:cs="方正小标宋简体" w:hAnsi="方正小标宋简体" w:hint="eastAsia"/>
          <w:color w:val="auto"/>
          <w:sz w:val="44"/>
          <w:szCs w:val="44"/>
          <w:u w:val="none"/>
        </w:rPr>
        <w:t>部门预算收入总表</w:t>
      </w:r>
    </w:p>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xml:space="preserve">361遵化市卫生健康局          </w:t>
        <w:tab/>
        <w:t xml:space="preserve">       预算年度：2022</w:t>
        <w:tab/>
        <w:t xml:space="preserve">                                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17"/>
        <w:gridCol w:w="1418"/>
        <w:gridCol w:w="2468"/>
        <w:gridCol w:w="1642"/>
        <w:gridCol w:w="1418"/>
        <w:gridCol w:w="1417"/>
        <w:gridCol w:w="709"/>
        <w:gridCol w:w="567"/>
        <w:gridCol w:w="709"/>
        <w:gridCol w:w="1134"/>
        <w:gridCol w:w="925"/>
        <w:gridCol w:w="917"/>
        <w:gridCol w:w="874"/>
      </w:tblGrid>
      <w:tr>
        <w:trPr>
          <w:cantSplit/>
          <w:trHeight w:val="369"/>
          <w:tblHeader/>
        </w:trPr>
        <w:tc>
          <w:tcPr>
            <w:tcW w:w="817" w:type="dxa"/>
            <w:vMerge w:val="restart"/>
            <w:vAlign w:val="center"/>
          </w:tcPr>
          <w:p>
            <w:pPr>
              <w:tabs>
                <w:tab w:val="left" w:pos="243"/>
              </w:tabs>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序号</w:t>
            </w:r>
          </w:p>
        </w:tc>
        <w:tc>
          <w:tcPr>
            <w:tcW w:w="3886" w:type="dxa"/>
            <w:gridSpan w:val="2"/>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  目</w:t>
            </w:r>
          </w:p>
        </w:tc>
        <w:tc>
          <w:tcPr>
            <w:tcW w:w="1642"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7796" w:type="dxa"/>
            <w:gridSpan w:val="8"/>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本年收入</w:t>
            </w:r>
          </w:p>
        </w:tc>
        <w:tc>
          <w:tcPr>
            <w:tcW w:w="874"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上年结转</w:t>
            </w:r>
          </w:p>
        </w:tc>
      </w:tr>
      <w:tr>
        <w:trPr>
          <w:cantSplit/>
          <w:trHeight w:hRule="exact" w:val="2291"/>
          <w:tblHeader/>
        </w:trPr>
        <w:tc>
          <w:tcPr>
            <w:tcW w:w="817" w:type="dxa"/>
            <w:vMerge/>
            <w:vAlign w:val="center"/>
          </w:tcP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功能科目编码</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科目名称</w:t>
            </w:r>
          </w:p>
        </w:tc>
        <w:tc>
          <w:tcPr>
            <w:tcW w:w="1642" w:type="dxa"/>
            <w:vMerge/>
            <w:tcBorders>
              <w:left w:val="single" w:sz="6" w:space="0" w:color="000000"/>
            </w:tcBorders>
            <w:vAlign w:val="center"/>
          </w:tcP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小计</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财政拨款收入</w:t>
            </w:r>
          </w:p>
        </w:tc>
        <w:tc>
          <w:tcPr>
            <w:tcW w:w="70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财政专户收入</w:t>
            </w:r>
          </w:p>
        </w:tc>
        <w:tc>
          <w:tcPr>
            <w:tcW w:w="5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事业收入</w:t>
            </w:r>
          </w:p>
        </w:tc>
        <w:tc>
          <w:tcPr>
            <w:tcW w:w="70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经营收入</w:t>
            </w:r>
          </w:p>
        </w:tc>
        <w:tc>
          <w:tcPr>
            <w:tcW w:w="113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上级补助收入</w:t>
            </w:r>
          </w:p>
        </w:tc>
        <w:tc>
          <w:tcPr>
            <w:tcW w:w="9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附属单位上缴收入</w:t>
            </w:r>
          </w:p>
        </w:tc>
        <w:tc>
          <w:tcPr>
            <w:tcW w:w="9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其他收入</w:t>
            </w:r>
          </w:p>
        </w:tc>
        <w:tc>
          <w:tcPr>
            <w:tcW w:w="874" w:type="dxa"/>
            <w:vMerge/>
            <w:tcBorders>
              <w:left w:val="single" w:sz="6" w:space="0" w:color="000000"/>
            </w:tcBorders>
            <w:vAlign w:val="center"/>
          </w:tc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栏次</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70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5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c>
          <w:tcPr>
            <w:tcW w:w="70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w:t>
            </w:r>
          </w:p>
        </w:tc>
        <w:tc>
          <w:tcPr>
            <w:tcW w:w="113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9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w:t>
            </w:r>
          </w:p>
        </w:tc>
        <w:tc>
          <w:tcPr>
            <w:tcW w:w="9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w:t>
            </w:r>
          </w:p>
        </w:tc>
        <w:tc>
          <w:tcPr>
            <w:tcW w:w="87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12</w:t>
            </w:r>
          </w:p>
        </w:tc>
      </w:tr>
      <w:tr>
        <w:trPr>
          <w:cantSplit/>
          <w:trHeight w:hRule="exact" w:val="510"/>
        </w:trPr>
        <w:tc>
          <w:tcPr>
            <w:tcW w:w="817" w:type="dxa"/>
            <w:vAlign w:val="center"/>
          </w:tcPr>
          <w:p>
            <w:pPr>
              <w:spacing w:line="560" w:lineRule="exact"/>
              <w:jc w:val="center"/>
              <w:rPr>
                <w:rStyle w:val="26"/>
                <w:rFonts w:cs="方正仿宋简体" w:hAnsi="方正仿宋简体"/>
                <w:color w:val="auto"/>
                <w:sz w:val="28"/>
                <w:u w:val="none"/>
              </w:rPr>
            </w:pPr>
            <w:r>
              <w:rPr>
                <w:rStyle w:val="26"/>
                <w:rFonts w:cs="方正仿宋简体" w:hAnsi="方正仿宋简体" w:hint="eastAsia"/>
                <w:color w:val="auto"/>
                <w:sz w:val="28"/>
                <w:u w:val="none"/>
              </w:rPr>
              <w:t>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70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cs="方正仿宋简体" w:hAnsi="方正仿宋简体"/>
                <w:color w:val="auto"/>
                <w:sz w:val="28"/>
                <w:u w:val="none"/>
              </w:rPr>
            </w:pPr>
            <w:r>
              <w:rPr>
                <w:rStyle w:val="26"/>
                <w:rFonts w:cs="方正仿宋简体" w:hAnsi="方正仿宋简体" w:hint="eastAsia"/>
                <w:color w:val="auto"/>
                <w:sz w:val="28"/>
                <w:u w:val="none"/>
              </w:rPr>
              <w:t>2</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社会保障和就业支出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cs="方正仿宋简体" w:hAnsi="方正仿宋简体"/>
                <w:color w:val="auto"/>
                <w:sz w:val="28"/>
                <w:u w:val="none"/>
              </w:rPr>
            </w:pPr>
            <w:r>
              <w:rPr>
                <w:rStyle w:val="26"/>
                <w:rFonts w:cs="方正仿宋简体" w:hAnsi="方正仿宋简体" w:hint="eastAsia"/>
                <w:color w:val="auto"/>
                <w:sz w:val="28"/>
                <w:u w:val="none"/>
              </w:rPr>
              <w:t>3</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20805</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行政事业单位养老支出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cs="方正仿宋简体" w:hAnsi="方正仿宋简体"/>
                <w:color w:val="auto"/>
                <w:sz w:val="28"/>
                <w:u w:val="none"/>
              </w:rPr>
            </w:pPr>
            <w:r>
              <w:rPr>
                <w:rStyle w:val="26"/>
                <w:rFonts w:cs="方正仿宋简体" w:hAnsi="方正仿宋简体" w:hint="eastAsia"/>
                <w:color w:val="auto"/>
                <w:sz w:val="28"/>
                <w:u w:val="none"/>
              </w:rPr>
              <w:t>4</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2080505</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机关事业单位基本养老保险缴费支出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cs="方正仿宋简体" w:hAnsi="方正仿宋简体"/>
                <w:color w:val="auto"/>
                <w:sz w:val="28"/>
                <w:u w:val="none"/>
              </w:rPr>
            </w:pPr>
            <w:r>
              <w:rPr>
                <w:rStyle w:val="26"/>
                <w:rFonts w:cs="方正仿宋简体" w:hAnsi="方正仿宋简体" w:hint="eastAsia"/>
                <w:color w:val="auto"/>
                <w:sz w:val="28"/>
                <w:u w:val="none"/>
              </w:rPr>
              <w:t>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2080506</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机关事业单位职业年金缴费支出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cs="方正仿宋简体" w:hAnsi="方正仿宋简体"/>
                <w:color w:val="auto"/>
                <w:sz w:val="28"/>
                <w:u w:val="none"/>
              </w:rPr>
            </w:pPr>
            <w:r>
              <w:rPr>
                <w:rStyle w:val="26"/>
                <w:rFonts w:cs="方正仿宋简体" w:hAnsi="方正仿宋简体" w:hint="eastAsia"/>
                <w:color w:val="auto"/>
                <w:sz w:val="28"/>
                <w:u w:val="none"/>
              </w:rPr>
              <w:t>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卫生健康支出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16399.6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16399.6</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16399.6</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846"/>
        </w:trPr>
        <w:tc>
          <w:tcPr>
            <w:tcW w:w="817" w:type="dxa"/>
            <w:vAlign w:val="center"/>
          </w:tcPr>
          <w:p>
            <w:pPr>
              <w:spacing w:line="560" w:lineRule="exact"/>
              <w:jc w:val="center"/>
              <w:rPr>
                <w:rStyle w:val="26"/>
                <w:rFonts w:cs="方正仿宋简体" w:hAnsi="方正仿宋简体"/>
                <w:color w:val="auto"/>
                <w:sz w:val="28"/>
                <w:u w:val="none"/>
              </w:rPr>
            </w:pPr>
            <w:r>
              <w:rPr>
                <w:rStyle w:val="26"/>
                <w:rFonts w:cs="方正仿宋简体" w:hAnsi="方正仿宋简体" w:hint="eastAsia"/>
                <w:color w:val="auto"/>
                <w:sz w:val="28"/>
                <w:u w:val="none"/>
              </w:rPr>
              <w:t>7</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卫生健康管理事务</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1682.93</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1682.93</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1682.93</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703"/>
        </w:trPr>
        <w:tc>
          <w:tcPr>
            <w:tcW w:w="817" w:type="dxa"/>
            <w:vAlign w:val="center"/>
          </w:tcPr>
          <w:p>
            <w:pPr>
              <w:spacing w:line="560" w:lineRule="exact"/>
              <w:jc w:val="center"/>
              <w:rPr>
                <w:rStyle w:val="26"/>
                <w:rFonts w:cs="方正仿宋简体" w:hAnsi="方正仿宋简体"/>
                <w:color w:val="auto"/>
                <w:sz w:val="28"/>
                <w:u w:val="none"/>
              </w:rPr>
            </w:pPr>
            <w:r>
              <w:rPr>
                <w:rStyle w:val="26"/>
                <w:rFonts w:cs="方正仿宋简体" w:hAnsi="方正仿宋简体" w:hint="eastAsia"/>
                <w:color w:val="auto"/>
                <w:sz w:val="28"/>
                <w:u w:val="none"/>
              </w:rPr>
              <w:t>8</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2100101</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行政运行</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775.48</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775.48</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775.48</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60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2100102</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一般行政管理事务</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w:t>
            </w:r>
          </w:p>
        </w:tc>
        <w:tc>
          <w:tcPr>
            <w:tcW w:w="709" w:type="dxa"/>
            <w:tcBorders>
              <w:left w:val="single" w:sz="6" w:space="0" w:color="000000"/>
            </w:tcBorders>
            <w:vAlign w:val="center"/>
          </w:tcPr>
          <w:p>
            <w:pPr>
              <w:spacing w:line="560" w:lineRule="exact"/>
              <w:jc w:val="center"/>
              <w:rPr>
                <w:rStyle w:val="26"/>
                <w:color w:val="auto"/>
                <w:u w:val="none"/>
              </w:rPr>
            </w:pPr>
            <w:r>
              <w:rPr>
                <w:rStyle w:val="26"/>
                <w:rFonts w:ascii="方正仿宋简体" w:eastAsia="方正仿宋简体" w:cs="方正仿宋简体" w:hAnsi="方正仿宋简体" w:hint="eastAsia"/>
                <w:color w:val="auto"/>
                <w:sz w:val="28"/>
                <w:u w:val="none"/>
              </w:rPr>
              <w:t>6</w:t>
            </w:r>
          </w:p>
        </w:tc>
        <w:tc>
          <w:tcPr>
            <w:tcW w:w="567" w:type="dxa"/>
            <w:tcBorders>
              <w:left w:val="single" w:sz="6" w:space="0" w:color="000000"/>
            </w:tcBorders>
            <w:vAlign w:val="center"/>
          </w:tcPr>
          <w:p>
            <w:pPr>
              <w:spacing w:line="560" w:lineRule="exact"/>
              <w:jc w:val="center"/>
              <w:rPr>
                <w:rStyle w:val="26"/>
                <w:color w:val="auto"/>
                <w:u w:val="none"/>
              </w:rPr>
            </w:pPr>
            <w:r>
              <w:rPr>
                <w:rStyle w:val="26"/>
                <w:rFonts w:ascii="方正仿宋简体" w:eastAsia="方正仿宋简体" w:cs="方正仿宋简体" w:hAnsi="方正仿宋简体" w:hint="eastAsia"/>
                <w:color w:val="auto"/>
                <w:sz w:val="28"/>
                <w:u w:val="none"/>
              </w:rPr>
              <w:t>7</w:t>
            </w:r>
          </w:p>
        </w:tc>
        <w:tc>
          <w:tcPr>
            <w:tcW w:w="709" w:type="dxa"/>
            <w:tcBorders>
              <w:left w:val="single" w:sz="6" w:space="0" w:color="000000"/>
            </w:tcBorders>
            <w:vAlign w:val="center"/>
          </w:tcPr>
          <w:p>
            <w:pPr>
              <w:spacing w:line="560" w:lineRule="exact"/>
              <w:jc w:val="center"/>
              <w:rPr>
                <w:rStyle w:val="26"/>
                <w:color w:val="auto"/>
                <w:u w:val="none"/>
              </w:rPr>
            </w:pPr>
            <w:r>
              <w:rPr>
                <w:rStyle w:val="26"/>
                <w:rFonts w:ascii="方正仿宋简体" w:eastAsia="方正仿宋简体" w:cs="方正仿宋简体" w:hAnsi="方正仿宋简体" w:hint="eastAsia"/>
                <w:color w:val="auto"/>
                <w:sz w:val="28"/>
                <w:u w:val="none"/>
              </w:rPr>
              <w:t>8</w:t>
            </w:r>
          </w:p>
        </w:tc>
        <w:tc>
          <w:tcPr>
            <w:tcW w:w="1134" w:type="dxa"/>
            <w:tcBorders>
              <w:left w:val="single" w:sz="6" w:space="0" w:color="000000"/>
            </w:tcBorders>
            <w:vAlign w:val="center"/>
          </w:tcPr>
          <w:p>
            <w:pPr>
              <w:spacing w:line="560" w:lineRule="exact"/>
              <w:jc w:val="center"/>
              <w:rPr>
                <w:rStyle w:val="26"/>
                <w:color w:val="auto"/>
                <w:u w:val="none"/>
              </w:rPr>
            </w:pPr>
            <w:r>
              <w:rPr>
                <w:rStyle w:val="26"/>
                <w:rFonts w:ascii="方正仿宋简体" w:eastAsia="方正仿宋简体" w:cs="方正仿宋简体" w:hAnsi="方正仿宋简体" w:hint="eastAsia"/>
                <w:color w:val="auto"/>
                <w:sz w:val="28"/>
                <w:u w:val="none"/>
              </w:rPr>
              <w:t>9</w:t>
            </w:r>
          </w:p>
        </w:tc>
        <w:tc>
          <w:tcPr>
            <w:tcW w:w="925" w:type="dxa"/>
            <w:tcBorders>
              <w:left w:val="single" w:sz="6" w:space="0" w:color="000000"/>
            </w:tcBorders>
            <w:vAlign w:val="center"/>
          </w:tcPr>
          <w:p>
            <w:pPr>
              <w:spacing w:line="560" w:lineRule="exact"/>
              <w:jc w:val="center"/>
              <w:rPr>
                <w:rStyle w:val="26"/>
                <w:color w:val="auto"/>
                <w:u w:val="none"/>
              </w:rPr>
            </w:pPr>
            <w:r>
              <w:rPr>
                <w:rStyle w:val="26"/>
                <w:rFonts w:ascii="方正仿宋简体" w:eastAsia="方正仿宋简体" w:cs="方正仿宋简体" w:hAnsi="方正仿宋简体" w:hint="eastAsia"/>
                <w:color w:val="auto"/>
                <w:sz w:val="28"/>
                <w:u w:val="none"/>
              </w:rPr>
              <w:t>10</w:t>
            </w:r>
          </w:p>
        </w:tc>
        <w:tc>
          <w:tcPr>
            <w:tcW w:w="917" w:type="dxa"/>
            <w:tcBorders>
              <w:left w:val="single" w:sz="6" w:space="0" w:color="000000"/>
            </w:tcBorders>
            <w:vAlign w:val="center"/>
          </w:tcPr>
          <w:p>
            <w:pPr>
              <w:spacing w:line="560" w:lineRule="exact"/>
              <w:jc w:val="center"/>
              <w:rPr>
                <w:rStyle w:val="26"/>
                <w:color w:val="auto"/>
                <w:u w:val="none"/>
              </w:rPr>
            </w:pPr>
            <w:r>
              <w:rPr>
                <w:rStyle w:val="26"/>
                <w:rFonts w:ascii="方正仿宋简体" w:eastAsia="方正仿宋简体" w:cs="方正仿宋简体" w:hAnsi="方正仿宋简体" w:hint="eastAsia"/>
                <w:color w:val="auto"/>
                <w:sz w:val="28"/>
                <w:u w:val="none"/>
              </w:rPr>
              <w:t>11</w:t>
            </w:r>
          </w:p>
        </w:tc>
        <w:tc>
          <w:tcPr>
            <w:tcW w:w="874" w:type="dxa"/>
            <w:tcBorders>
              <w:left w:val="single" w:sz="6" w:space="0" w:color="000000"/>
            </w:tcBorders>
            <w:vAlign w:val="center"/>
          </w:tcPr>
          <w:p>
            <w:pPr>
              <w:spacing w:line="560" w:lineRule="exact"/>
              <w:jc w:val="center"/>
              <w:rPr>
                <w:rStyle w:val="26"/>
                <w:color w:val="auto"/>
                <w:u w:val="none"/>
              </w:rPr>
            </w:pPr>
            <w:r>
              <w:rPr>
                <w:rStyle w:val="26"/>
                <w:rFonts w:ascii="方正仿宋简体" w:eastAsia="方正仿宋简体" w:cs="方正仿宋简体" w:hAnsi="方正仿宋简体" w:hint="eastAsia"/>
                <w:color w:val="auto"/>
                <w:sz w:val="28"/>
                <w:u w:val="none"/>
              </w:rPr>
              <w:t>12</w:t>
            </w:r>
          </w:p>
        </w:tc>
      </w:tr>
      <w:tr>
        <w:trPr>
          <w:cantSplit/>
          <w:trHeight w:hRule="exact" w:val="114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2100199</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其他卫生健康管理事务支出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846.45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846.45</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846.45</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666"/>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21002</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公立医院</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12</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2100299</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其他公立医院支出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21003</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基层医疗卫生机构</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2668.32</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2668.32</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2668.32</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2100302</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乡镇卫生院</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1876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1876</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1876</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2100399</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其他基层医疗卫生机构支出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792.32</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792.32</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792.32</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公共卫生</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7326.38</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7326.38</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7326.38</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17</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2100401</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疾病预防控制机构</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542.06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542.06</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542.06</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2100402</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卫生监督机构</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326.55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326.55</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326.55</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2100403</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妇幼保健机构</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133.9</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133.9</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133.9</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2100408</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基本公共卫生服务</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5865.66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5865.66</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5865.66</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2100409</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重大公共卫生服务</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192.85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192.85</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192.85</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2100410</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突发公共卫生事件应急处理</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110</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110</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110</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2100499</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其他公共卫生支出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155.36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155.36</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155.36</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21006</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中医药</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2100699</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其他中医药支出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21007</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计划生育事务</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3114.97</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3114.97</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3114.97</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27</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2100717</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计划生育服务</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2894.45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2894.45</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2894.45</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2100799</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其他计划生育事务支出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220.52</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220.52</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220.52</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21011</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行政事业单位医疗</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315.5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315.5</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315.5</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2101101</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行政单位医疗</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308.53</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308.53</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308.53</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2101102</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事业单位医疗</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21013</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医疗救助</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33</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2101302</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疾病应急救助</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34</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221</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住房保障支出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35</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22102</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住房改革支出</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817"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36</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2210201</w:t>
            </w:r>
          </w:p>
        </w:tc>
        <w:tc>
          <w:tcPr>
            <w:tcW w:w="246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住房公积金</w:t>
            </w:r>
          </w:p>
        </w:tc>
        <w:tc>
          <w:tcPr>
            <w:tcW w:w="164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18"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1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5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70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13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1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87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bl>
    <w:p>
      <w:pPr>
        <w:spacing w:line="560" w:lineRule="exact"/>
        <w:jc w:val="left"/>
        <w:rPr>
          <w:rStyle w:val="26"/>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附表1-3</w:t>
      </w:r>
    </w:p>
    <w:p>
      <w:pPr>
        <w:spacing w:line="560" w:lineRule="exact"/>
        <w:jc w:val="center"/>
        <w:rPr>
          <w:rStyle w:val="26"/>
          <w:rFonts w:ascii="方正小标宋简体" w:eastAsia="方正小标宋简体" w:cs="方正小标宋简体" w:hAnsi="方正小标宋简体"/>
          <w:color w:val="auto"/>
          <w:sz w:val="44"/>
          <w:szCs w:val="44"/>
          <w:u w:val="none"/>
        </w:rPr>
      </w:pPr>
      <w:r>
        <w:rPr>
          <w:rStyle w:val="26"/>
          <w:rFonts w:ascii="方正小标宋简体" w:eastAsia="方正小标宋简体" w:cs="方正小标宋简体" w:hAnsi="方正小标宋简体" w:hint="eastAsia"/>
          <w:color w:val="auto"/>
          <w:sz w:val="44"/>
          <w:szCs w:val="44"/>
          <w:u w:val="none"/>
        </w:rPr>
        <w:t>部门预算支出总表</w:t>
      </w:r>
    </w:p>
    <w:p>
      <w:pPr>
        <w:spacing w:line="560" w:lineRule="exact"/>
        <w:ind w:firstLineChars="100" w:firstLine="280"/>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xml:space="preserve">361遵化市卫生健康局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vAlign w:val="center"/>
          </w:tcPr>
          <w:p>
            <w:pPr>
              <w:tabs>
                <w:tab w:val="left" w:pos="408"/>
              </w:tabs>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序号</w:t>
            </w:r>
          </w:p>
        </w:tc>
        <w:tc>
          <w:tcPr>
            <w:tcW w:w="6210" w:type="dxa"/>
            <w:gridSpan w:val="2"/>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  目</w:t>
            </w:r>
          </w:p>
        </w:tc>
        <w:tc>
          <w:tcPr>
            <w:tcW w:w="1455"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本年支出合计</w:t>
            </w:r>
          </w:p>
        </w:tc>
        <w:tc>
          <w:tcPr>
            <w:tcW w:w="1410"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基本支出</w:t>
            </w:r>
          </w:p>
        </w:tc>
        <w:tc>
          <w:tcPr>
            <w:tcW w:w="1380"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项目支出</w:t>
            </w:r>
          </w:p>
        </w:tc>
        <w:tc>
          <w:tcPr>
            <w:tcW w:w="960"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经营支出</w:t>
            </w:r>
          </w:p>
        </w:tc>
        <w:tc>
          <w:tcPr>
            <w:tcW w:w="900"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上缴上级支出</w:t>
            </w:r>
          </w:p>
        </w:tc>
        <w:tc>
          <w:tcPr>
            <w:tcW w:w="1354"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对附属单位补助支出</w:t>
            </w:r>
          </w:p>
        </w:tc>
      </w:tr>
      <w:tr>
        <w:trPr>
          <w:cantSplit/>
          <w:trHeight w:hRule="exact" w:val="1185"/>
          <w:tblHeader/>
        </w:trPr>
        <w:tc>
          <w:tcPr>
            <w:tcW w:w="1071" w:type="dxa"/>
            <w:vMerge/>
            <w:vAlign w:val="center"/>
          </w:tcPr>
          <w:p/>
        </w:tc>
        <w:tc>
          <w:tcPr>
            <w:tcW w:w="136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功能分类科目编码</w:t>
            </w:r>
          </w:p>
        </w:tc>
        <w:tc>
          <w:tcPr>
            <w:tcW w:w="484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380" w:type="dxa"/>
            <w:vMerge/>
            <w:tcBorders>
              <w:left w:val="single" w:sz="6" w:space="0" w:color="000000"/>
            </w:tcBorders>
            <w:vAlign w:val="center"/>
          </w:tcPr>
          <w:p/>
        </w:tc>
        <w:tc>
          <w:tcPr>
            <w:tcW w:w="960"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栏次</w:t>
            </w:r>
          </w:p>
        </w:tc>
        <w:tc>
          <w:tcPr>
            <w:tcW w:w="136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484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145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14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13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96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90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c>
          <w:tcPr>
            <w:tcW w:w="135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w:t>
            </w: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2498.71</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14344.11</w:t>
            </w:r>
          </w:p>
        </w:tc>
        <w:tc>
          <w:tcPr>
            <w:tcW w:w="96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社会保障和就业支出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20805</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行政事业单位养老支出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2080505</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机关事业单位基本养老保险缴费支出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2080506</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机关事业单位职业年金缴费支出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卫生健康支出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16399.6</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2055.49</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14344.11</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卫生健康管理事务</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1682.93</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775.48</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907.45</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2100101</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行政运行</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775.48</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775.48</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2100102</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一般行政管理事务</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2100199</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其他卫生健康管理事务支出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846.45</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846.45</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21002</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公立医院</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12</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2100299</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其他公立医院支出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960" w:type="dxa"/>
            <w:tcBorders>
              <w:left w:val="single" w:sz="6" w:space="0" w:color="000000"/>
            </w:tcBorders>
            <w:vAlign w:val="center"/>
          </w:tcPr>
          <w:p>
            <w:pPr>
              <w:spacing w:line="560" w:lineRule="exact"/>
              <w:jc w:val="center"/>
              <w:rPr>
                <w:rStyle w:val="26"/>
                <w:color w:val="auto"/>
                <w:u w:val="none"/>
                <w:highlight w:val="red"/>
              </w:rPr>
            </w:pPr>
          </w:p>
        </w:tc>
        <w:tc>
          <w:tcPr>
            <w:tcW w:w="900" w:type="dxa"/>
            <w:tcBorders>
              <w:left w:val="single" w:sz="6" w:space="0" w:color="000000"/>
            </w:tcBorders>
            <w:vAlign w:val="center"/>
          </w:tcPr>
          <w:p>
            <w:pPr>
              <w:spacing w:line="560" w:lineRule="exact"/>
              <w:jc w:val="center"/>
              <w:rPr>
                <w:rStyle w:val="26"/>
                <w:color w:val="auto"/>
                <w:u w:val="none"/>
                <w:highlight w:val="red"/>
              </w:rPr>
            </w:pPr>
          </w:p>
        </w:tc>
        <w:tc>
          <w:tcPr>
            <w:tcW w:w="1354" w:type="dxa"/>
            <w:tcBorders>
              <w:left w:val="single" w:sz="6" w:space="0" w:color="000000"/>
            </w:tcBorders>
            <w:vAlign w:val="center"/>
          </w:tcPr>
          <w:p>
            <w:pPr>
              <w:spacing w:line="560" w:lineRule="exact"/>
              <w:jc w:val="center"/>
              <w:rPr>
                <w:rStyle w:val="26"/>
                <w:color w:val="auto"/>
                <w:u w:val="none"/>
                <w:highlight w:val="red"/>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21003</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基层医疗卫生机构</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2668.32</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2668.32</w:t>
            </w:r>
          </w:p>
        </w:tc>
        <w:tc>
          <w:tcPr>
            <w:tcW w:w="960" w:type="dxa"/>
            <w:tcBorders>
              <w:left w:val="single" w:sz="6" w:space="0" w:color="000000"/>
            </w:tcBorders>
            <w:vAlign w:val="center"/>
          </w:tcPr>
          <w:p>
            <w:pPr>
              <w:spacing w:line="560" w:lineRule="exact"/>
              <w:jc w:val="left"/>
              <w:rPr>
                <w:rStyle w:val="26"/>
                <w:color w:val="auto"/>
                <w:u w:val="none"/>
              </w:rPr>
            </w:pPr>
          </w:p>
        </w:tc>
        <w:tc>
          <w:tcPr>
            <w:tcW w:w="900" w:type="dxa"/>
            <w:tcBorders>
              <w:left w:val="single" w:sz="6" w:space="0" w:color="000000"/>
            </w:tcBorders>
            <w:vAlign w:val="center"/>
          </w:tcPr>
          <w:p>
            <w:pPr>
              <w:spacing w:line="560" w:lineRule="exact"/>
              <w:jc w:val="left"/>
              <w:rPr>
                <w:rStyle w:val="26"/>
                <w:color w:val="auto"/>
                <w:u w:val="none"/>
              </w:rPr>
            </w:pPr>
          </w:p>
        </w:tc>
        <w:tc>
          <w:tcPr>
            <w:tcW w:w="1354" w:type="dxa"/>
            <w:tcBorders>
              <w:left w:val="single" w:sz="6" w:space="0" w:color="000000"/>
            </w:tcBorders>
            <w:vAlign w:val="center"/>
          </w:tcPr>
          <w:p>
            <w:pPr>
              <w:spacing w:line="560" w:lineRule="exact"/>
              <w:jc w:val="left"/>
              <w:rPr>
                <w:rStyle w:val="26"/>
                <w:color w:val="auto"/>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2100302</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乡镇卫生院</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1876</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1876</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2100399</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其他基层医疗卫生机构支出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792.32</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792.32</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公共卫生</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7326.38</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964.51</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6361.87</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17</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2100401</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疾病预防控制机构</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542.06</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504.06</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38</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2100402</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卫生监督机构</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326.55</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326.55</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2100403</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妇幼保健机构</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133.9</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133.9</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2100408</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基本公共卫生服务</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5865.66</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5865.66</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2100409</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重大公共卫生服务</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192.85</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192.85</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2100410</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突发公共卫生事件应急处理</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110</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2100499</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其他公共卫生支出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155.36</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155.36</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21006</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中医药</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25</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2100699</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其他中医药支出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21007</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计划生育事务</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3114.97</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3114.97</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27</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2100717</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计划生育服务</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2894.45</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2894.45</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2100799</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其他计划生育事务支出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220.52</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220.52</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21011</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行政事业单位医疗</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315.5</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315.5</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2101101</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行政单位医疗</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308.53</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308.53</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2101102</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事业单位医疗</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21013</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医疗救助</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33</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2101302</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疾病应急救助</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34</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221</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住房保障支出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35</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22102</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住房改革支出</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cantSplit/>
          <w:trHeight w:hRule="exact" w:val="510"/>
        </w:trPr>
        <w:tc>
          <w:tcPr>
            <w:tcW w:w="107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36</w:t>
            </w:r>
          </w:p>
        </w:tc>
        <w:tc>
          <w:tcPr>
            <w:tcW w:w="13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2210201</w:t>
            </w:r>
          </w:p>
        </w:tc>
        <w:tc>
          <w:tcPr>
            <w:tcW w:w="484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住房公积金</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1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38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96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90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54"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bl>
    <w:p>
      <w:pPr>
        <w:spacing w:line="560" w:lineRule="exact"/>
        <w:jc w:val="left"/>
        <w:rPr>
          <w:rStyle w:val="26"/>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附表1-4</w:t>
      </w:r>
    </w:p>
    <w:p>
      <w:pPr>
        <w:spacing w:line="560" w:lineRule="exact"/>
        <w:jc w:val="center"/>
        <w:rPr>
          <w:rStyle w:val="26"/>
          <w:rFonts w:ascii="方正小标宋简体" w:eastAsia="方正小标宋简体" w:cs="方正小标宋简体" w:hAnsi="方正小标宋简体"/>
          <w:color w:val="auto"/>
          <w:sz w:val="44"/>
          <w:szCs w:val="44"/>
          <w:u w:val="none"/>
        </w:rPr>
      </w:pPr>
      <w:r>
        <w:rPr>
          <w:rStyle w:val="26"/>
          <w:rFonts w:ascii="方正小标宋简体" w:eastAsia="方正小标宋简体" w:cs="方正小标宋简体" w:hAnsi="方正小标宋简体" w:hint="eastAsia"/>
          <w:color w:val="auto"/>
          <w:sz w:val="44"/>
          <w:szCs w:val="44"/>
          <w:u w:val="none"/>
        </w:rPr>
        <w:t>部门预算财政拨款收支总表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441"/>
        <w:gridCol w:w="4019"/>
        <w:gridCol w:w="1367"/>
        <w:gridCol w:w="1276"/>
        <w:gridCol w:w="672"/>
        <w:gridCol w:w="1339"/>
      </w:tblGrid>
      <w:tr>
        <w:trPr>
          <w:trHeight w:val="369"/>
          <w:tblHeader/>
        </w:trPr>
        <w:tc>
          <w:tcPr>
            <w:tcW w:w="14740" w:type="dxa"/>
            <w:gridSpan w:val="8"/>
            <w:tcBorders>
              <w:top w:val="single" w:sz="6" w:space="0" w:color="FFFFFF"/>
              <w:left w:val="single" w:sz="6" w:space="0" w:color="FFFFFF"/>
              <w:right w:val="single" w:sz="6" w:space="0" w:color="FFFFFF"/>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361遵化市卫生健康局                     预算年度：2022</w:t>
              <w:tab/>
              <w:t xml:space="preserve">                                  单位：万元</w:t>
            </w:r>
          </w:p>
        </w:tc>
      </w:tr>
      <w:tr>
        <w:trPr>
          <w:trHeight w:hRule="exact" w:val="510"/>
          <w:tblHeader/>
        </w:trPr>
        <w:tc>
          <w:tcPr>
            <w:tcW w:w="1101"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序号</w:t>
            </w:r>
          </w:p>
        </w:tc>
        <w:tc>
          <w:tcPr>
            <w:tcW w:w="4966" w:type="dxa"/>
            <w:gridSpan w:val="2"/>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收  入</w:t>
            </w:r>
          </w:p>
        </w:tc>
        <w:tc>
          <w:tcPr>
            <w:tcW w:w="8673" w:type="dxa"/>
            <w:gridSpan w:val="5"/>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支  出</w:t>
            </w:r>
          </w:p>
        </w:tc>
      </w:tr>
      <w:tr>
        <w:trPr>
          <w:trHeight w:hRule="exact" w:val="2220"/>
          <w:tblHeader/>
        </w:trPr>
        <w:tc>
          <w:tcPr>
            <w:tcW w:w="1101" w:type="dxa"/>
            <w:vMerge/>
            <w:vAlign w:val="center"/>
          </w:tcPr>
          <w:p/>
        </w:tc>
        <w:tc>
          <w:tcPr>
            <w:tcW w:w="35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项  目</w:t>
            </w:r>
          </w:p>
        </w:tc>
        <w:tc>
          <w:tcPr>
            <w:tcW w:w="1441"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金额</w:t>
            </w:r>
          </w:p>
        </w:tc>
        <w:tc>
          <w:tcPr>
            <w:tcW w:w="40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项  目</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一般公共预算财政拨款</w:t>
            </w:r>
          </w:p>
        </w:tc>
        <w:tc>
          <w:tcPr>
            <w:tcW w:w="67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政府性基金预算财政拨款</w:t>
            </w:r>
          </w:p>
        </w:tc>
        <w:tc>
          <w:tcPr>
            <w:tcW w:w="133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国有资本经营预算财政拨款</w:t>
            </w:r>
          </w:p>
        </w:tc>
      </w:tr>
      <w:tr>
        <w:trPr>
          <w:trHeight w:val="369"/>
          <w:tblHeader/>
        </w:trPr>
        <w:tc>
          <w:tcPr>
            <w:tcW w:w="110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栏次</w:t>
            </w:r>
          </w:p>
        </w:tc>
        <w:tc>
          <w:tcPr>
            <w:tcW w:w="35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1441"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40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67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133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r>
      <w:tr>
        <w:trPr>
          <w:trHeight w:hRule="exact" w:val="488"/>
        </w:trPr>
        <w:tc>
          <w:tcPr>
            <w:tcW w:w="110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一、一般公共预算拨款</w:t>
            </w:r>
          </w:p>
        </w:tc>
        <w:tc>
          <w:tcPr>
            <w:tcW w:w="1441"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16842.8282</w:t>
            </w: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一、一般公共服务支出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二、政府性基金预算拨款</w:t>
            </w: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二、外交支出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三、国有资本经营预算拨款</w:t>
            </w: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三、国防支出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四、公共安全支出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五、教育支出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六、科学技术支出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七、文化旅游体育与传媒支出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八、社会保障和就业支出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val="369"/>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xml:space="preserve"> </w:t>
            </w: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九、卫生健康支出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16399.6</w:t>
            </w: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16399.6</w:t>
            </w: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十、节能环保支出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十一、城乡社区支出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12</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十二、农林水支出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十三、交通运输支出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十四、资源勘探工业信息等支出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十五、商业服务业等支出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十六、金融支出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17</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十七、援助其他地区支出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十八、自然资源海洋气象等支出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十九、住房保障支出</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二十、粮油物资储备支出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510"/>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二十一、国有资本经营预算支出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二十二、灾害防治及应急管理支出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二十三、债务还本支出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二十四、债务付息支出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25</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二十五、债务发行费用支出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二十六、其他支出</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27</w:t>
            </w:r>
          </w:p>
        </w:tc>
        <w:tc>
          <w:tcPr>
            <w:tcW w:w="35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本年收入合计</w:t>
            </w:r>
          </w:p>
        </w:tc>
        <w:tc>
          <w:tcPr>
            <w:tcW w:w="1441"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40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本年支出合计</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年初财政拨款结转和结余</w:t>
            </w:r>
          </w:p>
        </w:tc>
        <w:tc>
          <w:tcPr>
            <w:tcW w:w="1441"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年末财政拨款结转和结余</w:t>
            </w:r>
          </w:p>
        </w:tc>
        <w:tc>
          <w:tcPr>
            <w:tcW w:w="1367"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xml:space="preserve">  </w:t>
            </w: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szCs w:val="28"/>
                <w:u w:val="none"/>
              </w:rPr>
            </w:pPr>
            <w:r>
              <w:rPr>
                <w:rStyle w:val="26"/>
                <w:rFonts w:ascii="方正仿宋简体" w:eastAsia="方正仿宋简体" w:cs="方正仿宋简体" w:hAnsi="方正仿宋简体" w:hint="eastAsia"/>
                <w:color w:val="auto"/>
                <w:sz w:val="28"/>
                <w:szCs w:val="28"/>
                <w:u w:val="none"/>
              </w:rPr>
              <w:t>29</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szCs w:val="28"/>
                <w:u w:val="none"/>
              </w:rPr>
            </w:pPr>
            <w:r>
              <w:rPr>
                <w:rStyle w:val="26"/>
                <w:rFonts w:ascii="方正仿宋简体" w:eastAsia="方正仿宋简体" w:cs="方正仿宋简体" w:hAnsi="方正仿宋简体" w:hint="eastAsia"/>
                <w:color w:val="auto"/>
                <w:sz w:val="28"/>
                <w:szCs w:val="28"/>
                <w:u w:val="none"/>
              </w:rPr>
              <w:t>一、一般公共预算拨款</w:t>
            </w:r>
          </w:p>
        </w:tc>
        <w:tc>
          <w:tcPr>
            <w:tcW w:w="1441"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szCs w:val="28"/>
                <w:u w:val="none"/>
              </w:rPr>
            </w:pPr>
            <w:r>
              <w:rPr>
                <w:rStyle w:val="26"/>
                <w:rFonts w:ascii="方正仿宋简体" w:eastAsia="方正仿宋简体" w:cs="方正仿宋简体" w:hAnsi="方正仿宋简体" w:hint="eastAsia"/>
                <w:color w:val="auto"/>
                <w:sz w:val="28"/>
                <w:szCs w:val="28"/>
                <w:u w:val="none"/>
              </w:rPr>
              <w:t>30</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szCs w:val="28"/>
                <w:u w:val="none"/>
              </w:rPr>
            </w:pPr>
            <w:r>
              <w:rPr>
                <w:rStyle w:val="26"/>
                <w:rFonts w:ascii="方正仿宋简体" w:eastAsia="方正仿宋简体" w:cs="方正仿宋简体" w:hAnsi="方正仿宋简体" w:hint="eastAsia"/>
                <w:color w:val="auto"/>
                <w:sz w:val="28"/>
                <w:szCs w:val="28"/>
                <w:u w:val="none"/>
              </w:rPr>
              <w:t>二、政府性基金预算拨款</w:t>
            </w:r>
          </w:p>
        </w:tc>
        <w:tc>
          <w:tcPr>
            <w:tcW w:w="1441"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szCs w:val="28"/>
                <w:u w:val="none"/>
              </w:rPr>
            </w:pPr>
            <w:r>
              <w:rPr>
                <w:rStyle w:val="26"/>
                <w:rFonts w:ascii="方正仿宋简体" w:eastAsia="方正仿宋简体" w:cs="方正仿宋简体" w:hAnsi="方正仿宋简体" w:hint="eastAsia"/>
                <w:color w:val="auto"/>
                <w:sz w:val="28"/>
                <w:szCs w:val="28"/>
                <w:u w:val="none"/>
              </w:rPr>
              <w:t>31</w:t>
            </w:r>
          </w:p>
        </w:tc>
        <w:tc>
          <w:tcPr>
            <w:tcW w:w="352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szCs w:val="28"/>
                <w:u w:val="none"/>
              </w:rPr>
            </w:pPr>
            <w:r>
              <w:rPr>
                <w:rStyle w:val="26"/>
                <w:rFonts w:ascii="方正仿宋简体" w:eastAsia="方正仿宋简体" w:cs="方正仿宋简体" w:hAnsi="方正仿宋简体" w:hint="eastAsia"/>
                <w:color w:val="auto"/>
                <w:sz w:val="28"/>
                <w:szCs w:val="28"/>
                <w:u w:val="none"/>
              </w:rPr>
              <w:t>三、国有资本经营预算拨款</w:t>
            </w:r>
          </w:p>
        </w:tc>
        <w:tc>
          <w:tcPr>
            <w:tcW w:w="1441"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40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67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r>
        <w:trPr>
          <w:trHeight w:hRule="exact" w:val="488"/>
        </w:trPr>
        <w:tc>
          <w:tcPr>
            <w:tcW w:w="1101" w:type="dxa"/>
            <w:vAlign w:val="center"/>
          </w:tcPr>
          <w:p>
            <w:pPr>
              <w:pStyle w:val="33"/>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w:t>
            </w:r>
          </w:p>
        </w:tc>
        <w:tc>
          <w:tcPr>
            <w:tcW w:w="35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总计</w:t>
            </w:r>
          </w:p>
        </w:tc>
        <w:tc>
          <w:tcPr>
            <w:tcW w:w="1441"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401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总计</w:t>
            </w:r>
          </w:p>
        </w:tc>
        <w:tc>
          <w:tcPr>
            <w:tcW w:w="136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12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672"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1339"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p>
        </w:tc>
      </w:tr>
    </w:tbl>
    <w:p>
      <w:pPr>
        <w:spacing w:line="560" w:lineRule="exact"/>
        <w:jc w:val="left"/>
        <w:rPr>
          <w:rStyle w:val="26"/>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宋体" w:hAnsi="宋体"/>
          <w:sz w:val="24"/>
          <w:szCs w:val="24"/>
        </w:rPr>
      </w:pPr>
      <w:r>
        <w:rPr>
          <w:rStyle w:val="26"/>
          <w:rFonts w:ascii="方正仿宋简体" w:eastAsia="方正仿宋简体" w:cs="方正仿宋简体" w:hAnsi="方正仿宋简体" w:hint="eastAsia"/>
          <w:color w:val="auto"/>
          <w:sz w:val="28"/>
          <w:u w:val="none"/>
        </w:rPr>
        <w:t>附表1-5</w:t>
      </w:r>
    </w:p>
    <w:p>
      <w:pPr>
        <w:spacing w:line="560" w:lineRule="exact"/>
        <w:jc w:val="center"/>
        <w:rPr>
          <w:rStyle w:val="26"/>
          <w:rFonts w:ascii="方正小标宋简体" w:eastAsia="方正小标宋简体" w:cs="方正小标宋简体" w:hAnsi="方正小标宋简体"/>
          <w:color w:val="auto"/>
          <w:sz w:val="44"/>
          <w:szCs w:val="44"/>
          <w:u w:val="none"/>
        </w:rPr>
      </w:pPr>
      <w:r>
        <w:rPr>
          <w:rStyle w:val="26"/>
          <w:rFonts w:ascii="方正小标宋简体" w:eastAsia="方正小标宋简体" w:cs="方正小标宋简体" w:hAnsi="方正小标宋简体" w:hint="eastAsia"/>
          <w:color w:val="auto"/>
          <w:sz w:val="44"/>
          <w:szCs w:val="44"/>
          <w:u w:val="none"/>
        </w:rPr>
        <w:t>部门预算一般公共预算财政拨款支出表</w:t>
      </w:r>
    </w:p>
    <w:p>
      <w:pPr>
        <w:spacing w:line="560" w:lineRule="exact"/>
        <w:ind w:firstLineChars="100" w:firstLine="280"/>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361遵化市卫生健康局                   预算年度：2022                                    单位：万元</w:t>
        <w:tab/>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序号</w:t>
            </w:r>
          </w:p>
        </w:tc>
        <w:tc>
          <w:tcPr>
            <w:tcW w:w="6315" w:type="dxa"/>
            <w:gridSpan w:val="2"/>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  目</w:t>
            </w:r>
          </w:p>
        </w:tc>
        <w:tc>
          <w:tcPr>
            <w:tcW w:w="1515"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4500" w:type="dxa"/>
            <w:gridSpan w:val="3"/>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基本支出</w:t>
            </w:r>
          </w:p>
        </w:tc>
        <w:tc>
          <w:tcPr>
            <w:tcW w:w="1534"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项目支出</w:t>
            </w:r>
          </w:p>
        </w:tc>
      </w:tr>
      <w:tr>
        <w:trPr>
          <w:cantSplit/>
          <w:trHeight w:hRule="exact" w:val="312"/>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小计</w:t>
            </w:r>
          </w:p>
        </w:tc>
        <w:tc>
          <w:tcPr>
            <w:tcW w:w="1485"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人员经费</w:t>
            </w:r>
          </w:p>
        </w:tc>
        <w:tc>
          <w:tcPr>
            <w:tcW w:w="1455"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公用经费</w:t>
            </w:r>
          </w:p>
        </w:tc>
        <w:tc>
          <w:tcPr>
            <w:tcW w:w="1534" w:type="dxa"/>
            <w:vMerge/>
            <w:tcBorders>
              <w:left w:val="single" w:sz="6" w:space="0" w:color="000000"/>
            </w:tcBorders>
            <w:vAlign w:val="center"/>
          </w:tcPr>
          <w:p/>
        </w:tc>
      </w:tr>
      <w:tr>
        <w:trPr>
          <w:cantSplit/>
          <w:trHeight w:hRule="exact" w:val="1080"/>
          <w:tblHeader/>
        </w:trPr>
        <w:tc>
          <w:tcPr>
            <w:tcW w:w="876" w:type="dxa"/>
            <w:vMerge/>
            <w:vAlign w:val="center"/>
          </w:tcPr>
          <w:p/>
        </w:tc>
        <w:tc>
          <w:tcPr>
            <w:tcW w:w="1575"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功能分类科目编码</w:t>
            </w:r>
          </w:p>
        </w:tc>
        <w:tc>
          <w:tcPr>
            <w:tcW w:w="47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510"/>
        </w:trPr>
        <w:tc>
          <w:tcPr>
            <w:tcW w:w="87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栏次</w:t>
            </w:r>
          </w:p>
        </w:tc>
        <w:tc>
          <w:tcPr>
            <w:tcW w:w="157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47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156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148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145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153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16842.82</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2498.71</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2431.68</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67.03</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14344.11</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社会保障和就业支出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20805</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行政事业单位养老支出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299.51</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2080505</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机关事业单位基本养老保险缴费支出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2080506</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机关事业单位职业年金缴费支出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卫生健康支出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16399.6</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2055.49</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1988.46</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67.03</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14344.11</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卫生健康管理事务</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1682.93</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775.48</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733.06</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42.42</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907.45</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2100101</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行政运行</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775.48</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775.48</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733.06</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42.42</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2100102</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一般行政管理事务</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2100199</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其他卫生健康管理事务支出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846.45</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846.45</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21002</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公立医院</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12</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2100299</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其他公立医院支出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1078.5</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21003</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基层医疗卫生机构</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2668.32</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2668.32</w:t>
            </w:r>
          </w:p>
        </w:tc>
      </w:tr>
      <w:tr>
        <w:trPr>
          <w:cantSplit/>
          <w:trHeigh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2100302</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乡镇卫生院</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1876</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1876</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2100399</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其他基层医疗卫生机构支出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792.32</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792.32</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公共卫生</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7326.38</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964.51</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939.9</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24.61</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6361.87</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17</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2100401</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疾病预防控制机构</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542.06</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504.06</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486.46</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17.6</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38</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2100402</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卫生监督机构</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326.55</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326.55</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323.08</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3.47</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2100403</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妇幼保健机构</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133.9</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133.9</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130.36</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3.54</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2100408</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基本公共卫生服务</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5865.66</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5865.66</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2100409</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重大公共卫生服务</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192.85</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192.85</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2100410</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突发公共卫生事件应急处理</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110</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110</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2100499</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其他公共卫生支出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155.36</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155.36</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21006</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中医药</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25</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2100699</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其他中医药支出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204</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21007</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计划生育事务</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3114.97</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3114.97</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27</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2100717</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计划生育服务</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2894.45</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2894.45</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2100799</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其他计划生育事务支出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220.52</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220.52</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21011</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行政事业单位医疗</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315.5</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315.5</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315.5</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2101101</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行政单位医疗</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308.53</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308.53</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308.53</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2101102</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事业单位医疗</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32</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21013</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医疗救助</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33</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2101302</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疾病应急救助</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34</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221</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住房保障支出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35</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22102</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住房改革支出</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r>
      <w:tr>
        <w:trPr>
          <w:cantSplit/>
          <w:trHeight w:hRule="exact" w:val="510"/>
        </w:trPr>
        <w:tc>
          <w:tcPr>
            <w:tcW w:w="876"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36</w:t>
            </w:r>
          </w:p>
        </w:tc>
        <w:tc>
          <w:tcPr>
            <w:tcW w:w="157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2210201</w:t>
            </w:r>
          </w:p>
        </w:tc>
        <w:tc>
          <w:tcPr>
            <w:tcW w:w="47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住房公积金</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56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8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145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c>
          <w:tcPr>
            <w:tcW w:w="1534"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w:t>
            </w:r>
          </w:p>
        </w:tc>
      </w:tr>
    </w:tbl>
    <w:p>
      <w:pPr>
        <w:spacing w:line="560" w:lineRule="exact"/>
        <w:jc w:val="left"/>
        <w:rPr>
          <w:rStyle w:val="26"/>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附表1-6</w:t>
      </w:r>
    </w:p>
    <w:p>
      <w:pPr>
        <w:spacing w:line="560" w:lineRule="exact"/>
        <w:jc w:val="center"/>
        <w:rPr>
          <w:rStyle w:val="26"/>
          <w:rFonts w:ascii="方正小标宋简体" w:eastAsia="方正小标宋简体" w:cs="方正小标宋简体" w:hAnsi="方正小标宋简体"/>
          <w:color w:val="auto"/>
          <w:sz w:val="44"/>
          <w:szCs w:val="44"/>
          <w:u w:val="none"/>
        </w:rPr>
      </w:pPr>
      <w:r>
        <w:rPr>
          <w:rStyle w:val="26"/>
          <w:rFonts w:ascii="方正小标宋简体" w:eastAsia="方正小标宋简体" w:cs="方正小标宋简体" w:hAnsi="方正小标宋简体" w:hint="eastAsia"/>
          <w:color w:val="auto"/>
          <w:sz w:val="44"/>
          <w:szCs w:val="44"/>
          <w:u w:val="none"/>
        </w:rPr>
        <w:t>部门预算一般公共预算财政拨款基本支出表</w:t>
      </w:r>
    </w:p>
    <w:p>
      <w:pPr>
        <w:spacing w:line="560" w:lineRule="exact"/>
        <w:ind w:firstLineChars="100" w:firstLine="280"/>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361遵化市卫生健康局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序号</w:t>
            </w:r>
          </w:p>
        </w:tc>
        <w:tc>
          <w:tcPr>
            <w:tcW w:w="6165" w:type="dxa"/>
            <w:gridSpan w:val="2"/>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  目</w:t>
            </w:r>
          </w:p>
        </w:tc>
        <w:tc>
          <w:tcPr>
            <w:tcW w:w="7534" w:type="dxa"/>
            <w:gridSpan w:val="3"/>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基本支出</w:t>
            </w:r>
          </w:p>
        </w:tc>
      </w:tr>
      <w:tr>
        <w:trPr>
          <w:cantSplit/>
          <w:trHeight w:hRule="exact" w:val="1080"/>
          <w:tblHeader/>
        </w:trPr>
        <w:tc>
          <w:tcPr>
            <w:tcW w:w="1041" w:type="dxa"/>
            <w:vMerge/>
            <w:vAlign w:val="center"/>
          </w:tcPr>
          <w:p/>
        </w:tc>
        <w:tc>
          <w:tcPr>
            <w:tcW w:w="151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经济分类科目编码</w:t>
            </w:r>
          </w:p>
        </w:tc>
        <w:tc>
          <w:tcPr>
            <w:tcW w:w="465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科目名称</w:t>
            </w: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256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人员经费</w:t>
            </w:r>
          </w:p>
        </w:tc>
        <w:tc>
          <w:tcPr>
            <w:tcW w:w="232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公用经费</w:t>
            </w:r>
          </w:p>
        </w:tc>
      </w:tr>
      <w:tr>
        <w:trPr>
          <w:cantSplit/>
          <w:trHeight w:hRule="exact" w:val="510"/>
        </w:trPr>
        <w:tc>
          <w:tcPr>
            <w:tcW w:w="1041"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r>
      <w:tr>
        <w:trPr>
          <w:cantSplit/>
          <w:trHeight w:hRule="exact" w:val="510"/>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2498.71</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2431.68</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67.03</w:t>
            </w:r>
          </w:p>
        </w:tc>
      </w:tr>
      <w:tr>
        <w:trPr>
          <w:cantSplit/>
          <w:trHeight w:hRule="exact" w:val="510"/>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工资福利支出</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2236.2</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2236.2</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hRule="exact" w:val="510"/>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30101</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基本工资</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1042.55</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1042.55</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30102</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津贴补贴</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245.09</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245.09</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30103</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奖金</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8.13</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8.13</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30107</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绩效工资</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268.72</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268.72</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30108</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机关事业单位基本养老保险缴费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230.65</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30109</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职业年金缴费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68.86</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30110</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职工基本医疗保险缴费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150.51</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150.51</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30111</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公务员医疗补助缴费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69.76</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69.76</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30112</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其他社会保障缴费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8.22</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8.22</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12</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30113</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住房公积金</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143.71</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商品和服务支出</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67.03</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67.03</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30201</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办公费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2.16</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2.16</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15</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30206</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电费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1.44</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1.44</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16</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30207</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邮电费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1.14</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1.14</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17</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30208</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取暖费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13.81</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13.81</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18</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30211</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差旅费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1.44</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1.44</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30215</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会议费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0.28</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0.28</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20</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30216</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培训费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0.28</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0.28</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21</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30217</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公务接待费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0.11</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0.11</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22</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30228</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工会经费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10.2</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10.2</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23</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30229</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福利费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11.52</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11.52</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24</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30231</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公务用车运行维护费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6.15</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6.15</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25</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30239</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其他交通费用</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14.64</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14.64</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26</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30299</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其他商品和服务支出</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3.86</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3.86</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27</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303</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对个人和家庭的补助</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195.48</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195.48</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28</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30302</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退休费</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98.07</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98.07</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29</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30304</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抚恤金</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1.93</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1.93</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30307</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医疗费补助</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95.23</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95.23</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r>
        <w:trPr>
          <w:cantSplit/>
          <w:trHeight w:val="369"/>
        </w:trPr>
        <w:tc>
          <w:tcPr>
            <w:tcW w:w="1041" w:type="dxa"/>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31</w:t>
            </w:r>
          </w:p>
        </w:tc>
        <w:tc>
          <w:tcPr>
            <w:tcW w:w="151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30309</w:t>
            </w:r>
          </w:p>
        </w:tc>
        <w:tc>
          <w:tcPr>
            <w:tcW w:w="465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奖励金</w:t>
            </w:r>
          </w:p>
        </w:tc>
        <w:tc>
          <w:tcPr>
            <w:tcW w:w="2640"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0.25</w:t>
            </w:r>
          </w:p>
        </w:tc>
        <w:tc>
          <w:tcPr>
            <w:tcW w:w="2565"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0.25</w:t>
            </w:r>
          </w:p>
        </w:tc>
        <w:tc>
          <w:tcPr>
            <w:tcW w:w="2329" w:type="dxa"/>
            <w:tcBorders>
              <w:left w:val="single" w:sz="6" w:space="0" w:color="000000"/>
            </w:tcBorders>
            <w:vAlign w:val="center"/>
          </w:tcPr>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　</w:t>
            </w:r>
          </w:p>
        </w:tc>
      </w:tr>
    </w:tbl>
    <w:p>
      <w:pPr>
        <w:spacing w:line="560" w:lineRule="exact"/>
        <w:jc w:val="left"/>
        <w:rPr>
          <w:rStyle w:val="26"/>
          <w:rFonts w:ascii="方正仿宋简体" w:eastAsia="方正仿宋简体" w:cs="方正仿宋简体" w:hAnsi="方正仿宋简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附表1-7</w:t>
      </w:r>
    </w:p>
    <w:p>
      <w:pPr>
        <w:spacing w:line="560" w:lineRule="exact"/>
        <w:jc w:val="center"/>
        <w:rPr>
          <w:rStyle w:val="26"/>
          <w:rFonts w:ascii="方正小标宋简体" w:eastAsia="方正小标宋简体" w:cs="方正小标宋简体" w:hAnsi="方正小标宋简体"/>
          <w:color w:val="auto"/>
          <w:sz w:val="44"/>
          <w:szCs w:val="44"/>
          <w:u w:val="none"/>
        </w:rPr>
      </w:pPr>
      <w:r>
        <w:rPr>
          <w:rStyle w:val="26"/>
          <w:rFonts w:ascii="方正小标宋简体" w:eastAsia="方正小标宋简体" w:cs="方正小标宋简体" w:hAnsi="方正小标宋简体" w:hint="eastAsia"/>
          <w:color w:val="auto"/>
          <w:sz w:val="44"/>
          <w:szCs w:val="44"/>
          <w:u w:val="none"/>
        </w:rPr>
        <w:t>部门预算政府基金预算财政拨款支出表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361 遵化市卫生健康局                      预算年度：2022                                 单位：万元</w:t>
            </w:r>
          </w:p>
        </w:tc>
      </w:tr>
      <w:tr>
        <w:trPr>
          <w:cantSplit/>
          <w:trHeight w:hRule="exact" w:val="510"/>
          <w:tblHeader/>
        </w:trPr>
        <w:tc>
          <w:tcPr>
            <w:tcW w:w="1070" w:type="dxa"/>
            <w:vMerge w:val="restart"/>
          </w:tcPr>
          <w:p>
            <w:pPr>
              <w:spacing w:line="560" w:lineRule="exact"/>
              <w:jc w:val="center"/>
              <w:rPr>
                <w:rStyle w:val="26"/>
                <w:rFonts w:ascii="方正仿宋简体" w:eastAsia="方正仿宋简体" w:cs="方正仿宋简体" w:hAnsi="方正仿宋简体"/>
                <w:color w:val="auto"/>
                <w:sz w:val="28"/>
                <w:u w:val="none"/>
              </w:rPr>
            </w:pPr>
          </w:p>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序号</w:t>
            </w:r>
          </w:p>
        </w:tc>
        <w:tc>
          <w:tcPr>
            <w:tcW w:w="5956" w:type="dxa"/>
            <w:gridSpan w:val="2"/>
            <w:tcBorders>
              <w:left w:val="single" w:sz="6" w:space="0" w:color="000000"/>
            </w:tcBorders>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  目</w:t>
            </w:r>
          </w:p>
        </w:tc>
        <w:tc>
          <w:tcPr>
            <w:tcW w:w="2747"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2473"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基本支出</w:t>
            </w:r>
          </w:p>
        </w:tc>
        <w:tc>
          <w:tcPr>
            <w:tcW w:w="2494"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功能分类科目编码</w:t>
            </w: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栏次</w:t>
            </w: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r>
      <w:tr>
        <w:trPr>
          <w:cantSplit/>
          <w:trHeight w:hRule="exact" w:val="510"/>
          <w:tblHeader/>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5956" w:type="dxa"/>
            <w:gridSpan w:val="2"/>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  计</w:t>
            </w: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w:t>
            </w: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070"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9</w:t>
            </w:r>
          </w:p>
        </w:tc>
        <w:tc>
          <w:tcPr>
            <w:tcW w:w="283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312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74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3"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94"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bl>
    <w:p>
      <w:pPr>
        <w:spacing w:line="560" w:lineRule="exact"/>
        <w:ind w:firstLineChars="200" w:firstLine="560"/>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注：无政府基金预算财政拨款预算，空表列示。</w:t>
      </w:r>
    </w:p>
    <w:p>
      <w:pPr>
        <w:spacing w:line="560" w:lineRule="exact"/>
        <w:jc w:val="left"/>
        <w:rPr>
          <w:rStyle w:val="26"/>
          <w:rFonts w:ascii="方正仿宋简体" w:eastAsia="方正仿宋简体" w:cs="方正仿宋简体" w:hAnsi="方正仿宋简体"/>
          <w:color w:val="auto"/>
          <w:sz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6"/>
          <w:rFonts w:ascii="方正小标宋简体" w:eastAsia="方正小标宋简体" w:cs="方正小标宋简体" w:hAnsi="方正小标宋简体"/>
          <w:color w:val="auto"/>
          <w:sz w:val="44"/>
          <w:szCs w:val="44"/>
          <w:u w:val="none"/>
        </w:rPr>
      </w:pPr>
      <w:r>
        <w:rPr>
          <w:rStyle w:val="26"/>
          <w:rFonts w:ascii="方正仿宋简体" w:eastAsia="方正仿宋简体" w:cs="方正仿宋简体" w:hAnsi="方正仿宋简体" w:hint="eastAsia"/>
          <w:color w:val="auto"/>
          <w:sz w:val="28"/>
          <w:u w:val="none"/>
        </w:rPr>
        <w:t>附表1-8</w:t>
      </w:r>
    </w:p>
    <w:p>
      <w:pPr>
        <w:spacing w:line="560" w:lineRule="exact"/>
        <w:jc w:val="center"/>
        <w:rPr>
          <w:rStyle w:val="26"/>
          <w:rFonts w:ascii="方正小标宋简体" w:eastAsia="方正小标宋简体" w:cs="方正小标宋简体" w:hAnsi="方正小标宋简体"/>
          <w:color w:val="auto"/>
          <w:sz w:val="44"/>
          <w:szCs w:val="44"/>
          <w:u w:val="none"/>
        </w:rPr>
      </w:pPr>
      <w:r>
        <w:rPr>
          <w:rStyle w:val="26"/>
          <w:rFonts w:ascii="方正小标宋简体" w:eastAsia="方正小标宋简体" w:cs="方正小标宋简体" w:hAnsi="方正小标宋简体" w:hint="eastAsia"/>
          <w:color w:val="auto"/>
          <w:sz w:val="44"/>
          <w:szCs w:val="44"/>
          <w:u w:val="none"/>
        </w:rPr>
        <w:t>部门预算国有资本经营预算财政拨款支出表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color w:val="auto"/>
                <w:sz w:val="28"/>
                <w:u w:val="none"/>
              </w:rPr>
              <w:t>3</w:t>
            </w:r>
            <w:r>
              <w:rPr>
                <w:rStyle w:val="26"/>
                <w:rFonts w:ascii="方正仿宋简体" w:eastAsia="方正仿宋简体" w:cs="方正仿宋简体" w:hAnsi="方正仿宋简体" w:hint="eastAsia"/>
                <w:color w:val="auto"/>
                <w:sz w:val="28"/>
                <w:u w:val="none"/>
              </w:rPr>
              <w:t>61</w:t>
            </w:r>
            <w:r>
              <w:rPr>
                <w:rStyle w:val="26"/>
                <w:rFonts w:ascii="方正仿宋简体" w:eastAsia="方正仿宋简体" w:cs="方正仿宋简体" w:hAnsi="方正仿宋简体"/>
                <w:color w:val="auto"/>
                <w:sz w:val="28"/>
                <w:u w:val="none"/>
              </w:rPr>
              <w:t>遵化市</w:t>
            </w:r>
            <w:r>
              <w:rPr>
                <w:rStyle w:val="26"/>
                <w:rFonts w:ascii="方正仿宋简体" w:eastAsia="方正仿宋简体" w:cs="方正仿宋简体" w:hAnsi="方正仿宋简体" w:hint="eastAsia"/>
                <w:color w:val="auto"/>
                <w:sz w:val="28"/>
                <w:u w:val="none"/>
              </w:rPr>
              <w:t>卫生健康</w:t>
            </w:r>
            <w:r>
              <w:rPr>
                <w:rStyle w:val="26"/>
                <w:rFonts w:ascii="方正仿宋简体" w:eastAsia="方正仿宋简体" w:cs="方正仿宋简体" w:hAnsi="方正仿宋简体"/>
                <w:color w:val="auto"/>
                <w:sz w:val="28"/>
                <w:u w:val="none"/>
              </w:rPr>
              <w:t xml:space="preserve">局              </w:t>
            </w:r>
            <w:r>
              <w:rPr>
                <w:rStyle w:val="26"/>
                <w:rFonts w:ascii="方正仿宋简体" w:eastAsia="方正仿宋简体" w:cs="方正仿宋简体" w:hAnsi="方正仿宋简体" w:hint="eastAsia"/>
                <w:color w:val="auto"/>
                <w:sz w:val="28"/>
                <w:u w:val="none"/>
              </w:rPr>
              <w:t xml:space="preserve">       </w:t>
            </w:r>
            <w:r>
              <w:rPr>
                <w:rStyle w:val="26"/>
                <w:rFonts w:ascii="方正仿宋简体" w:eastAsia="方正仿宋简体" w:cs="方正仿宋简体" w:hAnsi="方正仿宋简体"/>
                <w:color w:val="auto"/>
                <w:sz w:val="28"/>
                <w:u w:val="none"/>
              </w:rPr>
              <w:t>预算年度：2022                                   单位：万元</w:t>
            </w:r>
          </w:p>
        </w:tc>
      </w:tr>
      <w:tr>
        <w:trPr>
          <w:cantSplit/>
          <w:trHeight w:hRule="exact" w:val="510"/>
          <w:tblHeader/>
        </w:trPr>
        <w:tc>
          <w:tcPr>
            <w:tcW w:w="1326"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序号</w:t>
            </w:r>
          </w:p>
        </w:tc>
        <w:tc>
          <w:tcPr>
            <w:tcW w:w="5535" w:type="dxa"/>
            <w:gridSpan w:val="2"/>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  目</w:t>
            </w:r>
          </w:p>
        </w:tc>
        <w:tc>
          <w:tcPr>
            <w:tcW w:w="2640"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2580"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基本支出</w:t>
            </w:r>
          </w:p>
        </w:tc>
        <w:tc>
          <w:tcPr>
            <w:tcW w:w="2659"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功能分类科目编码</w:t>
            </w: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栏次</w:t>
            </w: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25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265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r>
      <w:tr>
        <w:trPr>
          <w:cantSplit/>
          <w:trHeight w:hRule="exact" w:val="510"/>
        </w:trPr>
        <w:tc>
          <w:tcPr>
            <w:tcW w:w="132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7</w:t>
            </w: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1326"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8</w:t>
            </w:r>
          </w:p>
        </w:tc>
        <w:tc>
          <w:tcPr>
            <w:tcW w:w="291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25"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4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58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659"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bl>
    <w:p>
      <w:pP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注：无国有资本经营预算财政拨款预算，空表列示。</w:t>
      </w:r>
    </w:p>
    <w:p>
      <w:pPr>
        <w:rPr>
          <w:rStyle w:val="26"/>
          <w:rFonts w:ascii="方正仿宋简体" w:eastAsia="方正仿宋简体" w:cs="方正仿宋简体" w:hAnsi="方正仿宋简体"/>
          <w:color w:val="auto"/>
          <w:sz w:val="28"/>
          <w:u w:val="none"/>
        </w:rPr>
      </w:pPr>
    </w:p>
    <w:p>
      <w:pPr>
        <w:rPr>
          <w:rStyle w:val="26"/>
          <w:rFonts w:ascii="方正仿宋简体" w:eastAsia="方正仿宋简体" w:cs="方正仿宋简体" w:hAnsi="方正仿宋简体"/>
          <w:color w:val="auto"/>
          <w:sz w:val="28"/>
          <w:u w:val="none"/>
        </w:rPr>
      </w:pPr>
    </w:p>
    <w:p>
      <w:pPr>
        <w:rPr>
          <w:rStyle w:val="26"/>
          <w:rFonts w:ascii="方正仿宋简体" w:eastAsia="方正仿宋简体" w:cs="方正仿宋简体" w:hAnsi="方正仿宋简体"/>
          <w:color w:val="auto"/>
          <w:sz w:val="28"/>
          <w:u w:val="none"/>
        </w:rPr>
      </w:pPr>
    </w:p>
    <w:p>
      <w:pPr>
        <w:spacing w:line="560" w:lineRule="exact"/>
        <w:rPr>
          <w:rStyle w:val="26"/>
          <w:rFonts w:ascii="方正小标宋简体" w:eastAsia="方正小标宋简体" w:cs="方正小标宋简体" w:hAnsi="方正小标宋简体"/>
          <w:color w:val="auto"/>
          <w:sz w:val="44"/>
          <w:szCs w:val="44"/>
          <w:u w:val="none"/>
        </w:rPr>
      </w:pPr>
      <w:r>
        <w:rPr>
          <w:rStyle w:val="26"/>
          <w:rFonts w:ascii="方正仿宋简体" w:eastAsia="方正仿宋简体" w:cs="方正仿宋简体" w:hAnsi="方正仿宋简体" w:hint="eastAsia"/>
          <w:color w:val="auto"/>
          <w:sz w:val="28"/>
          <w:u w:val="none"/>
        </w:rPr>
        <w:t>附表1-9</w:t>
      </w:r>
    </w:p>
    <w:p>
      <w:pPr>
        <w:spacing w:line="560" w:lineRule="exact"/>
        <w:jc w:val="center"/>
        <w:rPr>
          <w:rStyle w:val="26"/>
          <w:rFonts w:ascii="方正小标宋简体" w:eastAsia="方正小标宋简体" w:cs="方正小标宋简体" w:hAnsi="方正小标宋简体"/>
          <w:color w:val="auto"/>
          <w:sz w:val="44"/>
          <w:szCs w:val="44"/>
          <w:u w:val="none"/>
        </w:rPr>
      </w:pPr>
      <w:r>
        <w:rPr>
          <w:rStyle w:val="26"/>
          <w:rFonts w:ascii="方正小标宋简体" w:eastAsia="方正小标宋简体" w:cs="方正小标宋简体" w:hAnsi="方正小标宋简体" w:hint="eastAsia"/>
          <w:color w:val="auto"/>
          <w:sz w:val="44"/>
          <w:szCs w:val="44"/>
          <w:u w:val="none"/>
        </w:rPr>
        <w:t>部门预算财政拨款“三公”经费支出表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361遵化市卫生健康局                  预算年度：2022                                  单位：万元</w:t>
            </w:r>
          </w:p>
        </w:tc>
      </w:tr>
      <w:tr>
        <w:trPr>
          <w:cantSplit/>
          <w:trHeight w:hRule="exact" w:val="510"/>
          <w:tblHeader/>
        </w:trPr>
        <w:tc>
          <w:tcPr>
            <w:tcW w:w="884" w:type="dxa"/>
            <w:vMerge w:val="restart"/>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序号</w:t>
            </w:r>
          </w:p>
        </w:tc>
        <w:tc>
          <w:tcPr>
            <w:tcW w:w="3950" w:type="dxa"/>
            <w:vMerge w:val="restart"/>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项   目</w:t>
            </w:r>
          </w:p>
        </w:tc>
        <w:tc>
          <w:tcPr>
            <w:tcW w:w="9906" w:type="dxa"/>
            <w:gridSpan w:val="4"/>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合计</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一般公共预算       财政拨款</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政府性基金         预算拨款</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国有资本经营       预算财政拨款</w:t>
            </w:r>
          </w:p>
        </w:tc>
      </w:tr>
      <w:tr>
        <w:trPr>
          <w:cantSplit/>
          <w:trHeight w:hRule="exact" w:val="510"/>
          <w:tblHeader/>
        </w:trPr>
        <w:tc>
          <w:tcPr>
            <w:tcW w:w="884"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栏次</w:t>
            </w:r>
          </w:p>
        </w:tc>
        <w:tc>
          <w:tcPr>
            <w:tcW w:w="395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r>
      <w:tr>
        <w:trPr>
          <w:cantSplit/>
          <w:trHeight w:hRule="exact" w:val="510"/>
        </w:trPr>
        <w:tc>
          <w:tcPr>
            <w:tcW w:w="884"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1</w:t>
            </w:r>
          </w:p>
        </w:tc>
        <w:tc>
          <w:tcPr>
            <w:tcW w:w="3950"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合  计</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lang w:val="en-US" w:eastAsia="zh-CN"/>
              </w:rPr>
            </w:pPr>
            <w:r>
              <w:rPr>
                <w:rStyle w:val="26"/>
                <w:rFonts w:ascii="方正仿宋简体" w:eastAsia="方正仿宋简体" w:cs="方正仿宋简体" w:hAnsi="方正仿宋简体" w:hint="eastAsia"/>
                <w:color w:val="auto"/>
                <w:sz w:val="28"/>
                <w:u w:val="none"/>
              </w:rPr>
              <w:t>6.</w:t>
            </w:r>
            <w:r>
              <w:rPr>
                <w:rStyle w:val="26"/>
                <w:rFonts w:ascii="方正仿宋简体" w:eastAsia="方正仿宋简体" w:cs="方正仿宋简体" w:hAnsi="方正仿宋简体" w:hint="eastAsia"/>
                <w:color w:val="auto"/>
                <w:sz w:val="28"/>
                <w:u w:val="none"/>
                <w:lang w:val="en-US" w:eastAsia="zh-CN"/>
              </w:rPr>
              <w:t>26</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lang w:val="en-US" w:eastAsia="zh-CN"/>
              </w:rPr>
            </w:pPr>
            <w:r>
              <w:rPr>
                <w:rStyle w:val="26"/>
                <w:rFonts w:ascii="方正仿宋简体" w:eastAsia="方正仿宋简体" w:cs="方正仿宋简体" w:hAnsi="方正仿宋简体" w:hint="eastAsia"/>
                <w:color w:val="auto"/>
                <w:sz w:val="28"/>
                <w:u w:val="none"/>
              </w:rPr>
              <w:t>6.</w:t>
            </w:r>
            <w:r>
              <w:rPr>
                <w:rStyle w:val="26"/>
                <w:rFonts w:ascii="方正仿宋简体" w:eastAsia="方正仿宋简体" w:cs="方正仿宋简体" w:hAnsi="方正仿宋简体" w:hint="eastAsia"/>
                <w:color w:val="auto"/>
                <w:sz w:val="28"/>
                <w:u w:val="none"/>
                <w:lang w:val="en-US" w:eastAsia="zh-CN"/>
              </w:rPr>
              <w:t>26</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2</w:t>
            </w:r>
          </w:p>
        </w:tc>
        <w:tc>
          <w:tcPr>
            <w:tcW w:w="395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一、因公出国（境）费</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3</w:t>
            </w:r>
          </w:p>
        </w:tc>
        <w:tc>
          <w:tcPr>
            <w:tcW w:w="395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二、公务用车购置及运维费</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6.15</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6.15</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4</w:t>
            </w:r>
          </w:p>
        </w:tc>
        <w:tc>
          <w:tcPr>
            <w:tcW w:w="395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其中：公务用车购置费</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5</w:t>
            </w:r>
          </w:p>
        </w:tc>
        <w:tc>
          <w:tcPr>
            <w:tcW w:w="395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公务用车运行维护费</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6.15</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6.15</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r>
        <w:trPr>
          <w:cantSplit/>
          <w:trHeight w:hRule="exact" w:val="510"/>
        </w:trPr>
        <w:tc>
          <w:tcPr>
            <w:tcW w:w="884" w:type="dxa"/>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6</w:t>
            </w:r>
          </w:p>
        </w:tc>
        <w:tc>
          <w:tcPr>
            <w:tcW w:w="3950" w:type="dxa"/>
            <w:tcBorders>
              <w:left w:val="single" w:sz="6" w:space="0" w:color="000000"/>
            </w:tcBorders>
            <w:vAlign w:val="center"/>
          </w:tcPr>
          <w:p>
            <w:pPr>
              <w:spacing w:line="560" w:lineRule="exact"/>
              <w:jc w:val="left"/>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三、公务接待费</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0.11</w:t>
            </w:r>
          </w:p>
        </w:tc>
        <w:tc>
          <w:tcPr>
            <w:tcW w:w="2476"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r>
              <w:rPr>
                <w:rStyle w:val="26"/>
                <w:rFonts w:ascii="方正仿宋简体" w:eastAsia="方正仿宋简体" w:cs="方正仿宋简体" w:hAnsi="方正仿宋简体" w:hint="eastAsia"/>
                <w:color w:val="auto"/>
                <w:sz w:val="28"/>
                <w:u w:val="none"/>
              </w:rPr>
              <w:t>0.11</w:t>
            </w: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c>
          <w:tcPr>
            <w:tcW w:w="2477" w:type="dxa"/>
            <w:tcBorders>
              <w:left w:val="single" w:sz="6" w:space="0" w:color="000000"/>
            </w:tcBorders>
            <w:vAlign w:val="center"/>
          </w:tcPr>
          <w:p>
            <w:pPr>
              <w:spacing w:line="560" w:lineRule="exact"/>
              <w:jc w:val="center"/>
              <w:rPr>
                <w:rStyle w:val="26"/>
                <w:rFonts w:ascii="方正仿宋简体" w:eastAsia="方正仿宋简体" w:cs="方正仿宋简体" w:hAnsi="方正仿宋简体"/>
                <w:color w:val="auto"/>
                <w:sz w:val="28"/>
                <w:u w:val="none"/>
              </w:rPr>
            </w:pPr>
          </w:p>
        </w:tc>
      </w:tr>
    </w:tbl>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rPr>
          <w:rFonts w:ascii="宋体" w:cs="宋体" w:hAnsi="宋体"/>
          <w:sz w:val="44"/>
          <w:szCs w:val="44"/>
        </w:rPr>
      </w:pP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遵化市卫生健康局部门2022年部门</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预算信息公开情况说明</w:t>
      </w:r>
    </w:p>
    <w:p>
      <w:pPr>
        <w:spacing w:line="560" w:lineRule="exact"/>
        <w:jc w:val="center"/>
        <w:rPr>
          <w:rFonts w:ascii="宋体" w:cs="宋体" w:hAnsi="宋体"/>
          <w:sz w:val="44"/>
          <w:szCs w:val="44"/>
        </w:rPr>
      </w:pP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sz w:val="32"/>
          <w:szCs w:val="32"/>
        </w:rPr>
        <w:t>中华人民共和国</w:t>
      </w:r>
      <w:r>
        <w:rPr>
          <w:rFonts w:ascii="方正仿宋简体" w:eastAsia="方正仿宋简体" w:cs="方正仿宋简体" w:hAnsi="方正仿宋简体" w:hint="eastAsia"/>
          <w:sz w:val="32"/>
          <w:szCs w:val="32"/>
        </w:rPr>
        <w:t>预算法》、《地方预决算公开操作规程》和《河北省省级预算公开办法》规定，现将遵化市卫生健康局部门2022年部门预算公开如下：</w:t>
      </w:r>
    </w:p>
    <w:p>
      <w:pPr>
        <w:spacing w:line="570" w:lineRule="exact"/>
        <w:ind w:firstLine="560"/>
        <w:jc w:val="left"/>
        <w:rPr>
          <w:rFonts w:ascii="方正黑体简体" w:eastAsia="方正黑体简体" w:cs="方正黑体简体" w:hAnsi="方正黑体简体"/>
          <w:sz w:val="32"/>
          <w:szCs w:val="32"/>
        </w:rPr>
      </w:pPr>
      <w:bookmarkStart w:id="0" w:name="_Toc68791545"/>
      <w:r>
        <w:rPr>
          <w:rFonts w:ascii="方正黑体简体" w:eastAsia="方正黑体简体" w:cs="方正黑体简体" w:hAnsi="方正黑体简体" w:hint="eastAsia"/>
          <w:sz w:val="32"/>
          <w:szCs w:val="32"/>
        </w:rPr>
        <w:t>一、部门职责、机构设置等基本情况</w:t>
      </w:r>
      <w:bookmarkEnd w:id="0"/>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（一）部门职责</w:t>
      </w:r>
      <w:bookmarkStart w:id="1" w:name="_GoBack"/>
      <w:bookmarkEnd w:id="1"/>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（4）组织拟订并协调落实应对人口老龄化政策措施，负责推进老年健康服务体系建设和医养结合工作。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负责职责范围内的职业卫生、放射卫生、环境卫生、学校卫生、公共场所卫生、饮用水卫生等公共卫生的监督管理，负责传染病防治监督，健全卫生健康综合监督体系。牵头《烟草控制框架公约》履约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（7）制定医疗机构、医疗服务行业管理办法并监督实施，建立医疗服务评价和监督管理体系。制定并组织实施全市医疗服务规范、标准和卫生健康专业技术人员执业规则、服务规范。</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（8）负责计划生育管理和服务工作，开展人口监测预警，研究提出人口与家庭发展相关政策建议，完善全市计划生育政策。</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（9）指导全市卫生健康工作，指导基层医疗卫生、妇幼健康服务体系和全科医生队伍建设。推进卫生健康科技创新发展。</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（11）负责市保健对象的医疗保健及服务工作。负责市直部门有关干部医疗管理工作。负责重要会议与重大活动的医疗卫生保障工作。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（12）指导市计划生育协会的业务工作。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（13）完成市委、市政府交办的其他任务。</w:t>
      </w:r>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（1）办公室。负责机关日常运转，承担安全、保密、信访、督查、政务公开等工作。负责机关离退休干部工作，指导直属单位离退休干部工作。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（2）人事科。拟订卫生健康人才发展政策，承担机关和直属单位的人事管理、机构编制和队伍建设等工作，负责卫生健康专业技术人员资格管理。</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（3）财务科。承担机关和预算管理单位预决算、财务、资产管理和内部审计工作。提出医疗服务价格政策建议。</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法制监督与职业健康科。组织起草规范性文件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医政医改与药管科。拟订医疗机构及医务人员、医疗技术应用、医疗质量和安全、医疗服务、采供血机构管理以及行风建设等行业管理政策规范、标准并监督实施，承担推进护理、康复事业发展工作。拟订公立医院运行监管、绩效评价和考核制度，并组织实施。组织实施国家基本药物制度，开展药品使用监测、临床综合评价和短缺药品预警。会同市有关部门提出药品价格政策和省基本药物目录内药品生产鼓励扶持政策的建议。参与拟订药品政府规章草案。承担深化医药卫生体制改革具体工作，研究提出深化医药卫生体制改革政策、措施的建议，承担组织推进公立医院综合改革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基层卫生健康科。拟订基层卫生健康政策、标准和规划并组织实施，指导基层卫生健康服务体系建设和乡村医生相关管理工作。拟订重大疾病防治规划、国家免疫规划、严重危害人民健康公共卫生问题的干预措施并组织实施，完善疾病预防控制体系，负责传染病疫情信息管理工作。承担防治市艾滋病工作委员会的具体工作。会同市有关部门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卫生健康科技发展规划及相应政策并组织实施。承担实验室生物安全监督工作。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家庭发展科。承担人口监测预警工作并提出人口与家庭发展相关政策建议，完善生育政策并组织实施，建立和完善计划生育特殊家庭扶助制度。拟订妇幼卫生健康政策、标准和规范，推进妇幼健康服务体系建设，指导妇幼卫生、出生缺陷防治、婴幼儿早期发展、人类辅助生殖技术管理和生育技术服务工作。组织拟订并协调落实应对老龄化的政策措施。组织拟订医养结合的政策、标准和规范，建立和完善老年健康服务体系。承担市老龄工作委员会的具体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中医保健科。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市保健对象的医疗保健工作、市直部门有关干部医疗管理工作，以及重要会议与重大活动的医疗卫生保障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健康遵化与规划信息科。组织拟订卫生健康事业发展中长期规划，承担统筹规划与协调优化全市卫生健康资源配置，指导区域卫生健康规划编制和实施，指导卫生健康服务体系建设。承担卫生健康信息化建设工作，承担卫生健康统计工作，参与市人口基础信息库建设。拟订健康遵化建设发展规划和工作计划，并组织实施；负责健康遵化建设综合协调工作；拟定健康遵化建设任务监测评估办法，并组织考核评估。组织开展卫生健康宣传、健康教育、健康促进活动。拟订全市爱国卫生运动有关政策、标准、规范并组织实施。承担《烟草控制框架公约》牵头履约工作。承担市爱国卫生运动委员会交办的具体工作。</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机关党委。负责机关和直属单位的党群工作。</w:t>
      </w:r>
    </w:p>
    <w:p>
      <w:pPr>
        <w:spacing w:line="570" w:lineRule="exact"/>
        <w:ind w:firstLineChars="150" w:firstLine="48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遵化市卫生健康局机关编制1162名（行政编制63名、全额事业编制1099名）。实有行政人数52名，全额事业人数56名。</w:t>
      </w:r>
    </w:p>
    <w:p>
      <w:pPr>
        <w:spacing w:line="570" w:lineRule="exact"/>
        <w:ind w:firstLineChars="150" w:firstLine="48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部门机构设置情况</w:t>
      </w:r>
    </w:p>
    <w:tbl>
      <w:tblPr>
        <w:jc w:val="center"/>
        <w:tblW w:w="14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43"/>
        <w:gridCol w:w="1843"/>
        <w:gridCol w:w="2005"/>
        <w:gridCol w:w="4232"/>
      </w:tblGrid>
      <w:tr>
        <w:trPr>
          <w:cantSplit/>
          <w:trHeight w:val="622"/>
          <w:tblHeader/>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1843"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005"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4232" w:type="dxa"/>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637"/>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遵化市卫生健康局本级</w:t>
            </w:r>
          </w:p>
        </w:tc>
        <w:tc>
          <w:tcPr>
            <w:tcW w:w="1843"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行政</w:t>
            </w:r>
          </w:p>
        </w:tc>
        <w:tc>
          <w:tcPr>
            <w:tcW w:w="2005"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正科级</w:t>
            </w:r>
          </w:p>
        </w:tc>
        <w:tc>
          <w:tcPr>
            <w:tcW w:w="4232"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财政拨款</w:t>
            </w:r>
          </w:p>
        </w:tc>
      </w:tr>
      <w:tr>
        <w:trPr>
          <w:cantSplit/>
          <w:trHeight w:val="637"/>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遵化市疾病预防控制中心</w:t>
            </w:r>
          </w:p>
        </w:tc>
        <w:tc>
          <w:tcPr>
            <w:tcW w:w="1843"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事业</w:t>
            </w:r>
          </w:p>
        </w:tc>
        <w:tc>
          <w:tcPr>
            <w:tcW w:w="2005"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副科级</w:t>
            </w:r>
          </w:p>
        </w:tc>
        <w:tc>
          <w:tcPr>
            <w:tcW w:w="4232" w:type="dxa"/>
            <w:tcBorders>
              <w:left w:val="single" w:sz="6" w:space="0" w:color="000000"/>
            </w:tcBorders>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财政性资金基本保证</w:t>
            </w:r>
          </w:p>
        </w:tc>
      </w:tr>
      <w:tr>
        <w:trPr>
          <w:cantSplit/>
          <w:trHeight w:val="637"/>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遵化市卫生和计划生育局卫生计生监督所</w:t>
            </w:r>
          </w:p>
        </w:tc>
        <w:tc>
          <w:tcPr>
            <w:tcW w:w="1843"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事业</w:t>
            </w:r>
          </w:p>
        </w:tc>
        <w:tc>
          <w:tcPr>
            <w:tcW w:w="2005"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股级</w:t>
            </w:r>
          </w:p>
        </w:tc>
        <w:tc>
          <w:tcPr>
            <w:tcW w:w="4232" w:type="dxa"/>
            <w:tcBorders>
              <w:left w:val="single" w:sz="6" w:space="0" w:color="000000"/>
            </w:tcBorders>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财政性资金基本保证</w:t>
            </w:r>
          </w:p>
        </w:tc>
      </w:tr>
      <w:tr>
        <w:trPr>
          <w:cantSplit/>
          <w:trHeight w:val="637"/>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遵化市妇幼保健院</w:t>
            </w:r>
          </w:p>
        </w:tc>
        <w:tc>
          <w:tcPr>
            <w:tcW w:w="1843"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事业</w:t>
            </w:r>
          </w:p>
        </w:tc>
        <w:tc>
          <w:tcPr>
            <w:tcW w:w="2005"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股级</w:t>
            </w:r>
          </w:p>
        </w:tc>
        <w:tc>
          <w:tcPr>
            <w:tcW w:w="4232" w:type="dxa"/>
            <w:tcBorders>
              <w:left w:val="single" w:sz="6" w:space="0" w:color="000000"/>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财政性资金定额或定项补助</w:t>
            </w:r>
          </w:p>
        </w:tc>
      </w:tr>
      <w:tr>
        <w:trPr>
          <w:cantSplit/>
          <w:trHeight w:val="637"/>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遵化市卫生学校</w:t>
            </w:r>
          </w:p>
        </w:tc>
        <w:tc>
          <w:tcPr>
            <w:tcW w:w="1843"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事业</w:t>
            </w:r>
          </w:p>
        </w:tc>
        <w:tc>
          <w:tcPr>
            <w:tcW w:w="2005"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股级</w:t>
            </w:r>
          </w:p>
        </w:tc>
        <w:tc>
          <w:tcPr>
            <w:tcW w:w="4232" w:type="dxa"/>
            <w:tcBorders>
              <w:left w:val="single" w:sz="6" w:space="0" w:color="000000"/>
            </w:tcBorders>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财政性资金基本保证</w:t>
            </w:r>
          </w:p>
        </w:tc>
      </w:tr>
      <w:tr>
        <w:trPr>
          <w:cantSplit/>
          <w:trHeight w:val="637"/>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遵化市人民医院</w:t>
            </w:r>
          </w:p>
        </w:tc>
        <w:tc>
          <w:tcPr>
            <w:tcW w:w="1843"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事业</w:t>
            </w:r>
          </w:p>
        </w:tc>
        <w:tc>
          <w:tcPr>
            <w:tcW w:w="2005"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正科级</w:t>
            </w:r>
          </w:p>
        </w:tc>
        <w:tc>
          <w:tcPr>
            <w:tcW w:w="4232" w:type="dxa"/>
            <w:tcBorders>
              <w:left w:val="single" w:sz="6" w:space="0" w:color="000000"/>
            </w:tcBorders>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财政性资金零补助</w:t>
            </w:r>
          </w:p>
        </w:tc>
      </w:tr>
      <w:tr>
        <w:trPr>
          <w:cantSplit/>
          <w:trHeight w:val="637"/>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遵化市中医医院</w:t>
            </w:r>
          </w:p>
        </w:tc>
        <w:tc>
          <w:tcPr>
            <w:tcW w:w="1843"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事业</w:t>
            </w:r>
          </w:p>
        </w:tc>
        <w:tc>
          <w:tcPr>
            <w:tcW w:w="2005"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正科级</w:t>
            </w:r>
          </w:p>
        </w:tc>
        <w:tc>
          <w:tcPr>
            <w:tcW w:w="4232" w:type="dxa"/>
            <w:tcBorders>
              <w:left w:val="single" w:sz="6" w:space="0" w:color="000000"/>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财政性资金定额或定项补助</w:t>
            </w:r>
          </w:p>
        </w:tc>
      </w:tr>
      <w:tr>
        <w:trPr>
          <w:cantSplit/>
          <w:trHeight w:val="637"/>
        </w:trPr>
        <w:tc>
          <w:tcPr>
            <w:tcW w:w="6843" w:type="dxa"/>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遵化市第二医院</w:t>
            </w:r>
          </w:p>
        </w:tc>
        <w:tc>
          <w:tcPr>
            <w:tcW w:w="1843"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事业</w:t>
            </w:r>
          </w:p>
        </w:tc>
        <w:tc>
          <w:tcPr>
            <w:tcW w:w="2005" w:type="dxa"/>
            <w:tcBorders>
              <w:left w:val="single" w:sz="6" w:space="0" w:color="000000"/>
            </w:tcBorders>
            <w:vAlign w:val="center"/>
          </w:tcPr>
          <w:p>
            <w:pPr>
              <w:spacing w:line="560" w:lineRule="exact"/>
              <w:ind w:firstLine="560"/>
              <w:jc w:val="center"/>
              <w:rPr>
                <w:rFonts w:ascii="方正仿宋简体" w:eastAsia="方正仿宋简体" w:cs="方正仿宋简体" w:hAnsi="方正仿宋简体"/>
                <w:sz w:val="32"/>
                <w:szCs w:val="32"/>
              </w:rPr>
            </w:pPr>
          </w:p>
        </w:tc>
        <w:tc>
          <w:tcPr>
            <w:tcW w:w="4232" w:type="dxa"/>
            <w:tcBorders>
              <w:left w:val="single" w:sz="6" w:space="0" w:color="000000"/>
            </w:tcBorders>
            <w:vAlign w:val="center"/>
          </w:tcPr>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其他</w:t>
            </w:r>
          </w:p>
        </w:tc>
      </w:tr>
    </w:tbl>
    <w:p>
      <w:pPr>
        <w:spacing w:line="560" w:lineRule="exact"/>
        <w:ind w:firstLineChars="200" w:firstLine="640"/>
        <w:jc w:val="left"/>
        <w:rPr>
          <w:rFonts w:ascii="方正黑体简体" w:eastAsia="方正黑体简体" w:cs="方正黑体简体" w:hAnsi="方正黑体简体"/>
          <w:sz w:val="32"/>
          <w:szCs w:val="32"/>
        </w:rPr>
      </w:pPr>
      <w:bookmarkStart w:id="2" w:name="_Toc68791546"/>
    </w:p>
    <w:p>
      <w:pPr>
        <w:spacing w:line="57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二、部门预算安排的总体情况</w:t>
      </w:r>
      <w:bookmarkEnd w:id="2"/>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按照预算管理有关规定，目前河北省部门预算的编制实行综合预算管理，即全部收入和支出都反映在预算中。遵化市卫生健康局机关及所属事业单位的收支包含在部门预算中。</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1、收入情况</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反映本部门当年全部收入。2022年预算收入16842.82万元，其中：一般公共预算收入16842.82万元，政府性基金预算收入0万元，国有资本经营预算收入0万元，财政专户管理资金收入0万元，上级补助收入0万元，事业收入0万元，经营收入0万元，附属单位上缴收入0万元，其他收入0万元，上年结转0万元。</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2、支出情况</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卫生和计划生育局年度部门预算中支出预算的总体情况。2022年支出预算16842.82万元，其中基本支出2498.71万元，包括人员经费2431.68万元和日常公用经费67.03万元；项目支出14344.11万元，全部为本级支出，主要为公立医院改革、基本公共卫生、重点公共卫生、中医药改革和计生奖扶特扶等医疗和计划生育事务支出等。</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3、与上年相比增减变化情况</w:t>
      </w:r>
    </w:p>
    <w:p>
      <w:pPr>
        <w:spacing w:line="570" w:lineRule="exact"/>
        <w:ind w:firstLineChars="200" w:firstLine="640"/>
        <w:rPr>
          <w:rFonts w:ascii="仿宋" w:eastAsia="仿宋" w:hAnsi="仿宋"/>
          <w:sz w:val="28"/>
          <w:szCs w:val="28"/>
        </w:rPr>
      </w:pPr>
      <w:r>
        <w:rPr>
          <w:rFonts w:ascii="方正仿宋简体" w:eastAsia="方正仿宋简体" w:cs="方正仿宋简体" w:hAnsi="方正仿宋简体" w:hint="eastAsia"/>
          <w:sz w:val="32"/>
          <w:szCs w:val="32"/>
        </w:rPr>
        <w:t>2022年预算收支安排16842.82万元，较2021年预算增加904.31万元，其中：基本支出增加102.83万元，主要为增加人员、公用经费以及项目支出；项目支出增加801.48万元，主要增加了基本公共卫生、和奖扶、特扶项目的预算安排。</w:t>
      </w:r>
    </w:p>
    <w:p>
      <w:pPr>
        <w:spacing w:line="570" w:lineRule="exact"/>
        <w:ind w:firstLine="560"/>
        <w:jc w:val="left"/>
        <w:rPr>
          <w:rFonts w:ascii="方正黑体简体" w:eastAsia="方正黑体简体" w:cs="方正黑体简体" w:hAnsi="方正黑体简体"/>
          <w:sz w:val="32"/>
          <w:szCs w:val="32"/>
        </w:rPr>
      </w:pPr>
      <w:bookmarkStart w:id="3" w:name="_Toc68791547"/>
      <w:r>
        <w:rPr>
          <w:rFonts w:ascii="方正黑体简体" w:eastAsia="方正黑体简体" w:cs="方正黑体简体" w:hAnsi="方正黑体简体" w:hint="eastAsia"/>
          <w:sz w:val="32"/>
          <w:szCs w:val="32"/>
        </w:rPr>
        <w:t>三、机关运行经费安排情况</w:t>
      </w:r>
      <w:bookmarkEnd w:id="3"/>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2022年，本部门机关运行经费共计安排67.03万元，主要用于日常维修、办公用房水电费、办公用房取暖费、办公用房物业管理费等日常运行支出。</w:t>
      </w:r>
    </w:p>
    <w:p>
      <w:pPr>
        <w:pStyle w:val="37"/>
        <w:numPr>
          <w:ilvl w:val="0"/>
          <w:numId w:val="1"/>
        </w:numPr>
        <w:spacing w:line="570" w:lineRule="exact"/>
        <w:ind w:firstLineChars="0"/>
        <w:jc w:val="left"/>
        <w:rPr>
          <w:rFonts w:ascii="方正黑体简体" w:eastAsia="方正黑体简体" w:cs="方正黑体简体" w:hAnsi="方正黑体简体"/>
          <w:sz w:val="32"/>
          <w:szCs w:val="32"/>
        </w:rPr>
      </w:pPr>
      <w:bookmarkStart w:id="4" w:name="_Toc68791548"/>
      <w:r>
        <w:rPr>
          <w:rFonts w:ascii="方正黑体简体" w:eastAsia="方正黑体简体" w:cs="方正黑体简体" w:hAnsi="方正黑体简体" w:hint="eastAsia"/>
          <w:sz w:val="32"/>
          <w:szCs w:val="32"/>
        </w:rPr>
        <w:t>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bookmarkEnd w:id="4"/>
    </w:p>
    <w:p>
      <w:pPr>
        <w:pStyle w:val="45"/>
        <w:ind w:firstLineChars="200" w:firstLine="640"/>
        <w:rPr>
          <w:rStyle w:val="26"/>
          <w:rFonts w:ascii="方正仿宋简体" w:eastAsia="方正仿宋简体" w:cs="方正仿宋简体" w:hAnsi="方正仿宋简体"/>
          <w:color w:val="auto"/>
          <w:kern w:val="2"/>
          <w:sz w:val="32"/>
          <w:szCs w:val="32"/>
          <w:u w:val="none"/>
          <w:lang w:eastAsia="zh-CN"/>
        </w:rPr>
      </w:pPr>
      <w:bookmarkStart w:id="5" w:name="_Toc68791549"/>
      <w:r>
        <w:rPr>
          <w:rStyle w:val="26"/>
          <w:rFonts w:ascii="方正仿宋简体" w:eastAsia="方正仿宋简体" w:cs="方正仿宋简体" w:hAnsi="方正仿宋简体"/>
          <w:color w:val="auto"/>
          <w:kern w:val="2"/>
          <w:sz w:val="32"/>
          <w:szCs w:val="32"/>
          <w:u w:val="none"/>
          <w:lang w:eastAsia="zh-CN"/>
        </w:rPr>
        <w:t>202</w:t>
      </w:r>
      <w:r>
        <w:rPr>
          <w:rStyle w:val="26"/>
          <w:rFonts w:ascii="方正仿宋简体" w:eastAsia="方正仿宋简体" w:cs="方正仿宋简体" w:hAnsi="方正仿宋简体"/>
          <w:color w:val="auto"/>
          <w:kern w:val="2"/>
          <w:sz w:val="32"/>
          <w:szCs w:val="32"/>
          <w:u w:val="none"/>
          <w:lang w:val="en-US" w:eastAsia="zh-CN"/>
        </w:rPr>
        <w:t>2</w:t>
      </w:r>
      <w:r>
        <w:rPr>
          <w:rStyle w:val="26"/>
          <w:rFonts w:ascii="方正仿宋简体" w:eastAsia="方正仿宋简体" w:cs="方正仿宋简体" w:hAnsi="方正仿宋简体"/>
          <w:color w:val="auto"/>
          <w:kern w:val="2"/>
          <w:sz w:val="32"/>
          <w:szCs w:val="32"/>
          <w:u w:val="none"/>
          <w:lang w:eastAsia="zh-CN"/>
        </w:rPr>
        <w:t>年</w:t>
      </w:r>
      <w:r>
        <w:rPr>
          <w:rStyle w:val="26"/>
          <w:rFonts w:ascii="方正仿宋简体" w:eastAsia="方正仿宋简体" w:cs="方正仿宋简体" w:hAnsi="方正仿宋简体" w:hint="eastAsia"/>
          <w:color w:val="auto"/>
          <w:kern w:val="2"/>
          <w:sz w:val="32"/>
          <w:szCs w:val="32"/>
          <w:u w:val="none"/>
          <w:lang w:eastAsia="zh-CN"/>
        </w:rPr>
        <w:t>，</w:t>
      </w:r>
      <w:r>
        <w:rPr>
          <w:rStyle w:val="26"/>
          <w:rFonts w:ascii="方正仿宋简体" w:eastAsia="方正仿宋简体" w:cs="方正仿宋简体" w:hAnsi="方正仿宋简体"/>
          <w:color w:val="auto"/>
          <w:kern w:val="2"/>
          <w:sz w:val="32"/>
          <w:szCs w:val="32"/>
          <w:u w:val="none"/>
          <w:lang w:eastAsia="zh-CN"/>
        </w:rPr>
        <w:t>我部门“三公”经费预算安排6.</w:t>
      </w:r>
      <w:r>
        <w:rPr>
          <w:rStyle w:val="26"/>
          <w:rFonts w:ascii="方正仿宋简体" w:eastAsia="方正仿宋简体" w:cs="方正仿宋简体" w:hAnsi="方正仿宋简体" w:hint="eastAsia"/>
          <w:color w:val="auto"/>
          <w:kern w:val="2"/>
          <w:sz w:val="32"/>
          <w:szCs w:val="32"/>
          <w:u w:val="none"/>
          <w:lang w:eastAsia="zh-CN"/>
        </w:rPr>
        <w:t>26</w:t>
      </w:r>
      <w:r>
        <w:rPr>
          <w:rStyle w:val="26"/>
          <w:rFonts w:ascii="方正仿宋简体" w:eastAsia="方正仿宋简体" w:cs="方正仿宋简体" w:hAnsi="方正仿宋简体"/>
          <w:color w:val="auto"/>
          <w:kern w:val="2"/>
          <w:sz w:val="32"/>
          <w:szCs w:val="32"/>
          <w:u w:val="none"/>
          <w:lang w:eastAsia="zh-CN"/>
        </w:rPr>
        <w:t>万元，</w:t>
      </w:r>
      <w:r>
        <w:rPr>
          <w:rStyle w:val="26"/>
          <w:rFonts w:ascii="方正仿宋简体" w:eastAsia="方正仿宋简体" w:cs="方正仿宋简体" w:hAnsi="方正仿宋简体" w:hint="eastAsia"/>
          <w:color w:val="auto"/>
          <w:kern w:val="2"/>
          <w:sz w:val="32"/>
          <w:szCs w:val="32"/>
          <w:u w:val="none"/>
          <w:lang w:eastAsia="zh-CN"/>
        </w:rPr>
        <w:t>较2022年预算相比持平，无增减变化。具体安排情况为：</w:t>
      </w:r>
    </w:p>
    <w:p>
      <w:pPr>
        <w:pStyle w:val="45"/>
        <w:numPr>
          <w:ilvl w:val="0"/>
          <w:numId w:val="2"/>
        </w:numPr>
        <w:rPr>
          <w:rStyle w:val="26"/>
          <w:rFonts w:ascii="方正仿宋简体" w:eastAsia="方正仿宋简体" w:cs="方正仿宋简体" w:hAnsi="方正仿宋简体"/>
          <w:color w:val="auto"/>
          <w:kern w:val="2"/>
          <w:sz w:val="32"/>
          <w:szCs w:val="32"/>
          <w:u w:val="none"/>
          <w:lang w:eastAsia="zh-CN"/>
        </w:rPr>
      </w:pPr>
      <w:r>
        <w:rPr>
          <w:rStyle w:val="26"/>
          <w:rFonts w:ascii="方正仿宋简体" w:eastAsia="方正仿宋简体" w:cs="方正仿宋简体" w:hAnsi="方正仿宋简体"/>
          <w:color w:val="auto"/>
          <w:kern w:val="2"/>
          <w:sz w:val="32"/>
          <w:szCs w:val="32"/>
          <w:u w:val="none"/>
          <w:lang w:eastAsia="zh-CN"/>
        </w:rPr>
        <w:t>公务用车购置及运维费6.15元，与上年持平，无增减变化；</w:t>
      </w:r>
      <w:r>
        <w:rPr>
          <w:rStyle w:val="26"/>
          <w:rFonts w:ascii="方正仿宋简体" w:eastAsia="方正仿宋简体" w:cs="方正仿宋简体" w:hAnsi="方正仿宋简体" w:hint="eastAsia"/>
          <w:color w:val="auto"/>
          <w:kern w:val="2"/>
          <w:sz w:val="32"/>
          <w:szCs w:val="32"/>
          <w:u w:val="none"/>
          <w:lang w:eastAsia="zh-CN"/>
        </w:rPr>
        <w:t>其中：①公务用车购置费安排0万元，与2022年相比持平，无增减变化；②公车运行维护费6.15万元，</w:t>
      </w:r>
      <w:r>
        <w:rPr>
          <w:rStyle w:val="26"/>
          <w:rFonts w:ascii="方正仿宋简体" w:eastAsia="方正仿宋简体" w:cs="方正仿宋简体" w:hAnsi="方正仿宋简体"/>
          <w:color w:val="auto"/>
          <w:kern w:val="2"/>
          <w:sz w:val="32"/>
          <w:szCs w:val="32"/>
          <w:u w:val="none"/>
          <w:lang w:eastAsia="zh-CN"/>
        </w:rPr>
        <w:t>与上年持平，</w:t>
      </w:r>
      <w:r>
        <w:rPr>
          <w:rStyle w:val="26"/>
          <w:rFonts w:ascii="方正仿宋简体" w:eastAsia="方正仿宋简体" w:cs="方正仿宋简体" w:hAnsi="方正仿宋简体" w:hint="eastAsia"/>
          <w:color w:val="auto"/>
          <w:kern w:val="2"/>
          <w:sz w:val="32"/>
          <w:szCs w:val="32"/>
          <w:u w:val="none"/>
          <w:lang w:eastAsia="zh-CN"/>
        </w:rPr>
        <w:t>车辆运行维护费严格按照统一定额标准，公车数量未发生增减，车辆运行维护费无变化。</w:t>
      </w:r>
    </w:p>
    <w:p>
      <w:pPr>
        <w:pStyle w:val="45"/>
        <w:numPr>
          <w:ilvl w:val="0"/>
          <w:numId w:val="2"/>
        </w:numPr>
        <w:rPr>
          <w:rStyle w:val="26"/>
          <w:rFonts w:ascii="方正仿宋简体" w:eastAsia="方正仿宋简体" w:cs="方正仿宋简体" w:hAnsi="方正仿宋简体"/>
          <w:color w:val="auto"/>
          <w:kern w:val="2"/>
          <w:sz w:val="32"/>
          <w:szCs w:val="32"/>
          <w:u w:val="none"/>
          <w:lang w:eastAsia="zh-CN"/>
        </w:rPr>
      </w:pPr>
      <w:r>
        <w:rPr>
          <w:rStyle w:val="26"/>
          <w:rFonts w:ascii="方正仿宋简体" w:eastAsia="方正仿宋简体" w:cs="方正仿宋简体" w:hAnsi="方正仿宋简体"/>
          <w:color w:val="auto"/>
          <w:kern w:val="2"/>
          <w:sz w:val="32"/>
          <w:szCs w:val="32"/>
          <w:u w:val="none"/>
          <w:lang w:eastAsia="zh-CN"/>
        </w:rPr>
        <w:t>公务接待费0.11万元，</w:t>
      </w:r>
      <w:r>
        <w:rPr>
          <w:rStyle w:val="26"/>
          <w:rFonts w:ascii="方正仿宋简体" w:eastAsia="方正仿宋简体" w:cs="方正仿宋简体" w:hAnsi="方正仿宋简体" w:hint="eastAsia"/>
          <w:color w:val="auto"/>
          <w:kern w:val="2"/>
          <w:sz w:val="32"/>
          <w:szCs w:val="32"/>
          <w:u w:val="none"/>
          <w:lang w:eastAsia="zh-CN"/>
        </w:rPr>
        <w:t>（按照统一定额标准计算，无增加变化），</w:t>
      </w:r>
      <w:r>
        <w:rPr>
          <w:rStyle w:val="26"/>
          <w:rFonts w:ascii="方正仿宋简体" w:eastAsia="方正仿宋简体" w:cs="方正仿宋简体" w:hAnsi="方正仿宋简体"/>
          <w:color w:val="auto"/>
          <w:kern w:val="2"/>
          <w:sz w:val="32"/>
          <w:szCs w:val="32"/>
          <w:u w:val="none"/>
          <w:lang w:eastAsia="zh-CN"/>
        </w:rPr>
        <w:t>与上年持平，无增减变化；</w:t>
      </w:r>
    </w:p>
    <w:p>
      <w:pPr>
        <w:pStyle w:val="45"/>
        <w:numPr>
          <w:ilvl w:val="0"/>
          <w:numId w:val="2"/>
        </w:numPr>
        <w:rPr>
          <w:rStyle w:val="26"/>
          <w:rFonts w:ascii="方正仿宋简体" w:eastAsia="方正仿宋简体" w:cs="方正仿宋简体" w:hAnsi="方正仿宋简体"/>
          <w:color w:val="auto"/>
          <w:kern w:val="2"/>
          <w:sz w:val="32"/>
          <w:szCs w:val="32"/>
          <w:u w:val="none"/>
          <w:lang w:eastAsia="zh-CN"/>
        </w:rPr>
      </w:pPr>
      <w:r>
        <w:rPr>
          <w:rStyle w:val="26"/>
          <w:rFonts w:ascii="方正仿宋简体" w:eastAsia="方正仿宋简体" w:cs="方正仿宋简体" w:hAnsi="方正仿宋简体"/>
          <w:color w:val="auto"/>
          <w:kern w:val="2"/>
          <w:sz w:val="32"/>
          <w:szCs w:val="32"/>
          <w:u w:val="none"/>
          <w:lang w:eastAsia="zh-CN"/>
        </w:rPr>
        <w:t>因公出国（境）费0元，</w:t>
      </w:r>
      <w:r>
        <w:rPr>
          <w:rStyle w:val="26"/>
          <w:rFonts w:ascii="方正仿宋简体" w:eastAsia="方正仿宋简体" w:cs="方正仿宋简体" w:hAnsi="方正仿宋简体" w:hint="eastAsia"/>
          <w:color w:val="auto"/>
          <w:kern w:val="2"/>
          <w:sz w:val="32"/>
          <w:szCs w:val="32"/>
          <w:u w:val="none"/>
          <w:lang w:eastAsia="zh-CN"/>
        </w:rPr>
        <w:t>没有因公出国安排，所以未安排因公出国费。</w:t>
      </w:r>
    </w:p>
    <w:p>
      <w:pPr>
        <w:spacing w:line="57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五、预算绩效信息</w:t>
      </w:r>
      <w:bookmarkEnd w:id="5"/>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第一部分 部门整体绩效目标</w:t>
      </w:r>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2022年，卫生强市建设水平进一步提高，建立覆盖城乡居民的基本医疗卫生制度，建立比较完善的公共卫生服务体系和医疗服务体系，比较健全的医疗保障体系，比较规范的药品供应保障体系，比较科学的医疗卫生机构管理体制和运行机制，促进基本公共卫生服务逐步均等化，实现人人享有基本医疗卫生服务目标，逐步适应人民群众多层次的医疗卫生需求，建立和完善医疗卫生服务要素的准入制度和退出机制，让群众享有价格合理、质量优良的医疗服务，人民群众的健康水平不断提高。</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健全基本医疗服务体系。到2022年，遵化市将形成医院与社区卫生服务机构间分工合理的分级医疗服务体系，政府举办与民营医疗机构合理竞争、互为补充，满足人民群众多层次、多样化的医疗服务需求。促进公共卫生均等化服务，基本公共卫生服务覆盖城乡居民、建立健全妇幼保健工作体系、加强疾病预防控制机制能力建设、加强卫生应急综合能力建设、加强卫生监督机构和能力建设、广泛开展健康教育与促进工作。推进公立医院改革创新。积极探索“管办分开、政事分开、医药分开、营利性和非营利性分开”等重大体制机制综合改革。健全中医中药服务体系。深化医改中进一步发挥中医药作用，充分发挥中医药特色优势。加快基层卫生改革与发展。进一步健全以市级医院为龙头、乡镇卫生院和村卫生室为基础的农村医疗卫生服务网络。建立完善人才招聘培养机制。实施人才科教兴医战略：加强卫生技术人员队伍建设，推广先进技术。</w:t>
      </w:r>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（二）分项绩效目标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sz w:val="32"/>
          <w:szCs w:val="32"/>
        </w:rPr>
        <w:t>爱国卫生月和创建国家卫生城保障资金</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w:t>
      </w:r>
      <w:r>
        <w:rPr>
          <w:rFonts w:ascii="方正仿宋简体" w:eastAsia="方正仿宋简体" w:cs="方正仿宋简体" w:hAnsi="方正仿宋简体"/>
          <w:sz w:val="32"/>
          <w:szCs w:val="32"/>
        </w:rPr>
        <w:t>1.使城乡环境卫生状况逐步改善</w:t>
        <w:tab/>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2.减少疾病传播，提高人居健康水平</w:t>
        <w:tab/>
      </w:r>
      <w:r>
        <w:rPr>
          <w:rFonts w:ascii="方正仿宋简体" w:eastAsia="方正仿宋简体" w:cs="方正仿宋简体" w:hAnsi="方正仿宋简体" w:hint="eastAsia"/>
          <w:sz w:val="32"/>
          <w:szCs w:val="32"/>
        </w:rPr>
        <w:t>。</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绩效指标：通过一年两次除四害培训会议大大提升群众防治常识，每年两次发放鼠药、蟑螂药全市平均鼠密度控制在2%以下。</w:t>
      </w:r>
    </w:p>
    <w:p>
      <w:pPr>
        <w:spacing w:line="570" w:lineRule="exact"/>
        <w:ind w:firstLineChars="200" w:firstLine="640"/>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赤脚医生补助</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绩效目标：解决原“赤脚医生”养老保障问题，采取按工龄补助的形式，原则上服务年限每满一年每月补助20元最高不超过每月400元。</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绩效指标：改善</w:t>
      </w:r>
      <w:r>
        <w:rPr>
          <w:rFonts w:ascii="方正仿宋简体" w:eastAsia="方正仿宋简体" w:cs="方正仿宋简体" w:hAnsi="方正仿宋简体" w:hint="eastAsia"/>
          <w:bCs/>
          <w:sz w:val="32"/>
          <w:szCs w:val="32"/>
        </w:rPr>
        <w:t>赤脚医生</w:t>
      </w:r>
      <w:r>
        <w:rPr>
          <w:rFonts w:ascii="方正仿宋简体" w:eastAsia="方正仿宋简体" w:cs="方正仿宋简体" w:hAnsi="方正仿宋简体" w:hint="eastAsia"/>
          <w:sz w:val="32"/>
          <w:szCs w:val="32"/>
        </w:rPr>
        <w:t>人群在生活、医疗、护理、教育等方面的情况。</w:t>
      </w:r>
    </w:p>
    <w:p>
      <w:pPr>
        <w:spacing w:line="570" w:lineRule="exact"/>
        <w:ind w:firstLineChars="150" w:firstLine="48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 xml:space="preserve"> 3</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村级基本药物制度补助资金</w:t>
      </w:r>
    </w:p>
    <w:p>
      <w:pPr>
        <w:spacing w:line="570" w:lineRule="exact"/>
        <w:ind w:firstLineChars="200" w:firstLine="640"/>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sz w:val="32"/>
          <w:szCs w:val="32"/>
        </w:rPr>
        <w:t>绩效目标：</w:t>
      </w:r>
      <w:r>
        <w:rPr>
          <w:rFonts w:ascii="方正仿宋简体" w:eastAsia="方正仿宋简体" w:cs="方正仿宋简体" w:hAnsi="方正仿宋简体" w:hint="eastAsia"/>
          <w:bCs/>
          <w:sz w:val="32"/>
          <w:szCs w:val="32"/>
        </w:rPr>
        <w:t>1.实现乡村医生的准入和退出机制，落实乡村医生养老待遇；2.推行村卫生室一体化管理。</w:t>
      </w:r>
    </w:p>
    <w:p>
      <w:pPr>
        <w:pStyle w:val="32"/>
        <w:ind w:firstLineChars="200" w:firstLine="640"/>
        <w:jc w:val="both"/>
        <w:rPr>
          <w:rFonts w:ascii="方正仿宋简体" w:eastAsia="方正仿宋简体" w:cs="方正仿宋简体" w:hAnsi="方正仿宋简体"/>
          <w:bCs/>
        </w:rPr>
      </w:pPr>
      <w:r>
        <w:rPr>
          <w:rFonts w:ascii="方正仿宋简体" w:eastAsia="方正仿宋简体" w:cs="方正仿宋简体" w:hAnsi="方正仿宋简体" w:hint="eastAsia"/>
          <w:sz w:val="32"/>
          <w:szCs w:val="32"/>
        </w:rPr>
        <w:t>绩效指标：村卫生室实施基本药物制度后，对村医因实行基本药物零差率销售而产生的收支差额，按照服务人口每人每年10元--15元的标准予以补助。</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4.独生子女死亡伤残一次性救助资金</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绩效目标：为计划生育独生子女死亡、伤残家庭发放救助金，切实解决计划生育特殊家庭的实际困难，给予经济帮扶。</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绩效指标：符合政策人数50人，上报人数与初审率大于等于95%。</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5.防保人员工资</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绩效目标：有针对性地开展慢性非传染性疾病、地方病、职业病和寄生虫病的健康指导、行为干预和筛查，以及高危人群监测和规范管理里工作。</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绩效指标：每个乡级卫生院应设置专职防保人员3人，年度处置的突发公共卫生事件数占报告的突发公共卫生事件数的比率大于等于90%。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6.公立医院改革补助资金</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绩效目标：公立医院药品零售加价率为15%，按照6:3:1的原则，财政负担30%；所有县级公立医院取消药品加成财政补偿5%。</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绩效指标：实施县级公立医院改革数量3所，医疗费用增长幅度小于等于10%。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7.公立医院院长年薪制费用</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绩效目标：宣传卫生城市创建，提高人民群众知晓率，使城乡环境卫生状况逐步改善，减少疾病传播，提高人居健康水平。</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绩效指标：实施县级公立医院改革数量3所，门急诊人次比上年度增加至少1%。</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8</w:t>
      </w:r>
      <w:r>
        <w:rPr>
          <w:rFonts w:ascii="方正仿宋简体" w:eastAsia="方正仿宋简体" w:cs="方正仿宋简体" w:hAnsi="方正仿宋简体" w:hint="eastAsia"/>
          <w:bCs/>
          <w:color w:val="000000"/>
          <w:sz w:val="32"/>
          <w:szCs w:val="32"/>
        </w:rPr>
        <w:t>.国医堂建设项目经费</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绩效目标：1.改善中医药诊疗环境提高中医药技术水平；2.配备用于连接基层中医药适宜技术推广视频网络的计算机系统、投影仪等设备。</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绩效指标：年度内开展标准化建设的基层医疗机构国医堂数量1所，当年标准化基层医疗机构国医堂人员配备数量占标准配备的比例大于等于90%。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9.基本公共卫生本级配套资金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开展对重点疾病及危害因素监测，有效控制疾病流行，为制定相关政策提供科学依据；2.按照《国家基本公共卫生服务项目规范》实施基本公共卫生服务项目，对城乡居民健康进行干预，减少危害健康的因素，有效预防传染病及慢性病，使其享有均等的基本公共卫生服务。</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绩效指标：基本公共卫生服务人数764680人，适龄儿童实际接种国家免疫规划疫苗人数占应接种人数百分比大于等于90%。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10</w:t>
      </w:r>
      <w:r>
        <w:rPr>
          <w:rFonts w:ascii="方正仿宋简体" w:eastAsia="方正仿宋简体" w:cs="方正仿宋简体" w:hAnsi="方正仿宋简体" w:hint="eastAsia"/>
          <w:bCs/>
          <w:color w:val="000000"/>
          <w:sz w:val="32"/>
          <w:szCs w:val="32"/>
        </w:rPr>
        <w:t>.基本公共卫生考核经费</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加强我市基本公共卫生服务项目工作，客观、真实地反映国家基本公共卫生服务项目在我市实施情况；2.规范国家基本公共卫生服务项目绩效考核工作，加快推进基本公共卫生服务逐步均等化保障群众健康水平。</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绩效指标：基本公共卫生服务项目考核次数2次，辖区内建立电子档案人数占常住居民数的比率大于等于90%。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11</w:t>
      </w:r>
      <w:r>
        <w:rPr>
          <w:rFonts w:ascii="方正仿宋简体" w:eastAsia="方正仿宋简体" w:cs="方正仿宋简体" w:hAnsi="方正仿宋简体" w:hint="eastAsia"/>
          <w:bCs/>
          <w:color w:val="000000"/>
          <w:sz w:val="32"/>
          <w:szCs w:val="32"/>
        </w:rPr>
        <w:t>.基层基本药物制度补助资金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绩效目标：实施基本药物制度后，对基层医疗机构因实行基本药物零差率销售而产生的收支差额，按照服务人口每人每年10元--15元的标准予以补助</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绩效指标：取消药品加成的基层医疗卫生机构个数36个，取消药品加成的基层医疗卫生机构个数占全省基层医疗卫生机构总数的比率小于55%。</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12.基层医疗单位退休人员支出</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 xml:space="preserve">绩效目标：1.租赁医院退休人员取暖费按时足额发放；2.租赁医院遗属补助按时足额发放。  </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绩效指标：补助的人数或户数190人，实际发放的补助金金额占计划发放金额的比率大于等于90%。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13</w:t>
      </w:r>
      <w:r>
        <w:rPr>
          <w:rFonts w:ascii="方正仿宋简体" w:eastAsia="方正仿宋简体" w:cs="方正仿宋简体" w:hAnsi="方正仿宋简体" w:hint="eastAsia"/>
          <w:bCs/>
          <w:color w:val="000000"/>
          <w:sz w:val="32"/>
          <w:szCs w:val="32"/>
        </w:rPr>
        <w:t>.脊柱侧弯免费筛查补助</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 xml:space="preserve">绩效目标：1.对全市中小学生开展脊柱侧弯免费筛查工作；2.对阳性病例进行积极干预和科学诊治，力争筛查率达90%以上。  </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绩效指标：全市中小学生脊柱侧弯筛查93844人，加强筛查人员培训，规范筛查标准，提升筛查准确率大于等于90%。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14</w:t>
      </w:r>
      <w:r>
        <w:rPr>
          <w:rFonts w:ascii="方正仿宋简体" w:eastAsia="方正仿宋简体" w:cs="方正仿宋简体" w:hAnsi="方正仿宋简体" w:hint="eastAsia"/>
          <w:bCs/>
          <w:color w:val="000000"/>
          <w:sz w:val="32"/>
          <w:szCs w:val="32"/>
        </w:rPr>
        <w:t>.冀财社【2021】157号2022年中央财政医疗救助补助资金（疾病应急救助资金部分）</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 xml:space="preserve">绩效目标：保障疾病应急救助工作有序进行，提高人民就医水平。  </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绩效指标：疾病应急救助制度覆盖人数764680人，救治对象为符合制度患者比率大于等于90%。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15</w:t>
      </w:r>
      <w:r>
        <w:rPr>
          <w:rFonts w:ascii="方正仿宋简体" w:eastAsia="方正仿宋简体" w:cs="方正仿宋简体" w:hAnsi="方正仿宋简体" w:hint="eastAsia"/>
          <w:bCs/>
          <w:color w:val="000000"/>
          <w:sz w:val="32"/>
          <w:szCs w:val="32"/>
        </w:rPr>
        <w:t>.冀财社【2021】158号 2022年中央医疗服务与保障能力提升补助资金（中医药事业传承与发展部分）</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绩效目标：保障疾病应急救助工作有序进行，提高人民就医水平。</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绩效指标：中医馆建设数量9所，当年中医药科研“三年提升”工程任务完成率100%。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16</w:t>
      </w:r>
      <w:r>
        <w:rPr>
          <w:rFonts w:ascii="方正仿宋简体" w:eastAsia="方正仿宋简体" w:cs="方正仿宋简体" w:hAnsi="方正仿宋简体" w:hint="eastAsia"/>
          <w:bCs/>
          <w:color w:val="000000"/>
          <w:sz w:val="32"/>
          <w:szCs w:val="32"/>
        </w:rPr>
        <w:t>.冀财社【2021】169号 2022年重大传染病防控经费绩效目标表</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绩效目标：减少艾滋病新增感染，降低艾滋病病死率。进一步减少结核感染、患病和死亡，提高人民群众健康水平。</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绩效指标：防范艾滋病人数76.47万人，规范和治疗结核病患者任务完成率大于等于85%。</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17</w:t>
      </w:r>
      <w:r>
        <w:rPr>
          <w:rFonts w:ascii="方正仿宋简体" w:eastAsia="方正仿宋简体" w:cs="方正仿宋简体" w:hAnsi="方正仿宋简体" w:hint="eastAsia"/>
          <w:bCs/>
          <w:color w:val="000000"/>
          <w:sz w:val="32"/>
          <w:szCs w:val="32"/>
        </w:rPr>
        <w:t>.冀财社【2021】170号 2022年中央基本药物制度补助资金（村级卫生室）</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绩效目标：1.保障机构有效运行和健康发展、保障医务人员合理待遇；2.逐步取消基层医疗机构药品加成，实现基本药物制度乡村卫生机构全覆盖，逐步缓解百姓“看病难、看病贵”问题。</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绩效指标：药品收入占医疗收入的比率小于55%，取消药品加成的基层医疗卫生机构个数占全省基层医疗卫生机构总数的比率大于等于90%。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18</w:t>
      </w:r>
      <w:r>
        <w:rPr>
          <w:rFonts w:ascii="方正仿宋简体" w:eastAsia="方正仿宋简体" w:cs="方正仿宋简体" w:hAnsi="方正仿宋简体" w:hint="eastAsia"/>
          <w:bCs/>
          <w:color w:val="000000"/>
          <w:sz w:val="32"/>
          <w:szCs w:val="32"/>
        </w:rPr>
        <w:t>.冀财社【2021】170号 2022年中央基本药物制度补助资金（基层卫生医疗机构）</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绩效目标：1.保障机构有效运行和健康发展、保障医务人员合理待遇；2.逐步取消基层医疗机构药品加成，实现基本药物制度乡村卫生机构全覆盖，逐步缓解百姓“看病难、看病贵”问题。</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绩效指标：基层基本药物制度医疗机构数36所，取消药品加成的基层医疗卫生机构个数占全省基层医疗卫生机构总数的比率大于等于90%。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19</w:t>
      </w:r>
      <w:r>
        <w:rPr>
          <w:rFonts w:ascii="方正仿宋简体" w:eastAsia="方正仿宋简体" w:cs="方正仿宋简体" w:hAnsi="方正仿宋简体" w:hint="eastAsia"/>
          <w:bCs/>
          <w:color w:val="000000"/>
          <w:sz w:val="32"/>
          <w:szCs w:val="32"/>
        </w:rPr>
        <w:t>.冀财社【2021】171号 中央2022年医疗服务与保障能力提升（公立医院综合改革）补助资金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绩效目标：1.坚持县级公立医院公益性，破除“以药补医”机制；2.全面推进医院管理体制、监督机制等方面综合改革。</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绩效指标：实施县级公立医院改革数量3所，门急诊人次比上年度增加大于等于1%。</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20</w:t>
      </w:r>
      <w:r>
        <w:rPr>
          <w:rFonts w:ascii="方正仿宋简体" w:eastAsia="方正仿宋简体" w:cs="方正仿宋简体" w:hAnsi="方正仿宋简体" w:hint="eastAsia"/>
          <w:bCs/>
          <w:color w:val="000000"/>
          <w:sz w:val="32"/>
          <w:szCs w:val="32"/>
        </w:rPr>
        <w:t>.冀财社【2021】172号2022年中央基本公共卫生服务补助资金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绩效目标：保障基本公共卫生工作有序、有效的落实</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绩效指标：基本公共卫生开展数量大于等于12项，年度辖区内某种疫苗实际接种人数占年度辖区内某种疫苗应接种人数的百分比大于等于90%。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21.冀财社【2021】174号 2022年中央计划生育转移支付资金（奖扶、特扶）</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绩效目标：切实完善计划生育利益导向机制和保障体系2.帮扶计划生育家庭和计生特殊家庭。</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绩效指标：奖励扶助发放人数22608人，符合人数与实际发放扶助金比率等于100%。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22</w:t>
      </w:r>
      <w:r>
        <w:rPr>
          <w:rFonts w:ascii="方正仿宋简体" w:eastAsia="方正仿宋简体" w:cs="方正仿宋简体" w:hAnsi="方正仿宋简体" w:hint="eastAsia"/>
          <w:bCs/>
          <w:color w:val="000000"/>
          <w:sz w:val="32"/>
          <w:szCs w:val="32"/>
        </w:rPr>
        <w:t>.冀财社【2021】189号 2022年省级计划生育服务补助资金(奖扶、特扶)</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绩效目标：1.切实完善计划生育利益导向机制和保障体系；2.帮扶计划生育家庭和计生特殊家庭。</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绩效指标：奖励扶助发放人数22608人，符合人数与实际发放扶助金比率等于100%。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23</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绩效目标：保障基本公共卫生工作有序、有效的落实</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绩效指标：基本公共卫生开展数量大于等于12项，年度辖区内某种疫苗实际接种人数占年度辖区内某种疫苗应接种人数的百分比大于等于90%。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24</w:t>
      </w:r>
      <w:r>
        <w:rPr>
          <w:rFonts w:ascii="方正仿宋简体" w:eastAsia="方正仿宋简体" w:cs="方正仿宋简体" w:hAnsi="方正仿宋简体" w:hint="eastAsia"/>
          <w:bCs/>
          <w:color w:val="000000"/>
          <w:sz w:val="32"/>
          <w:szCs w:val="32"/>
        </w:rPr>
        <w:t>.冀财社【2021】190号 2022年省级公共卫生服务补助资金（基本药物制度部分)</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绩效目标：1.保障机构有效运行和健康发展、保障医务人员合理待遇；2.逐步取消基层医疗机构药品加成，实现基本药物制度乡村卫生机构全覆盖，逐步缓解百姓“看病难、看病贵”问题。</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绩效指标：药品收入占医疗收入的比率小于55%，取消药品加成的基层医疗卫生机构个数占全省基层医疗卫生机构总数的比率大于等于90%。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25</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绩效指标：基本公共卫生开展数量大于等于12项，年度辖区内某种疫苗实际接种人数占年度辖区内某种疫苗应接种人数的百分比大于等于90%。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26</w:t>
      </w:r>
      <w:r>
        <w:rPr>
          <w:rFonts w:ascii="方正仿宋简体" w:eastAsia="方正仿宋简体" w:cs="方正仿宋简体" w:hAnsi="方正仿宋简体" w:hint="eastAsia"/>
          <w:bCs/>
          <w:color w:val="000000"/>
          <w:sz w:val="32"/>
          <w:szCs w:val="32"/>
        </w:rPr>
        <w:t>.冀财社【2021】196号 2022年中医药事业传承与发展省级补助资金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绩效目标：改善中医药诊疗环境提高中医药技术水平2.用于中医药适宜技术推广</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绩效指标：标准化县级中医院建设数量1所，当年中医药科研“三年提升”工程任务完成率100%。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27</w:t>
      </w:r>
      <w:r>
        <w:rPr>
          <w:rFonts w:ascii="方正仿宋简体" w:eastAsia="方正仿宋简体" w:cs="方正仿宋简体" w:hAnsi="方正仿宋简体" w:hint="eastAsia"/>
          <w:bCs/>
          <w:color w:val="000000"/>
          <w:sz w:val="32"/>
          <w:szCs w:val="32"/>
        </w:rPr>
        <w:t>.计生奖扶、特扶提标及救助费</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绩效目标：1.切实完善计划生育利益导向机制和保障体系；2.帮扶计划生育家庭和计生特殊家庭。</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绩效指标：奖励扶助发放人数大于等于22608人，扶助金发放率100%。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28</w:t>
      </w:r>
      <w:r>
        <w:rPr>
          <w:rFonts w:ascii="方正仿宋简体" w:eastAsia="方正仿宋简体" w:cs="方正仿宋简体" w:hAnsi="方正仿宋简体" w:hint="eastAsia"/>
          <w:bCs/>
          <w:color w:val="000000"/>
          <w:sz w:val="32"/>
          <w:szCs w:val="32"/>
        </w:rPr>
        <w:t>.计生特殊家庭住院护理补贴保险资金绩效</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绩效目标：1.用于计划生育特殊家庭生病住院期间补助；2.解决计划生育特殊家庭在医疗方面遇到的困难。</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绩效指标：摸底人数614人，参保率100%。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29</w:t>
      </w:r>
      <w:r>
        <w:rPr>
          <w:rFonts w:ascii="方正仿宋简体" w:eastAsia="方正仿宋简体" w:cs="方正仿宋简体" w:hAnsi="方正仿宋简体" w:hint="eastAsia"/>
          <w:bCs/>
          <w:color w:val="000000"/>
          <w:sz w:val="32"/>
          <w:szCs w:val="32"/>
        </w:rPr>
        <w:t>.计生特殊人群健康检查费</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绩效目标：1.为计生特殊家庭（失独、残独）进行免费体检；2.为计生特殊家庭解决估养老保障、医疗服务等方面遇到的突出问题。</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绩效指标：健康检查人数614人，实际检查人数比率大于等于90%。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30</w:t>
      </w:r>
      <w:r>
        <w:rPr>
          <w:rFonts w:ascii="方正仿宋简体" w:eastAsia="方正仿宋简体" w:cs="方正仿宋简体" w:hAnsi="方正仿宋简体" w:hint="eastAsia"/>
          <w:bCs/>
          <w:color w:val="000000"/>
          <w:sz w:val="32"/>
          <w:szCs w:val="32"/>
        </w:rPr>
        <w:t>.计生小组长工资</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绩效目标：1.进一步突出重点，精简年终考核指标及环节；2.切实发挥导向作用，推进统计数据求实。</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绩效指标：计生小组长工资发放人数1821人，本组育龄妇女参加生殖健康检查服务比例大于等于90%。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31</w:t>
      </w:r>
      <w:r>
        <w:rPr>
          <w:rFonts w:ascii="方正仿宋简体" w:eastAsia="方正仿宋简体" w:cs="方正仿宋简体" w:hAnsi="方正仿宋简体" w:hint="eastAsia"/>
          <w:bCs/>
          <w:color w:val="000000"/>
          <w:sz w:val="32"/>
          <w:szCs w:val="32"/>
        </w:rPr>
        <w:t>.灵活就业人员退休独生子女一次性补助资金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绩效目标：1.完善计划生育利益导向机制和保障体系；2.对落实计划生育政策的独生子女家庭享受计划生育奖励。</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绩效指标：奖励发放人数300人，对符合政策条件的奖励对象发放奖励金发放比例为100%。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32</w:t>
      </w:r>
      <w:r>
        <w:rPr>
          <w:rFonts w:ascii="方正仿宋简体" w:eastAsia="方正仿宋简体" w:cs="方正仿宋简体" w:hAnsi="方正仿宋简体" w:hint="eastAsia"/>
          <w:bCs/>
          <w:color w:val="000000"/>
          <w:sz w:val="32"/>
          <w:szCs w:val="32"/>
        </w:rPr>
        <w:t>.失独家庭意外伤害保险补贴资金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绩效目标：1.帮扶计划生育特殊家庭妥善解决他们的生活照料医疗服务养老保障等问题；2.此项工作的实施切实完善计划生育利益导向机制和保障体系，使这些家庭享受到政府的关爱，为构建和谐社会做贡献。</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绩效指标：女方年满49周岁以上的计生特殊家庭人数575人，投保率大于等于90%。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3.失独家庭住院护理补贴保险资金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绩效目标：1.为女方年满45周岁以上的失独家庭父母办理住院护理保险；2.此项工作的实施切实完善计划生育利益导向机制和保障体系，使这些家庭享受到政府的关爱，为构建和谐社会做贡献。</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绩效指标：女方年满49周岁以上的计生特殊家庭人数大于等于400人，投保率大于等于90%。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4.四减一免一补政策资金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绩效目标：1.为计划生育特殊家庭设立医疗保障金；2.用于计划生育特殊家庭住院治疗期间进行相关优惠及减免。</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绩效指标：符合政策人数614人，实际住院人数按政策报销率大于等于95%。</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5.唐氏综合征、无创产前基因免费筛查经费</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向计划怀孕及早孕夫妇宣传优生科学知识、出生缺陷防治措施，使其了解产前筛查对预防出生缺陷的重要性和我市免费唐氏筛查的政策；2.降低新生儿出生缺陷发生风险，提高出生人口素质。产前筛查、产前诊断技术和服务质量明显提升，出生缺陷发生率进一步降低。</w:t>
        <w:tab/>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绩效指标：产前筛查人数10833人，新生儿疾病筛查人数占活产数的比率大于等于90%。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6.特别扶助家庭提高养老保险费</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绩效目标：1.计划生育独生子女失独、伤残家庭提高补助；2. 独生子女死亡、伤残家庭父母自达到领取养老金（城乡）之日起每月补增300-280元补贴。</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绩效指标：享受特别扶助家庭提高养老保险人数280人，应享受人数与实际享受人数比率大于等于98%。</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7.卫生计生健康管理事务经费</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绩效目标：1.建立科学可持续的投入保障长效机制；2.提高基本医疗卫生服务供给效率和水平。</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绩效指标：卫生计生宣传教育完成次数大于等于2次，实现信息化系统使用的基层医疗卫生机构数量占基层医疗卫生机构总数的比例大于等于90%。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8.县级公立医院六项投入资金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绩效目标：1.坚持县级公立医院公益性，破除“以药补医”机制；2.建立起维护公益性调动积极性、保障可持续性的运行新机制。</w:t>
        <w:tab/>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绩效指标：实施县级公立医院改革数量3所，门急诊人次比上年度增加大于等于1%。</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9.乡镇卫生院与村卫生室一体化管理</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绩效目标：1.加快乡镇卫生院和村卫生室标准化建设；2.提升基层医疗卫生服务能力。</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绩效指标：一体化管理卫生室数量471个，年度辖区内重点人群签约人数占年度辖区内重点人群总人数的百分比大于等于90%。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40.援疆干部待遇补助</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绩效目标：1.支援新疆边远地区医疗工作；2.保障援疆干部人才的各种相关待遇。</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绩效指标：补助的人数或户数1人，援疆期间补助发放100%。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41.圆梦女孩贫困一次性救助费</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绩效目标：1.按救助标准及相关政策将符合条件的救助对象进行一次性救助；2.按时间节点发放救助金。</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绩效指标：补助个人数10人，实际发放的补助金占计划发放金的比率大于等于90%。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42.水质检测费项目</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更新实验室仪器设备和试剂，加强对采样人员和检验技术人员的学习培训，提高了质量控制和检测能力，确保检测数据的准确有效。</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绩效指标：检测水厂水源水54份；学校自备水源水246份；卫生应急水样35份水质检测合格率100%；服务对象满意度100%。</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43. 争创慢病防控示范区经费</w:t>
      </w:r>
    </w:p>
    <w:p>
      <w:pPr>
        <w:pStyle w:val="32"/>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绩效目标为巩固省级慢病综合防控示范区创建成果，争创国家级慢病综合防控示范区。自助式健康检测点不少于40%。开展6次健康主题日大型宣传活动，开展6次“三减三键”专项活动。绩效目标为巩固省级慢病综合防控示范区创建成果，争创国家级慢病综合防控示范区。</w:t>
      </w:r>
    </w:p>
    <w:p>
      <w:pPr>
        <w:pStyle w:val="32"/>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Cs/>
          <w:color w:val="000000"/>
          <w:sz w:val="32"/>
          <w:szCs w:val="32"/>
        </w:rPr>
        <w:t>绩效指标：开展职业人群“万步有约”健走大赛；开展三减三键专项活动；印刷发放宣传材料、购置健康支持工具；体育单位评估经常参加体育锻炼人口比例提高，监测评估居民重点慢病知识知晓率，慢性病及相关危险因素监测评估降低。</w:t>
      </w:r>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（三）工作保障措施</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合理配置医疗卫生资源，进一步调整医疗机构布局；大力抓好村级卫生组织建设，积极开展社区卫生服务；加快推进公共卫生体系建设，全力提升疾病预防控制水平和突发公共卫生事件应急处置能力；加快培养中、高级卫技人员和学科带头人；不断深化卫生改革，建立并完善与社会经济发展和人民群众日益增长的健康需求相适应的医疗保健保障制度等为总体发展目标，全面促进我市卫生现代化建设。</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完善制度建设。制定完善预算绩效管理制度、资金管理办法、工作保障制度等，为全年预算绩效目标的实现奠定制度基础。</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做好绩效自评。开展上年度部门预算绩效自评和重点评价工作，对评价中发现的问题及时整改，调整优化支出结构，提高财政资金使用效益。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规范财务资产管理。完善财务管理制度，严格审批程序，加强固定资产登记、使用和报废处置管理，做到支出合理，物尽其用。</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36"/>
        <w:numPr>
          <w:ilvl w:val="0"/>
          <w:numId w:val="3"/>
        </w:numPr>
        <w:spacing w:line="620" w:lineRule="exact"/>
        <w:ind w:left="0" w:firstLine="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部门预算项目绩效目标</w:t>
      </w:r>
      <w:bookmarkStart w:id="6" w:name="_Toc_4_4_0000000004"/>
      <w:bookmarkStart w:id="7" w:name="_Toc68791550"/>
    </w:p>
    <w:p>
      <w:pPr>
        <w:pStyle w:val="36"/>
        <w:spacing w:line="620" w:lineRule="exact"/>
        <w:ind w:firstLine="0"/>
        <w:rPr>
          <w:rFonts w:ascii="方正仿宋简体" w:eastAsia="方正仿宋简体" w:cs="方正仿宋简体" w:hAnsi="方正仿宋简体"/>
          <w:sz w:val="32"/>
          <w:szCs w:val="32"/>
        </w:rPr>
      </w:pPr>
    </w:p>
    <w:p>
      <w:pPr>
        <w:pStyle w:val="36"/>
        <w:spacing w:line="620" w:lineRule="exact"/>
        <w:ind w:firstLine="0"/>
        <w:rPr>
          <w:rFonts w:ascii="方正仿宋简体" w:eastAsia="方正仿宋简体" w:cs="方正仿宋简体" w:hAnsi="方正仿宋简体"/>
          <w:sz w:val="32"/>
          <w:szCs w:val="32"/>
        </w:rPr>
      </w:pPr>
    </w:p>
    <w:p>
      <w:pPr>
        <w:pStyle w:val="36"/>
        <w:spacing w:line="620" w:lineRule="exact"/>
        <w:ind w:firstLine="0"/>
        <w:rPr>
          <w:rFonts w:ascii="方正仿宋简体" w:eastAsia="方正仿宋简体" w:cs="方正仿宋简体" w:hAnsi="方正仿宋简体"/>
          <w:sz w:val="32"/>
          <w:szCs w:val="32"/>
        </w:rPr>
      </w:pPr>
    </w:p>
    <w:p>
      <w:pPr>
        <w:pStyle w:val="36"/>
        <w:spacing w:line="620" w:lineRule="exact"/>
        <w:ind w:firstLine="0"/>
        <w:rPr>
          <w:rFonts w:ascii="方正仿宋简体" w:eastAsia="方正仿宋简体" w:cs="方正仿宋简体" w:hAnsi="方正仿宋简体"/>
          <w:sz w:val="32"/>
          <w:szCs w:val="32"/>
        </w:rPr>
      </w:pPr>
    </w:p>
    <w:p>
      <w:pPr>
        <w:pStyle w:val="36"/>
        <w:spacing w:line="620" w:lineRule="exact"/>
        <w:ind w:firstLine="0"/>
        <w:rPr>
          <w:rFonts w:ascii="方正仿宋简体" w:eastAsia="方正仿宋简体" w:cs="方正仿宋简体" w:hAnsi="方正仿宋简体"/>
          <w:sz w:val="32"/>
          <w:szCs w:val="32"/>
        </w:rPr>
      </w:pPr>
    </w:p>
    <w:p>
      <w:pPr>
        <w:pStyle w:val="36"/>
        <w:spacing w:line="620" w:lineRule="exact"/>
        <w:ind w:firstLine="0"/>
        <w:rPr>
          <w:rFonts w:ascii="方正仿宋简体" w:eastAsia="方正仿宋简体" w:cs="方正仿宋简体" w:hAnsi="方正仿宋简体"/>
          <w:sz w:val="32"/>
          <w:szCs w:val="32"/>
        </w:rPr>
      </w:pPr>
    </w:p>
    <w:p>
      <w:pPr>
        <w:pStyle w:val="36"/>
        <w:spacing w:line="620" w:lineRule="exact"/>
        <w:ind w:firstLine="0"/>
        <w:rPr>
          <w:rFonts w:ascii="方正仿宋简体" w:eastAsia="方正仿宋简体" w:cs="方正仿宋简体" w:hAnsi="方正仿宋简体"/>
          <w:sz w:val="32"/>
          <w:szCs w:val="32"/>
        </w:rPr>
      </w:pPr>
    </w:p>
    <w:p>
      <w:pPr>
        <w:pStyle w:val="36"/>
        <w:spacing w:line="620" w:lineRule="exact"/>
        <w:ind w:firstLine="0"/>
        <w:rPr>
          <w:rFonts w:ascii="方正仿宋简体" w:eastAsia="方正仿宋简体" w:cs="方正仿宋简体" w:hAnsi="方正仿宋简体"/>
          <w:sz w:val="32"/>
          <w:szCs w:val="32"/>
        </w:rPr>
      </w:pP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397"/>
        </w:trPr>
        <w:tc>
          <w:tcPr>
            <w:tcW w:w="12909" w:type="dxa"/>
            <w:gridSpan w:val="6"/>
            <w:tcBorders>
              <w:top w:val="single" w:sz="6" w:space="0" w:color="FFFFFF"/>
              <w:left w:val="single" w:sz="6" w:space="0" w:color="FFFFFF"/>
              <w:right w:val="single" w:sz="6" w:space="0" w:color="FFFFFF"/>
            </w:tcBorders>
            <w:vAlign w:val="center"/>
          </w:tcPr>
          <w:p>
            <w:pPr>
              <w:outlineLvl w:val="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1.爱国卫生月和创建国家卫生城保障资金绩效目标表</w:t>
            </w:r>
          </w:p>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 xml:space="preserve">361001 遵化市卫生健康局本级                                        </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p>
        </w:tc>
      </w:tr>
      <w:tr>
        <w:trPr>
          <w:trHeight w:val="420"/>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13028122P002819100018</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3"/>
            <w:tcBorders>
              <w:left w:val="single" w:sz="6" w:space="0" w:color="000000"/>
            </w:tcBorders>
            <w:vAlign w:val="center"/>
          </w:tcPr>
          <w:p>
            <w:pPr>
              <w:pStyle w:val="32"/>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爱国卫生月和创建国家卫生城保障资金</w:t>
            </w:r>
          </w:p>
        </w:tc>
      </w:tr>
      <w:tr>
        <w:trPr>
          <w:trHeight w:val="245"/>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20" w:type="dxa"/>
            <w:tcBorders>
              <w:left w:val="single" w:sz="6" w:space="0" w:color="000000"/>
            </w:tcBorders>
            <w:vAlign w:val="center"/>
          </w:tcPr>
          <w:p>
            <w:pPr>
              <w:pStyle w:val="32"/>
              <w:jc w:val="center"/>
              <w:rPr>
                <w:rFonts w:ascii="方正仿宋简体" w:eastAsia="方正仿宋简体" w:cs="方正仿宋简体" w:hAnsi="方正仿宋简体"/>
                <w:bCs/>
              </w:rPr>
            </w:pPr>
            <w:r>
              <w:rPr>
                <w:rFonts w:ascii="方正仿宋简体" w:eastAsia="方正仿宋简体" w:cs="方正仿宋简体" w:hAnsi="方正仿宋简体"/>
                <w:bCs/>
              </w:rPr>
              <w:t>10</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3300" w:type="dxa"/>
            <w:tcBorders>
              <w:left w:val="single" w:sz="6" w:space="0" w:color="000000"/>
            </w:tcBorders>
            <w:vAlign w:val="center"/>
          </w:tcPr>
          <w:p>
            <w:pPr>
              <w:pStyle w:val="32"/>
              <w:jc w:val="center"/>
              <w:rPr>
                <w:rFonts w:ascii="方正仿宋简体" w:eastAsia="方正仿宋简体" w:cs="方正仿宋简体" w:hAnsi="方正仿宋简体"/>
                <w:bCs/>
              </w:rPr>
            </w:pPr>
            <w:r>
              <w:rPr>
                <w:rFonts w:ascii="方正仿宋简体" w:eastAsia="方正仿宋简体" w:cs="方正仿宋简体" w:hAnsi="方正仿宋简体"/>
                <w:bCs/>
              </w:rPr>
              <w:t>10</w:t>
            </w:r>
          </w:p>
        </w:tc>
        <w:tc>
          <w:tcPr>
            <w:tcW w:w="18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1831" w:type="dxa"/>
            <w:tcBorders>
              <w:left w:val="single" w:sz="6" w:space="0" w:color="000000"/>
            </w:tcBorders>
            <w:vAlign w:val="center"/>
          </w:tcPr>
          <w:p>
            <w:pPr>
              <w:pStyle w:val="32"/>
              <w:jc w:val="center"/>
              <w:rPr>
                <w:rFonts w:ascii="方正仿宋简体" w:eastAsia="方正仿宋简体" w:cs="方正仿宋简体" w:hAnsi="方正仿宋简体"/>
                <w:bCs/>
              </w:rPr>
            </w:pPr>
          </w:p>
        </w:tc>
      </w:tr>
      <w:tr>
        <w:trPr>
          <w:trHeight w:val="275"/>
        </w:trPr>
        <w:tc>
          <w:tcPr>
            <w:tcW w:w="1314" w:type="dxa"/>
            <w:vMerge/>
          </w:tcPr>
          <w:p/>
        </w:tc>
        <w:tc>
          <w:tcPr>
            <w:tcW w:w="13426" w:type="dxa"/>
            <w:gridSpan w:val="6"/>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bCs/>
              </w:rPr>
              <w:t>使城乡环境卫生状况逐步改善，减少疾病传播，提高人居健康水平</w:t>
            </w:r>
          </w:p>
        </w:tc>
      </w:tr>
      <w:tr>
        <w:trPr>
          <w:trHeight w:val="257"/>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07"/>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6"/>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bCs/>
              </w:rPr>
              <w:t>1.目标内容1使城乡环境卫生状况逐步改善</w:t>
              <w:tab/>
              <w:tab/>
              <w:tab/>
              <w:tab/>
              <w:tab/>
              <w:t>2.减少疾病传播，提高人居健康水平</w:t>
              <w:tab/>
            </w:r>
            <w:r>
              <w:rPr>
                <w:rFonts w:ascii="方正仿宋简体" w:eastAsia="方正仿宋简体" w:cs="方正仿宋简体" w:hAnsi="方正仿宋简体" w:hint="eastAsia"/>
                <w:bCs/>
              </w:rPr>
              <w:t>。</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84"/>
        <w:gridCol w:w="1701"/>
        <w:gridCol w:w="425"/>
        <w:gridCol w:w="2552"/>
        <w:gridCol w:w="4961"/>
        <w:gridCol w:w="1418"/>
        <w:gridCol w:w="2299"/>
      </w:tblGrid>
      <w:tr>
        <w:trPr>
          <w:trHeight w:val="397"/>
          <w:tblHeader/>
        </w:trPr>
        <w:tc>
          <w:tcPr>
            <w:tcW w:w="138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01"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977" w:type="dxa"/>
            <w:gridSpan w:val="2"/>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961"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418"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29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84"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126"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5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四害防治培训会议</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通过一年两次除四害培训会议大大提升群众防治常识</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2次</w:t>
            </w:r>
          </w:p>
        </w:tc>
        <w:tc>
          <w:tcPr>
            <w:tcW w:w="229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5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四害密度控制在国家规范范围内</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每年两次发放鼠药、蟑螂药全市平均鼠密度控制在2%以下</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5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宣传健康知识和控烟常识</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通过集中宣传，吸烟人群比例逐步降低</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5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爱国卫生月活动</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开展城乡环境整治行动，城乡面貌有效提升</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126"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5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四害防治培训会议</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通过一年两次除四害培训会议大大提升群众防治常识</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2次</w:t>
            </w:r>
          </w:p>
        </w:tc>
        <w:tc>
          <w:tcPr>
            <w:tcW w:w="229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5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宣传健康知识和控烟常识</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通过集中宣传，吸烟人群比例逐步降低</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5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禁烟、控烟行动</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滚动电视字幕，播发禁烟控烟宣传标语、口号</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Merge/>
            <w:vAlign w:val="center"/>
          </w:tcPr>
          <w:p/>
        </w:tc>
        <w:tc>
          <w:tcPr>
            <w:tcW w:w="2126"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5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四害密度控制在国家规范范围内</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每15平方米房间蟑螂数不超过2只</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r>
        <w:trPr>
          <w:trHeight w:val="510"/>
        </w:trPr>
        <w:tc>
          <w:tcPr>
            <w:tcW w:w="1384" w:type="dxa"/>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126"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5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群众满意度不断提升</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通过免费发放鼠药、蟑螂药，群众健康水平得到较大改善</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29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依照年初预算安排</w:t>
            </w:r>
          </w:p>
        </w:tc>
      </w:tr>
    </w:tbl>
    <w:p>
      <w:pPr>
        <w:spacing w:line="2" w:lineRule="exact"/>
        <w:jc w:val="center"/>
        <w:rPr>
          <w:rFonts w:ascii="方正仿宋简体" w:eastAsia="方正仿宋简体" w:cs="方正仿宋简体" w:hAnsi="方正仿宋简体"/>
          <w:bCs/>
        </w:rPr>
      </w:pPr>
    </w:p>
    <w:p>
      <w:pPr>
        <w:rPr>
          <w:rFonts w:ascii="方正仿宋简体" w:eastAsia="方正仿宋简体" w:cs="方正仿宋简体" w:hAnsi="方正仿宋简体"/>
          <w:bCs/>
          <w:color w:val="000000"/>
          <w:sz w:val="32"/>
          <w:szCs w:val="32"/>
        </w:rPr>
      </w:pPr>
      <w:bookmarkStart w:id="8" w:name="_Toc_4_4_0000000005"/>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2.</w:t>
      </w:r>
      <w:r>
        <w:rPr>
          <w:rFonts w:ascii="方正仿宋简体" w:eastAsia="方正仿宋简体" w:cs="方正仿宋简体" w:hAnsi="方正仿宋简体" w:hint="eastAsia"/>
          <w:bCs/>
          <w:sz w:val="32"/>
          <w:szCs w:val="32"/>
        </w:rPr>
        <w:t>赤脚医生补助</w:t>
      </w:r>
      <w:r>
        <w:rPr>
          <w:rFonts w:ascii="方正仿宋简体" w:eastAsia="方正仿宋简体" w:cs="方正仿宋简体" w:hAnsi="方正仿宋简体" w:hint="eastAsia"/>
          <w:bCs/>
          <w:color w:val="000000"/>
          <w:sz w:val="32"/>
          <w:szCs w:val="32"/>
        </w:rPr>
        <w:t>绩效目标表</w:t>
      </w:r>
      <w:bookmarkEnd w:id="8"/>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397"/>
        </w:trPr>
        <w:tc>
          <w:tcPr>
            <w:tcW w:w="12909" w:type="dxa"/>
            <w:gridSpan w:val="6"/>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73"/>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13028122P00290110001B</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3"/>
            <w:tcBorders>
              <w:left w:val="single" w:sz="6" w:space="0" w:color="000000"/>
            </w:tcBorders>
            <w:vAlign w:val="center"/>
          </w:tcPr>
          <w:p>
            <w:pPr>
              <w:pStyle w:val="32"/>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赤脚医生补助</w:t>
            </w:r>
          </w:p>
        </w:tc>
      </w:tr>
      <w:tr>
        <w:trPr>
          <w:trHeight w:val="266"/>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20" w:type="dxa"/>
            <w:tcBorders>
              <w:left w:val="single" w:sz="6" w:space="0" w:color="000000"/>
            </w:tcBorders>
            <w:vAlign w:val="center"/>
          </w:tcPr>
          <w:p>
            <w:pPr>
              <w:pStyle w:val="32"/>
              <w:jc w:val="center"/>
              <w:rPr>
                <w:rFonts w:ascii="方正仿宋简体" w:eastAsia="方正仿宋简体" w:cs="方正仿宋简体" w:hAnsi="方正仿宋简体"/>
                <w:bCs/>
              </w:rPr>
            </w:pPr>
            <w:r>
              <w:rPr>
                <w:rFonts w:ascii="方正仿宋简体" w:eastAsia="方正仿宋简体" w:cs="方正仿宋简体" w:hAnsi="方正仿宋简体"/>
                <w:bCs/>
              </w:rPr>
              <w:t>635</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3300" w:type="dxa"/>
            <w:tcBorders>
              <w:left w:val="single" w:sz="6" w:space="0" w:color="000000"/>
            </w:tcBorders>
            <w:vAlign w:val="center"/>
          </w:tcPr>
          <w:p>
            <w:pPr>
              <w:pStyle w:val="32"/>
              <w:jc w:val="center"/>
              <w:rPr>
                <w:rFonts w:ascii="方正仿宋简体" w:eastAsia="方正仿宋简体" w:cs="方正仿宋简体" w:hAnsi="方正仿宋简体"/>
                <w:bCs/>
              </w:rPr>
            </w:pPr>
            <w:r>
              <w:rPr>
                <w:rFonts w:ascii="方正仿宋简体" w:eastAsia="方正仿宋简体" w:cs="方正仿宋简体" w:hAnsi="方正仿宋简体"/>
                <w:bCs/>
              </w:rPr>
              <w:t>635</w:t>
            </w:r>
          </w:p>
        </w:tc>
        <w:tc>
          <w:tcPr>
            <w:tcW w:w="18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1831" w:type="dxa"/>
            <w:tcBorders>
              <w:left w:val="single" w:sz="6" w:space="0" w:color="000000"/>
            </w:tcBorders>
            <w:vAlign w:val="center"/>
          </w:tcPr>
          <w:p>
            <w:pPr>
              <w:pStyle w:val="32"/>
              <w:jc w:val="center"/>
              <w:rPr>
                <w:rFonts w:ascii="方正仿宋简体" w:eastAsia="方正仿宋简体" w:cs="方正仿宋简体" w:hAnsi="方正仿宋简体"/>
                <w:bCs/>
              </w:rPr>
            </w:pPr>
          </w:p>
        </w:tc>
      </w:tr>
      <w:tr>
        <w:trPr>
          <w:trHeight w:val="355"/>
        </w:trPr>
        <w:tc>
          <w:tcPr>
            <w:tcW w:w="1314" w:type="dxa"/>
            <w:vMerge/>
          </w:tcPr>
          <w:p/>
        </w:tc>
        <w:tc>
          <w:tcPr>
            <w:tcW w:w="13426" w:type="dxa"/>
            <w:gridSpan w:val="6"/>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解决原“赤脚医生”养老保障问题，采取按工龄补助的形式，原则上服务年限每满一年每月补助20元最高不超过每月400元。</w:t>
            </w:r>
          </w:p>
        </w:tc>
      </w:tr>
      <w:tr>
        <w:trPr>
          <w:trHeight w:val="417"/>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4"/>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6"/>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1.实现乡村医生的准入和退出机制，落实乡村医生养老待遇。2.推行村卫生室一体化管理</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189"/>
        <w:gridCol w:w="2410"/>
        <w:gridCol w:w="3969"/>
        <w:gridCol w:w="1984"/>
        <w:gridCol w:w="3859"/>
      </w:tblGrid>
      <w:tr>
        <w:trPr>
          <w:trHeight w:val="397"/>
          <w:tblHeader/>
        </w:trPr>
        <w:tc>
          <w:tcPr>
            <w:tcW w:w="132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18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410"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96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98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85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18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补助个人（家庭）数量（人/户）</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r>
          </w:p>
        </w:tc>
        <w:tc>
          <w:tcPr>
            <w:tcW w:w="1984"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1687人</w:t>
            </w:r>
          </w:p>
        </w:tc>
        <w:tc>
          <w:tcPr>
            <w:tcW w:w="3859" w:type="dxa"/>
            <w:tcBorders>
              <w:left w:val="single" w:sz="6" w:space="0" w:color="000000"/>
            </w:tcBorders>
            <w:vAlign w:val="center"/>
          </w:tcPr>
          <w:p>
            <w:pPr>
              <w:pStyle w:val="32"/>
              <w:rPr>
                <w:rFonts w:ascii="方正仿宋简体" w:eastAsia="方正仿宋简体" w:cs="方正仿宋简体" w:hAnsi="方正仿宋简体"/>
                <w:bCs/>
                <w:sz w:val="11"/>
                <w:szCs w:val="15"/>
              </w:rPr>
            </w:pPr>
            <w:r>
              <w:rPr>
                <w:rFonts w:ascii="方正仿宋简体" w:eastAsia="方正仿宋简体" w:cs="方正仿宋简体" w:hAnsi="方正仿宋简体" w:hint="eastAsia"/>
                <w:bCs/>
                <w:sz w:val="11"/>
                <w:szCs w:val="15"/>
              </w:rPr>
              <w:t>《</w:t>
            </w: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r>
          </w:p>
        </w:tc>
        <w:tc>
          <w:tcPr>
            <w:tcW w:w="1984"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2"/>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乡村医生满意度</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通过问卷调查，满意度比例</w:t>
            </w:r>
          </w:p>
        </w:tc>
        <w:tc>
          <w:tcPr>
            <w:tcW w:w="1984"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2"/>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r>
          </w:p>
        </w:tc>
        <w:tc>
          <w:tcPr>
            <w:tcW w:w="1984"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2"/>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18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r>
          </w:p>
        </w:tc>
        <w:tc>
          <w:tcPr>
            <w:tcW w:w="1984"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2"/>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补助个人（家庭）数量（人/户）</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r>
          </w:p>
        </w:tc>
        <w:tc>
          <w:tcPr>
            <w:tcW w:w="1984"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2"/>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r>
          </w:p>
        </w:tc>
        <w:tc>
          <w:tcPr>
            <w:tcW w:w="1984"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2"/>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Merge/>
            <w:vAlign w:val="center"/>
          </w:tcPr>
          <w:p/>
        </w:tc>
        <w:tc>
          <w:tcPr>
            <w:tcW w:w="118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乡村医生满意度</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通过问卷调查，满意度比例</w:t>
            </w:r>
          </w:p>
        </w:tc>
        <w:tc>
          <w:tcPr>
            <w:tcW w:w="1984"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2"/>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r>
        <w:trPr>
          <w:trHeight w:val="510"/>
        </w:trPr>
        <w:tc>
          <w:tcPr>
            <w:tcW w:w="1329" w:type="dxa"/>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18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984"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tcBorders>
              <w:left w:val="single" w:sz="6" w:space="0" w:color="000000"/>
            </w:tcBorders>
            <w:vAlign w:val="center"/>
          </w:tcPr>
          <w:p>
            <w:pPr>
              <w:pStyle w:val="32"/>
              <w:rPr>
                <w:rFonts w:ascii="方正仿宋简体" w:eastAsia="方正仿宋简体" w:cs="方正仿宋简体" w:hAnsi="方正仿宋简体"/>
                <w:bCs/>
                <w:sz w:val="11"/>
                <w:szCs w:val="10"/>
              </w:rPr>
            </w:pPr>
            <w:r>
              <w:rPr>
                <w:rFonts w:ascii="方正仿宋简体" w:eastAsia="方正仿宋简体" w:cs="方正仿宋简体" w:hAnsi="方正仿宋简体" w:hint="eastAsia"/>
                <w:bCs/>
                <w:sz w:val="11"/>
                <w:szCs w:val="10"/>
              </w:rPr>
              <w:t>《河北省卫生和计划生育委员会、河北省财政厅、河北省人力资源和社会保障局关于印发原“赤脚医生”养老补助办法的通知》（冀卫发〔2016〕14号）</w:t>
            </w:r>
          </w:p>
        </w:tc>
      </w:tr>
    </w:tbl>
    <w:p>
      <w:pPr>
        <w:spacing w:line="2" w:lineRule="exact"/>
        <w:jc w:val="center"/>
        <w:rPr>
          <w:rFonts w:ascii="方正仿宋简体" w:eastAsia="方正仿宋简体" w:cs="方正仿宋简体" w:hAnsi="方正仿宋简体"/>
          <w:bCs/>
          <w:sz w:val="18"/>
          <w:szCs w:val="18"/>
        </w:rPr>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村级基本药物制度补助资金</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194"/>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13028122P002919100010</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村级基本药物制度补助资金</w:t>
            </w:r>
          </w:p>
        </w:tc>
      </w:tr>
      <w:tr>
        <w:trPr>
          <w:trHeight w:val="297"/>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276.12</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276.12</w:t>
            </w:r>
          </w:p>
        </w:tc>
        <w:tc>
          <w:tcPr>
            <w:tcW w:w="2004"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280"/>
        </w:trPr>
        <w:tc>
          <w:tcPr>
            <w:tcW w:w="1314" w:type="dxa"/>
            <w:vMerge/>
          </w:tcP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村卫生室实施基本药物制度后，对村医因实行基本药物零差率销售而产生的收支差额，按照服务人口每人每年10元--15元的标准予以补助</w:t>
            </w:r>
          </w:p>
        </w:tc>
      </w:tr>
      <w:tr>
        <w:trPr>
          <w:trHeight w:val="207"/>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185"/>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402"/>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1.实现乡村医生的准入和退出机制，落实乡村医生养老待遇。2.推行村卫生室一体化管理</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331"/>
        <w:gridCol w:w="2835"/>
        <w:gridCol w:w="4961"/>
        <w:gridCol w:w="1418"/>
        <w:gridCol w:w="2866"/>
      </w:tblGrid>
      <w:tr>
        <w:trPr>
          <w:trHeight w:val="397"/>
          <w:tblHeader/>
        </w:trPr>
        <w:tc>
          <w:tcPr>
            <w:tcW w:w="132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331"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835"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961"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418"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866"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414"/>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835"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取消药品加成的人口数</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取消药品加成的人口数</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690278人</w:t>
            </w:r>
          </w:p>
        </w:tc>
        <w:tc>
          <w:tcPr>
            <w:tcW w:w="2866"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835"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835"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835"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2866" w:type="dxa"/>
            <w:tcBorders>
              <w:left w:val="single" w:sz="6" w:space="0" w:color="000000"/>
            </w:tcBorders>
            <w:vAlign w:val="center"/>
          </w:tcPr>
          <w:p>
            <w:pPr>
              <w:pStyle w:val="32"/>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835"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2866" w:type="dxa"/>
            <w:tcBorders>
              <w:left w:val="single" w:sz="6" w:space="0" w:color="000000"/>
            </w:tcBorders>
            <w:vAlign w:val="center"/>
          </w:tcPr>
          <w:p>
            <w:pPr>
              <w:pStyle w:val="32"/>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835"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835"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835"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r>
        <w:trPr>
          <w:trHeight w:val="397"/>
        </w:trPr>
        <w:tc>
          <w:tcPr>
            <w:tcW w:w="1329" w:type="dxa"/>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835"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496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41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5"/>
              </w:rPr>
              <w:t>冀政办【2013】40号关于巩固完善基本药物制度和基层运行新机制的实施意见</w:t>
            </w:r>
          </w:p>
        </w:tc>
      </w:tr>
    </w:tbl>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4</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独生子女死亡伤残一次性救助资金</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31"/>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13028122P00290710001D</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独生子女死亡伤残一次性救助资金</w:t>
            </w:r>
          </w:p>
        </w:tc>
      </w:tr>
      <w:tr>
        <w:trPr>
          <w:trHeight w:val="321"/>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80.00</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80.00</w:t>
            </w:r>
          </w:p>
        </w:tc>
        <w:tc>
          <w:tcPr>
            <w:tcW w:w="2004"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为计划生育独生子女死亡、伤残家庭发放救助金,切实解决计划生育特殊家庭的实际困难，给予经济帮扶。</w:t>
            </w:r>
          </w:p>
        </w:tc>
      </w:tr>
      <w:tr>
        <w:trPr>
          <w:trHeight w:val="305"/>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81"/>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1.为计划生育独生子女死亡、伤残家庭发放救助金2.切实解决计划生育特殊家庭的实际困难，给予经济帮扶。</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898"/>
        <w:gridCol w:w="1701"/>
        <w:gridCol w:w="3969"/>
        <w:gridCol w:w="2126"/>
        <w:gridCol w:w="3717"/>
      </w:tblGrid>
      <w:tr>
        <w:trPr>
          <w:trHeight w:val="397"/>
          <w:tblHeader/>
        </w:trPr>
        <w:tc>
          <w:tcPr>
            <w:tcW w:w="132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8"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1701"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96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126"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717"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符合政策人数</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50人</w:t>
            </w:r>
          </w:p>
        </w:tc>
        <w:tc>
          <w:tcPr>
            <w:tcW w:w="3717" w:type="dxa"/>
            <w:tcBorders>
              <w:left w:val="single" w:sz="6" w:space="0" w:color="000000"/>
            </w:tcBorders>
            <w:vAlign w:val="center"/>
          </w:tcPr>
          <w:p>
            <w:pPr>
              <w:pStyle w:val="32"/>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合格率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上报人数与初审率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2"/>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审批及时率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按时间节点审批完成率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2"/>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救助发放率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按时间节点发放救助率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2"/>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救助金发放比例</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计划生育特殊家庭应享受政策人数与发放救助金人数比率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2"/>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完善计划生育利益导向机制</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完善计划生育利益导向机制覆盖率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2"/>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应享爱政策率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救助金发放率与实际人数所占比率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2"/>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Merge/>
            <w:vAlign w:val="center"/>
          </w:tcPr>
          <w:p/>
        </w:tc>
        <w:tc>
          <w:tcPr>
            <w:tcW w:w="189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提高生活保障率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发放救助金与提高生活保障率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717" w:type="dxa"/>
            <w:tcBorders>
              <w:left w:val="single" w:sz="6" w:space="0" w:color="000000"/>
            </w:tcBorders>
            <w:vAlign w:val="center"/>
          </w:tcPr>
          <w:p>
            <w:pPr>
              <w:pStyle w:val="32"/>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r>
        <w:trPr>
          <w:trHeight w:val="510"/>
        </w:trPr>
        <w:tc>
          <w:tcPr>
            <w:tcW w:w="1329" w:type="dxa"/>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8"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717" w:type="dxa"/>
            <w:tcBorders>
              <w:left w:val="single" w:sz="6" w:space="0" w:color="000000"/>
            </w:tcBorders>
            <w:vAlign w:val="center"/>
          </w:tcPr>
          <w:p>
            <w:pPr>
              <w:pStyle w:val="32"/>
              <w:rPr>
                <w:rFonts w:ascii="方正仿宋简体" w:eastAsia="方正仿宋简体" w:cs="方正仿宋简体" w:hAnsi="方正仿宋简体"/>
                <w:bCs/>
                <w:sz w:val="18"/>
                <w:szCs w:val="2"/>
              </w:rPr>
            </w:pPr>
            <w:r>
              <w:rPr>
                <w:rFonts w:ascii="方正仿宋简体" w:eastAsia="方正仿宋简体" w:cs="方正仿宋简体" w:hAnsi="方正仿宋简体" w:hint="eastAsia"/>
                <w:bCs/>
                <w:sz w:val="18"/>
                <w:szCs w:val="15"/>
              </w:rPr>
              <w:t>唐政发【2013】10号唐山市人民政府关于关怀救助计划生育特殊家庭的意见</w:t>
            </w:r>
          </w:p>
        </w:tc>
      </w:tr>
    </w:tbl>
    <w:p>
      <w:pPr>
        <w:spacing w:line="220" w:lineRule="atLeast"/>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5</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防保人员工资绩效目标表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73"/>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13028122P003C5110002W</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防保人员工资</w:t>
            </w:r>
          </w:p>
        </w:tc>
      </w:tr>
      <w:tr>
        <w:trPr>
          <w:trHeight w:val="267"/>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110.00</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110.00</w:t>
            </w:r>
          </w:p>
        </w:tc>
        <w:tc>
          <w:tcPr>
            <w:tcW w:w="2004"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71"/>
        </w:trPr>
        <w:tc>
          <w:tcPr>
            <w:tcW w:w="1314" w:type="dxa"/>
            <w:vMerge/>
          </w:tcP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有针对性地开展慢性非传染性疾病、地方病、职业病和寄生虫病的健康指导、行为干预和筛查，以及高危人群监测和规范管理里工作</w:t>
            </w:r>
          </w:p>
        </w:tc>
      </w:tr>
      <w:tr>
        <w:trPr>
          <w:trHeight w:val="266"/>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69"/>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1.有针对性地开展慢性非传染性疾病、地方病、职业病和寄生虫病的健康指导、行为干预和筛查，以及高危人群监测和规范管理里工作</w:t>
            </w:r>
          </w:p>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2.负责辖区内免疫接种和传染病预防、控制与管理工作</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331"/>
        <w:gridCol w:w="2126"/>
        <w:gridCol w:w="5103"/>
        <w:gridCol w:w="1276"/>
        <w:gridCol w:w="3575"/>
      </w:tblGrid>
      <w:tr>
        <w:trPr>
          <w:trHeight w:val="397"/>
          <w:tblHeader/>
        </w:trPr>
        <w:tc>
          <w:tcPr>
            <w:tcW w:w="132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331"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126"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103"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276"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575"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乡级卫生院应设置专职防保人员</w:t>
            </w:r>
          </w:p>
        </w:tc>
        <w:tc>
          <w:tcPr>
            <w:tcW w:w="5103"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乡级卫生院应设置专职防保人员</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3人</w:t>
            </w:r>
          </w:p>
        </w:tc>
        <w:tc>
          <w:tcPr>
            <w:tcW w:w="3575" w:type="dxa"/>
            <w:tcBorders>
              <w:left w:val="single" w:sz="6" w:space="0" w:color="000000"/>
            </w:tcBorders>
            <w:vAlign w:val="center"/>
          </w:tcPr>
          <w:p>
            <w:pPr>
              <w:pStyle w:val="32"/>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突发公共事件卫生应急处置率</w:t>
            </w:r>
          </w:p>
        </w:tc>
        <w:tc>
          <w:tcPr>
            <w:tcW w:w="5103"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年度处置的突发公共卫生事件数占报告的突发公共卫生事件数的比率</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2"/>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突发公共卫生事件应急任务完成率</w:t>
            </w:r>
          </w:p>
        </w:tc>
        <w:tc>
          <w:tcPr>
            <w:tcW w:w="5103"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年度内有效处置突发公共卫生事件数量占突发公共卫生事件总数的比例</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2"/>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传染病疫情报告及时率（%）</w:t>
            </w:r>
          </w:p>
        </w:tc>
        <w:tc>
          <w:tcPr>
            <w:tcW w:w="5103"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报告及时的病例数占报告传染病病例总数的比率</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2"/>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传染病疫情报告及时率（%）</w:t>
            </w:r>
          </w:p>
        </w:tc>
        <w:tc>
          <w:tcPr>
            <w:tcW w:w="5103"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报告及时的病例数占报告传染病病例总数的比率</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2"/>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突发公共卫生事件信息报告率</w:t>
            </w:r>
          </w:p>
        </w:tc>
        <w:tc>
          <w:tcPr>
            <w:tcW w:w="5103"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报告的突发公共卫生事件相关信息数占应报告突发公共卫生事件相关信息数的比例</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2"/>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突发公共事件卫生应急处置率</w:t>
            </w:r>
          </w:p>
        </w:tc>
        <w:tc>
          <w:tcPr>
            <w:tcW w:w="5103"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年度处置的突发公共卫生事件数占报告的突发公共卫生事件数的比率</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2"/>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Merge/>
            <w:vAlign w:val="center"/>
          </w:tcP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突发公共卫生事件应急任务完成率</w:t>
            </w:r>
          </w:p>
        </w:tc>
        <w:tc>
          <w:tcPr>
            <w:tcW w:w="5103"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年度内有效处置突发公共卫生事件数量占突发公共卫生事件总数的比例</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2"/>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r>
        <w:trPr>
          <w:trHeight w:val="510"/>
        </w:trPr>
        <w:tc>
          <w:tcPr>
            <w:tcW w:w="1329" w:type="dxa"/>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33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12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群众满意度</w:t>
            </w:r>
          </w:p>
        </w:tc>
        <w:tc>
          <w:tcPr>
            <w:tcW w:w="5103"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群众满意数量占总数的比例。</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575" w:type="dxa"/>
            <w:tcBorders>
              <w:left w:val="single" w:sz="6" w:space="0" w:color="000000"/>
            </w:tcBorders>
            <w:vAlign w:val="center"/>
          </w:tcPr>
          <w:p>
            <w:pPr>
              <w:pStyle w:val="32"/>
              <w:rPr>
                <w:rFonts w:ascii="方正仿宋简体" w:eastAsia="方正仿宋简体" w:cs="方正仿宋简体" w:hAnsi="方正仿宋简体"/>
                <w:bCs/>
                <w:sz w:val="16"/>
                <w:szCs w:val="2"/>
              </w:rPr>
            </w:pPr>
            <w:r>
              <w:rPr>
                <w:rFonts w:ascii="方正仿宋简体" w:eastAsia="方正仿宋简体" w:cs="方正仿宋简体" w:hAnsi="方正仿宋简体" w:hint="eastAsia"/>
                <w:bCs/>
                <w:sz w:val="16"/>
                <w:szCs w:val="13"/>
              </w:rPr>
              <w:t>唐山市卫生局关于印发《唐山市乡镇卫生院管理办法（试行）》唐卫基妇发【2005】11号</w:t>
            </w:r>
          </w:p>
        </w:tc>
      </w:tr>
    </w:tbl>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6</w:t>
      </w:r>
      <w:r>
        <w:rPr>
          <w:rFonts w:ascii="方正仿宋简体" w:eastAsia="方正仿宋简体" w:cs="方正仿宋简体" w:hAnsi="方正仿宋简体" w:hint="eastAsia"/>
          <w:bCs/>
          <w:color w:val="000000"/>
          <w:sz w:val="32"/>
          <w:szCs w:val="32"/>
        </w:rPr>
        <w:t>.公立医院改革补助资金绩效目标表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36"/>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13028122P00291710001L</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公立医院改革补助资金</w:t>
            </w:r>
          </w:p>
        </w:tc>
      </w:tr>
      <w:tr>
        <w:trPr>
          <w:trHeight w:val="269"/>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600.00</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600.00</w:t>
            </w:r>
          </w:p>
        </w:tc>
        <w:tc>
          <w:tcPr>
            <w:tcW w:w="2004"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73"/>
        </w:trPr>
        <w:tc>
          <w:tcPr>
            <w:tcW w:w="1314" w:type="dxa"/>
            <w:vMerge/>
          </w:tcP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公立医院药品零售加价率为15%，按照6:3:1的原则，财政负担30%；所有县级公立医院取消药品加成财政补偿5%。</w:t>
            </w:r>
          </w:p>
        </w:tc>
      </w:tr>
      <w:tr>
        <w:trPr>
          <w:trHeight w:val="408"/>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71"/>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1.建立起维护公益性调动积极性、保障可持续性的运行新机制2.全面推进医院管理体制、监督机制等方面综合改革</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040"/>
        <w:gridCol w:w="2976"/>
        <w:gridCol w:w="3402"/>
        <w:gridCol w:w="1701"/>
        <w:gridCol w:w="3292"/>
      </w:tblGrid>
      <w:tr>
        <w:trPr>
          <w:trHeight w:val="397"/>
          <w:tblHeader/>
        </w:trPr>
        <w:tc>
          <w:tcPr>
            <w:tcW w:w="132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040"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976"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402"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701"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292"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公立医院改革覆盖率</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实施县级公立医院改革数量</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3所</w:t>
            </w:r>
          </w:p>
        </w:tc>
        <w:tc>
          <w:tcPr>
            <w:tcW w:w="3292"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门急诊人次增长率</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门急诊人次比上年度增加</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292"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医疗费用增幅（%）</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医疗费用增长幅度</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≤10百分比</w:t>
            </w:r>
          </w:p>
        </w:tc>
        <w:tc>
          <w:tcPr>
            <w:tcW w:w="3292"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人员支出占业务支出比例增长</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人员支出占业务支出的比重较上年有所提高</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县域就诊率</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县域内就诊人次占本辖区域内域外人次的比例</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292"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(不含药品收入)减少</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≤2百分比</w:t>
            </w:r>
          </w:p>
        </w:tc>
        <w:tc>
          <w:tcPr>
            <w:tcW w:w="3292"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患者满意度</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接受治疗的病患调查满意人数占调查总人数的比率</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292" w:type="dxa"/>
            <w:tcBorders>
              <w:left w:val="single" w:sz="6" w:space="0" w:color="000000"/>
            </w:tcBorders>
            <w:vAlign w:val="center"/>
          </w:tcPr>
          <w:p>
            <w:pPr>
              <w:pStyle w:val="32"/>
              <w:rPr>
                <w:rFonts w:ascii="方正仿宋简体" w:eastAsia="方正仿宋简体" w:cs="方正仿宋简体" w:hAnsi="方正仿宋简体"/>
                <w:bCs/>
                <w:sz w:val="15"/>
                <w:szCs w:val="6"/>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bl>
    <w:p>
      <w:pPr>
        <w:spacing w:line="220" w:lineRule="atLeast"/>
      </w:pPr>
    </w:p>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7</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公立医院院长年薪制费用</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36"/>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13028122P002920100014</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公立医院院长年薪制费用</w:t>
            </w:r>
          </w:p>
        </w:tc>
      </w:tr>
      <w:tr>
        <w:trPr>
          <w:trHeight w:val="269"/>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91.50</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91.50</w:t>
            </w:r>
          </w:p>
        </w:tc>
        <w:tc>
          <w:tcPr>
            <w:tcW w:w="2004"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其他资金</w:t>
            </w:r>
          </w:p>
        </w:tc>
        <w:tc>
          <w:tcPr>
            <w:tcW w:w="2895" w:type="dxa"/>
            <w:gridSpan w:val="2"/>
            <w:tcBorders>
              <w:left w:val="single" w:sz="6" w:space="0" w:color="000000"/>
            </w:tcBorders>
            <w:vAlign w:val="center"/>
          </w:tcPr>
          <w:p>
            <w:pPr>
              <w:pStyle w:val="31"/>
              <w:rPr>
                <w:rFonts w:ascii="方正仿宋简体" w:eastAsia="方正仿宋简体" w:cs="方正仿宋简体" w:hAnsi="方正仿宋简体"/>
                <w:b w:val="0"/>
                <w:bCs/>
              </w:rPr>
            </w:pPr>
          </w:p>
        </w:tc>
      </w:tr>
      <w:tr>
        <w:trPr>
          <w:trHeight w:val="373"/>
        </w:trPr>
        <w:tc>
          <w:tcPr>
            <w:tcW w:w="1314" w:type="dxa"/>
            <w:vMerge/>
          </w:tcPr>
          <w:p/>
        </w:tc>
        <w:tc>
          <w:tcPr>
            <w:tcW w:w="13426" w:type="dxa"/>
            <w:gridSpan w:val="8"/>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推行医院院长目标年薪制切断医院院长与医院的利益联系，医院院长年薪由同级财政全额负担，按照不超过本单位职工平均收入的3倍左右核定</w:t>
            </w:r>
          </w:p>
        </w:tc>
      </w:tr>
      <w:tr>
        <w:trPr>
          <w:trHeight w:val="266"/>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71"/>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1.切实解决公立医院运行体制不活突出问题2.切实解决医院改革积极性不高突出问题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040"/>
        <w:gridCol w:w="2976"/>
        <w:gridCol w:w="3402"/>
        <w:gridCol w:w="1701"/>
        <w:gridCol w:w="3292"/>
      </w:tblGrid>
      <w:tr>
        <w:trPr>
          <w:trHeight w:val="397"/>
          <w:tblHeader/>
        </w:trPr>
        <w:tc>
          <w:tcPr>
            <w:tcW w:w="132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040"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976"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402"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701"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292"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公立医院改革覆盖率</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实施县级公立医院改革数量</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3所</w:t>
            </w:r>
          </w:p>
        </w:tc>
        <w:tc>
          <w:tcPr>
            <w:tcW w:w="329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2"/>
              <w:spacing w:line="0" w:lineRule="atLeast"/>
              <w:rPr>
                <w:rFonts w:ascii="方正仿宋简体" w:eastAsia="方正仿宋简体" w:cs="方正仿宋简体" w:hAnsi="方正仿宋简体"/>
                <w:bCs/>
                <w:sz w:val="15"/>
                <w:szCs w:val="2"/>
              </w:rPr>
            </w:pP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976"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门急诊人次增长率</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门急诊人次比上年度增加</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2"/>
              <w:spacing w:line="0" w:lineRule="atLeast"/>
              <w:rPr>
                <w:rFonts w:ascii="方正仿宋简体" w:eastAsia="方正仿宋简体" w:cs="方正仿宋简体" w:hAnsi="方正仿宋简体"/>
                <w:bCs/>
                <w:sz w:val="15"/>
                <w:szCs w:val="2"/>
              </w:rPr>
            </w:pP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29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2"/>
              <w:spacing w:line="0" w:lineRule="atLeast"/>
              <w:rPr>
                <w:rFonts w:ascii="方正仿宋简体" w:eastAsia="方正仿宋简体" w:cs="方正仿宋简体" w:hAnsi="方正仿宋简体"/>
                <w:bCs/>
                <w:sz w:val="15"/>
                <w:szCs w:val="2"/>
              </w:rPr>
            </w:pP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976"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医疗费用增幅（%）</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医疗费用增长幅度</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≤10百分比</w:t>
            </w:r>
          </w:p>
        </w:tc>
        <w:tc>
          <w:tcPr>
            <w:tcW w:w="329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2"/>
              <w:spacing w:line="0" w:lineRule="atLeast"/>
              <w:rPr>
                <w:rFonts w:ascii="方正仿宋简体" w:eastAsia="方正仿宋简体" w:cs="方正仿宋简体" w:hAnsi="方正仿宋简体"/>
                <w:bCs/>
                <w:sz w:val="15"/>
                <w:szCs w:val="2"/>
              </w:rPr>
            </w:pP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976"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人员支出占业务支出比例增长</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人员支出占业务支出的比重较上年有所提高</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2"/>
              <w:spacing w:line="0" w:lineRule="atLeast"/>
              <w:rPr>
                <w:rFonts w:ascii="方正仿宋简体" w:eastAsia="方正仿宋简体" w:cs="方正仿宋简体" w:hAnsi="方正仿宋简体"/>
                <w:bCs/>
                <w:sz w:val="15"/>
                <w:szCs w:val="2"/>
              </w:rPr>
            </w:pP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县域就诊率</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县域内就诊人次占本辖区域内域外人次的比例</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29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(不含药品收入)减少</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≤2百分比</w:t>
            </w:r>
          </w:p>
        </w:tc>
        <w:tc>
          <w:tcPr>
            <w:tcW w:w="329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Merge/>
            <w:vAlign w:val="center"/>
          </w:tcP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9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3402"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1701"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329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2"/>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tc>
      </w:tr>
      <w:tr>
        <w:trPr>
          <w:trHeight w:val="510"/>
        </w:trPr>
        <w:tc>
          <w:tcPr>
            <w:tcW w:w="1329" w:type="dxa"/>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04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976"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402"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701" w:type="dxa"/>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29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唐山市人民政府办公厅关于全面推进县级公立医院综合改革实施意见唐政办〔2014〕30号</w:t>
            </w:r>
          </w:p>
          <w:p>
            <w:pPr>
              <w:pStyle w:val="32"/>
              <w:spacing w:line="0" w:lineRule="atLeast"/>
              <w:rPr>
                <w:rFonts w:ascii="方正仿宋简体" w:eastAsia="方正仿宋简体" w:cs="方正仿宋简体" w:hAnsi="方正仿宋简体"/>
                <w:bCs/>
                <w:sz w:val="15"/>
                <w:szCs w:val="2"/>
              </w:rPr>
            </w:pPr>
          </w:p>
        </w:tc>
      </w:tr>
    </w:tbl>
    <w:p>
      <w:pPr>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8</w:t>
      </w:r>
      <w:r>
        <w:rPr>
          <w:rFonts w:ascii="方正仿宋简体" w:eastAsia="方正仿宋简体" w:cs="方正仿宋简体" w:hAnsi="方正仿宋简体" w:hint="eastAsia"/>
          <w:bCs/>
          <w:color w:val="000000"/>
          <w:sz w:val="32"/>
          <w:szCs w:val="32"/>
        </w:rPr>
        <w:t>.国医堂建设项目经费绩效目标表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31"/>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13028122P00YRC6100026</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国医堂建设项目经费</w:t>
            </w:r>
          </w:p>
        </w:tc>
      </w:tr>
      <w:tr>
        <w:trPr>
          <w:trHeight w:val="321"/>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10.00</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10.00</w:t>
            </w:r>
          </w:p>
        </w:tc>
        <w:tc>
          <w:tcPr>
            <w:tcW w:w="2004"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1"/>
        </w:trPr>
        <w:tc>
          <w:tcPr>
            <w:tcW w:w="1314" w:type="dxa"/>
            <w:vMerge/>
          </w:tcP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改善中医药诊疗环境提高中医药技术水平,配备用于连接基层中医药适宜技术推广视频网络的计算机系统、投影仪等设备</w:t>
            </w:r>
          </w:p>
        </w:tc>
      </w:tr>
      <w:tr>
        <w:trPr>
          <w:trHeight w:val="275"/>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66"/>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1.改善中医药诊疗环境提高中医药技术水平2.配备用于连接基层中医药适宜技术推广视频网络的计算机系统、投影仪等设备</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756"/>
        <w:gridCol w:w="2410"/>
        <w:gridCol w:w="3969"/>
        <w:gridCol w:w="1276"/>
        <w:gridCol w:w="4000"/>
      </w:tblGrid>
      <w:tr>
        <w:trPr>
          <w:trHeight w:val="397"/>
          <w:tblHeader/>
        </w:trPr>
        <w:tc>
          <w:tcPr>
            <w:tcW w:w="132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56"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410"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96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276"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4000"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5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医疗机构国医堂建设数量</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年度内开展标准化建设的基层医疗机构国医堂数量</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1所</w:t>
            </w:r>
          </w:p>
        </w:tc>
        <w:tc>
          <w:tcPr>
            <w:tcW w:w="4000" w:type="dxa"/>
            <w:tcBorders>
              <w:left w:val="single" w:sz="6" w:space="0" w:color="000000"/>
            </w:tcBorders>
            <w:vAlign w:val="center"/>
          </w:tcPr>
          <w:p>
            <w:pPr>
              <w:pStyle w:val="32"/>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国医堂建设合格率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标准化基层医疗机构国医堂建设占年度内开展国医堂建设的基层医疗机构数量的比例</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2"/>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当年标准化基层医疗机构国医堂建设任务完成情况</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2"/>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当年标准化基层医疗机构国医堂投入使用情况</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2"/>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5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当年标准化国医堂投入使用情况</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2"/>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国医堂功能完善率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当年标准化基层医疗机构国医堂诊疗业务项目是否达到要求</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2"/>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国医堂人员配备率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当年标准化基层医疗机构国医堂人员配备数量占标准配备的比例</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2"/>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Merge/>
            <w:vAlign w:val="center"/>
          </w:tcPr>
          <w:p/>
        </w:tc>
        <w:tc>
          <w:tcPr>
            <w:tcW w:w="175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当年标准化基层医疗机构国医堂建设任务完成情况</w:t>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2"/>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r>
        <w:trPr>
          <w:trHeight w:val="510"/>
        </w:trPr>
        <w:tc>
          <w:tcPr>
            <w:tcW w:w="1329" w:type="dxa"/>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5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410"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3969"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tab/>
            </w:r>
          </w:p>
        </w:tc>
        <w:tc>
          <w:tcPr>
            <w:tcW w:w="1276"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000" w:type="dxa"/>
            <w:tcBorders>
              <w:left w:val="single" w:sz="6" w:space="0" w:color="000000"/>
            </w:tcBorders>
            <w:vAlign w:val="center"/>
          </w:tcPr>
          <w:p>
            <w:pPr>
              <w:pStyle w:val="32"/>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河北省执行中央2017年中医药部门公共卫生专项资金项目实施方案的通知  冀中医药【2017】20号</w:t>
            </w:r>
          </w:p>
        </w:tc>
      </w:tr>
    </w:tbl>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9</w:t>
      </w:r>
      <w:r>
        <w:rPr>
          <w:rFonts w:ascii="方正仿宋简体" w:eastAsia="方正仿宋简体" w:cs="方正仿宋简体" w:hAnsi="方正仿宋简体" w:hint="eastAsia"/>
          <w:bCs/>
          <w:color w:val="000000"/>
          <w:sz w:val="32"/>
          <w:szCs w:val="32"/>
        </w:rPr>
        <w:t>.基本公共卫生本级配套资金绩效目标表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31"/>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13028122P002899100012</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基本公共卫生本级配套资金</w:t>
            </w:r>
          </w:p>
        </w:tc>
      </w:tr>
      <w:tr>
        <w:trPr>
          <w:trHeight w:val="267"/>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1284.66</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1284.66</w:t>
            </w:r>
          </w:p>
        </w:tc>
        <w:tc>
          <w:tcPr>
            <w:tcW w:w="2004"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主要对遵化市提供居民健康档案、家庭医生签约服务等原国家基本公共卫生服务12项工作的乡镇卫生院（分院）、社区卫生服务中心、村卫生室进行补助及基层医疗机构       </w:t>
            </w:r>
          </w:p>
        </w:tc>
      </w:tr>
      <w:tr>
        <w:trPr>
          <w:trHeight w:val="345"/>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90"/>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1.开展对重点疾病及危害因素监测，有效控制疾病流行，为制定相关政策提供科学依据。</w:t>
            </w:r>
          </w:p>
          <w:p>
            <w:pPr>
              <w:pStyle w:val="32"/>
              <w:rPr>
                <w:rFonts w:ascii="方正仿宋简体" w:eastAsia="方正仿宋简体" w:cs="方正仿宋简体" w:hAnsi="方正仿宋简体"/>
                <w:bCs/>
              </w:rPr>
            </w:pPr>
            <w:r>
              <w:rPr>
                <w:rFonts w:ascii="方正仿宋简体" w:eastAsia="方正仿宋简体" w:cs="方正仿宋简体" w:hAnsi="方正仿宋简体" w:hint="eastAsia"/>
                <w:bCs/>
              </w:rPr>
              <w:t>2.按照《国家基本公共卫生服务项目规范》实施基本公共卫生服务项目，对城乡居民健康进行干预，减少危害健康的因素，有效预防传染病及慢性病，使其享有均等的基本公共卫生服务</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040"/>
        <w:gridCol w:w="1701"/>
        <w:gridCol w:w="3969"/>
        <w:gridCol w:w="1559"/>
        <w:gridCol w:w="4142"/>
      </w:tblGrid>
      <w:tr>
        <w:trPr>
          <w:trHeight w:val="265"/>
          <w:tblHeader/>
        </w:trPr>
        <w:tc>
          <w:tcPr>
            <w:tcW w:w="132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040"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1701"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96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55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4142"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3"/>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产出指标</w:t>
            </w:r>
          </w:p>
        </w:tc>
        <w:tc>
          <w:tcPr>
            <w:tcW w:w="204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数量指标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基本公共卫生服务人数</w:t>
            </w:r>
          </w:p>
        </w:tc>
        <w:tc>
          <w:tcPr>
            <w:tcW w:w="3969"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基本公共卫生服务人数</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764680人</w:t>
            </w:r>
          </w:p>
        </w:tc>
        <w:tc>
          <w:tcPr>
            <w:tcW w:w="414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53"/>
        </w:trPr>
        <w:tc>
          <w:tcPr>
            <w:tcW w:w="1329" w:type="dxa"/>
            <w:vMerge/>
            <w:vAlign w:val="center"/>
          </w:tcPr>
          <w:p/>
        </w:tc>
        <w:tc>
          <w:tcPr>
            <w:tcW w:w="204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质量指标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适龄儿童国家免疫规划疫苗接种率</w:t>
            </w:r>
          </w:p>
        </w:tc>
        <w:tc>
          <w:tcPr>
            <w:tcW w:w="3969"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适龄儿童实际接种国家免疫规划疫苗人数占应接种人数百分比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ign w:val="center"/>
          </w:tcPr>
          <w:p/>
        </w:tc>
        <w:tc>
          <w:tcPr>
            <w:tcW w:w="204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时效指标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0-6岁儿童健康管理率</w:t>
            </w:r>
          </w:p>
        </w:tc>
        <w:tc>
          <w:tcPr>
            <w:tcW w:w="3969"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年度辖区内接受1次及以上随访的0-6岁儿童数占0-6岁儿童总数的百分比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ign w:val="center"/>
          </w:tcPr>
          <w:p/>
        </w:tc>
        <w:tc>
          <w:tcPr>
            <w:tcW w:w="204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成本指标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严重精神病障碍患者规范管理率</w:t>
            </w:r>
          </w:p>
        </w:tc>
        <w:tc>
          <w:tcPr>
            <w:tcW w:w="3969"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按照规范要求进行管理的严重精神障碍患者人数占年内辖区内登记在册的确诊严重精神障碍患者人数的百分比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restart"/>
            <w:vAlign w:val="center"/>
          </w:tcPr>
          <w:p>
            <w:pPr>
              <w:pStyle w:val="33"/>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效益指标</w:t>
            </w:r>
          </w:p>
        </w:tc>
        <w:tc>
          <w:tcPr>
            <w:tcW w:w="204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经济效益指标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严重精神病障碍患者规范管理率</w:t>
            </w:r>
          </w:p>
        </w:tc>
        <w:tc>
          <w:tcPr>
            <w:tcW w:w="3969"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按照规范要求进行管理的严重精神障碍患者人数占年内辖区内登记在册的确诊严重精神障碍患者人数的百分比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ign w:val="center"/>
          </w:tcPr>
          <w:p/>
        </w:tc>
        <w:tc>
          <w:tcPr>
            <w:tcW w:w="204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社会效益指标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0-6岁儿童健康管理率</w:t>
            </w:r>
          </w:p>
        </w:tc>
        <w:tc>
          <w:tcPr>
            <w:tcW w:w="3969"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年度辖区内接受1次及以上随访的0-6岁儿童数占0-6岁儿童总数的百分比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Merge/>
            <w:vAlign w:val="center"/>
          </w:tcPr>
          <w:p/>
        </w:tc>
        <w:tc>
          <w:tcPr>
            <w:tcW w:w="204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生态效益指标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高血压患者规范管理率</w:t>
            </w:r>
          </w:p>
        </w:tc>
        <w:tc>
          <w:tcPr>
            <w:tcW w:w="3969"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按照规范要求进行高血压患者健康管理的人数占年内已管理的高血压患者人数的百分比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478"/>
        </w:trPr>
        <w:tc>
          <w:tcPr>
            <w:tcW w:w="1329" w:type="dxa"/>
            <w:vMerge/>
            <w:vAlign w:val="center"/>
          </w:tcPr>
          <w:p/>
        </w:tc>
        <w:tc>
          <w:tcPr>
            <w:tcW w:w="204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可持续影响指标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2型糖尿病患者规范管理率</w:t>
            </w:r>
          </w:p>
        </w:tc>
        <w:tc>
          <w:tcPr>
            <w:tcW w:w="3969"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按照规范要求进行2型糖尿病患者健康管理的人数占年内已管理的2型糖尿病患者人数的百分比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r>
        <w:trPr>
          <w:trHeight w:val="510"/>
        </w:trPr>
        <w:tc>
          <w:tcPr>
            <w:tcW w:w="1329" w:type="dxa"/>
            <w:vAlign w:val="center"/>
          </w:tcPr>
          <w:p>
            <w:pPr>
              <w:pStyle w:val="33"/>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满意度指标</w:t>
            </w:r>
          </w:p>
        </w:tc>
        <w:tc>
          <w:tcPr>
            <w:tcW w:w="204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服务对象满意度指标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服务对象满意度</w:t>
            </w:r>
          </w:p>
        </w:tc>
        <w:tc>
          <w:tcPr>
            <w:tcW w:w="3969"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8"/>
                <w:szCs w:val="21"/>
              </w:rPr>
            </w:pPr>
            <w:r>
              <w:rPr>
                <w:rFonts w:ascii="方正仿宋简体" w:eastAsia="方正仿宋简体" w:cs="方正仿宋简体" w:hAnsi="方正仿宋简体" w:hint="eastAsia"/>
                <w:bCs/>
                <w:sz w:val="18"/>
                <w:szCs w:val="21"/>
              </w:rPr>
              <w:t>接受基本公共卫生服务的重点人群对基层医疗卫生机构所提供服务的满意程度</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≥90百分比</w:t>
            </w:r>
          </w:p>
        </w:tc>
        <w:tc>
          <w:tcPr>
            <w:tcW w:w="414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5"/>
                <w:szCs w:val="13"/>
              </w:rPr>
            </w:pPr>
            <w:r>
              <w:rPr>
                <w:rFonts w:ascii="方正仿宋简体" w:eastAsia="方正仿宋简体" w:cs="方正仿宋简体" w:hAnsi="方正仿宋简体" w:hint="eastAsia"/>
                <w:bCs/>
                <w:sz w:val="15"/>
                <w:szCs w:val="13"/>
              </w:rPr>
              <w:t>国家卫健委、财政部、中医药管理局关于做好2020年基本公共卫生服务项目工作的通知（国卫基层发（2020）9号）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10</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基本公共卫生考核经费</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31"/>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13028122P002923100015</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基本公共卫生考核经费</w:t>
            </w:r>
          </w:p>
        </w:tc>
      </w:tr>
      <w:tr>
        <w:trPr>
          <w:trHeight w:val="267"/>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进一步加强我市基本公共卫生服务项目工作，客观、真实地反映国家基本公共卫生服务项目在我市实施情况，规范国家基本公共卫生服务项目绩效考核工作，加快推进基本公共卫生服务逐步均等化保障群众健康水平.</w:t>
            </w:r>
          </w:p>
        </w:tc>
      </w:tr>
      <w:tr>
        <w:trPr>
          <w:trHeight w:val="34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1.加强我市基本公共卫生服务项目工作，客观、真实地反映国家基本公共卫生服务项目在我市实施情况。</w:t>
            </w:r>
          </w:p>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2.规范国家基本公共卫生服务项目绩效考核工作，加快推进基本公共卫生服务逐步均等化保障群众健康水平。</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1473"/>
        <w:gridCol w:w="2126"/>
        <w:gridCol w:w="3260"/>
        <w:gridCol w:w="1701"/>
        <w:gridCol w:w="4851"/>
      </w:tblGrid>
      <w:tr>
        <w:trPr>
          <w:trHeight w:val="397"/>
          <w:tblHeader/>
        </w:trPr>
        <w:tc>
          <w:tcPr>
            <w:tcW w:w="1329"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473"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12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6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70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485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47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12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基本公共卫生服务项目考核次数</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基本公共卫生服务项目考核次数</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2次</w:t>
            </w:r>
          </w:p>
        </w:tc>
        <w:tc>
          <w:tcPr>
            <w:tcW w:w="485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53"/>
        </w:trPr>
        <w:tc>
          <w:tcPr>
            <w:tcW w:w="1329" w:type="dxa"/>
            <w:vMerge/>
            <w:vAlign w:val="center"/>
          </w:tcPr>
          <w:p/>
        </w:tc>
        <w:tc>
          <w:tcPr>
            <w:tcW w:w="147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12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城乡居民电子档案建档率（%）</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辖区内建立电子档案人数占常住居民数的比率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85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10"/>
        </w:trPr>
        <w:tc>
          <w:tcPr>
            <w:tcW w:w="1329" w:type="dxa"/>
            <w:vMerge/>
            <w:vAlign w:val="center"/>
          </w:tcPr>
          <w:p/>
        </w:tc>
        <w:tc>
          <w:tcPr>
            <w:tcW w:w="147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12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城乡居民健康档案建档率（%）</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辖区内建档人数占常住居民数的比率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85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10"/>
        </w:trPr>
        <w:tc>
          <w:tcPr>
            <w:tcW w:w="1329" w:type="dxa"/>
            <w:vMerge/>
            <w:vAlign w:val="center"/>
          </w:tcPr>
          <w:p/>
        </w:tc>
        <w:tc>
          <w:tcPr>
            <w:tcW w:w="147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12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健康体检表完整率（%）</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抽查填写完整的健康体检表数占抽查的健康体检表数的比率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485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10"/>
        </w:trPr>
        <w:tc>
          <w:tcPr>
            <w:tcW w:w="1329"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47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12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健康体检表完整率（%）</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抽查填写完整的健康体检表数占抽查的健康体检表数的比率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485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10"/>
        </w:trPr>
        <w:tc>
          <w:tcPr>
            <w:tcW w:w="1329" w:type="dxa"/>
            <w:vMerge/>
            <w:vAlign w:val="center"/>
          </w:tcPr>
          <w:p/>
        </w:tc>
        <w:tc>
          <w:tcPr>
            <w:tcW w:w="147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12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管理人群血压控制率（%）</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最近一次随访血压达标人数占已管理高血压人数的比率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485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07"/>
        </w:trPr>
        <w:tc>
          <w:tcPr>
            <w:tcW w:w="1329" w:type="dxa"/>
            <w:vMerge/>
            <w:vAlign w:val="center"/>
          </w:tcPr>
          <w:p/>
        </w:tc>
        <w:tc>
          <w:tcPr>
            <w:tcW w:w="147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12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高血压患者规范管理率</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按照规范要求进行高血压患者健康管理的人数占年内已管理的高血压患者人数的百分比</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485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522"/>
        </w:trPr>
        <w:tc>
          <w:tcPr>
            <w:tcW w:w="1329" w:type="dxa"/>
            <w:vMerge/>
            <w:vAlign w:val="center"/>
          </w:tcPr>
          <w:p/>
        </w:tc>
        <w:tc>
          <w:tcPr>
            <w:tcW w:w="147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12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城乡居民电子档案建档率（%）</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辖区内建立电子档案人数占常住居民数的比率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85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r>
        <w:trPr>
          <w:trHeight w:val="448"/>
        </w:trPr>
        <w:tc>
          <w:tcPr>
            <w:tcW w:w="1329"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47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12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851"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6"/>
                <w:szCs w:val="13"/>
              </w:rPr>
            </w:pPr>
            <w:r>
              <w:rPr>
                <w:rFonts w:ascii="方正仿宋简体" w:eastAsia="方正仿宋简体" w:cs="方正仿宋简体" w:hAnsi="方正仿宋简体" w:hint="eastAsia"/>
                <w:bCs/>
                <w:sz w:val="16"/>
                <w:szCs w:val="13"/>
              </w:rPr>
              <w:t>遵化市卫生和计划生育局遵化市财政局关于印发《遵化市2018年基本公共卫生服务项目绩效考核方案》的通知遵卫联【2018】5号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11</w:t>
      </w:r>
      <w:r>
        <w:rPr>
          <w:rFonts w:ascii="方正仿宋简体" w:eastAsia="方正仿宋简体" w:cs="方正仿宋简体" w:hAnsi="方正仿宋简体" w:hint="eastAsia"/>
          <w:bCs/>
          <w:color w:val="000000"/>
          <w:sz w:val="32"/>
          <w:szCs w:val="32"/>
        </w:rPr>
        <w:t>.基层基本药物制度补助资金绩效目标表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13028122P00Q89910002E</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基层基本药物制度补助资金</w:t>
            </w:r>
          </w:p>
        </w:tc>
      </w:tr>
      <w:tr>
        <w:trPr>
          <w:trHeight w:val="51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1876.00</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1876.00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实施基本药物制度后，对基层医疗机构因实行基本药物零差率销售而产生的收支差额，按照服务人口每人每年10元--15元的标准予以补助</w:t>
            </w:r>
          </w:p>
        </w:tc>
      </w:tr>
      <w:tr>
        <w:trPr>
          <w:trHeight w:val="34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8"/>
        <w:gridCol w:w="1425"/>
        <w:gridCol w:w="3360"/>
        <w:gridCol w:w="5491"/>
        <w:gridCol w:w="1154"/>
        <w:gridCol w:w="2072"/>
      </w:tblGrid>
      <w:tr>
        <w:trPr>
          <w:trHeight w:val="427"/>
          <w:tblHeader/>
        </w:trPr>
        <w:tc>
          <w:tcPr>
            <w:tcW w:w="123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42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6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4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15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23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36个</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53"/>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药占比（%）</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&lt;55百分比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10"/>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10"/>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10"/>
        </w:trPr>
        <w:tc>
          <w:tcPr>
            <w:tcW w:w="123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10"/>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07"/>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村卫生室药品零差率实施率（%）</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522"/>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村卫生室药品零差率实施率（%）</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河北省人民政府办公厅关于巩固完善基本药物制度和基层运行新机制的实施意见》（冀政办【2013】40号)</w:t>
            </w:r>
          </w:p>
        </w:tc>
      </w:tr>
      <w:tr>
        <w:trPr>
          <w:trHeight w:val="448"/>
        </w:trPr>
        <w:tc>
          <w:tcPr>
            <w:tcW w:w="123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通过问卷调查等多种手段调查群众满意度</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12</w:t>
      </w:r>
      <w:r>
        <w:rPr>
          <w:rFonts w:ascii="方正仿宋简体" w:eastAsia="方正仿宋简体" w:cs="方正仿宋简体" w:hAnsi="方正仿宋简体" w:hint="eastAsia"/>
          <w:bCs/>
          <w:color w:val="000000"/>
          <w:sz w:val="32"/>
          <w:szCs w:val="32"/>
        </w:rPr>
        <w:t>.基层医疗单位退休人员支出绩效目标表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403"/>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13028122P00292410001T</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基层医疗单位退休人员支出</w:t>
            </w:r>
          </w:p>
        </w:tc>
      </w:tr>
      <w:tr>
        <w:trPr>
          <w:trHeight w:val="267"/>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53.00</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53.00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1.租赁医院退休人员取暖费按时足额发放2.租赁医院遗属补助按时足额发放   </w:t>
            </w:r>
          </w:p>
        </w:tc>
      </w:tr>
      <w:tr>
        <w:trPr>
          <w:trHeight w:val="34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8"/>
        <w:gridCol w:w="1425"/>
        <w:gridCol w:w="3360"/>
        <w:gridCol w:w="5491"/>
        <w:gridCol w:w="1154"/>
        <w:gridCol w:w="2072"/>
      </w:tblGrid>
      <w:tr>
        <w:trPr>
          <w:trHeight w:val="427"/>
          <w:tblHeader/>
        </w:trPr>
        <w:tc>
          <w:tcPr>
            <w:tcW w:w="123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42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6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4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15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10"/>
        </w:trPr>
        <w:tc>
          <w:tcPr>
            <w:tcW w:w="123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补助个人（家庭）数量（人/户）</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tab/>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190人</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53"/>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补助金发放率(%)</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tab/>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10"/>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tab/>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10"/>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补助金发放金额</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补助金发放金额完成率</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10"/>
        </w:trPr>
        <w:tc>
          <w:tcPr>
            <w:tcW w:w="123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tab/>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10"/>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补助金发放金额</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补助金发放金额</w:t>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07"/>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补助个人（家庭）数量（人/户）</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tab/>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522"/>
        </w:trPr>
        <w:tc>
          <w:tcPr>
            <w:tcW w:w="1238" w:type="dxa"/>
            <w:vMerge/>
            <w:vAlign w:val="center"/>
          </w:tcP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补助金发放率(%)</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tab/>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r>
        <w:trPr>
          <w:trHeight w:val="448"/>
        </w:trPr>
        <w:tc>
          <w:tcPr>
            <w:tcW w:w="123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42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54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tab/>
            </w:r>
          </w:p>
        </w:tc>
        <w:tc>
          <w:tcPr>
            <w:tcW w:w="115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遵化市政府会议纪要；（1998）14号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13</w:t>
      </w:r>
      <w:r>
        <w:rPr>
          <w:rFonts w:ascii="方正仿宋简体" w:eastAsia="方正仿宋简体" w:cs="方正仿宋简体" w:hAnsi="方正仿宋简体" w:hint="eastAsia"/>
          <w:bCs/>
          <w:color w:val="000000"/>
          <w:sz w:val="32"/>
          <w:szCs w:val="32"/>
        </w:rPr>
        <w:t>.脊柱侧弯免费筛查补助绩效目标表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13028122P00292510001G</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脊柱侧弯免费筛查补助</w:t>
            </w:r>
          </w:p>
        </w:tc>
      </w:tr>
      <w:tr>
        <w:trPr>
          <w:trHeight w:val="37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158.45</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158.45</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对全市中小学生开展脊柱侧弯免费筛查工作</w:t>
            </w:r>
          </w:p>
        </w:tc>
      </w:tr>
      <w:tr>
        <w:trPr>
          <w:trHeight w:val="34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1.对全市中小学生开展脊柱侧弯免费筛查工作2.对阳性病例进行积极干预和科学诊治，力争筛查率达90%以上</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8"/>
        <w:gridCol w:w="1785"/>
        <w:gridCol w:w="2085"/>
        <w:gridCol w:w="5940"/>
        <w:gridCol w:w="1620"/>
        <w:gridCol w:w="2072"/>
      </w:tblGrid>
      <w:tr>
        <w:trPr>
          <w:trHeight w:val="427"/>
          <w:tblHeader/>
        </w:trPr>
        <w:tc>
          <w:tcPr>
            <w:tcW w:w="123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8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08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94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62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3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0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筛查人次</w:t>
            </w:r>
          </w:p>
        </w:tc>
        <w:tc>
          <w:tcPr>
            <w:tcW w:w="594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全市中小学生脊柱侧弯筛查</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93844人</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53"/>
        </w:trPr>
        <w:tc>
          <w:tcPr>
            <w:tcW w:w="123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0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筛查准确率</w:t>
            </w:r>
          </w:p>
        </w:tc>
        <w:tc>
          <w:tcPr>
            <w:tcW w:w="594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加强筛查人员培训，规范筛查标准，提升筛查准确率。　 </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10"/>
        </w:trPr>
        <w:tc>
          <w:tcPr>
            <w:tcW w:w="123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0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筛查完成时间</w:t>
            </w:r>
          </w:p>
        </w:tc>
        <w:tc>
          <w:tcPr>
            <w:tcW w:w="594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10月底前完成全市所有小学、初中学生的筛查工作</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10"/>
        </w:trPr>
        <w:tc>
          <w:tcPr>
            <w:tcW w:w="123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0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人均筛查成本</w:t>
            </w:r>
          </w:p>
        </w:tc>
        <w:tc>
          <w:tcPr>
            <w:tcW w:w="594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人工初筛成本为15元/人，复筛成本为380元/人。</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10"/>
        </w:trPr>
        <w:tc>
          <w:tcPr>
            <w:tcW w:w="123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0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初筛阳性率</w:t>
            </w:r>
          </w:p>
        </w:tc>
        <w:tc>
          <w:tcPr>
            <w:tcW w:w="594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初筛阳性率≥7%以上</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10"/>
        </w:trPr>
        <w:tc>
          <w:tcPr>
            <w:tcW w:w="123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0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初筛完成率</w:t>
            </w:r>
          </w:p>
        </w:tc>
        <w:tc>
          <w:tcPr>
            <w:tcW w:w="594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力争筛查率达90%以上　 </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07"/>
        </w:trPr>
        <w:tc>
          <w:tcPr>
            <w:tcW w:w="123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0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纠正率</w:t>
            </w:r>
          </w:p>
        </w:tc>
        <w:tc>
          <w:tcPr>
            <w:tcW w:w="594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通过初筛和复筛，使脊椎侧弯学生及时得到纠正　 </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522"/>
        </w:trPr>
        <w:tc>
          <w:tcPr>
            <w:tcW w:w="123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0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筛查频率</w:t>
            </w:r>
          </w:p>
        </w:tc>
        <w:tc>
          <w:tcPr>
            <w:tcW w:w="594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第两年开展一次全市中小学生脊柱侧弯筛查。　 </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r>
        <w:trPr>
          <w:trHeight w:val="448"/>
        </w:trPr>
        <w:tc>
          <w:tcPr>
            <w:tcW w:w="123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0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594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接受筛查学生调查满意人数占调查总人数的比率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　 唐山市卫生健康委员会等三部门《关于印发唐山市中小学生脊柱侧弯免费筛查工作方案》的通知唐卫健发〔2021〕12号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14</w:t>
      </w:r>
      <w:r>
        <w:rPr>
          <w:rFonts w:ascii="方正仿宋简体" w:eastAsia="方正仿宋简体" w:cs="方正仿宋简体" w:hAnsi="方正仿宋简体" w:hint="eastAsia"/>
          <w:bCs/>
          <w:color w:val="000000"/>
          <w:sz w:val="32"/>
          <w:szCs w:val="32"/>
        </w:rPr>
        <w:t>.冀财社【2021】157号2022年中央财政医疗救助补助资金（疾病应急救助资金部分）绩效目标</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385"/>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13028122P002548100011</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冀财社【2021】157号 2022年中央财政医疗救助补助资金（疾病应急救助资金部分）</w:t>
            </w:r>
          </w:p>
        </w:tc>
      </w:tr>
      <w:tr>
        <w:trPr>
          <w:trHeight w:val="181"/>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286"/>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2022年中央财政医疗救助补助资金（疾病应急救助资金部分）</w:t>
            </w:r>
          </w:p>
        </w:tc>
      </w:tr>
      <w:tr>
        <w:trPr>
          <w:trHeight w:val="34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1.保障疾病应急救助工作有序进行，提高人民就医水平</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785"/>
        <w:gridCol w:w="2235"/>
        <w:gridCol w:w="5730"/>
        <w:gridCol w:w="1620"/>
        <w:gridCol w:w="2072"/>
      </w:tblGrid>
      <w:tr>
        <w:trPr>
          <w:trHeight w:val="427"/>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8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73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62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疾病应急救助制度覆盖人数</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疾病应急救助制度覆盖人数</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764680人</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53"/>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疾病应急救助制度覆盖人数</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疾病应急救助制度覆盖人数占全市总人口比率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10"/>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符合制度患者及时救治情况</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符合制度患者及时救治情况</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持续升高</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10"/>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救治对象为符合制度患者比率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救治对象为符合制度患者比率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资金管理部门对资金拨付时间</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资金管理部门对医疗机构审核拨付时间</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不断缩短</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10"/>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各项保障政策的衔接率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各项保障政策的衔接率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07"/>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资金管理部门对资金拨付时间</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资金管理部门对资金拨付率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522"/>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救治对象为符合制度患者比率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救治对象为符合制度患者比率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冀财社【2021】157号-河北省财政厅关于提前下达2022年中央财政医疗救助补助资金（疾病应急救助资金部分）的通知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15</w:t>
      </w:r>
      <w:r>
        <w:rPr>
          <w:rFonts w:ascii="方正仿宋简体" w:eastAsia="方正仿宋简体" w:cs="方正仿宋简体" w:hAnsi="方正仿宋简体" w:hint="eastAsia"/>
          <w:bCs/>
          <w:color w:val="000000"/>
          <w:sz w:val="32"/>
          <w:szCs w:val="32"/>
        </w:rPr>
        <w:t>.冀财社【2021】158号 2022年中央医疗服务与保障能力提升补助资金（中医药事业传承与发展部分）绩效目标表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13028122P00267110001N</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冀财社【2021】158号 2022年中央医疗服务与保障能力提升补助资金（中医药事业传承与发展部分）</w:t>
            </w:r>
          </w:p>
        </w:tc>
      </w:tr>
      <w:tr>
        <w:trPr>
          <w:trHeight w:val="37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117.00</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117.00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1.改善中医药诊疗环境提高中医药技术水平</w:t>
            </w:r>
          </w:p>
        </w:tc>
      </w:tr>
      <w:tr>
        <w:trPr>
          <w:trHeight w:val="34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1.保障疾病应急救助工作有序进行，提高人民就医水平</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785"/>
        <w:gridCol w:w="2235"/>
        <w:gridCol w:w="4855"/>
        <w:gridCol w:w="1701"/>
        <w:gridCol w:w="2866"/>
      </w:tblGrid>
      <w:tr>
        <w:trPr>
          <w:trHeight w:val="427"/>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8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85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70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86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中医馆建设数量</w:t>
            </w:r>
          </w:p>
        </w:tc>
        <w:tc>
          <w:tcPr>
            <w:tcW w:w="485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中医馆建设数量</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9所</w:t>
            </w:r>
          </w:p>
        </w:tc>
        <w:tc>
          <w:tcPr>
            <w:tcW w:w="2866"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53"/>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标准化县级中医院建设合格率</w:t>
            </w:r>
          </w:p>
        </w:tc>
        <w:tc>
          <w:tcPr>
            <w:tcW w:w="485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中医馆建设合格率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866"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10"/>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485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当年中医药科研“三年提升”工程任务完成情况</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866"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10"/>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485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中医馆投入使用情况</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485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当年标准化县级中医院投入使用情况</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10"/>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中医院功能完善率</w:t>
            </w:r>
          </w:p>
        </w:tc>
        <w:tc>
          <w:tcPr>
            <w:tcW w:w="485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中医馆诊疗业务项目是否达到要求</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07"/>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中医院人员配备率</w:t>
            </w:r>
          </w:p>
        </w:tc>
        <w:tc>
          <w:tcPr>
            <w:tcW w:w="485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中医馆人员配备数量占标准配备的比例</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522"/>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485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当年中医药科研“三年提升”工程任务完成情况</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485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冀财社【2021】158号-河北省财政厅关于提前下达2022年中央医疗服务与保障能力提升补助资金（中医药事业传承与发展部分）预算的通知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16</w:t>
      </w:r>
      <w:r>
        <w:rPr>
          <w:rFonts w:ascii="方正仿宋简体" w:eastAsia="方正仿宋简体" w:cs="方正仿宋简体" w:hAnsi="方正仿宋简体" w:hint="eastAsia"/>
          <w:bCs/>
          <w:color w:val="000000"/>
          <w:sz w:val="32"/>
          <w:szCs w:val="32"/>
        </w:rPr>
        <w:t>.冀财社【2021】169号 2022年重大传染病防控经费绩效目标表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13028122P002529100018</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冀财社【2021】169号 2022年重大传染病防控经费</w:t>
            </w:r>
          </w:p>
        </w:tc>
      </w:tr>
      <w:tr>
        <w:trPr>
          <w:trHeight w:val="37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192.85</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192.85</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510"/>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减少艾滋病新增感染，降低艾滋病病死率。进一步减少结核感染、患病和死亡，提高人民群众健康水平</w:t>
            </w:r>
          </w:p>
        </w:tc>
      </w:tr>
      <w:tr>
        <w:trPr>
          <w:trHeight w:val="34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1.减少艾滋病新增感染，降低艾滋病病死率。进一步减少结核感染、患病和死亡，提高人民群众健康水平</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785"/>
        <w:gridCol w:w="2235"/>
        <w:gridCol w:w="5730"/>
        <w:gridCol w:w="1620"/>
        <w:gridCol w:w="2072"/>
      </w:tblGrid>
      <w:tr>
        <w:trPr>
          <w:trHeight w:val="427"/>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78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73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62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防范艾滋病人数</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防范艾滋病人数</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76.47万人</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53"/>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规范和治疗结核病患者任务完成率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规范和治疗结核病患者任务完成率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10"/>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包虫病人群主动筛查率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包虫病人群主动筛查率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10"/>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重大慢性病筛查率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重大慢性病筛查率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艾滋病高危人群检测比率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艾滋病高危人群检测比率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10"/>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窝沟封闭完好率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窝沟封闭完好率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07"/>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重大慢性病筛查率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重大慢性病筛查率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522"/>
        </w:trPr>
        <w:tc>
          <w:tcPr>
            <w:tcW w:w="1298" w:type="dxa"/>
            <w:vMerge/>
            <w:vAlign w:val="center"/>
          </w:tcP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规范和治疗结核病患者任务完成率</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规范和治疗结核病患者任务完成率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78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57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冀财社【2021】169号-河北省财政厅关于提前下达2022年重大传染病防控经费预算的通知</w:t>
            </w:r>
          </w:p>
        </w:tc>
      </w:tr>
    </w:tbl>
    <w:p>
      <w:pPr>
        <w:spacing w:line="0" w:lineRule="atLeast"/>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17</w:t>
      </w:r>
      <w:r>
        <w:rPr>
          <w:rFonts w:ascii="方正仿宋简体" w:eastAsia="方正仿宋简体" w:cs="方正仿宋简体" w:hAnsi="方正仿宋简体" w:hint="eastAsia"/>
          <w:bCs/>
          <w:color w:val="000000"/>
          <w:sz w:val="32"/>
          <w:szCs w:val="32"/>
        </w:rPr>
        <w:t>.冀财社【2021】170号 2022年中央基本药物制度补助资金（村级卫生室）绩效目标表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3"/>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13028122P002560100012</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冀财社【2021】170号 2022年中央基本药物制度补助资金（村级卫生室）</w:t>
            </w:r>
          </w:p>
        </w:tc>
      </w:tr>
      <w:tr>
        <w:trPr>
          <w:trHeight w:val="20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144.00</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144.00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90"/>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实施基本药物制度后，对基层医疗机构因实行基本药物零差率销售而产生的收支差额，按照服务人口每人每年10元--15元的标准予以补助</w:t>
            </w:r>
          </w:p>
        </w:tc>
      </w:tr>
      <w:tr>
        <w:trPr>
          <w:trHeight w:val="34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31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2071"/>
        <w:gridCol w:w="2268"/>
        <w:gridCol w:w="5411"/>
        <w:gridCol w:w="1620"/>
        <w:gridCol w:w="2072"/>
      </w:tblGrid>
      <w:tr>
        <w:trPr>
          <w:trHeight w:val="427"/>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07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6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541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62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07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药占比（%）</w:t>
            </w:r>
          </w:p>
        </w:tc>
        <w:tc>
          <w:tcPr>
            <w:tcW w:w="541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药品收入占医疗收入的比率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&lt;55百分比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53"/>
        </w:trPr>
        <w:tc>
          <w:tcPr>
            <w:tcW w:w="1298" w:type="dxa"/>
            <w:vMerge/>
            <w:vAlign w:val="center"/>
          </w:tcPr>
          <w:p/>
        </w:tc>
        <w:tc>
          <w:tcPr>
            <w:tcW w:w="207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541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10"/>
        </w:trPr>
        <w:tc>
          <w:tcPr>
            <w:tcW w:w="1298" w:type="dxa"/>
            <w:vMerge/>
            <w:vAlign w:val="center"/>
          </w:tcPr>
          <w:p/>
        </w:tc>
        <w:tc>
          <w:tcPr>
            <w:tcW w:w="207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541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10"/>
        </w:trPr>
        <w:tc>
          <w:tcPr>
            <w:tcW w:w="1298" w:type="dxa"/>
            <w:vMerge/>
            <w:vAlign w:val="center"/>
          </w:tcPr>
          <w:p/>
        </w:tc>
        <w:tc>
          <w:tcPr>
            <w:tcW w:w="207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541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07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541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10"/>
        </w:trPr>
        <w:tc>
          <w:tcPr>
            <w:tcW w:w="1298" w:type="dxa"/>
            <w:vMerge/>
            <w:vAlign w:val="center"/>
          </w:tcPr>
          <w:p/>
        </w:tc>
        <w:tc>
          <w:tcPr>
            <w:tcW w:w="207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541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07"/>
        </w:trPr>
        <w:tc>
          <w:tcPr>
            <w:tcW w:w="1298" w:type="dxa"/>
            <w:vMerge/>
            <w:vAlign w:val="center"/>
          </w:tcPr>
          <w:p/>
        </w:tc>
        <w:tc>
          <w:tcPr>
            <w:tcW w:w="207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541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522"/>
        </w:trPr>
        <w:tc>
          <w:tcPr>
            <w:tcW w:w="1298" w:type="dxa"/>
            <w:vMerge/>
            <w:vAlign w:val="center"/>
          </w:tcPr>
          <w:p/>
        </w:tc>
        <w:tc>
          <w:tcPr>
            <w:tcW w:w="207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541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冀财社【2021】170号-河北省财政厅关于提前下达2022年中央基本药物制度补助资金预算的通知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07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541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62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072"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1"/>
                <w:szCs w:val="13"/>
              </w:rPr>
              <w:t>通过问卷调查等多种手段调查群众满意度</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18</w:t>
      </w:r>
      <w:r>
        <w:rPr>
          <w:rFonts w:ascii="方正仿宋简体" w:eastAsia="方正仿宋简体" w:cs="方正仿宋简体" w:hAnsi="方正仿宋简体" w:hint="eastAsia"/>
          <w:bCs/>
          <w:color w:val="000000"/>
          <w:sz w:val="32"/>
          <w:szCs w:val="32"/>
        </w:rPr>
        <w:t>.冀财社【2021】170号 2022年中央基本药物制度补助资金（基层卫生医疗机构）绩效目标表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508"/>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13028122P002636100016</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冀财社【2021】170号 2022年中央基本药物制度补助资金（基层卫生医疗机构）</w:t>
            </w:r>
          </w:p>
        </w:tc>
      </w:tr>
      <w:tr>
        <w:trPr>
          <w:trHeight w:val="31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162.00</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162.00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90"/>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40"/>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68"/>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362"/>
        <w:gridCol w:w="2977"/>
        <w:gridCol w:w="4110"/>
        <w:gridCol w:w="1843"/>
        <w:gridCol w:w="3150"/>
      </w:tblGrid>
      <w:tr>
        <w:trPr>
          <w:trHeight w:val="262"/>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36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977"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11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1843"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315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549"/>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36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97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基层基本药物制度医疗机构数</w:t>
            </w:r>
          </w:p>
        </w:tc>
        <w:tc>
          <w:tcPr>
            <w:tcW w:w="41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基层基本药物制度医疗机构数</w:t>
            </w:r>
          </w:p>
        </w:tc>
        <w:tc>
          <w:tcPr>
            <w:tcW w:w="184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36所</w:t>
            </w:r>
          </w:p>
        </w:tc>
        <w:tc>
          <w:tcPr>
            <w:tcW w:w="315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3"/>
                <w:szCs w:val="4"/>
              </w:rPr>
            </w:pPr>
            <w:r>
              <w:rPr>
                <w:rFonts w:ascii="方正仿宋简体" w:eastAsia="方正仿宋简体" w:cs="方正仿宋简体" w:hAnsi="方正仿宋简体" w:hint="eastAsia"/>
                <w:bCs/>
                <w:sz w:val="13"/>
                <w:szCs w:val="11"/>
              </w:rPr>
              <w:t>冀财社【2021】170号-河北省财政厅关于提前下达2022年中央基本药物制度补助资金预算的通知</w:t>
            </w:r>
          </w:p>
        </w:tc>
      </w:tr>
      <w:tr>
        <w:trPr>
          <w:trHeight w:val="553"/>
        </w:trPr>
        <w:tc>
          <w:tcPr>
            <w:tcW w:w="1298" w:type="dxa"/>
            <w:vMerge/>
            <w:vAlign w:val="center"/>
          </w:tcPr>
          <w:p/>
        </w:tc>
        <w:tc>
          <w:tcPr>
            <w:tcW w:w="136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97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41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84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3"/>
                <w:szCs w:val="4"/>
              </w:rPr>
            </w:pPr>
            <w:r>
              <w:rPr>
                <w:rFonts w:ascii="方正仿宋简体" w:eastAsia="方正仿宋简体" w:cs="方正仿宋简体" w:hAnsi="方正仿宋简体" w:hint="eastAsia"/>
                <w:bCs/>
                <w:sz w:val="13"/>
                <w:szCs w:val="11"/>
              </w:rPr>
              <w:t>冀财社【2021】170号-河北省财政厅关于提前下达2022年中央基本药物制度补助资金预算的通知</w:t>
            </w:r>
          </w:p>
        </w:tc>
      </w:tr>
      <w:tr>
        <w:trPr>
          <w:trHeight w:val="510"/>
        </w:trPr>
        <w:tc>
          <w:tcPr>
            <w:tcW w:w="1298" w:type="dxa"/>
            <w:vMerge/>
            <w:vAlign w:val="center"/>
          </w:tcPr>
          <w:p/>
        </w:tc>
        <w:tc>
          <w:tcPr>
            <w:tcW w:w="136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97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41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84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3"/>
                <w:szCs w:val="4"/>
              </w:rPr>
            </w:pPr>
            <w:r>
              <w:rPr>
                <w:rFonts w:ascii="方正仿宋简体" w:eastAsia="方正仿宋简体" w:cs="方正仿宋简体" w:hAnsi="方正仿宋简体" w:hint="eastAsia"/>
                <w:bCs/>
                <w:sz w:val="13"/>
                <w:szCs w:val="11"/>
              </w:rPr>
              <w:t>冀财社【2021】170号-河北省财政厅关于提前下达2022年中央基本药物制度补助资金预算的通知</w:t>
            </w:r>
          </w:p>
        </w:tc>
      </w:tr>
      <w:tr>
        <w:trPr>
          <w:trHeight w:val="510"/>
        </w:trPr>
        <w:tc>
          <w:tcPr>
            <w:tcW w:w="1298" w:type="dxa"/>
            <w:vMerge/>
            <w:vAlign w:val="center"/>
          </w:tcPr>
          <w:p/>
        </w:tc>
        <w:tc>
          <w:tcPr>
            <w:tcW w:w="136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97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41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84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315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3"/>
                <w:szCs w:val="4"/>
              </w:rPr>
            </w:pPr>
            <w:r>
              <w:rPr>
                <w:rFonts w:ascii="方正仿宋简体" w:eastAsia="方正仿宋简体" w:cs="方正仿宋简体" w:hAnsi="方正仿宋简体" w:hint="eastAsia"/>
                <w:bCs/>
                <w:sz w:val="13"/>
                <w:szCs w:val="11"/>
              </w:rPr>
              <w:t>冀财社【2021】170号-河北省财政厅关于提前下达2022年中央基本药物制度补助资金预算的通知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36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97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41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84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315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3"/>
                <w:szCs w:val="4"/>
              </w:rPr>
            </w:pPr>
            <w:r>
              <w:rPr>
                <w:rFonts w:ascii="方正仿宋简体" w:eastAsia="方正仿宋简体" w:cs="方正仿宋简体" w:hAnsi="方正仿宋简体" w:hint="eastAsia"/>
                <w:bCs/>
                <w:sz w:val="13"/>
                <w:szCs w:val="11"/>
              </w:rPr>
              <w:t>冀财社【2021】170号-河北省财政厅关于提前下达2022年中央基本药物制度补助资金预算的通知</w:t>
            </w:r>
          </w:p>
        </w:tc>
      </w:tr>
      <w:tr>
        <w:trPr>
          <w:trHeight w:val="510"/>
        </w:trPr>
        <w:tc>
          <w:tcPr>
            <w:tcW w:w="1298" w:type="dxa"/>
            <w:vMerge/>
            <w:vAlign w:val="center"/>
          </w:tcPr>
          <w:p/>
        </w:tc>
        <w:tc>
          <w:tcPr>
            <w:tcW w:w="136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97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41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84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3"/>
                <w:szCs w:val="4"/>
              </w:rPr>
            </w:pPr>
            <w:r>
              <w:rPr>
                <w:rFonts w:ascii="方正仿宋简体" w:eastAsia="方正仿宋简体" w:cs="方正仿宋简体" w:hAnsi="方正仿宋简体" w:hint="eastAsia"/>
                <w:bCs/>
                <w:sz w:val="13"/>
                <w:szCs w:val="11"/>
              </w:rPr>
              <w:t>冀财社【2021】170号-河北省财政厅关于提前下达2022年中央基本药物制度补助资金预算的通知</w:t>
            </w:r>
          </w:p>
        </w:tc>
      </w:tr>
      <w:tr>
        <w:trPr>
          <w:trHeight w:val="507"/>
        </w:trPr>
        <w:tc>
          <w:tcPr>
            <w:tcW w:w="1298" w:type="dxa"/>
            <w:vMerge/>
            <w:vAlign w:val="center"/>
          </w:tcPr>
          <w:p/>
        </w:tc>
        <w:tc>
          <w:tcPr>
            <w:tcW w:w="136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97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41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84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3"/>
                <w:szCs w:val="4"/>
              </w:rPr>
            </w:pPr>
            <w:r>
              <w:rPr>
                <w:rFonts w:ascii="方正仿宋简体" w:eastAsia="方正仿宋简体" w:cs="方正仿宋简体" w:hAnsi="方正仿宋简体" w:hint="eastAsia"/>
                <w:bCs/>
                <w:sz w:val="13"/>
                <w:szCs w:val="11"/>
              </w:rPr>
              <w:t>冀财社【2021】170号-河北省财政厅关于提前下达2022年中央基本药物制度补助资金预算的通知</w:t>
            </w:r>
          </w:p>
        </w:tc>
      </w:tr>
      <w:tr>
        <w:trPr>
          <w:trHeight w:val="478"/>
        </w:trPr>
        <w:tc>
          <w:tcPr>
            <w:tcW w:w="1298" w:type="dxa"/>
            <w:vMerge/>
            <w:vAlign w:val="center"/>
          </w:tcPr>
          <w:p/>
        </w:tc>
        <w:tc>
          <w:tcPr>
            <w:tcW w:w="136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97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41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84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3"/>
                <w:szCs w:val="4"/>
              </w:rPr>
            </w:pPr>
            <w:r>
              <w:rPr>
                <w:rFonts w:ascii="方正仿宋简体" w:eastAsia="方正仿宋简体" w:cs="方正仿宋简体" w:hAnsi="方正仿宋简体" w:hint="eastAsia"/>
                <w:bCs/>
                <w:sz w:val="13"/>
                <w:szCs w:val="11"/>
              </w:rPr>
              <w:t>冀财社【2021】170号-河北省财政厅关于提前下达2022年中央基本药物制度补助资金预算的通知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36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97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41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843"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150" w:type="dxa"/>
            <w:tcBorders>
              <w:left w:val="single" w:sz="6" w:space="0" w:color="000000"/>
            </w:tcBorders>
            <w:vAlign w:val="center"/>
          </w:tcPr>
          <w:p>
            <w:pPr>
              <w:pStyle w:val="32"/>
              <w:spacing w:line="0" w:lineRule="atLeast"/>
              <w:rPr>
                <w:rFonts w:ascii="方正仿宋简体" w:eastAsia="方正仿宋简体" w:cs="方正仿宋简体" w:hAnsi="方正仿宋简体"/>
                <w:bCs/>
                <w:sz w:val="13"/>
                <w:szCs w:val="4"/>
              </w:rPr>
            </w:pPr>
            <w:r>
              <w:rPr>
                <w:rFonts w:ascii="方正仿宋简体" w:eastAsia="方正仿宋简体" w:cs="方正仿宋简体" w:hAnsi="方正仿宋简体" w:hint="eastAsia"/>
                <w:bCs/>
                <w:sz w:val="13"/>
                <w:szCs w:val="11"/>
              </w:rPr>
              <w:t>通过问卷调查等多种手段调查群众满意度</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19</w:t>
      </w:r>
      <w:r>
        <w:rPr>
          <w:rFonts w:ascii="方正仿宋简体" w:eastAsia="方正仿宋简体" w:cs="方正仿宋简体" w:hAnsi="方正仿宋简体" w:hint="eastAsia"/>
          <w:bCs/>
          <w:color w:val="000000"/>
          <w:sz w:val="32"/>
          <w:szCs w:val="32"/>
        </w:rPr>
        <w:t>.冀财社【2021】171号 中央2022年医疗服务与保障能力提升（公立医院综合改革）补助资金绩效目标表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477"/>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13028122P00253810001R</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冀财社【2021】171号 中央2022年医疗服务与保障能力提升（公立医院综合改革）补助资金</w:t>
            </w:r>
          </w:p>
        </w:tc>
      </w:tr>
      <w:tr>
        <w:trPr>
          <w:trHeight w:val="37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337.00</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337.00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390"/>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遵化市中医医院、人民医院、第二医院、妇幼保健院分别于：2013年7月1日、2015年4月、2017年8月底启动县级公立医院改革2、破除以药补医，取消药品（不含中药饮片）加成和CT、核磁等大型医疗设备检查费降低10%的政策，县级立医院因此减少的合理收入原则上按照“6:3:1”分担机制进行补偿</w:t>
            </w:r>
          </w:p>
        </w:tc>
      </w:tr>
      <w:tr>
        <w:trPr>
          <w:trHeight w:val="23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184"/>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301"/>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1.坚持县级公立医院公益性，破除“以药补医”机制2.全面推进医院管理体制、监督机制等方面综合改革</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2212"/>
        <w:gridCol w:w="3119"/>
        <w:gridCol w:w="3827"/>
        <w:gridCol w:w="851"/>
        <w:gridCol w:w="1361"/>
        <w:gridCol w:w="2072"/>
      </w:tblGrid>
      <w:tr>
        <w:trPr>
          <w:trHeight w:val="322"/>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21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119"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827"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212"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47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11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公立医院改革覆盖率</w:t>
            </w:r>
          </w:p>
          <w:p>
            <w:pPr>
              <w:pStyle w:val="32"/>
              <w:spacing w:line="0" w:lineRule="atLeast"/>
              <w:rPr>
                <w:rFonts w:ascii="方正仿宋简体" w:eastAsia="方正仿宋简体" w:cs="方正仿宋简体" w:hAnsi="方正仿宋简体"/>
                <w:bCs/>
              </w:rPr>
            </w:pPr>
          </w:p>
        </w:tc>
        <w:tc>
          <w:tcPr>
            <w:tcW w:w="382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实施县级公立医院改革数量</w:t>
              <w:tab/>
            </w:r>
          </w:p>
          <w:p>
            <w:pPr>
              <w:pStyle w:val="32"/>
              <w:spacing w:line="0" w:lineRule="atLeast"/>
              <w:rPr>
                <w:rFonts w:ascii="方正仿宋简体" w:eastAsia="方正仿宋简体" w:cs="方正仿宋简体" w:hAnsi="方正仿宋简体"/>
                <w:bCs/>
              </w:rPr>
            </w:pPr>
          </w:p>
        </w:tc>
        <w:tc>
          <w:tcPr>
            <w:tcW w:w="85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3所</w:t>
            </w:r>
          </w:p>
        </w:tc>
        <w:tc>
          <w:tcPr>
            <w:tcW w:w="343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53"/>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11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门急诊人次增长率</w:t>
            </w:r>
          </w:p>
          <w:p>
            <w:pPr>
              <w:pStyle w:val="32"/>
              <w:spacing w:line="0" w:lineRule="atLeast"/>
              <w:rPr>
                <w:rFonts w:ascii="方正仿宋简体" w:eastAsia="方正仿宋简体" w:cs="方正仿宋简体" w:hAnsi="方正仿宋简体"/>
                <w:bCs/>
              </w:rPr>
            </w:pPr>
          </w:p>
        </w:tc>
        <w:tc>
          <w:tcPr>
            <w:tcW w:w="382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门急诊人次比上年度增加</w:t>
            </w:r>
          </w:p>
        </w:tc>
        <w:tc>
          <w:tcPr>
            <w:tcW w:w="85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w:t>
            </w:r>
          </w:p>
        </w:tc>
        <w:tc>
          <w:tcPr>
            <w:tcW w:w="343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10"/>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11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382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85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343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10"/>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11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医疗费用增幅（%）</w:t>
            </w:r>
          </w:p>
        </w:tc>
        <w:tc>
          <w:tcPr>
            <w:tcW w:w="382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医疗费用增长幅度</w:t>
            </w:r>
          </w:p>
        </w:tc>
        <w:tc>
          <w:tcPr>
            <w:tcW w:w="85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w:t>
            </w:r>
          </w:p>
        </w:tc>
        <w:tc>
          <w:tcPr>
            <w:tcW w:w="343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11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人员支出占业务支出比例增长</w:t>
            </w:r>
          </w:p>
        </w:tc>
        <w:tc>
          <w:tcPr>
            <w:tcW w:w="382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人员支出占业务支出的比重较上年有所提高</w:t>
            </w:r>
          </w:p>
        </w:tc>
        <w:tc>
          <w:tcPr>
            <w:tcW w:w="85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w:t>
            </w:r>
          </w:p>
        </w:tc>
        <w:tc>
          <w:tcPr>
            <w:tcW w:w="343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10"/>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11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县域就诊率</w:t>
            </w:r>
          </w:p>
        </w:tc>
        <w:tc>
          <w:tcPr>
            <w:tcW w:w="382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县域内就诊人次占本辖区域内域外人次的比例</w:t>
            </w:r>
          </w:p>
        </w:tc>
        <w:tc>
          <w:tcPr>
            <w:tcW w:w="85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43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07"/>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11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医疗收入的医疗支出  </w:t>
            </w:r>
          </w:p>
        </w:tc>
        <w:tc>
          <w:tcPr>
            <w:tcW w:w="382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(不含药品收入)减少</w:t>
            </w:r>
          </w:p>
        </w:tc>
        <w:tc>
          <w:tcPr>
            <w:tcW w:w="85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w:t>
            </w:r>
          </w:p>
        </w:tc>
        <w:tc>
          <w:tcPr>
            <w:tcW w:w="343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522"/>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11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382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85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w:t>
            </w:r>
          </w:p>
        </w:tc>
        <w:tc>
          <w:tcPr>
            <w:tcW w:w="343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11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单位人员满意度</w:t>
            </w:r>
          </w:p>
        </w:tc>
        <w:tc>
          <w:tcPr>
            <w:tcW w:w="382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走访调查或以问卷形式征求满意度</w:t>
            </w:r>
          </w:p>
        </w:tc>
        <w:tc>
          <w:tcPr>
            <w:tcW w:w="85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w:t>
            </w:r>
          </w:p>
        </w:tc>
        <w:tc>
          <w:tcPr>
            <w:tcW w:w="343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11"/>
                <w:szCs w:val="2"/>
              </w:rPr>
            </w:pPr>
            <w:r>
              <w:rPr>
                <w:rFonts w:ascii="方正仿宋简体" w:eastAsia="方正仿宋简体" w:cs="方正仿宋简体" w:hAnsi="方正仿宋简体" w:hint="eastAsia"/>
                <w:bCs/>
                <w:sz w:val="11"/>
                <w:szCs w:val="13"/>
              </w:rPr>
              <w:t>冀财社【2021】171号-河北省财政厅关于提前下达中央2022年医疗服务与保障能力提升（公立医院综合改革）补助资金的通知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20</w:t>
      </w:r>
      <w:r>
        <w:rPr>
          <w:rFonts w:ascii="方正仿宋简体" w:eastAsia="方正仿宋简体" w:cs="方正仿宋简体" w:hAnsi="方正仿宋简体" w:hint="eastAsia"/>
          <w:bCs/>
          <w:color w:val="000000"/>
          <w:sz w:val="32"/>
          <w:szCs w:val="32"/>
        </w:rPr>
        <w:t>.冀财社【2021】172号2022年中央基本公共卫生服务补助资金绩效目标表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3315"/>
        <w:gridCol w:w="2047"/>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13028122P00225710001B</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6946"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冀财社【2021】172号2022年中央基本公共卫生服务补助资金</w:t>
            </w:r>
          </w:p>
        </w:tc>
      </w:tr>
      <w:tr>
        <w:trPr>
          <w:trHeight w:val="37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3207.00</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04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3207.00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主要对遵化市提供居民健康档案、家庭医生签约服务等原国家基本公共卫生服务12项工作的乡镇卫生院（分院）、社区卫生服务中心、村卫生室进行补助及基层医疗机构      </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1.保障基本公共卫生工作有序、有效的落实</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935"/>
        <w:gridCol w:w="3330"/>
        <w:gridCol w:w="3210"/>
        <w:gridCol w:w="1290"/>
        <w:gridCol w:w="1605"/>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9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3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≥12项</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605"/>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07"/>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522"/>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8"/>
                <w:szCs w:val="8"/>
              </w:rPr>
            </w:pPr>
            <w:r>
              <w:rPr>
                <w:rFonts w:ascii="方正仿宋简体" w:eastAsia="方正仿宋简体" w:cs="方正仿宋简体" w:hAnsi="方正仿宋简体" w:hint="eastAsia"/>
                <w:bCs/>
                <w:sz w:val="16"/>
                <w:szCs w:val="18"/>
              </w:rPr>
              <w:t>冀财社【2021】172号提前下达2022年中央公共卫生服务补助资金预算的通知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21</w:t>
      </w:r>
      <w:r>
        <w:rPr>
          <w:rFonts w:ascii="方正仿宋简体" w:eastAsia="方正仿宋简体" w:cs="方正仿宋简体" w:hAnsi="方正仿宋简体" w:hint="eastAsia"/>
          <w:bCs/>
          <w:color w:val="000000"/>
          <w:sz w:val="32"/>
          <w:szCs w:val="32"/>
        </w:rPr>
        <w:t>.冀财社【2021】174号 2022年中央计划生育转移支付资金（奖扶、特扶）绩效目标表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914"/>
        <w:gridCol w:w="2448"/>
        <w:gridCol w:w="1253"/>
        <w:gridCol w:w="751"/>
        <w:gridCol w:w="1064"/>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13028122P00355210001Q</w:t>
            </w:r>
          </w:p>
        </w:tc>
        <w:tc>
          <w:tcPr>
            <w:tcW w:w="2914"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7347"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冀财社【2021】174号 2022年中央计划生育转移支付资金（奖扶、特扶）</w:t>
            </w:r>
          </w:p>
        </w:tc>
      </w:tr>
      <w:tr>
        <w:trPr>
          <w:trHeight w:val="37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1109.00</w:t>
            </w:r>
          </w:p>
        </w:tc>
        <w:tc>
          <w:tcPr>
            <w:tcW w:w="2914"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4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1109.00</w:t>
            </w:r>
          </w:p>
        </w:tc>
        <w:tc>
          <w:tcPr>
            <w:tcW w:w="2004"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289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为计划生育家庭和计生特殊家庭发放奖扶、特扶资金</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914"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701"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914"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701"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1.切实完善计划生育利益导向机制和保障体系2.帮扶计划生育家庭和计生特殊家庭</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2212"/>
        <w:gridCol w:w="2268"/>
        <w:gridCol w:w="3402"/>
        <w:gridCol w:w="1134"/>
        <w:gridCol w:w="235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21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26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40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488"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奖励扶助发放人数</w:t>
            </w:r>
          </w:p>
        </w:tc>
        <w:tc>
          <w:tcPr>
            <w:tcW w:w="340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按政策标准将符合条件人数全部纳入</w:t>
            </w:r>
          </w:p>
        </w:tc>
        <w:tc>
          <w:tcPr>
            <w:tcW w:w="113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22608人</w:t>
            </w:r>
          </w:p>
        </w:tc>
        <w:tc>
          <w:tcPr>
            <w:tcW w:w="442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605"/>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扶助金发放率</w:t>
            </w:r>
          </w:p>
        </w:tc>
        <w:tc>
          <w:tcPr>
            <w:tcW w:w="340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符合人数与实际发放扶助金率</w:t>
            </w:r>
          </w:p>
        </w:tc>
        <w:tc>
          <w:tcPr>
            <w:tcW w:w="113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42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10"/>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奖扶特扶发放时间</w:t>
            </w:r>
          </w:p>
        </w:tc>
        <w:tc>
          <w:tcPr>
            <w:tcW w:w="340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按时间节点录入和发放扶助金</w:t>
            </w:r>
          </w:p>
        </w:tc>
        <w:tc>
          <w:tcPr>
            <w:tcW w:w="113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42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10"/>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奖扶发放标准</w:t>
            </w:r>
          </w:p>
        </w:tc>
        <w:tc>
          <w:tcPr>
            <w:tcW w:w="340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每人每年960元</w:t>
            </w:r>
          </w:p>
        </w:tc>
        <w:tc>
          <w:tcPr>
            <w:tcW w:w="113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42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扶助对象养老和生活保障</w:t>
            </w:r>
          </w:p>
        </w:tc>
        <w:tc>
          <w:tcPr>
            <w:tcW w:w="340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帮扶和解决扶助对象养老和生活保障</w:t>
            </w:r>
          </w:p>
        </w:tc>
        <w:tc>
          <w:tcPr>
            <w:tcW w:w="113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42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10"/>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完善利益导向体系和保障体系</w:t>
            </w:r>
          </w:p>
        </w:tc>
        <w:tc>
          <w:tcPr>
            <w:tcW w:w="340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完善计划生育利益导向体系和保障体系</w:t>
            </w:r>
          </w:p>
        </w:tc>
        <w:tc>
          <w:tcPr>
            <w:tcW w:w="113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42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07"/>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提高经济保障</w:t>
            </w:r>
          </w:p>
        </w:tc>
        <w:tc>
          <w:tcPr>
            <w:tcW w:w="340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提高经济收入，改善生活</w:t>
            </w:r>
          </w:p>
        </w:tc>
        <w:tc>
          <w:tcPr>
            <w:tcW w:w="113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42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522"/>
        </w:trPr>
        <w:tc>
          <w:tcPr>
            <w:tcW w:w="1298" w:type="dxa"/>
            <w:vMerge/>
            <w:vAlign w:val="center"/>
          </w:tcP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w:t>
            </w:r>
          </w:p>
        </w:tc>
        <w:tc>
          <w:tcPr>
            <w:tcW w:w="340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改善生产生活条件，大幅度享受国家扶助优惠政策</w:t>
            </w:r>
          </w:p>
        </w:tc>
        <w:tc>
          <w:tcPr>
            <w:tcW w:w="113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42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21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26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402"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134"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42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冀财社【2021】174号-河北省财政厅关于提前下达2022年中央计划生育转移支付资金预算指标的通知</w:t>
            </w:r>
          </w:p>
        </w:tc>
      </w:tr>
    </w:tbl>
    <w:p>
      <w:pPr>
        <w:spacing w:line="0" w:lineRule="atLeast"/>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22</w:t>
      </w:r>
      <w:r>
        <w:rPr>
          <w:rFonts w:ascii="方正仿宋简体" w:eastAsia="方正仿宋简体" w:cs="方正仿宋简体" w:hAnsi="方正仿宋简体" w:hint="eastAsia"/>
          <w:bCs/>
          <w:color w:val="000000"/>
          <w:sz w:val="32"/>
          <w:szCs w:val="32"/>
        </w:rPr>
        <w:t>.冀财社【2021】189号 2022年省级计划生育服务补助资金(奖扶、特扶)绩效目标表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914"/>
        <w:gridCol w:w="2166"/>
        <w:gridCol w:w="1535"/>
        <w:gridCol w:w="584"/>
        <w:gridCol w:w="1231"/>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13028122P003551100013</w:t>
            </w:r>
          </w:p>
        </w:tc>
        <w:tc>
          <w:tcPr>
            <w:tcW w:w="2914"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7347"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冀财社【2021】189号 2022年省级计划生育服务补助资金(奖扶、特扶)</w:t>
            </w:r>
          </w:p>
        </w:tc>
      </w:tr>
      <w:tr>
        <w:trPr>
          <w:trHeight w:val="37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546.01</w:t>
            </w:r>
          </w:p>
        </w:tc>
        <w:tc>
          <w:tcPr>
            <w:tcW w:w="2914"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1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546.01</w:t>
            </w:r>
          </w:p>
        </w:tc>
        <w:tc>
          <w:tcPr>
            <w:tcW w:w="211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06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为计划生育家庭和计生特殊家庭发放奖扶、特扶资金</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914"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701"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914"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701"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1.切实完善计划生育利益导向机制和保障体系2.帮扶计划生育家庭和计生特殊家庭</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935"/>
        <w:gridCol w:w="2829"/>
        <w:gridCol w:w="3260"/>
        <w:gridCol w:w="1276"/>
        <w:gridCol w:w="2070"/>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9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829"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6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6"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82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奖励扶助发放人数</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按政策标准将符合条件人数全部纳入</w:t>
            </w:r>
          </w:p>
        </w:tc>
        <w:tc>
          <w:tcPr>
            <w:tcW w:w="127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22608人</w:t>
            </w:r>
          </w:p>
        </w:tc>
        <w:tc>
          <w:tcPr>
            <w:tcW w:w="414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605"/>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82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扶助金发放率</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符合人数与实际发放扶助金率</w:t>
            </w:r>
          </w:p>
        </w:tc>
        <w:tc>
          <w:tcPr>
            <w:tcW w:w="127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14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82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奖扶特扶发放时间</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按时间节点录入和发放扶助金</w:t>
            </w:r>
          </w:p>
        </w:tc>
        <w:tc>
          <w:tcPr>
            <w:tcW w:w="127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14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82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奖扶发放标准</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每人每年960元</w:t>
            </w:r>
          </w:p>
        </w:tc>
        <w:tc>
          <w:tcPr>
            <w:tcW w:w="127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14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82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扶助对象养老和生活保障</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帮扶和解决扶助对象养老和生活保障</w:t>
            </w:r>
          </w:p>
        </w:tc>
        <w:tc>
          <w:tcPr>
            <w:tcW w:w="127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14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82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完善利益导向体系和保障体系</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完善计划生育利益导向体系和保障体系</w:t>
            </w:r>
          </w:p>
        </w:tc>
        <w:tc>
          <w:tcPr>
            <w:tcW w:w="127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14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07"/>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82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提高经济保障</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提高经济收入，改善生活</w:t>
            </w:r>
          </w:p>
        </w:tc>
        <w:tc>
          <w:tcPr>
            <w:tcW w:w="127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14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522"/>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82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改善生产生活条件，大幅度享受国家扶助优惠政策</w:t>
            </w:r>
          </w:p>
        </w:tc>
        <w:tc>
          <w:tcPr>
            <w:tcW w:w="127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14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82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7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14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冀财社【2021】189号-河北省财政厅关于提前下达2022年省级计划生育服务补助资金预算指标的通知</w:t>
            </w:r>
          </w:p>
        </w:tc>
      </w:tr>
    </w:tbl>
    <w:p>
      <w:pPr>
        <w:spacing w:line="0" w:lineRule="atLeast"/>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23</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961"/>
        <w:gridCol w:w="1535"/>
        <w:gridCol w:w="584"/>
        <w:gridCol w:w="1231"/>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13028122P00258210001U</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冀财社【2021】190号 2022年省级公共卫生服务补助资金（基本公共卫生服务部分）</w:t>
            </w:r>
          </w:p>
        </w:tc>
      </w:tr>
      <w:tr>
        <w:trPr>
          <w:trHeight w:val="37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1244.00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96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1244.00</w:t>
            </w:r>
          </w:p>
        </w:tc>
        <w:tc>
          <w:tcPr>
            <w:tcW w:w="211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062"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主要对遵化市提供居民健康档案、家庭医生签约服务等原国家基本公共卫生服务12项工作的乡镇卫生院（分院）、社区卫生服务中心、村卫生室进行补助及基层医疗机构      </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1.保障基本公共卫生工作有序、有效的落实</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935"/>
        <w:gridCol w:w="3330"/>
        <w:gridCol w:w="3210"/>
        <w:gridCol w:w="1290"/>
        <w:gridCol w:w="1605"/>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9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3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≥12项</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605"/>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07"/>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22"/>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24</w:t>
      </w:r>
      <w:r>
        <w:rPr>
          <w:rFonts w:ascii="方正仿宋简体" w:eastAsia="方正仿宋简体" w:cs="方正仿宋简体" w:hAnsi="方正仿宋简体" w:hint="eastAsia"/>
          <w:bCs/>
          <w:color w:val="000000"/>
          <w:sz w:val="32"/>
          <w:szCs w:val="32"/>
        </w:rPr>
        <w:t>.冀财社【2021】190号 2022年省级公共卫生服务补助资金（基本药物制度部分)绩效目标表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13028122P002584100017</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冀财社【2021】190号 2022年省级公共卫生服务补助资金（基本药物制度部分）</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116.00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116.00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实施基本药物制度后，对基层医疗机构因实行基本药物零差率销售而产生的收支差额，按照服务人口每人每年10元--15元的标准予以补助</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1.保障机构有效运行和健康发展、保障医务人员合理待遇。</w:t>
            </w:r>
          </w:p>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2.逐步取消基层医疗机构药品加成，实现基本药物制度乡村卫生机构全覆盖，逐步缓解百姓“看病难、看病贵”问题。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935"/>
        <w:gridCol w:w="3330"/>
        <w:gridCol w:w="3210"/>
        <w:gridCol w:w="1290"/>
        <w:gridCol w:w="1605"/>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9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33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药占比（%）</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药品收入占医疗收入的比率</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&lt;55百分比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605"/>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药品加成率（%）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年度药品进销差价占药品进价的比率</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&lt;20百分比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10"/>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基层医疗卫生机构药品零差率实施率（%）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取消药品加成的基层医疗卫生机构个数占全省基层医疗卫生机构总数的比率</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07"/>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522"/>
        </w:trPr>
        <w:tc>
          <w:tcPr>
            <w:tcW w:w="1298" w:type="dxa"/>
            <w:vMerge/>
            <w:vAlign w:val="center"/>
          </w:tcP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冀财社【2021】190号-河北省财政厅关于提前下达2022年省级公共卫生服务补助资金预算指标的通知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9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33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29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77"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通过问卷调查等多种手段调查群众满意度</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25</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13028122P00257910001C</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冀财社【2021】190号2022年省级公共卫生服务补助资金(其他公共卫生部分）</w:t>
            </w:r>
          </w:p>
        </w:tc>
      </w:tr>
      <w:tr>
        <w:trPr>
          <w:trHeight w:val="20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155.36</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155.36</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按照《国家基本公共卫生服务项目规范》实施基本公共卫生服务项目，对城乡居民健康进行干预，减少危害健康的因素，有效预防传染病及慢性病，使其享有均等的基本公共卫生服务</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1559"/>
        <w:gridCol w:w="4536"/>
        <w:gridCol w:w="3260"/>
        <w:gridCol w:w="1418"/>
        <w:gridCol w:w="794"/>
        <w:gridCol w:w="2072"/>
      </w:tblGrid>
      <w:tr>
        <w:trPr>
          <w:trHeight w:val="186"/>
          <w:tblHeader/>
        </w:trPr>
        <w:tc>
          <w:tcPr>
            <w:tcW w:w="110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559"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453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6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212"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101"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45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基本公共卫生开展数量</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公共卫生开展数量</w:t>
            </w:r>
          </w:p>
        </w:tc>
        <w:tc>
          <w:tcPr>
            <w:tcW w:w="141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≥12项</w:t>
            </w:r>
          </w:p>
        </w:tc>
        <w:tc>
          <w:tcPr>
            <w:tcW w:w="286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605"/>
        </w:trPr>
        <w:tc>
          <w:tcPr>
            <w:tcW w:w="1101" w:type="dxa"/>
            <w:vMerge/>
            <w:vAlign w:val="center"/>
          </w:tcP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45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年度辖区内某种疫苗实际接种人数占年度辖区内某种疫苗应接种人数的百分比</w:t>
            </w:r>
          </w:p>
        </w:tc>
        <w:tc>
          <w:tcPr>
            <w:tcW w:w="141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286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10"/>
        </w:trPr>
        <w:tc>
          <w:tcPr>
            <w:tcW w:w="1101" w:type="dxa"/>
            <w:vMerge/>
            <w:vAlign w:val="center"/>
          </w:tcP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45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按照规范要求进行高血压患者健康管理的人数占年内已管理的高血压患者人数百分比 </w:t>
            </w:r>
          </w:p>
        </w:tc>
        <w:tc>
          <w:tcPr>
            <w:tcW w:w="141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286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10"/>
        </w:trPr>
        <w:tc>
          <w:tcPr>
            <w:tcW w:w="1101" w:type="dxa"/>
            <w:vMerge/>
            <w:vAlign w:val="center"/>
          </w:tcP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45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按照规范要求进行2型糖尿病患者健康管理的人数占年内已管理的2型糖尿病患者人数百分比</w:t>
            </w:r>
          </w:p>
        </w:tc>
        <w:tc>
          <w:tcPr>
            <w:tcW w:w="141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286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10"/>
        </w:trPr>
        <w:tc>
          <w:tcPr>
            <w:tcW w:w="1101"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45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41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286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10"/>
        </w:trPr>
        <w:tc>
          <w:tcPr>
            <w:tcW w:w="1101" w:type="dxa"/>
            <w:vMerge/>
            <w:vAlign w:val="center"/>
          </w:tcP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45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41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286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07"/>
        </w:trPr>
        <w:tc>
          <w:tcPr>
            <w:tcW w:w="1101" w:type="dxa"/>
            <w:vMerge/>
            <w:vAlign w:val="center"/>
          </w:tcP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45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公共卫生服务水平不断提高</w:t>
            </w:r>
          </w:p>
        </w:tc>
        <w:tc>
          <w:tcPr>
            <w:tcW w:w="141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286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522"/>
        </w:trPr>
        <w:tc>
          <w:tcPr>
            <w:tcW w:w="1101" w:type="dxa"/>
            <w:vMerge/>
            <w:vAlign w:val="center"/>
          </w:tcP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45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建档人数占辖区内常住居民数的百分比</w:t>
            </w:r>
          </w:p>
        </w:tc>
        <w:tc>
          <w:tcPr>
            <w:tcW w:w="141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≥60百分比</w:t>
            </w:r>
          </w:p>
        </w:tc>
        <w:tc>
          <w:tcPr>
            <w:tcW w:w="286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r>
        <w:trPr>
          <w:trHeight w:val="448"/>
        </w:trPr>
        <w:tc>
          <w:tcPr>
            <w:tcW w:w="1101"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45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6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41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≥80百分比</w:t>
            </w:r>
          </w:p>
        </w:tc>
        <w:tc>
          <w:tcPr>
            <w:tcW w:w="286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冀财社【2021】190号2022年省级公共卫生服务补助资金预算指标的通知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26</w:t>
      </w:r>
      <w:r>
        <w:rPr>
          <w:rFonts w:ascii="方正仿宋简体" w:eastAsia="方正仿宋简体" w:cs="方正仿宋简体" w:hAnsi="方正仿宋简体" w:hint="eastAsia"/>
          <w:bCs/>
          <w:color w:val="000000"/>
          <w:sz w:val="32"/>
          <w:szCs w:val="32"/>
        </w:rPr>
        <w:t>.冀财社【2021】196号 2022年中医药事业传承与发展省级补助资金绩效目标表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13028122P00254210001Y</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冀财社【2021】196号 2022年中医药事业传承与发展省级补助资金</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77.00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77.00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用于中医药适宜技术推广，改善中医药诊疗环境提高中医药技术水平</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1.改善中医药诊疗环境提高中医药技术水平2.用于中医药适宜技术推广</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666"/>
        <w:gridCol w:w="3599"/>
        <w:gridCol w:w="3210"/>
        <w:gridCol w:w="1336"/>
        <w:gridCol w:w="1559"/>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66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599"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标准化县级中医院建设数量</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标准化县级中医院建设数量</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1所</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605"/>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标准化县级中医院建设合格率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标准化县级中医院建设合格率</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中医药科研工程任务完成情况</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中医药服务能力提升程度</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当年标准化县级中医院投入使用情况</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中医院标准化康复科建设完成情况</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中医院标准化康复科建设完成情况</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中医院功能完善率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当年标准化县级中医院诊疗业务项目是否达到要求</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07"/>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中医院人员配备率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县级中医院人员配备数量占标准配备的比例</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522"/>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完成率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当年中医药科研“三年提升”工程任务完成情况</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受益对象满意度(%)</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冀财社【2021】196号-河北省财政厅关于提前下达2022年中医药事业传承与发展省级补助资金预算指标的通知</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27</w:t>
      </w:r>
      <w:r>
        <w:rPr>
          <w:rFonts w:ascii="方正仿宋简体" w:eastAsia="方正仿宋简体" w:cs="方正仿宋简体" w:hAnsi="方正仿宋简体" w:hint="eastAsia"/>
          <w:bCs/>
          <w:color w:val="000000"/>
          <w:sz w:val="32"/>
          <w:szCs w:val="32"/>
        </w:rPr>
        <w:t>.计生奖扶、特扶提标及救助费绩效目标表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13028122P00GEHE10002E</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计生奖扶、特扶提标及救助费</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855.00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855.00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发放农村独生子女、双女户扶助金</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1.切实完善计划生育利益导向机制和保障体系2.帮扶计划生育家庭和计生特殊家庭</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666"/>
        <w:gridCol w:w="3599"/>
        <w:gridCol w:w="3210"/>
        <w:gridCol w:w="1336"/>
        <w:gridCol w:w="1559"/>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66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599"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1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895"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奖励扶助发放人数</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按政策标准将符合条件人数全部纳入</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≥22608人</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605"/>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扶助金发放率</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扶助金发放率</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奖扶特扶发放时间</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按时间节点录入和发放扶助金</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奖扶发放标准</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每人每年960元</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扶助对象养老和生活保障</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帮扶和解决扶助对象养老和生活保障</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完善计划生育利益导向体系和保障体系</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完善计划生育利益导向体系和保障体系</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07"/>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提高经济保障</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提高经济收入，改善生活</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522"/>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改善生产生活条件，大幅度享受国家扶助优惠政策</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1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33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631"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唐山市卫生和计划生育委员会唐山市民政局唐山市财政局唐山市人力资源和社会保障局《关于调整计划生育家庭特别扶助制度扶助标准的通知》（唐卫发【2018】73号）</w:t>
            </w:r>
          </w:p>
        </w:tc>
      </w:tr>
    </w:tbl>
    <w:p>
      <w:pPr>
        <w:spacing w:line="0" w:lineRule="atLeast"/>
      </w:pPr>
    </w:p>
    <w:p>
      <w:pPr>
        <w:spacing w:line="0" w:lineRule="atLeast"/>
      </w:pPr>
    </w:p>
    <w:p>
      <w:pPr>
        <w:spacing w:line="0" w:lineRule="atLeast"/>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28</w:t>
      </w:r>
      <w:r>
        <w:rPr>
          <w:rFonts w:ascii="方正仿宋简体" w:eastAsia="方正仿宋简体" w:cs="方正仿宋简体" w:hAnsi="方正仿宋简体" w:hint="eastAsia"/>
          <w:bCs/>
          <w:color w:val="000000"/>
          <w:sz w:val="32"/>
          <w:szCs w:val="32"/>
        </w:rPr>
        <w:t>.计生特殊家庭住院护理补贴保险资金绩效目标表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13028122P00290910001Q</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计生特殊家庭住院护理补贴保险资金</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24.56</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24.56</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计生特殊家庭在住院期间手于补贴补助</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1.用于计划生育特殊家庭生病住院期间补助2.解决计划生育特殊家庭在医疗方面遇到的困难</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666"/>
        <w:gridCol w:w="3599"/>
        <w:gridCol w:w="3046"/>
        <w:gridCol w:w="1275"/>
        <w:gridCol w:w="178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66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599"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04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059"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上报人数与投保人数</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614人</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605"/>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实际参保率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医疗保障率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提高医疗保障率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按时间节点投保率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摸底人数与实际投保人数所占比率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解决计划生育特殊家庭在医疗方面遇到的困难</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解决计生特殊家庭在养老、医疗服务方面的困难比率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07"/>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提高生活保障</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提高医疗保障和生活保障率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522"/>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应投保人数与实际投保人数所占比率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唐山市卫生和计划生育委员会唐山市民政局唐山市财政局唐山市人力资源和社会保障局关于印发《唐山市进一步做好计划生育特殊家庭关怀扶助工作的实施方案》的通知(唐卫发[2017]69号)</w:t>
            </w:r>
          </w:p>
        </w:tc>
      </w:tr>
    </w:tbl>
    <w:p>
      <w:pPr>
        <w:spacing w:line="0" w:lineRule="atLeast"/>
      </w:pPr>
    </w:p>
    <w:p>
      <w:pPr>
        <w:spacing w:line="0" w:lineRule="atLeast"/>
      </w:pPr>
    </w:p>
    <w:p>
      <w:pPr>
        <w:spacing w:line="0" w:lineRule="atLeast"/>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29</w:t>
      </w:r>
      <w:r>
        <w:rPr>
          <w:rFonts w:ascii="方正仿宋简体" w:eastAsia="方正仿宋简体" w:cs="方正仿宋简体" w:hAnsi="方正仿宋简体" w:hint="eastAsia"/>
          <w:bCs/>
          <w:color w:val="000000"/>
          <w:sz w:val="32"/>
          <w:szCs w:val="32"/>
        </w:rPr>
        <w:t>.计生特殊人群健康检查费绩效目标表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13028122P0037AC10002Q</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计生特殊人群健康检查费</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29.00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29.00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为计生特殊家庭（失独、残独）进行免费体检</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1.为计生特殊家庭（失独、残独）进行免费体检2.为计生特殊家庭解决估养老保障、医疗服务等方面遇到的突出问题</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666"/>
        <w:gridCol w:w="3599"/>
        <w:gridCol w:w="3046"/>
        <w:gridCol w:w="1275"/>
        <w:gridCol w:w="178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66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3599"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04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059"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健康检查人数</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参加健康检查人数</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614人</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605"/>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实际检查人数比率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实际检查人数比率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健康检查率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实际参加健康检查人数所占比率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提供医疗保障</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参加健康检查检查结果告知率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检查结果准确率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参加健康检查准确率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10"/>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检查结果告知率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参加检查告知率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07"/>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检查结果告知率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参加检查告知率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522"/>
        </w:trPr>
        <w:tc>
          <w:tcPr>
            <w:tcW w:w="1298" w:type="dxa"/>
            <w:vMerge/>
            <w:vAlign w:val="center"/>
          </w:tcP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落实政策率</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政策落实率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66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04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服务对象满意率</w:t>
            </w:r>
          </w:p>
        </w:tc>
        <w:tc>
          <w:tcPr>
            <w:tcW w:w="127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《唐山市进一步做好计划生育特殊家庭关怀扶助工作的实施方案》的通知(唐卫发[2017]69号)发文日期2017年10月11日执行日期（长期）</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30</w:t>
      </w:r>
      <w:r>
        <w:rPr>
          <w:rFonts w:ascii="方正仿宋简体" w:eastAsia="方正仿宋简体" w:cs="方正仿宋简体" w:hAnsi="方正仿宋简体" w:hint="eastAsia"/>
          <w:bCs/>
          <w:color w:val="000000"/>
          <w:sz w:val="32"/>
          <w:szCs w:val="32"/>
        </w:rPr>
        <w:t>.计生小组长工资绩效目标表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13028122P002902100011</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计生小组长工资</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218.52</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218.52</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计生小组长工资一次性按年发放，按照每人每年1200元发放工资。各乡镇、街道对各村居小组长实施绩效管理，各乡镇、街道村居卫生计生小组长严格按照自身工作职责开展本职工作。          </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1.进一步突出重点，精简年终考核指标及环节。2.切实发挥导向作用，推进统计数据求实。</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2496"/>
        <w:gridCol w:w="1701"/>
        <w:gridCol w:w="4678"/>
        <w:gridCol w:w="1559"/>
        <w:gridCol w:w="936"/>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496"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170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467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2495"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49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工资发放人数</w:t>
            </w:r>
          </w:p>
        </w:tc>
        <w:tc>
          <w:tcPr>
            <w:tcW w:w="467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计生小组长工资发放人数</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1821人</w:t>
            </w:r>
          </w:p>
        </w:tc>
        <w:tc>
          <w:tcPr>
            <w:tcW w:w="3008"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605"/>
        </w:trPr>
        <w:tc>
          <w:tcPr>
            <w:tcW w:w="1298" w:type="dxa"/>
            <w:vMerge/>
            <w:vAlign w:val="center"/>
          </w:tcPr>
          <w:p/>
        </w:tc>
        <w:tc>
          <w:tcPr>
            <w:tcW w:w="249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孕前优生健康检查活动</w:t>
            </w:r>
          </w:p>
        </w:tc>
        <w:tc>
          <w:tcPr>
            <w:tcW w:w="467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本组育龄妇女参加生殖健康检查服务比例达到90%以上。</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008"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10"/>
        </w:trPr>
        <w:tc>
          <w:tcPr>
            <w:tcW w:w="1298" w:type="dxa"/>
            <w:vMerge/>
            <w:vAlign w:val="center"/>
          </w:tcPr>
          <w:p/>
        </w:tc>
        <w:tc>
          <w:tcPr>
            <w:tcW w:w="249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工资发放时间</w:t>
            </w:r>
          </w:p>
        </w:tc>
        <w:tc>
          <w:tcPr>
            <w:tcW w:w="467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计生小组长工资一次性按年发放</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008"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10"/>
        </w:trPr>
        <w:tc>
          <w:tcPr>
            <w:tcW w:w="1298" w:type="dxa"/>
            <w:vMerge/>
            <w:vAlign w:val="center"/>
          </w:tcPr>
          <w:p/>
        </w:tc>
        <w:tc>
          <w:tcPr>
            <w:tcW w:w="249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采集、核对、上报工作</w:t>
            </w:r>
          </w:p>
        </w:tc>
        <w:tc>
          <w:tcPr>
            <w:tcW w:w="467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每月月底及时摸清本组出生、结婚、现孕人数并做好出生信息核实、死亡核实工作。</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12次</w:t>
            </w:r>
          </w:p>
        </w:tc>
        <w:tc>
          <w:tcPr>
            <w:tcW w:w="3008"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49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人口计生信息</w:t>
            </w:r>
          </w:p>
        </w:tc>
        <w:tc>
          <w:tcPr>
            <w:tcW w:w="467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每月月底及时摸清本组出生、结婚、现孕人数并做好出生信息核实、死亡核实工作。</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12次</w:t>
            </w:r>
          </w:p>
        </w:tc>
        <w:tc>
          <w:tcPr>
            <w:tcW w:w="3008"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10"/>
        </w:trPr>
        <w:tc>
          <w:tcPr>
            <w:tcW w:w="1298" w:type="dxa"/>
            <w:vMerge/>
            <w:vAlign w:val="center"/>
          </w:tcPr>
          <w:p/>
        </w:tc>
        <w:tc>
          <w:tcPr>
            <w:tcW w:w="249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代办计划生育证件</w:t>
            </w:r>
          </w:p>
        </w:tc>
        <w:tc>
          <w:tcPr>
            <w:tcW w:w="467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为符合办证需要的人群代办证件比例90%以上。</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008"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07"/>
        </w:trPr>
        <w:tc>
          <w:tcPr>
            <w:tcW w:w="1298" w:type="dxa"/>
            <w:vMerge/>
            <w:vAlign w:val="center"/>
          </w:tcPr>
          <w:p/>
        </w:tc>
        <w:tc>
          <w:tcPr>
            <w:tcW w:w="249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奖励和特别扶助对象</w:t>
            </w:r>
          </w:p>
        </w:tc>
        <w:tc>
          <w:tcPr>
            <w:tcW w:w="467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对本组符合奖励扶助对象条件进行摸底申报比例达到95以上。</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3008"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522"/>
        </w:trPr>
        <w:tc>
          <w:tcPr>
            <w:tcW w:w="1298" w:type="dxa"/>
            <w:vMerge/>
            <w:vAlign w:val="center"/>
          </w:tcPr>
          <w:p/>
        </w:tc>
        <w:tc>
          <w:tcPr>
            <w:tcW w:w="249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工资发放时间</w:t>
            </w:r>
          </w:p>
        </w:tc>
        <w:tc>
          <w:tcPr>
            <w:tcW w:w="467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计生小组长工资一次性按年发放</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3008"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496"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170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467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008"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 xml:space="preserve">唐山市人口和计划生育委员会关于印发《唐山市2014年人口计生工作要点》的通知唐人口领办[2014]6号 </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31</w:t>
      </w:r>
      <w:r>
        <w:rPr>
          <w:rFonts w:ascii="方正仿宋简体" w:eastAsia="方正仿宋简体" w:cs="方正仿宋简体" w:hAnsi="方正仿宋简体" w:hint="eastAsia"/>
          <w:bCs/>
          <w:color w:val="000000"/>
          <w:sz w:val="32"/>
          <w:szCs w:val="32"/>
        </w:rPr>
        <w:t>.灵活就业人员退休独生子女一次性补助资金绩效目标表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13028122P00290610001P</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灵活就业人员退休独生子女一次性补助资金</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对落实计划生育政策的独生子女家庭享受计划生育奖励</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1.完善计划生育利益导向机制和保障体系2.对落实计划生育政策的独生子女家庭享受计划生育奖励</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奖励发放数量</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对符合政策条件的家庭进行奖励</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300人</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发放比例</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对符合政策条件的奖励对象发放奖励金</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按时间发放率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规定时间内发放奖励金比例</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改善情况</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使奖励人群在生产、生活方面得到改善</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改善情况</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奖励人群生活改善情况</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完善计划生育利益导向机制</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完善计划生育利益导向机制</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改善生活，提高经济收入</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落实计划生育相关规定</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依法依规落实计划生育相关政策</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唐山市人民政府关于落实独生子女父母退休时一次性奖励政策的实施意见（唐政发【2008】15号)</w:t>
            </w:r>
          </w:p>
        </w:tc>
      </w:tr>
    </w:tbl>
    <w:p>
      <w:pPr>
        <w:spacing w:line="0" w:lineRule="atLeast"/>
      </w:pPr>
    </w:p>
    <w:p>
      <w:pPr>
        <w:spacing w:line="0" w:lineRule="atLeast"/>
      </w:pPr>
    </w:p>
    <w:p>
      <w:pPr>
        <w:spacing w:line="0" w:lineRule="atLeast"/>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32</w:t>
      </w:r>
      <w:r>
        <w:rPr>
          <w:rFonts w:ascii="方正仿宋简体" w:eastAsia="方正仿宋简体" w:cs="方正仿宋简体" w:hAnsi="方正仿宋简体" w:hint="eastAsia"/>
          <w:bCs/>
          <w:color w:val="000000"/>
          <w:sz w:val="32"/>
          <w:szCs w:val="32"/>
        </w:rPr>
        <w:t>.失独家庭意外伤害保险补贴资金绩效目标表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13028122P00291410001K</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失独家庭意外伤害保险补贴资金</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4.00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4.00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帮扶计划生育特殊家庭妥善解决他们的生活照料医疗服务养老保障等问题</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1.帮扶计划生育特殊家庭妥善解决他们的生活照料医疗服务养老保障等问题</w:t>
            </w:r>
          </w:p>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2.此项工作的实施切实完善计划生育利益导向机制和保障体系，使这些家庭享受到政府的关爱，为构建和谐社会做贡献。</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摸底汇总</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女方年满49周岁以上的计生特殊家庭进行摸底汇总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575人</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应投保人数与投保人数的比例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按时间节点应投保人数比例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摸底人数与投保人数的比例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按时间节点应投保人数比例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摸底人数与投保人数的比例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解决计生特殊家庭的困难</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解决计生特殊家庭在养老、医疗服务方面的困难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应投保人数与投保人数的比例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落实国家扶助政策的满意度</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唐山市人口计生委等七部门关于进一步做好计划生育特殊困难家庭扶助工作的意见（唐人口【2014】8号）</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3.失独家庭住院护理补贴保险资金绩效目标表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13028122P00291310001X</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失独家庭住院护理补贴保险资金</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8.00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为女方年满45周岁以上的失独家庭父母办理住院护理保险。</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1.为女方年满45周岁以上的失独家庭父母办理住院护理保险。</w:t>
            </w:r>
          </w:p>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2.此项工作的实施切实完善计划生育利益导向机制和保障体系，使这些家庭享受到政府的关爱，为构建和谐社会做贡献。</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摸底汇总</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女方年满49周岁以上的计生特殊家庭进行摸底汇总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≥400人</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应投保人数与投保人数的比例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按时间节点应投保人数比例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参保及时率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按时间节点应投保人数比例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参保率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摸底人数与投保人数的比例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解决计生特殊家庭的困难</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解决计生特殊家庭在养老、医疗服务方面的困难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投保率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应投保人数与投保人数的比例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国计生协关于开展失独（家庭住院护理补贴保险工作的通知国计生协[2017]30号）</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4.四减一免一补政策资金绩效目标表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13028122P002908100013</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四减一免一补政策资金</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为计划生育特殊家庭设立医疗保障金</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1.为计划生育特殊家庭设立医疗保障金2.用于计划生育特殊家庭住院治疗期间进行相关优惠及减免</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符合政策人数</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614人</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实际补助人数</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实际符合政策人数</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614人</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报销及时率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实际住院人数按政策报销率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≥95百分比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补助发放及时率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按时间节点发放补助率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提高医疗保障率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提高计生特殊家庭医疗服务保障率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解决际困难率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解决生病、看病率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完善扶助政策率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逐步完善政策率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8"/>
                <w:szCs w:val="20"/>
              </w:rPr>
              <w:t>唐卫发【2017】69号关于金发《唐山市进一步做好计划生育特殊家庭关怀扶助工作的实施方案</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5.唐氏综合征、无创产前基因免费筛查经费绩效目标表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13028122P00X3D010002E</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唐氏综合征、无创产前基因免费筛查经费</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降低新生儿出生缺陷发生风险，提高出生人口素质。产前筛查、产前诊断技术和服务质量明显提升，出生缺陷发生率进一步降低。</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1.向计划怀孕及早孕夫妇宣传优生科学知识、出生缺陷防治措施，使其了解产前筛查对预防出生缺陷的重要性和我市免费唐氏筛查的政策。</w:t>
            </w:r>
          </w:p>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2.降低新生儿出生缺陷发生风险，提高出生人口素质。产前筛查、产前诊断技术和服务质量明显提升，出生缺陷发生率进一步降低。</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产前筛查人数</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产前筛查人数</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10833人</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新生儿疾病筛查率（%）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新生儿疾病筛查人数占活产数的比率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儿童营养不良患病率（%）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5岁以下儿童患中、重度营养不良人数占5岁以下儿童总数的比率（反向指标）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出生缺陷发生率（‰）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年内出生缺陷人数占同期该地区围产儿总数的比率（反向指标）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新生儿唐氏综合征患病率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新生儿唐氏综合征患病率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儿童营养不良患病率（%）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5岁以下儿童患中、重度营养不良人数占5岁以下儿童总数的比率（反向指标）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产前筛查率（%）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产前筛查孕妇数占产妇总数的比率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新生儿疾病筛查率（%）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新生儿疾病筛查人数占活产数的比率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接受基本公共卫生服务的重点人群对所提供服务的满意程度</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《唐山市唐氏综合征免费筛查项目实施方案》的通知；唐卫发【2017】55号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6.特别扶助家庭提高养老保险费绩效目标表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13028122P002905100012</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特别扶助家庭提高养老保险费</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98.88</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98.88</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独生子女死亡、伤残家庭父母自达到领取养老金（城乡）之日起每月补增300-280元补贴</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1.计划生育独生子女失独、伤残家庭提高补助2. 独生子女死亡、伤残家庭父母自达到领取养老金（城乡）之日起每月补增300-280元补贴</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摸底人数</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享受特别扶助家庭提高养老保险人数</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280人</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上报合格率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应享受人数与实际享受人数比率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补助金发放及时率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按时间节点及时发放率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发放率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发放人数与实际人数所占比率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提高特殊家庭经济收入比率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提高特殊家庭经济收放比率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政策落实率 </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完善和落实率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提高保障率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政策落实及时率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及时率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按时间节点发放救助及时率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≥98百分比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唐山市卫生和计划生育委员会唐山市民政局唐山市财政局唐山市人力资源和社会保障局《关于调整计划生育家庭特别扶助制度扶助标准的通知》（唐卫发【2018】73号）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7.卫生计生健康管理事务经费绩效目标表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13028122P002926100016</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卫生计生健康管理事务经费</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35.00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35.00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提高基本医疗卫生服务供给效率和水平</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1.建立科学可持续的投入保障长效机制2.提高基本医疗卫生服务供给效率和水平</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卫生计生宣传教育完成率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卫生计生宣传教育完成次数</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≥2次</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安全生产事件有效防范</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有效防范县直卫生计生系统安全生产事件的发生</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卫生计软硬件服务能力提升情况</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年度内卫生计生系统软硬件服务能力与上一年度相比较</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医疗卫生机构信息化系统覆盖率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实现信息化系统使用的基层医疗卫生机构数量占基层医疗卫生机构总数的比例</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卫生计软硬件服务能力提升情况</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年度内卫生计生系统软硬件服务能力与上一年度相比较</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医疗卫生机构信息化系统覆盖率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实现信息化系统使用的基层医疗卫生机构数量占基层医疗卫生机构总数的比例</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软硬件正常服务情况</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卫生计生系统装备现代化及信息化程度</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基础设施维修改造任务完成率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年度内实际完成维修改造任务数占计划维修改造任务数的比例</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群众满意度</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群众满意数量占总数的比例。</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5"/>
                <w:szCs w:val="16"/>
              </w:rPr>
              <w:t>河北省人民政府办公厅关于印发医疗卫生领域省与市、县财政事权和支出责任划分改革实施方案的通知；【2018】94号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8.县级公立医院六项投入资金绩效目标表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13028122P00292110001R</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县级公立医院六项投入资金</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50.00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县本级财政落实对公立医院符合规划的基本建设、设备购置、重点学科发展、人才培养、符合国家规定的离退休人员费用、政策性亏损等投入政策。</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1.坚持县级公立医院公益性，破除“以药补医”机制2.建立起维护公益性调动积极性、保障可持续性的运行新机制</w:t>
              <w:tab/>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公立医院改革覆盖率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实施县级公立医院改革数量</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3所</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门急诊人次增长率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门急诊人次比上年度增加</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取消药品、耗材加成完成时限</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医疗费用增幅（%）</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医疗费用增长幅度</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人员支出占业务支出比例增长</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人员支出占业务支出的比重较上年有所提高</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县域就诊率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县域内就诊人次占本辖区域内域外人次的比例</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公立医院百元医疗收入的医疗支出  (不含药品收入)减少</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公立医院门急诊次均费用增幅</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患者满意度</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接受治疗的病患调查满意人数占调查总人数的比率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20"/>
                <w:szCs w:val="21"/>
              </w:rPr>
              <w:t>唐山市人民政府办公厅关于全面推进县级公立医院综合改革实施意见唐政办〔2014〕30号</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9.乡镇卫生院与村卫生室一体化管理绩效目标表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13028122P000L0T10002W</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乡镇卫生院与村卫生室一体化管理</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94.20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94.20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01"/>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村卫生室纳入乡镇卫生院统一管理，村卫生室运行经费、乡村医生工资、养老保险、医疗责任险、意外伤害保险</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1.加快乡镇卫生院和村卫生室标准化建设2.提升基层医疗卫生服务能力</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598"/>
        <w:gridCol w:w="1559"/>
        <w:gridCol w:w="1787"/>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5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6"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一体化管理卫生室数量</w:t>
            </w:r>
          </w:p>
        </w:tc>
        <w:tc>
          <w:tcPr>
            <w:tcW w:w="359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一体化管理卫生室数量</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471个</w:t>
            </w:r>
          </w:p>
        </w:tc>
        <w:tc>
          <w:tcPr>
            <w:tcW w:w="3859"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常住居民家庭医生签约服务率</w:t>
            </w:r>
          </w:p>
        </w:tc>
        <w:tc>
          <w:tcPr>
            <w:tcW w:w="359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年度辖区内重点人群签约人数占年度辖区内重点人群总人数的百分比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常住居民家庭医生签约服务率</w:t>
            </w:r>
          </w:p>
        </w:tc>
        <w:tc>
          <w:tcPr>
            <w:tcW w:w="359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年度辖区内常住居民人群签约人数占年度辖区内常住居民总人数的百分比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乡镇卫生院和村卫生室标准化建设全覆盖</w:t>
            </w:r>
          </w:p>
        </w:tc>
        <w:tc>
          <w:tcPr>
            <w:tcW w:w="359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村卫生室纳入乡镇卫生院统一管理</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城乡居民公共卫生差距</w:t>
            </w:r>
          </w:p>
          <w:p>
            <w:pPr>
              <w:pStyle w:val="32"/>
              <w:spacing w:line="0" w:lineRule="atLeast"/>
              <w:rPr>
                <w:rFonts w:ascii="方正仿宋简体" w:eastAsia="方正仿宋简体" w:cs="方正仿宋简体" w:hAnsi="方正仿宋简体"/>
                <w:bCs/>
              </w:rPr>
            </w:pPr>
          </w:p>
          <w:p>
            <w:pPr>
              <w:pStyle w:val="32"/>
              <w:spacing w:line="0" w:lineRule="atLeast"/>
              <w:rPr>
                <w:rFonts w:ascii="方正仿宋简体" w:eastAsia="方正仿宋简体" w:cs="方正仿宋简体" w:hAnsi="方正仿宋简体"/>
                <w:bCs/>
              </w:rPr>
            </w:pPr>
          </w:p>
        </w:tc>
        <w:tc>
          <w:tcPr>
            <w:tcW w:w="359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年度辖区内常住居民人群签约人数占年度辖区内常住居民总人数的百分比</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w:t>
            </w:r>
          </w:p>
          <w:p>
            <w:pPr>
              <w:pStyle w:val="32"/>
              <w:spacing w:line="0" w:lineRule="atLeast"/>
              <w:rPr>
                <w:rFonts w:ascii="方正仿宋简体" w:eastAsia="方正仿宋简体" w:cs="方正仿宋简体" w:hAnsi="方正仿宋简体"/>
                <w:bCs/>
              </w:rPr>
            </w:pPr>
          </w:p>
          <w:p>
            <w:pPr>
              <w:pStyle w:val="32"/>
              <w:spacing w:line="0" w:lineRule="atLeast"/>
              <w:rPr>
                <w:rFonts w:ascii="方正仿宋简体" w:eastAsia="方正仿宋简体" w:cs="方正仿宋简体" w:hAnsi="方正仿宋简体"/>
                <w:bCs/>
              </w:rPr>
            </w:pPr>
          </w:p>
        </w:tc>
        <w:tc>
          <w:tcPr>
            <w:tcW w:w="359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城乡居民享受公共卫生差距缩小</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w:t>
            </w:r>
          </w:p>
        </w:tc>
        <w:tc>
          <w:tcPr>
            <w:tcW w:w="359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城乡居民健康水平不断提高</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w:t>
            </w:r>
          </w:p>
        </w:tc>
        <w:tc>
          <w:tcPr>
            <w:tcW w:w="359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基本公共卫生服务水平不断提高</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3598"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受益群众对服务的评价满意度</w:t>
            </w:r>
          </w:p>
        </w:tc>
        <w:tc>
          <w:tcPr>
            <w:tcW w:w="1559"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3859"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3"/>
                <w:szCs w:val="15"/>
              </w:rPr>
              <w:t>省委办公厅、省人民政府转发省卫健委等五部门《关于进一步加强乡村医生队伍建设的若干措施》、唐山市人民政府关于印发《唐山市推进乡镇卫生院与村卫生室一体化管理工作实施方案》</w:t>
            </w:r>
          </w:p>
        </w:tc>
      </w:tr>
    </w:tbl>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40.</w:t>
      </w:r>
      <w:r>
        <w:rPr>
          <w:rFonts w:ascii="方正仿宋简体" w:eastAsia="方正仿宋简体" w:cs="方正仿宋简体" w:hAnsi="方正仿宋简体" w:hint="eastAsia"/>
          <w:bCs/>
          <w:sz w:val="32"/>
          <w:szCs w:val="32"/>
        </w:rPr>
        <w:t>援疆干部待遇补助</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13028122P0007B410002T</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援疆干部待遇补助</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7.00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支援新疆边远地区医疗工作并保障援疆干部人才的各种相关待遇</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1.支援新疆边远地区医疗工作2.保障援疆干部人才的各种相关待遇</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补助的人数或户数</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1人</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补助发放率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实际发放的补助金金额占计划发放金额的比率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补助发放时期</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援疆期间补助发放</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提高效率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提高效率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补助人群生活改善情况</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补助人群在生活、医疗、护理、教育等方面的改善情况</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补助人群支援改善</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补助人群在生活、医疗、护理、教育等方面的改善情况　 </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支援新疆边远地区医疗工作</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补助人群在医疗、护理、教育等方面的影响情况</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通过问卷调查，满意和较满意的受益对象占全部调研对象的比例</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rPr>
              <w:t>《关于做好第九批有关援疆干部人才人选推荐选派工作的通知》</w:t>
            </w:r>
          </w:p>
        </w:tc>
      </w:tr>
    </w:tbl>
    <w:p>
      <w:pPr>
        <w:spacing w:line="0" w:lineRule="atLeast"/>
        <w:rPr>
          <w:rFonts w:ascii="方正仿宋简体" w:eastAsia="方正仿宋简体" w:cs="方正仿宋简体" w:hAnsi="方正仿宋简体"/>
          <w:bCs/>
          <w:color w:val="000000"/>
          <w:sz w:val="32"/>
          <w:szCs w:val="32"/>
        </w:rPr>
      </w:pPr>
    </w:p>
    <w:p>
      <w:pPr>
        <w:spacing w:line="0" w:lineRule="atLeas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41.</w:t>
      </w:r>
      <w:r>
        <w:rPr>
          <w:rFonts w:ascii="方正仿宋简体" w:eastAsia="方正仿宋简体" w:cs="方正仿宋简体" w:hAnsi="方正仿宋简体" w:hint="eastAsia"/>
          <w:bCs/>
          <w:sz w:val="32"/>
          <w:szCs w:val="32"/>
        </w:rPr>
        <w:t>圆梦女孩贫困一次性救助费</w:t>
      </w:r>
      <w:r>
        <w:rPr>
          <w:rFonts w:ascii="方正仿宋简体" w:eastAsia="方正仿宋简体" w:cs="方正仿宋简体" w:hAnsi="方正仿宋简体" w:hint="eastAsia"/>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8"/>
        <w:gridCol w:w="1617"/>
        <w:gridCol w:w="2119"/>
        <w:gridCol w:w="2400"/>
        <w:gridCol w:w="2096"/>
        <w:gridCol w:w="253"/>
        <w:gridCol w:w="1562"/>
        <w:gridCol w:w="1831"/>
      </w:tblGrid>
      <w:tr>
        <w:trPr>
          <w:trHeight w:val="397"/>
        </w:trPr>
        <w:tc>
          <w:tcPr>
            <w:tcW w:w="12909" w:type="dxa"/>
            <w:gridSpan w:val="8"/>
            <w:tcBorders>
              <w:top w:val="single" w:sz="6" w:space="0" w:color="FFFFFF"/>
              <w:left w:val="single" w:sz="6" w:space="0" w:color="FFFFFF"/>
              <w:right w:val="single" w:sz="6" w:space="0" w:color="FFFFFF"/>
            </w:tcBorders>
            <w:vAlign w:val="center"/>
          </w:tcPr>
          <w:p>
            <w:pPr>
              <w:pStyle w:val="29"/>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361001 遵化市卫生健康局本级</w:t>
            </w:r>
          </w:p>
        </w:tc>
        <w:tc>
          <w:tcPr>
            <w:tcW w:w="1831" w:type="dxa"/>
            <w:tcBorders>
              <w:top w:val="single" w:sz="6" w:space="0" w:color="FFFFFF"/>
              <w:left w:val="single" w:sz="6" w:space="0" w:color="FFFFFF"/>
              <w:right w:val="single" w:sz="6" w:space="0" w:color="FFFFFF"/>
            </w:tcBorders>
            <w:vAlign w:val="center"/>
          </w:tcPr>
          <w:p>
            <w:pPr>
              <w:pStyle w:val="30"/>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4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13028122P00614610002L</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项目名称</w:t>
            </w:r>
          </w:p>
        </w:tc>
        <w:tc>
          <w:tcPr>
            <w:tcW w:w="8142" w:type="dxa"/>
            <w:gridSpan w:val="5"/>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圆梦女孩贫困一次性救助费</w:t>
            </w:r>
          </w:p>
        </w:tc>
      </w:tr>
      <w:tr>
        <w:trPr>
          <w:trHeight w:val="270"/>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8"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预算数</w:t>
            </w:r>
          </w:p>
        </w:tc>
        <w:tc>
          <w:tcPr>
            <w:tcW w:w="1617"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2.00</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其中：财政资金</w:t>
            </w:r>
          </w:p>
        </w:tc>
        <w:tc>
          <w:tcPr>
            <w:tcW w:w="24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2.00</w:t>
            </w:r>
          </w:p>
        </w:tc>
        <w:tc>
          <w:tcPr>
            <w:tcW w:w="2349"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其他资金</w:t>
            </w:r>
          </w:p>
        </w:tc>
        <w:tc>
          <w:tcPr>
            <w:tcW w:w="3393"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w:t>
            </w:r>
          </w:p>
        </w:tc>
      </w:tr>
      <w:tr>
        <w:trPr>
          <w:trHeight w:val="418"/>
        </w:trPr>
        <w:tc>
          <w:tcPr>
            <w:tcW w:w="1314" w:type="dxa"/>
            <w:vMerge/>
          </w:tcP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按救助标准及相关政策将符合条件的救助对象进行一次性救助</w:t>
            </w:r>
          </w:p>
        </w:tc>
      </w:tr>
      <w:tr>
        <w:trPr>
          <w:trHeight w:val="285"/>
        </w:trPr>
        <w:tc>
          <w:tcPr>
            <w:tcW w:w="1314" w:type="dxa"/>
            <w:vMerge w:val="restart"/>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2119" w:type="dxa"/>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4496" w:type="dxa"/>
            <w:gridSpan w:val="2"/>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3"/>
            <w:tcBorders>
              <w:left w:val="single" w:sz="6" w:space="0" w:color="000000"/>
            </w:tcBorders>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255"/>
        </w:trPr>
        <w:tc>
          <w:tcPr>
            <w:tcW w:w="1314" w:type="dxa"/>
            <w:vMerge/>
          </w:tcPr>
          <w:p/>
        </w:tc>
        <w:tc>
          <w:tcPr>
            <w:tcW w:w="3165"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2119" w:type="dxa"/>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4496" w:type="dxa"/>
            <w:gridSpan w:val="2"/>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3"/>
            <w:tcBorders>
              <w:left w:val="single" w:sz="6" w:space="0" w:color="000000"/>
            </w:tcBorders>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10"/>
        </w:trPr>
        <w:tc>
          <w:tcPr>
            <w:tcW w:w="1314"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8"/>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1.按救助标准及相关政策将符合条件的救助对象进行一次性救助2.按时间节点发放救助金</w:t>
            </w:r>
          </w:p>
        </w:tc>
      </w:tr>
    </w:tbl>
    <w:tbl>
      <w:tblPr>
        <w:tblpPr w:leftFromText="180" w:rightFromText="180" w:vertAnchor="text" w:horzAnchor="page" w:tblpX="1163" w:tblpY="3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91"/>
        <w:gridCol w:w="2535"/>
        <w:gridCol w:w="3600"/>
        <w:gridCol w:w="1200"/>
        <w:gridCol w:w="2144"/>
        <w:gridCol w:w="2072"/>
      </w:tblGrid>
      <w:tr>
        <w:trPr>
          <w:trHeight w:val="186"/>
          <w:tblHeader/>
        </w:trPr>
        <w:tc>
          <w:tcPr>
            <w:tcW w:w="1298"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1891"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2535"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600"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3344" w:type="dxa"/>
            <w:gridSpan w:val="2"/>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2072" w:type="dxa"/>
            <w:vAlign w:val="center"/>
          </w:tcPr>
          <w:p>
            <w:pPr>
              <w:pStyle w:val="31"/>
              <w:spacing w:line="0" w:lineRule="atLeast"/>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287"/>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补助个人数</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补助个人（家庭）数量（人)</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10人</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605"/>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补助比例</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实际发放的补助金占计划发放金的比率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合格率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上报人数与审批合格后所占比率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预算执行率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100百分比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10"/>
        </w:trPr>
        <w:tc>
          <w:tcPr>
            <w:tcW w:w="1298" w:type="dxa"/>
            <w:vMerge w:val="restart"/>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改善情况</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补助人群在生活、医疗等方面得到改善</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10"/>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补助比例</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实际发放的补助金占计划发放金的比率</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07"/>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提高经济改入</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提高经济收入，提高生活保障</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522"/>
        </w:trPr>
        <w:tc>
          <w:tcPr>
            <w:tcW w:w="1298" w:type="dxa"/>
            <w:vMerge/>
            <w:vAlign w:val="center"/>
          </w:tcP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改善情况</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补助人群在生活、医疗等方面得到改善</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r>
        <w:trPr>
          <w:trHeight w:val="448"/>
        </w:trPr>
        <w:tc>
          <w:tcPr>
            <w:tcW w:w="1298" w:type="dxa"/>
            <w:vAlign w:val="center"/>
          </w:tcPr>
          <w:p>
            <w:pPr>
              <w:pStyle w:val="33"/>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91"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2535"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w:t>
            </w:r>
          </w:p>
        </w:tc>
        <w:tc>
          <w:tcPr>
            <w:tcW w:w="36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服务对象的满意度</w:t>
            </w:r>
          </w:p>
        </w:tc>
        <w:tc>
          <w:tcPr>
            <w:tcW w:w="1200" w:type="dxa"/>
            <w:tcBorders>
              <w:left w:val="single" w:sz="6" w:space="0" w:color="000000"/>
            </w:tcBorders>
            <w:vAlign w:val="center"/>
          </w:tcPr>
          <w:p>
            <w:pPr>
              <w:pStyle w:val="32"/>
              <w:spacing w:line="0" w:lineRule="atLeast"/>
              <w:rPr>
                <w:rFonts w:ascii="方正仿宋简体" w:eastAsia="方正仿宋简体" w:cs="方正仿宋简体" w:hAnsi="方正仿宋简体"/>
                <w:bCs/>
              </w:rPr>
            </w:pPr>
            <w:r>
              <w:rPr>
                <w:rFonts w:ascii="方正仿宋简体" w:eastAsia="方正仿宋简体" w:cs="方正仿宋简体" w:hAnsi="方正仿宋简体" w:hint="eastAsia"/>
                <w:bCs/>
              </w:rPr>
              <w:t>≥90百分比</w:t>
            </w:r>
          </w:p>
        </w:tc>
        <w:tc>
          <w:tcPr>
            <w:tcW w:w="4216" w:type="dxa"/>
            <w:gridSpan w:val="2"/>
            <w:tcBorders>
              <w:left w:val="single" w:sz="6" w:space="0" w:color="000000"/>
            </w:tcBorders>
            <w:vAlign w:val="center"/>
          </w:tcPr>
          <w:p>
            <w:pPr>
              <w:pStyle w:val="32"/>
              <w:spacing w:line="0" w:lineRule="atLeast"/>
              <w:rPr>
                <w:rFonts w:ascii="方正仿宋简体" w:eastAsia="方正仿宋简体" w:cs="方正仿宋简体" w:hAnsi="方正仿宋简体"/>
                <w:bCs/>
                <w:sz w:val="2"/>
                <w:szCs w:val="2"/>
              </w:rPr>
            </w:pPr>
            <w:r>
              <w:rPr>
                <w:rFonts w:ascii="方正仿宋简体" w:eastAsia="方正仿宋简体" w:cs="方正仿宋简体" w:hAnsi="方正仿宋简体" w:hint="eastAsia"/>
                <w:bCs/>
                <w:sz w:val="16"/>
                <w:szCs w:val="18"/>
              </w:rPr>
              <w:t>唐山市人口和计划生育委员会唐山市计划生育协会关于开展"贫困学子圆梦行动"的实施方案（唐人口联【2013】年4号）</w:t>
            </w:r>
          </w:p>
        </w:tc>
      </w:tr>
    </w:tbl>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90"/>
        </w:trPr>
        <w:tc>
          <w:tcPr>
            <w:tcW w:w="12909" w:type="dxa"/>
            <w:gridSpan w:val="6"/>
            <w:tcBorders>
              <w:top w:val="single" w:sz="6" w:space="0" w:color="FFFFFF"/>
              <w:left w:val="single" w:sz="6" w:space="0" w:color="FFFFFF"/>
              <w:right w:val="single" w:sz="6" w:space="0" w:color="FFFFFF"/>
            </w:tcBorders>
            <w:vAlign w:val="center"/>
          </w:tcPr>
          <w:p>
            <w:pP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42.水质检测费项目绩效目标表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09"/>
              <w:gridCol w:w="1831"/>
            </w:tblGrid>
            <w:tr>
              <w:trPr>
                <w:trHeight w:val="397"/>
              </w:trPr>
              <w:tc>
                <w:tcPr>
                  <w:tcW w:w="12909" w:type="dxa"/>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          361遵化市疾病预防控制中心                                                                          单位：万元</w:t>
                  </w:r>
                </w:p>
              </w:tc>
              <w:tc>
                <w:tcPr>
                  <w:tcW w:w="1831" w:type="dxa"/>
                  <w:tcBorders>
                    <w:top w:val="single" w:sz="6" w:space="0" w:color="FFFFFF"/>
                    <w:left w:val="single" w:sz="6" w:space="0" w:color="FFFFFF"/>
                    <w:right w:val="single" w:sz="6" w:space="0" w:color="FFFFFF"/>
                  </w:tcBorders>
                  <w:vAlign w:val="center"/>
                </w:tcPr>
                <w:p>
                  <w:pPr>
                    <w:pStyle w:val="30"/>
                    <w:jc w:val="both"/>
                    <w:rPr>
                      <w:rFonts w:ascii="方正仿宋简体" w:eastAsia="方正仿宋简体" w:cs="方正仿宋简体" w:hAnsi="方正仿宋简体"/>
                      <w:bCs/>
                    </w:rPr>
                  </w:pPr>
                </w:p>
              </w:tc>
            </w:tr>
          </w:tbl>
          <w:p>
            <w:pPr>
              <w:pStyle w:val="29"/>
              <w:rPr>
                <w:rFonts w:ascii="方正仿宋简体" w:eastAsia="方正仿宋简体" w:cs="方正仿宋简体" w:hAnsi="方正仿宋简体"/>
                <w:b w:val="0"/>
                <w:bCs/>
              </w:rPr>
            </w:pP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p>
        </w:tc>
      </w:tr>
      <w:tr>
        <w:trPr>
          <w:trHeight w:val="405"/>
        </w:trPr>
        <w:tc>
          <w:tcPr>
            <w:tcW w:w="1314"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项目编码</w:t>
            </w:r>
          </w:p>
        </w:tc>
        <w:tc>
          <w:tcPr>
            <w:tcW w:w="3165"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1302812182DTM9YQFV2OU</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项目名称</w:t>
            </w:r>
          </w:p>
        </w:tc>
        <w:tc>
          <w:tcPr>
            <w:tcW w:w="6946" w:type="dxa"/>
            <w:gridSpan w:val="3"/>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水质监测费</w:t>
            </w:r>
          </w:p>
        </w:tc>
      </w:tr>
      <w:tr>
        <w:trPr>
          <w:trHeight w:val="351"/>
        </w:trPr>
        <w:tc>
          <w:tcPr>
            <w:tcW w:w="1314" w:type="dxa"/>
            <w:vMerge w:val="restart"/>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预算规模及资金用途</w:t>
            </w:r>
          </w:p>
        </w:tc>
        <w:tc>
          <w:tcPr>
            <w:tcW w:w="154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预算数</w:t>
            </w:r>
          </w:p>
        </w:tc>
        <w:tc>
          <w:tcPr>
            <w:tcW w:w="16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27.00</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其中：财政资金</w:t>
            </w:r>
          </w:p>
        </w:tc>
        <w:tc>
          <w:tcPr>
            <w:tcW w:w="33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27.00</w:t>
            </w: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其他资金</w:t>
            </w:r>
          </w:p>
        </w:tc>
        <w:tc>
          <w:tcPr>
            <w:tcW w:w="1831" w:type="dxa"/>
            <w:tcBorders>
              <w:left w:val="single" w:sz="6" w:space="0" w:color="000000"/>
            </w:tcBorders>
            <w:vAlign w:val="center"/>
          </w:tcPr>
          <w:p>
            <w:pPr>
              <w:jc w:val="center"/>
              <w:rPr>
                <w:rFonts w:ascii="方正仿宋简体" w:eastAsia="方正仿宋简体" w:cs="方正仿宋简体" w:hAnsi="方正仿宋简体"/>
                <w:bCs/>
              </w:rPr>
            </w:pPr>
          </w:p>
        </w:tc>
      </w:tr>
      <w:tr>
        <w:trPr>
          <w:trHeight w:val="315"/>
        </w:trPr>
        <w:tc>
          <w:tcPr>
            <w:tcW w:w="1314" w:type="dxa"/>
            <w:vMerge/>
          </w:tcPr>
          <w:p/>
        </w:tc>
        <w:tc>
          <w:tcPr>
            <w:tcW w:w="13426" w:type="dxa"/>
            <w:gridSpan w:val="6"/>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预算数27万元。其中：财政资金27万元。购买水质检测所需专用试和耗材。     </w:t>
            </w:r>
          </w:p>
        </w:tc>
      </w:tr>
      <w:tr>
        <w:trPr>
          <w:trHeight w:val="205"/>
        </w:trPr>
        <w:tc>
          <w:tcPr>
            <w:tcW w:w="1314" w:type="dxa"/>
            <w:vMerge w:val="restart"/>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资金支出计划（%）</w:t>
            </w:r>
          </w:p>
        </w:tc>
        <w:tc>
          <w:tcPr>
            <w:tcW w:w="3165"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3月底</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6月底</w:t>
            </w:r>
          </w:p>
        </w:tc>
        <w:tc>
          <w:tcPr>
            <w:tcW w:w="33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10月底</w:t>
            </w:r>
          </w:p>
        </w:tc>
        <w:tc>
          <w:tcPr>
            <w:tcW w:w="3646"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12月底</w:t>
            </w:r>
          </w:p>
        </w:tc>
      </w:tr>
      <w:tr>
        <w:trPr>
          <w:trHeight w:val="140"/>
        </w:trPr>
        <w:tc>
          <w:tcPr>
            <w:tcW w:w="1314" w:type="dxa"/>
            <w:vMerge/>
          </w:tcPr>
          <w:p/>
        </w:tc>
        <w:tc>
          <w:tcPr>
            <w:tcW w:w="3165"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830"/>
        </w:trPr>
        <w:tc>
          <w:tcPr>
            <w:tcW w:w="1314"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绩效目标</w:t>
            </w:r>
          </w:p>
        </w:tc>
        <w:tc>
          <w:tcPr>
            <w:tcW w:w="13426" w:type="dxa"/>
            <w:gridSpan w:val="6"/>
            <w:tcBorders>
              <w:left w:val="single" w:sz="6" w:space="0" w:color="000000"/>
            </w:tcBorders>
            <w:vAlign w:val="center"/>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更新实验室仪器设备和试剂，加强对采样人员和检验技术人员的学习培训，提高了质量控制和检测能力，确保检测数据的准确有效。</w:t>
            </w:r>
          </w:p>
        </w:tc>
      </w:tr>
    </w:tbl>
    <w:p>
      <w:pPr>
        <w:spacing w:line="2" w:lineRule="exact"/>
        <w:jc w:val="center"/>
        <w:rPr>
          <w:rFonts w:ascii="方正仿宋简体" w:eastAsia="方正仿宋简体" w:cs="方正仿宋简体" w:hAnsi="方正仿宋简体"/>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8"/>
        <w:gridCol w:w="1815"/>
        <w:gridCol w:w="1962"/>
        <w:gridCol w:w="3828"/>
        <w:gridCol w:w="992"/>
        <w:gridCol w:w="4845"/>
      </w:tblGrid>
      <w:tr>
        <w:trPr>
          <w:trHeight w:val="405"/>
          <w:tblHeader/>
        </w:trPr>
        <w:tc>
          <w:tcPr>
            <w:tcW w:w="1298"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一级指标</w:t>
            </w:r>
          </w:p>
        </w:tc>
        <w:tc>
          <w:tcPr>
            <w:tcW w:w="1815"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二级指标</w:t>
            </w:r>
          </w:p>
        </w:tc>
        <w:tc>
          <w:tcPr>
            <w:tcW w:w="1962"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三级指标</w:t>
            </w:r>
          </w:p>
        </w:tc>
        <w:tc>
          <w:tcPr>
            <w:tcW w:w="3828"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绩效指标描述</w:t>
            </w:r>
          </w:p>
        </w:tc>
        <w:tc>
          <w:tcPr>
            <w:tcW w:w="992"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指标值</w:t>
            </w:r>
          </w:p>
        </w:tc>
        <w:tc>
          <w:tcPr>
            <w:tcW w:w="4845"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指标值确定依据</w:t>
            </w:r>
          </w:p>
        </w:tc>
      </w:tr>
      <w:tr>
        <w:trPr>
          <w:trHeight w:val="543"/>
        </w:trPr>
        <w:tc>
          <w:tcPr>
            <w:tcW w:w="1298" w:type="dxa"/>
            <w:vMerge w:val="restart"/>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196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水厂水源水和出厂水样检测份数 </w:t>
            </w:r>
          </w:p>
        </w:tc>
        <w:tc>
          <w:tcPr>
            <w:tcW w:w="3828"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水厂水源水和出厂水样检测份数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845" w:type="dxa"/>
            <w:tcBorders>
              <w:left w:val="single" w:sz="6" w:space="0" w:color="000000"/>
            </w:tcBorders>
            <w:vAlign w:val="center"/>
          </w:tcPr>
          <w:p>
            <w:pPr>
              <w:jc w:val="center"/>
              <w:rPr>
                <w:rFonts w:ascii="方正仿宋简体" w:eastAsia="方正仿宋简体" w:cs="方正仿宋简体" w:hAnsi="方正仿宋简体"/>
                <w:bCs/>
                <w:sz w:val="18"/>
              </w:rPr>
            </w:pPr>
            <w:r>
              <w:rPr>
                <w:rFonts w:ascii="方正仿宋简体" w:eastAsia="方正仿宋简体" w:cs="方正仿宋简体" w:hAnsi="方正仿宋简体" w:hint="eastAsia"/>
                <w:bCs/>
                <w:sz w:val="18"/>
              </w:rPr>
              <w:t>唐山市疾病预防控制中心关于开展2017年唐山市饮用水卫生监测（枯水期）工作的通知唐疾控发[2017]36号。</w:t>
            </w:r>
          </w:p>
        </w:tc>
      </w:tr>
      <w:tr>
        <w:trPr>
          <w:trHeight w:val="538"/>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196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学校自备水源水检测份数 </w:t>
            </w:r>
          </w:p>
        </w:tc>
        <w:tc>
          <w:tcPr>
            <w:tcW w:w="3828"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学校自备水源水检测份数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845" w:type="dxa"/>
            <w:tcBorders>
              <w:left w:val="single" w:sz="6" w:space="0" w:color="000000"/>
            </w:tcBorders>
            <w:vAlign w:val="center"/>
          </w:tcPr>
          <w:p>
            <w:pPr>
              <w:jc w:val="center"/>
              <w:rPr>
                <w:rFonts w:ascii="方正仿宋简体" w:eastAsia="方正仿宋简体" w:cs="方正仿宋简体" w:hAnsi="方正仿宋简体"/>
                <w:bCs/>
                <w:sz w:val="18"/>
              </w:rPr>
            </w:pPr>
            <w:r>
              <w:rPr>
                <w:rFonts w:ascii="方正仿宋简体" w:eastAsia="方正仿宋简体" w:cs="方正仿宋简体" w:hAnsi="方正仿宋简体" w:hint="eastAsia"/>
                <w:bCs/>
                <w:sz w:val="18"/>
              </w:rPr>
              <w:t>唐山市疾病预防控制中心关于开展2017年唐山市饮用水卫生监测（枯水期）工作的通知唐疾控发[2017]36号。</w:t>
            </w:r>
          </w:p>
        </w:tc>
      </w:tr>
      <w:tr>
        <w:trPr>
          <w:trHeight w:val="478"/>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196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卫生应急水样检测份数 </w:t>
            </w:r>
          </w:p>
        </w:tc>
        <w:tc>
          <w:tcPr>
            <w:tcW w:w="3828"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卫生应急水样检测份数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845" w:type="dxa"/>
            <w:tcBorders>
              <w:left w:val="single" w:sz="6" w:space="0" w:color="000000"/>
            </w:tcBorders>
            <w:vAlign w:val="center"/>
          </w:tcPr>
          <w:p>
            <w:pPr>
              <w:jc w:val="center"/>
              <w:rPr>
                <w:rFonts w:ascii="方正仿宋简体" w:eastAsia="方正仿宋简体" w:cs="方正仿宋简体" w:hAnsi="方正仿宋简体"/>
                <w:bCs/>
                <w:sz w:val="18"/>
              </w:rPr>
            </w:pPr>
            <w:r>
              <w:rPr>
                <w:rFonts w:ascii="方正仿宋简体" w:eastAsia="方正仿宋简体" w:cs="方正仿宋简体" w:hAnsi="方正仿宋简体" w:hint="eastAsia"/>
                <w:bCs/>
                <w:sz w:val="18"/>
              </w:rPr>
              <w:t>唐山市疾病预防控制中心关于开展2017年唐山市饮用水卫生监测（枯水期）工作的通知唐疾控发[2017]36号。</w:t>
            </w:r>
          </w:p>
        </w:tc>
      </w:tr>
      <w:tr>
        <w:trPr>
          <w:trHeight w:val="523"/>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196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卫生应急水样检测份数 </w:t>
            </w:r>
          </w:p>
        </w:tc>
        <w:tc>
          <w:tcPr>
            <w:tcW w:w="3828"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水质检测符合相关规定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845" w:type="dxa"/>
            <w:tcBorders>
              <w:left w:val="single" w:sz="6" w:space="0" w:color="000000"/>
            </w:tcBorders>
            <w:vAlign w:val="center"/>
          </w:tcPr>
          <w:p>
            <w:pPr>
              <w:jc w:val="center"/>
              <w:rPr>
                <w:rFonts w:ascii="方正仿宋简体" w:eastAsia="方正仿宋简体" w:cs="方正仿宋简体" w:hAnsi="方正仿宋简体"/>
                <w:bCs/>
                <w:sz w:val="18"/>
              </w:rPr>
            </w:pPr>
            <w:r>
              <w:rPr>
                <w:rFonts w:ascii="方正仿宋简体" w:eastAsia="方正仿宋简体" w:cs="方正仿宋简体" w:hAnsi="方正仿宋简体" w:hint="eastAsia"/>
                <w:bCs/>
                <w:sz w:val="18"/>
              </w:rPr>
              <w:t>唐山市疾病预防控制中心关于开展2017年唐山市饮用水卫生监测（枯水期）工作的通知唐疾控发[2017]36号。</w:t>
            </w:r>
          </w:p>
        </w:tc>
      </w:tr>
      <w:tr>
        <w:trPr>
          <w:trHeight w:val="538"/>
        </w:trPr>
        <w:tc>
          <w:tcPr>
            <w:tcW w:w="1298" w:type="dxa"/>
            <w:vMerge w:val="restart"/>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196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水质监测覆盖面广 </w:t>
            </w:r>
          </w:p>
        </w:tc>
        <w:tc>
          <w:tcPr>
            <w:tcW w:w="3828"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水质检测所提供服务的对象满意程度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845" w:type="dxa"/>
            <w:tcBorders>
              <w:left w:val="single" w:sz="6" w:space="0" w:color="000000"/>
            </w:tcBorders>
            <w:vAlign w:val="center"/>
          </w:tcPr>
          <w:p>
            <w:pPr>
              <w:jc w:val="center"/>
              <w:rPr>
                <w:rFonts w:ascii="方正仿宋简体" w:eastAsia="方正仿宋简体" w:cs="方正仿宋简体" w:hAnsi="方正仿宋简体"/>
                <w:bCs/>
                <w:sz w:val="18"/>
              </w:rPr>
            </w:pPr>
            <w:r>
              <w:rPr>
                <w:rFonts w:ascii="方正仿宋简体" w:eastAsia="方正仿宋简体" w:cs="方正仿宋简体" w:hAnsi="方正仿宋简体" w:hint="eastAsia"/>
                <w:bCs/>
                <w:sz w:val="18"/>
              </w:rPr>
              <w:t>唐山市疾病预防控制中心关于开展2017年唐山市饮用水卫生监测（枯水期）工作的通知唐疾控发[2017]36号。</w:t>
            </w:r>
          </w:p>
        </w:tc>
      </w:tr>
      <w:tr>
        <w:trPr>
          <w:trHeight w:val="553"/>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196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水质检测符合相关规定 </w:t>
            </w:r>
          </w:p>
        </w:tc>
        <w:tc>
          <w:tcPr>
            <w:tcW w:w="3828"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水质监测采样及时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845" w:type="dxa"/>
            <w:tcBorders>
              <w:left w:val="single" w:sz="6" w:space="0" w:color="000000"/>
            </w:tcBorders>
            <w:vAlign w:val="center"/>
          </w:tcPr>
          <w:p>
            <w:pPr>
              <w:jc w:val="center"/>
              <w:rPr>
                <w:rFonts w:ascii="方正仿宋简体" w:eastAsia="方正仿宋简体" w:cs="方正仿宋简体" w:hAnsi="方正仿宋简体"/>
                <w:bCs/>
                <w:sz w:val="18"/>
              </w:rPr>
            </w:pPr>
            <w:r>
              <w:rPr>
                <w:rFonts w:ascii="方正仿宋简体" w:eastAsia="方正仿宋简体" w:cs="方正仿宋简体" w:hAnsi="方正仿宋简体" w:hint="eastAsia"/>
                <w:bCs/>
                <w:sz w:val="18"/>
              </w:rPr>
              <w:t>唐山市疾病预防控制中心关于开展2017年唐山市饮用水卫生监测（枯水期）工作的通知唐疾控发[2017]36号。</w:t>
            </w:r>
          </w:p>
        </w:tc>
      </w:tr>
      <w:tr>
        <w:trPr>
          <w:trHeight w:val="510"/>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196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水质监测采样及时 </w:t>
            </w:r>
          </w:p>
        </w:tc>
        <w:tc>
          <w:tcPr>
            <w:tcW w:w="3828"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水质监测覆盖面广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845" w:type="dxa"/>
            <w:tcBorders>
              <w:left w:val="single" w:sz="6" w:space="0" w:color="000000"/>
            </w:tcBorders>
            <w:vAlign w:val="center"/>
          </w:tcPr>
          <w:p>
            <w:pPr>
              <w:jc w:val="center"/>
              <w:rPr>
                <w:rFonts w:ascii="方正仿宋简体" w:eastAsia="方正仿宋简体" w:cs="方正仿宋简体" w:hAnsi="方正仿宋简体"/>
                <w:bCs/>
                <w:sz w:val="18"/>
              </w:rPr>
            </w:pPr>
            <w:r>
              <w:rPr>
                <w:rFonts w:ascii="方正仿宋简体" w:eastAsia="方正仿宋简体" w:cs="方正仿宋简体" w:hAnsi="方正仿宋简体" w:hint="eastAsia"/>
                <w:bCs/>
                <w:sz w:val="18"/>
              </w:rPr>
              <w:t>唐山市疾病预防控制中心关于开展2017年唐山市饮用水卫生监测（枯水期）工作的通知唐疾控发[2017]36号。</w:t>
            </w:r>
          </w:p>
        </w:tc>
      </w:tr>
      <w:tr>
        <w:trPr>
          <w:trHeight w:val="510"/>
        </w:trPr>
        <w:tc>
          <w:tcPr>
            <w:tcW w:w="1298" w:type="dxa"/>
            <w:vMerge/>
            <w:vAlign w:val="center"/>
          </w:tcP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196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水质监测覆盖面广 </w:t>
            </w:r>
          </w:p>
        </w:tc>
        <w:tc>
          <w:tcPr>
            <w:tcW w:w="3828"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水质监测覆盖面广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845" w:type="dxa"/>
            <w:tcBorders>
              <w:left w:val="single" w:sz="6" w:space="0" w:color="000000"/>
            </w:tcBorders>
            <w:vAlign w:val="center"/>
          </w:tcPr>
          <w:p>
            <w:pPr>
              <w:jc w:val="center"/>
              <w:rPr>
                <w:rFonts w:ascii="方正仿宋简体" w:eastAsia="方正仿宋简体" w:cs="方正仿宋简体" w:hAnsi="方正仿宋简体"/>
                <w:bCs/>
                <w:sz w:val="18"/>
              </w:rPr>
            </w:pPr>
            <w:r>
              <w:rPr>
                <w:rFonts w:ascii="方正仿宋简体" w:eastAsia="方正仿宋简体" w:cs="方正仿宋简体" w:hAnsi="方正仿宋简体" w:hint="eastAsia"/>
                <w:bCs/>
                <w:sz w:val="18"/>
              </w:rPr>
              <w:t>唐山市疾病预防控制中心关于开展2017年唐山市饮用水卫生监测（枯水期）工作的通知唐疾控发[2017]36号。</w:t>
            </w:r>
          </w:p>
        </w:tc>
      </w:tr>
      <w:tr>
        <w:trPr>
          <w:trHeight w:val="510"/>
        </w:trPr>
        <w:tc>
          <w:tcPr>
            <w:tcW w:w="1298" w:type="dxa"/>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1815" w:type="dxa"/>
            <w:tcBorders>
              <w:left w:val="single" w:sz="6" w:space="0" w:color="000000"/>
            </w:tcBorders>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1962" w:type="dxa"/>
            <w:tcBorders>
              <w:left w:val="single" w:sz="6" w:space="0" w:color="000000"/>
            </w:tcBorders>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828" w:type="dxa"/>
            <w:tcBorders>
              <w:left w:val="single" w:sz="6" w:space="0" w:color="000000"/>
            </w:tcBorders>
          </w:tcPr>
          <w:p>
            <w:pPr>
              <w:rPr>
                <w:rFonts w:ascii="方正仿宋简体" w:eastAsia="方正仿宋简体" w:cs="方正仿宋简体" w:hAnsi="方正仿宋简体"/>
                <w:bCs/>
              </w:rPr>
            </w:pPr>
            <w:r>
              <w:rPr>
                <w:rFonts w:ascii="方正仿宋简体" w:eastAsia="方正仿宋简体" w:cs="方正仿宋简体" w:hAnsi="方正仿宋简体" w:hint="eastAsia"/>
                <w:bCs/>
              </w:rPr>
              <w:t>现役官兵对人事管理工作的满意情况</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845" w:type="dxa"/>
            <w:tcBorders>
              <w:left w:val="single" w:sz="6" w:space="0" w:color="000000"/>
            </w:tcBorders>
            <w:vAlign w:val="center"/>
          </w:tcPr>
          <w:p>
            <w:pPr>
              <w:jc w:val="center"/>
              <w:rPr>
                <w:rFonts w:ascii="方正仿宋简体" w:eastAsia="方正仿宋简体" w:cs="方正仿宋简体" w:hAnsi="方正仿宋简体"/>
                <w:bCs/>
                <w:sz w:val="18"/>
              </w:rPr>
            </w:pPr>
            <w:r>
              <w:rPr>
                <w:rFonts w:ascii="方正仿宋简体" w:eastAsia="方正仿宋简体" w:cs="方正仿宋简体" w:hAnsi="方正仿宋简体" w:hint="eastAsia"/>
                <w:bCs/>
                <w:sz w:val="18"/>
              </w:rPr>
              <w:t>唐山市疾病预防控制中心关于开展2017年唐山市饮用水卫生监测（枯水期）工作的通知唐疾控发[2017]36号。</w:t>
            </w:r>
          </w:p>
        </w:tc>
      </w:tr>
    </w:tbl>
    <w:p>
      <w:pP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color w:val="000000"/>
          <w:sz w:val="32"/>
          <w:szCs w:val="32"/>
        </w:rPr>
        <w:t>43.争创慢病防控示范区经费绩效目标表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397"/>
        </w:trPr>
        <w:tc>
          <w:tcPr>
            <w:tcW w:w="12909" w:type="dxa"/>
            <w:gridSpan w:val="6"/>
            <w:tcBorders>
              <w:top w:val="single" w:sz="6" w:space="0" w:color="FFFFFF"/>
              <w:left w:val="single" w:sz="6" w:space="0" w:color="FFFFFF"/>
              <w:right w:val="single" w:sz="6" w:space="0" w:color="FFFFFF"/>
            </w:tcBorders>
            <w:vAlign w:val="center"/>
          </w:tcPr>
          <w:p>
            <w:pPr>
              <w:pStyle w:val="29"/>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 xml:space="preserve">361遵化市疾病预防控制中心  </w:t>
            </w:r>
          </w:p>
        </w:tc>
        <w:tc>
          <w:tcPr>
            <w:tcW w:w="1831" w:type="dxa"/>
            <w:tcBorders>
              <w:top w:val="single" w:sz="6" w:space="0" w:color="FFFFFF"/>
              <w:left w:val="single" w:sz="6" w:space="0" w:color="FFFFFF"/>
              <w:right w:val="single" w:sz="6" w:space="0" w:color="FFFFFF"/>
            </w:tcBorders>
            <w:vAlign w:val="center"/>
          </w:tcPr>
          <w:p>
            <w:pPr>
              <w:pStyle w:val="30"/>
              <w:rPr>
                <w:rFonts w:ascii="方正仿宋简体" w:eastAsia="方正仿宋简体" w:cs="方正仿宋简体" w:hAnsi="方正仿宋简体"/>
                <w:bCs/>
              </w:rPr>
            </w:pPr>
            <w:r>
              <w:rPr>
                <w:rFonts w:ascii="方正仿宋简体" w:eastAsia="方正仿宋简体" w:cs="方正仿宋简体" w:hAnsi="方正仿宋简体" w:hint="eastAsia"/>
                <w:bCs/>
              </w:rPr>
              <w:t>单位：万元</w:t>
            </w:r>
          </w:p>
        </w:tc>
      </w:tr>
      <w:tr>
        <w:trPr>
          <w:trHeight w:val="231"/>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1302812148C0BYC5NVO9K</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项目名称</w:t>
            </w:r>
          </w:p>
        </w:tc>
        <w:tc>
          <w:tcPr>
            <w:tcW w:w="6946" w:type="dxa"/>
            <w:gridSpan w:val="3"/>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争创慢病防控示范区</w:t>
            </w:r>
          </w:p>
        </w:tc>
      </w:tr>
      <w:tr>
        <w:trPr>
          <w:trHeight w:val="180"/>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预算规模及资金用途</w:t>
            </w:r>
          </w:p>
        </w:tc>
        <w:tc>
          <w:tcPr>
            <w:tcW w:w="154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预算数</w:t>
            </w:r>
          </w:p>
        </w:tc>
        <w:tc>
          <w:tcPr>
            <w:tcW w:w="162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11.00</w:t>
            </w:r>
          </w:p>
        </w:tc>
        <w:tc>
          <w:tcPr>
            <w:tcW w:w="33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其中：财政资金</w:t>
            </w:r>
          </w:p>
        </w:tc>
        <w:tc>
          <w:tcPr>
            <w:tcW w:w="3300"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1100</w:t>
            </w:r>
          </w:p>
        </w:tc>
        <w:tc>
          <w:tcPr>
            <w:tcW w:w="1815"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其他资金</w:t>
            </w:r>
          </w:p>
        </w:tc>
        <w:tc>
          <w:tcPr>
            <w:tcW w:w="1831" w:type="dxa"/>
            <w:tcBorders>
              <w:left w:val="single" w:sz="6" w:space="0" w:color="000000"/>
            </w:tcBorders>
            <w:vAlign w:val="center"/>
          </w:tcPr>
          <w:p>
            <w:pPr>
              <w:jc w:val="center"/>
              <w:rPr>
                <w:rFonts w:ascii="方正仿宋简体" w:eastAsia="方正仿宋简体" w:cs="方正仿宋简体" w:hAnsi="方正仿宋简体"/>
                <w:bCs/>
              </w:rPr>
            </w:pPr>
          </w:p>
        </w:tc>
      </w:tr>
      <w:tr>
        <w:trPr>
          <w:trHeight w:val="875"/>
        </w:trPr>
        <w:tc>
          <w:tcPr>
            <w:tcW w:w="1314" w:type="dxa"/>
            <w:vMerge/>
          </w:tcPr>
          <w:p/>
        </w:tc>
        <w:tc>
          <w:tcPr>
            <w:tcW w:w="13426" w:type="dxa"/>
            <w:gridSpan w:val="6"/>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 2019年我市将启动国家级慢病综合防控示范区创建工作。建立政府主导、单位协作、动员社会、全民参与的长效慢病防控机制。在巩固提升现有健康支持性环境基础上，继续扩大创建范围，开展慢病防控宣传，动员全民参与慢病防控，我市需要印刷慢病防控知识宣传资料、购置健康支持性工具，组织多单位参与的职业人群“万步有约”健走活动”。健康单位、健康餐厅（食堂或酒店）、健康学校每类至少达到10个以上。</w:t>
            </w:r>
          </w:p>
        </w:tc>
      </w:tr>
      <w:tr>
        <w:trPr>
          <w:trHeight w:val="300"/>
        </w:trPr>
        <w:tc>
          <w:tcPr>
            <w:tcW w:w="1314" w:type="dxa"/>
            <w:vMerge w:val="restart"/>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6月底</w:t>
            </w:r>
          </w:p>
        </w:tc>
        <w:tc>
          <w:tcPr>
            <w:tcW w:w="3300"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10月底</w:t>
            </w:r>
          </w:p>
        </w:tc>
        <w:tc>
          <w:tcPr>
            <w:tcW w:w="3646" w:type="dxa"/>
            <w:gridSpan w:val="2"/>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12月底</w:t>
            </w:r>
          </w:p>
        </w:tc>
      </w:tr>
      <w:tr>
        <w:trPr>
          <w:trHeight w:val="118"/>
        </w:trPr>
        <w:tc>
          <w:tcPr>
            <w:tcW w:w="1314" w:type="dxa"/>
            <w:vMerge/>
          </w:tcPr>
          <w:p/>
        </w:tc>
        <w:tc>
          <w:tcPr>
            <w:tcW w:w="3165"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30%</w:t>
            </w:r>
          </w:p>
        </w:tc>
        <w:tc>
          <w:tcPr>
            <w:tcW w:w="3315"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60%</w:t>
            </w:r>
          </w:p>
        </w:tc>
        <w:tc>
          <w:tcPr>
            <w:tcW w:w="3300" w:type="dxa"/>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90%</w:t>
            </w:r>
          </w:p>
        </w:tc>
        <w:tc>
          <w:tcPr>
            <w:tcW w:w="3646" w:type="dxa"/>
            <w:gridSpan w:val="2"/>
            <w:tcBorders>
              <w:left w:val="single" w:sz="6" w:space="0" w:color="000000"/>
            </w:tcBorders>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r>
      <w:tr>
        <w:trPr>
          <w:trHeight w:val="538"/>
        </w:trPr>
        <w:tc>
          <w:tcPr>
            <w:tcW w:w="1314"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绩效目标</w:t>
            </w:r>
          </w:p>
        </w:tc>
        <w:tc>
          <w:tcPr>
            <w:tcW w:w="13426" w:type="dxa"/>
            <w:gridSpan w:val="6"/>
            <w:tcBorders>
              <w:left w:val="single" w:sz="6" w:space="0" w:color="000000"/>
            </w:tcBorders>
            <w:vAlign w:val="center"/>
          </w:tcPr>
          <w:p>
            <w:pPr>
              <w:pStyle w:val="32"/>
              <w:jc w:val="both"/>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绩效目标为巩固省级慢病综合防控示范区创建成果，争创国家级慢病综合防控示范区。自助式健康检测点不少于40%。开展6次健康主题日大型宣传活动，开展6次“三减三键”专项活动。      绩效目标为巩固省级慢病综合防控示范区创建成果，争创国家级慢病综合防控示范区。      </w:t>
            </w:r>
          </w:p>
        </w:tc>
      </w:tr>
    </w:tbl>
    <w:p>
      <w:pPr>
        <w:spacing w:line="2" w:lineRule="exact"/>
        <w:jc w:val="center"/>
        <w:rPr>
          <w:rFonts w:ascii="方正仿宋简体" w:eastAsia="方正仿宋简体" w:cs="方正仿宋简体" w:hAnsi="方正仿宋简体"/>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187"/>
        <w:gridCol w:w="1953"/>
        <w:gridCol w:w="3292"/>
        <w:gridCol w:w="992"/>
        <w:gridCol w:w="4987"/>
      </w:tblGrid>
      <w:tr>
        <w:trPr>
          <w:trHeight w:val="322"/>
          <w:tblHeader/>
        </w:trPr>
        <w:tc>
          <w:tcPr>
            <w:tcW w:w="1329"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一级指标</w:t>
            </w:r>
          </w:p>
        </w:tc>
        <w:tc>
          <w:tcPr>
            <w:tcW w:w="2187"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二级指标</w:t>
            </w:r>
          </w:p>
        </w:tc>
        <w:tc>
          <w:tcPr>
            <w:tcW w:w="1953"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三级指标</w:t>
            </w:r>
          </w:p>
        </w:tc>
        <w:tc>
          <w:tcPr>
            <w:tcW w:w="3292"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绩效指标描述</w:t>
            </w:r>
          </w:p>
        </w:tc>
        <w:tc>
          <w:tcPr>
            <w:tcW w:w="992"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w:t>
            </w:r>
          </w:p>
        </w:tc>
        <w:tc>
          <w:tcPr>
            <w:tcW w:w="4987" w:type="dxa"/>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指标值确定依据</w:t>
            </w:r>
          </w:p>
        </w:tc>
      </w:tr>
      <w:tr>
        <w:trPr>
          <w:trHeight w:val="635"/>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产出指标</w:t>
            </w:r>
          </w:p>
        </w:tc>
        <w:tc>
          <w:tcPr>
            <w:tcW w:w="21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数量指标</w:t>
            </w:r>
          </w:p>
        </w:tc>
        <w:tc>
          <w:tcPr>
            <w:tcW w:w="1953"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职业人群“万步有约”健走大赛</w:t>
            </w:r>
          </w:p>
        </w:tc>
        <w:tc>
          <w:tcPr>
            <w:tcW w:w="3292" w:type="dxa"/>
            <w:tcBorders>
              <w:left w:val="single" w:sz="6" w:space="0" w:color="000000"/>
            </w:tcBorders>
            <w:vAlign w:val="center"/>
          </w:tcPr>
          <w:p>
            <w:pPr>
              <w:jc w:val="lef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参加人数，万步完成情况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9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493"/>
        </w:trPr>
        <w:tc>
          <w:tcPr>
            <w:tcW w:w="1329" w:type="dxa"/>
            <w:vMerge/>
            <w:vAlign w:val="center"/>
          </w:tcPr>
          <w:p/>
        </w:tc>
        <w:tc>
          <w:tcPr>
            <w:tcW w:w="21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质量指标</w:t>
            </w:r>
          </w:p>
        </w:tc>
        <w:tc>
          <w:tcPr>
            <w:tcW w:w="1953"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开展三减三键专项活动</w:t>
            </w:r>
          </w:p>
        </w:tc>
        <w:tc>
          <w:tcPr>
            <w:tcW w:w="3292" w:type="dxa"/>
            <w:tcBorders>
              <w:left w:val="single" w:sz="6" w:space="0" w:color="000000"/>
            </w:tcBorders>
            <w:vAlign w:val="center"/>
          </w:tcPr>
          <w:p>
            <w:pPr>
              <w:jc w:val="lef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开展次数，食盐食用油摄入量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9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时效指标</w:t>
            </w:r>
          </w:p>
        </w:tc>
        <w:tc>
          <w:tcPr>
            <w:tcW w:w="1953"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项目时效</w:t>
            </w:r>
          </w:p>
        </w:tc>
        <w:tc>
          <w:tcPr>
            <w:tcW w:w="3292" w:type="dxa"/>
            <w:tcBorders>
              <w:left w:val="single" w:sz="6" w:space="0" w:color="000000"/>
            </w:tcBorders>
            <w:vAlign w:val="center"/>
          </w:tcPr>
          <w:p>
            <w:pPr>
              <w:jc w:val="lef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每年为每户居民至少发放1种以上健康生活方式宣传材料或工具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9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成本指标</w:t>
            </w:r>
          </w:p>
        </w:tc>
        <w:tc>
          <w:tcPr>
            <w:tcW w:w="1953"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控制成本</w:t>
            </w:r>
          </w:p>
        </w:tc>
        <w:tc>
          <w:tcPr>
            <w:tcW w:w="3292" w:type="dxa"/>
            <w:tcBorders>
              <w:left w:val="single" w:sz="6" w:space="0" w:color="000000"/>
            </w:tcBorders>
            <w:vAlign w:val="center"/>
          </w:tcPr>
          <w:p>
            <w:pPr>
              <w:jc w:val="lef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开展次数，食盐食用油摄入量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9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restart"/>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效益指标</w:t>
            </w:r>
          </w:p>
        </w:tc>
        <w:tc>
          <w:tcPr>
            <w:tcW w:w="21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可持续影响指标</w:t>
            </w:r>
          </w:p>
        </w:tc>
        <w:tc>
          <w:tcPr>
            <w:tcW w:w="1953"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项目持续发挥作用期限</w:t>
            </w:r>
          </w:p>
        </w:tc>
        <w:tc>
          <w:tcPr>
            <w:tcW w:w="3292" w:type="dxa"/>
            <w:tcBorders>
              <w:left w:val="single" w:sz="6" w:space="0" w:color="000000"/>
            </w:tcBorders>
            <w:vAlign w:val="center"/>
          </w:tcPr>
          <w:p>
            <w:pPr>
              <w:jc w:val="left"/>
              <w:rPr>
                <w:rFonts w:ascii="方正仿宋简体" w:eastAsia="方正仿宋简体" w:cs="方正仿宋简体" w:hAnsi="方正仿宋简体"/>
                <w:bCs/>
              </w:rPr>
            </w:pPr>
            <w:r>
              <w:rPr>
                <w:rFonts w:ascii="方正仿宋简体" w:eastAsia="方正仿宋简体" w:cs="方正仿宋简体" w:hAnsi="方正仿宋简体" w:hint="eastAsia"/>
                <w:bCs/>
              </w:rPr>
              <w:t>0慢性病及相关危险因素监测评估</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9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经济效益指标</w:t>
            </w:r>
          </w:p>
        </w:tc>
        <w:tc>
          <w:tcPr>
            <w:tcW w:w="1953"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经常参加体育锻炼人口比例</w:t>
            </w:r>
          </w:p>
        </w:tc>
        <w:tc>
          <w:tcPr>
            <w:tcW w:w="3292" w:type="dxa"/>
            <w:tcBorders>
              <w:left w:val="single" w:sz="6" w:space="0" w:color="000000"/>
            </w:tcBorders>
            <w:vAlign w:val="center"/>
          </w:tcPr>
          <w:p>
            <w:pPr>
              <w:jc w:val="lef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体育单位评估经常参加体育锻炼人口比例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9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社会效益指标</w:t>
            </w:r>
          </w:p>
        </w:tc>
        <w:tc>
          <w:tcPr>
            <w:tcW w:w="1953"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居民重点慢性病核心知识知晓率</w:t>
            </w:r>
          </w:p>
        </w:tc>
        <w:tc>
          <w:tcPr>
            <w:tcW w:w="3292" w:type="dxa"/>
            <w:tcBorders>
              <w:left w:val="single" w:sz="6" w:space="0" w:color="000000"/>
            </w:tcBorders>
            <w:vAlign w:val="center"/>
          </w:tcPr>
          <w:p>
            <w:pPr>
              <w:jc w:val="lef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监测评估居民重点慢病核心知识知晓率，居民健康素养水平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9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Merge/>
            <w:vAlign w:val="center"/>
          </w:tcPr>
          <w:p/>
        </w:tc>
        <w:tc>
          <w:tcPr>
            <w:tcW w:w="21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生态效益指标</w:t>
            </w:r>
          </w:p>
        </w:tc>
        <w:tc>
          <w:tcPr>
            <w:tcW w:w="1953"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居民食盐、食用油摄入量</w:t>
            </w:r>
          </w:p>
        </w:tc>
        <w:tc>
          <w:tcPr>
            <w:tcW w:w="3292" w:type="dxa"/>
            <w:tcBorders>
              <w:left w:val="single" w:sz="6" w:space="0" w:color="000000"/>
            </w:tcBorders>
            <w:vAlign w:val="center"/>
          </w:tcPr>
          <w:p>
            <w:pPr>
              <w:jc w:val="lef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慢性病及相关危险因素监测评估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9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r>
        <w:trPr>
          <w:trHeight w:val="510"/>
        </w:trPr>
        <w:tc>
          <w:tcPr>
            <w:tcW w:w="1329" w:type="dxa"/>
            <w:vAlign w:val="center"/>
          </w:tcPr>
          <w:p>
            <w:pPr>
              <w:pStyle w:val="33"/>
              <w:rPr>
                <w:rFonts w:ascii="方正仿宋简体" w:eastAsia="方正仿宋简体" w:cs="方正仿宋简体" w:hAnsi="方正仿宋简体"/>
                <w:bCs/>
              </w:rPr>
            </w:pPr>
            <w:r>
              <w:rPr>
                <w:rFonts w:ascii="方正仿宋简体" w:eastAsia="方正仿宋简体" w:cs="方正仿宋简体" w:hAnsi="方正仿宋简体" w:hint="eastAsia"/>
                <w:bCs/>
              </w:rPr>
              <w:t>满意度指标</w:t>
            </w:r>
          </w:p>
        </w:tc>
        <w:tc>
          <w:tcPr>
            <w:tcW w:w="21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服务对象满意度指标</w:t>
            </w:r>
          </w:p>
        </w:tc>
        <w:tc>
          <w:tcPr>
            <w:tcW w:w="1953"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服务对象满意度</w:t>
            </w:r>
          </w:p>
        </w:tc>
        <w:tc>
          <w:tcPr>
            <w:tcW w:w="3292" w:type="dxa"/>
            <w:tcBorders>
              <w:left w:val="single" w:sz="6" w:space="0" w:color="000000"/>
            </w:tcBorders>
            <w:vAlign w:val="center"/>
          </w:tcPr>
          <w:p>
            <w:pPr>
              <w:jc w:val="left"/>
              <w:rPr>
                <w:rFonts w:ascii="方正仿宋简体" w:eastAsia="方正仿宋简体" w:cs="方正仿宋简体" w:hAnsi="方正仿宋简体"/>
                <w:bCs/>
              </w:rPr>
            </w:pPr>
            <w:r>
              <w:rPr>
                <w:rFonts w:ascii="方正仿宋简体" w:eastAsia="方正仿宋简体" w:cs="方正仿宋简体" w:hAnsi="方正仿宋简体" w:hint="eastAsia"/>
                <w:bCs/>
              </w:rPr>
              <w:t xml:space="preserve">接受慢病防控宣传的服务人群的满意程度 </w:t>
            </w:r>
          </w:p>
        </w:tc>
        <w:tc>
          <w:tcPr>
            <w:tcW w:w="992"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≥100%</w:t>
            </w:r>
          </w:p>
        </w:tc>
        <w:tc>
          <w:tcPr>
            <w:tcW w:w="4987" w:type="dxa"/>
            <w:tcBorders>
              <w:left w:val="single" w:sz="6" w:space="0" w:color="000000"/>
            </w:tcBorders>
            <w:vAlign w:val="center"/>
          </w:tcPr>
          <w:p>
            <w:pPr>
              <w:jc w:val="center"/>
              <w:rPr>
                <w:rFonts w:ascii="方正仿宋简体" w:eastAsia="方正仿宋简体" w:cs="方正仿宋简体" w:hAnsi="方正仿宋简体"/>
                <w:bCs/>
              </w:rPr>
            </w:pPr>
            <w:r>
              <w:rPr>
                <w:rFonts w:ascii="方正仿宋简体" w:eastAsia="方正仿宋简体" w:cs="方正仿宋简体" w:hAnsi="方正仿宋简体" w:hint="eastAsia"/>
                <w:bCs/>
              </w:rPr>
              <w:t>《国家慢性病综合防控示范区建设指标体系》（试行）</w:t>
            </w:r>
          </w:p>
        </w:tc>
      </w:tr>
    </w:tbl>
    <w:p>
      <w:pPr>
        <w:rPr>
          <w:rFonts w:ascii="方正黑体简体" w:eastAsia="方正黑体简体" w:cs="方正黑体简体" w:hAnsi="方正黑体简体"/>
          <w:bCs/>
          <w:color w:val="000000"/>
          <w:sz w:val="32"/>
          <w:szCs w:val="32"/>
        </w:rPr>
      </w:pPr>
      <w:bookmarkEnd w:id="6"/>
      <w:r>
        <w:rPr>
          <w:rFonts w:ascii="方正黑体简体" w:eastAsia="方正黑体简体" w:cs="方正黑体简体" w:hAnsi="方正黑体简体" w:hint="eastAsia"/>
          <w:bCs/>
          <w:color w:val="000000"/>
          <w:sz w:val="32"/>
          <w:szCs w:val="32"/>
        </w:rPr>
        <w:t>六、政府采购预算情况</w:t>
      </w:r>
      <w:bookmarkEnd w:id="7"/>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2022年，遵化市卫生健康局部门安排政府采购预算0.00万元。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27"/>
        <w:gridCol w:w="1035"/>
        <w:gridCol w:w="1245"/>
        <w:gridCol w:w="1410"/>
        <w:gridCol w:w="1065"/>
        <w:gridCol w:w="1020"/>
        <w:gridCol w:w="953"/>
        <w:gridCol w:w="827"/>
        <w:gridCol w:w="1398"/>
        <w:gridCol w:w="1149"/>
        <w:gridCol w:w="1487"/>
        <w:gridCol w:w="1058"/>
        <w:gridCol w:w="1066"/>
      </w:tblGrid>
      <w:tr>
        <w:trPr>
          <w:cantSplit/>
          <w:trHeight w:val="389"/>
          <w:tblHeader/>
        </w:trPr>
        <w:tc>
          <w:tcPr>
            <w:tcW w:w="7755" w:type="dxa"/>
            <w:gridSpan w:val="7"/>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361遵化市卫生健康局部门</w:t>
            </w:r>
          </w:p>
        </w:tc>
        <w:tc>
          <w:tcPr>
            <w:tcW w:w="6985" w:type="dxa"/>
            <w:gridSpan w:val="6"/>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单位：万元</w:t>
            </w:r>
          </w:p>
        </w:tc>
      </w:tr>
      <w:tr>
        <w:trPr>
          <w:cantSplit/>
          <w:trHeight w:val="515"/>
          <w:tblHeader/>
        </w:trPr>
        <w:tc>
          <w:tcPr>
            <w:tcW w:w="2062" w:type="dxa"/>
            <w:gridSpan w:val="2"/>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政府采购项目来源</w:t>
            </w:r>
          </w:p>
        </w:tc>
        <w:tc>
          <w:tcPr>
            <w:tcW w:w="1245"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采购物品名称</w:t>
            </w:r>
          </w:p>
        </w:tc>
        <w:tc>
          <w:tcPr>
            <w:tcW w:w="1410"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政府采购目录序号</w:t>
            </w:r>
          </w:p>
        </w:tc>
        <w:tc>
          <w:tcPr>
            <w:tcW w:w="1065"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计量单位</w:t>
            </w:r>
          </w:p>
        </w:tc>
        <w:tc>
          <w:tcPr>
            <w:tcW w:w="1020"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953" w:type="dxa"/>
            <w:vMerge w:val="restart"/>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单价</w:t>
            </w:r>
          </w:p>
        </w:tc>
        <w:tc>
          <w:tcPr>
            <w:tcW w:w="6985" w:type="dxa"/>
            <w:gridSpan w:val="6"/>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政府采购金额（当年部门预算安排资金）</w:t>
            </w:r>
          </w:p>
        </w:tc>
      </w:tr>
      <w:tr>
        <w:trPr>
          <w:cantSplit/>
          <w:trHeight w:val="1836"/>
          <w:tblHeader/>
        </w:trPr>
        <w:tc>
          <w:tcPr>
            <w:tcW w:w="1027" w:type="dxa"/>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项目名称</w:t>
            </w:r>
          </w:p>
        </w:tc>
        <w:tc>
          <w:tcPr>
            <w:tcW w:w="1035"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预算资金</w:t>
            </w:r>
          </w:p>
        </w:tc>
        <w:tc>
          <w:tcPr>
            <w:tcW w:w="1245" w:type="dxa"/>
            <w:vMerge/>
            <w:tcBorders>
              <w:left w:val="single" w:sz="6" w:space="0" w:color="000000"/>
            </w:tcBorders>
            <w:vAlign w:val="center"/>
          </w:tcPr>
          <w:p/>
        </w:tc>
        <w:tc>
          <w:tcPr>
            <w:tcW w:w="1410" w:type="dxa"/>
            <w:vMerge/>
            <w:tcBorders>
              <w:left w:val="single" w:sz="6" w:space="0" w:color="000000"/>
            </w:tcBorders>
            <w:vAlign w:val="center"/>
          </w:tcPr>
          <w:p/>
        </w:tc>
        <w:tc>
          <w:tcPr>
            <w:tcW w:w="1065" w:type="dxa"/>
            <w:vMerge/>
            <w:tcBorders>
              <w:left w:val="single" w:sz="6" w:space="0" w:color="000000"/>
            </w:tcBorders>
            <w:vAlign w:val="center"/>
          </w:tcPr>
          <w:p/>
        </w:tc>
        <w:tc>
          <w:tcPr>
            <w:tcW w:w="1020" w:type="dxa"/>
            <w:vMerge/>
            <w:tcBorders>
              <w:left w:val="single" w:sz="6" w:space="0" w:color="000000"/>
            </w:tcBorders>
            <w:vAlign w:val="center"/>
          </w:tcPr>
          <w:p/>
        </w:tc>
        <w:tc>
          <w:tcPr>
            <w:tcW w:w="953" w:type="dxa"/>
            <w:vMerge/>
            <w:tcBorders>
              <w:left w:val="single" w:sz="6" w:space="0" w:color="000000"/>
            </w:tcBorders>
            <w:vAlign w:val="center"/>
          </w:tcPr>
          <w:p/>
        </w:tc>
        <w:tc>
          <w:tcPr>
            <w:tcW w:w="827"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合计</w:t>
            </w:r>
          </w:p>
        </w:tc>
        <w:tc>
          <w:tcPr>
            <w:tcW w:w="1398"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一般公共预算拨款</w:t>
            </w:r>
          </w:p>
        </w:tc>
        <w:tc>
          <w:tcPr>
            <w:tcW w:w="1149"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基金预算拨款</w:t>
            </w:r>
          </w:p>
        </w:tc>
        <w:tc>
          <w:tcPr>
            <w:tcW w:w="1487"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国有资本经营预算拨款</w:t>
            </w:r>
          </w:p>
        </w:tc>
        <w:tc>
          <w:tcPr>
            <w:tcW w:w="1058"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财政专户核拨</w:t>
            </w:r>
          </w:p>
        </w:tc>
        <w:tc>
          <w:tcPr>
            <w:tcW w:w="1066" w:type="dxa"/>
            <w:tcBorders>
              <w:left w:val="single" w:sz="6" w:space="0" w:color="000000"/>
            </w:tcBorders>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单位资金</w:t>
            </w:r>
          </w:p>
        </w:tc>
      </w:tr>
      <w:tr>
        <w:trPr>
          <w:cantSplit/>
          <w:trHeight w:val="1474"/>
        </w:trPr>
        <w:tc>
          <w:tcPr>
            <w:tcW w:w="1027" w:type="dxa"/>
            <w:vAlign w:val="center"/>
          </w:tcPr>
          <w:p>
            <w:pPr>
              <w:spacing w:line="560" w:lineRule="exact"/>
              <w:jc w:val="center"/>
              <w:rPr>
                <w:rFonts w:ascii="方正仿宋简体" w:eastAsia="方正仿宋简体" w:cs="方正仿宋简体" w:hAnsi="方正仿宋简体"/>
                <w:bCs/>
                <w:sz w:val="32"/>
                <w:szCs w:val="32"/>
              </w:rPr>
            </w:pPr>
          </w:p>
        </w:tc>
        <w:tc>
          <w:tcPr>
            <w:tcW w:w="1035"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245" w:type="dxa"/>
            <w:tcBorders>
              <w:left w:val="single" w:sz="6" w:space="0" w:color="000000"/>
            </w:tcBorders>
            <w:vAlign w:val="center"/>
          </w:tcPr>
          <w:p>
            <w:pPr>
              <w:spacing w:line="560" w:lineRule="exact"/>
              <w:jc w:val="left"/>
              <w:rPr>
                <w:rFonts w:ascii="方正仿宋简体" w:eastAsia="方正仿宋简体" w:cs="方正仿宋简体" w:hAnsi="方正仿宋简体"/>
                <w:bCs/>
                <w:sz w:val="32"/>
                <w:szCs w:val="32"/>
              </w:rPr>
            </w:pPr>
          </w:p>
        </w:tc>
        <w:tc>
          <w:tcPr>
            <w:tcW w:w="1410" w:type="dxa"/>
            <w:tcBorders>
              <w:left w:val="single" w:sz="6" w:space="0" w:color="000000"/>
            </w:tcBorders>
            <w:vAlign w:val="center"/>
          </w:tcPr>
          <w:p>
            <w:pPr>
              <w:spacing w:line="560" w:lineRule="exact"/>
              <w:jc w:val="left"/>
              <w:rPr>
                <w:rFonts w:ascii="方正仿宋简体" w:eastAsia="方正仿宋简体" w:cs="方正仿宋简体" w:hAnsi="方正仿宋简体"/>
                <w:bCs/>
                <w:sz w:val="32"/>
                <w:szCs w:val="32"/>
              </w:rPr>
            </w:pPr>
          </w:p>
        </w:tc>
        <w:tc>
          <w:tcPr>
            <w:tcW w:w="1065"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32"/>
                <w:szCs w:val="32"/>
              </w:rPr>
            </w:pPr>
          </w:p>
        </w:tc>
        <w:tc>
          <w:tcPr>
            <w:tcW w:w="1020"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953"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827"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398"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149"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487"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058"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c>
          <w:tcPr>
            <w:tcW w:w="1066" w:type="dxa"/>
            <w:tcBorders>
              <w:left w:val="single" w:sz="6" w:space="0" w:color="000000"/>
            </w:tcBorders>
            <w:vAlign w:val="center"/>
          </w:tcPr>
          <w:p>
            <w:pPr>
              <w:spacing w:line="560" w:lineRule="exact"/>
              <w:jc w:val="right"/>
              <w:rPr>
                <w:rFonts w:ascii="方正仿宋简体" w:eastAsia="方正仿宋简体" w:cs="方正仿宋简体" w:hAnsi="方正仿宋简体"/>
                <w:bCs/>
                <w:sz w:val="32"/>
                <w:szCs w:val="32"/>
              </w:rPr>
            </w:pPr>
          </w:p>
        </w:tc>
      </w:tr>
    </w:tbl>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注：无政府采购预算财政拨款预算，空表列示。</w:t>
      </w:r>
    </w:p>
    <w:p>
      <w:pPr>
        <w:spacing w:beforeLines="50" w:before="156" w:afterLines="50" w:after="156" w:line="560" w:lineRule="exact"/>
        <w:jc w:val="left"/>
        <w:outlineLvl w:val="2"/>
        <w:rPr>
          <w:rFonts w:ascii="方正黑体简体" w:eastAsia="方正黑体简体" w:cs="方正黑体简体" w:hAnsi="方正黑体简体"/>
          <w:sz w:val="32"/>
          <w:szCs w:val="32"/>
        </w:rPr>
      </w:pPr>
      <w:bookmarkStart w:id="9" w:name="_Toc68791551"/>
    </w:p>
    <w:p>
      <w:pPr>
        <w:spacing w:beforeLines="50" w:before="156" w:afterLines="50" w:after="156" w:line="560" w:lineRule="exact"/>
        <w:ind w:firstLineChars="200" w:firstLine="640"/>
        <w:jc w:val="left"/>
        <w:outlineLvl w:val="2"/>
        <w:rPr>
          <w:rFonts w:ascii="方正黑体简体" w:eastAsia="方正黑体简体" w:cs="方正黑体简体" w:hAnsi="方正黑体简体"/>
          <w:sz w:val="32"/>
          <w:szCs w:val="32"/>
        </w:rPr>
      </w:pPr>
    </w:p>
    <w:p>
      <w:pPr>
        <w:spacing w:beforeLines="50" w:before="156" w:afterLines="50" w:after="156" w:line="560" w:lineRule="exact"/>
        <w:ind w:firstLineChars="200" w:firstLine="640"/>
        <w:jc w:val="left"/>
        <w:outlineLvl w:val="2"/>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七、国有资产信息</w:t>
      </w:r>
      <w:bookmarkEnd w:id="9"/>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遵化市卫生健康局部门（含所属单位）上年末固定资产金额为12816.93万元（详见下表）。本年度拟购置固定资产总额为0万元。</w:t>
      </w:r>
    </w:p>
    <w:p>
      <w:pPr>
        <w:spacing w:line="560" w:lineRule="exact"/>
        <w:jc w:val="center"/>
        <w:rPr>
          <w:rFonts w:ascii="方正仿宋简体" w:eastAsia="方正仿宋简体" w:cs="方正仿宋简体" w:hAnsi="方正仿宋简体"/>
          <w:sz w:val="32"/>
          <w:szCs w:val="32"/>
        </w:rPr>
      </w:pP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776"/>
        <w:gridCol w:w="2991"/>
        <w:gridCol w:w="3973"/>
      </w:tblGrid>
      <w:tr>
        <w:trPr>
          <w:cantSplit/>
          <w:trHeight w:val="640"/>
          <w:tblHeader/>
        </w:trPr>
        <w:tc>
          <w:tcPr>
            <w:tcW w:w="7776" w:type="dxa"/>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sz w:val="28"/>
                <w:szCs w:val="28"/>
              </w:rPr>
            </w:pPr>
            <w:r>
              <w:rPr>
                <w:rFonts w:ascii="方正仿宋简体" w:eastAsia="方正仿宋简体" w:cs="方正仿宋简体" w:hAnsi="方正仿宋简体" w:hint="eastAsia"/>
                <w:sz w:val="28"/>
                <w:szCs w:val="28"/>
              </w:rPr>
              <w:t>361遵化市卫生健康局部门</w:t>
            </w:r>
          </w:p>
        </w:tc>
        <w:tc>
          <w:tcPr>
            <w:tcW w:w="6964" w:type="dxa"/>
            <w:gridSpan w:val="2"/>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sz w:val="28"/>
                <w:szCs w:val="28"/>
              </w:rPr>
            </w:pPr>
            <w:r>
              <w:rPr>
                <w:rFonts w:ascii="方正仿宋简体" w:eastAsia="方正仿宋简体" w:cs="方正仿宋简体" w:hAnsi="方正仿宋简体" w:hint="eastAsia"/>
                <w:sz w:val="28"/>
                <w:szCs w:val="28"/>
              </w:rPr>
              <w:t>截止时间：2021-12-31</w:t>
            </w:r>
          </w:p>
        </w:tc>
      </w:tr>
      <w:tr>
        <w:trPr>
          <w:cantSplit/>
          <w:trHeight w:val="567"/>
          <w:tblHeader/>
        </w:trPr>
        <w:tc>
          <w:tcPr>
            <w:tcW w:w="7776" w:type="dxa"/>
            <w:vAlign w:val="center"/>
          </w:tcPr>
          <w:p>
            <w:pPr>
              <w:spacing w:line="560" w:lineRule="exact"/>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项   目</w:t>
            </w:r>
          </w:p>
        </w:tc>
        <w:tc>
          <w:tcPr>
            <w:tcW w:w="2991"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数量</w:t>
            </w:r>
          </w:p>
        </w:tc>
        <w:tc>
          <w:tcPr>
            <w:tcW w:w="3973" w:type="dxa"/>
            <w:tcBorders>
              <w:left w:val="single" w:sz="6" w:space="0" w:color="000000"/>
            </w:tcBorders>
            <w:vAlign w:val="center"/>
          </w:tcPr>
          <w:p>
            <w:pPr>
              <w:spacing w:line="560" w:lineRule="exact"/>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价值（金额单位：万元）</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资产总额</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bCs/>
                <w:sz w:val="28"/>
                <w:szCs w:val="28"/>
              </w:rPr>
              <w:t>——</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12816.93</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1、房屋（平方米）</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24470.3</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730.04</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 xml:space="preserve">   其中：办公用房（平方米）</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14259.3</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463.2</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2、车辆（台、辆）</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24</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424.87</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3、单价在20万元以上的设备</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13</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681.12</w:t>
            </w:r>
          </w:p>
        </w:tc>
      </w:tr>
      <w:tr>
        <w:trPr>
          <w:trHeight w:val="567"/>
        </w:trPr>
        <w:tc>
          <w:tcPr>
            <w:tcW w:w="7776" w:type="dxa"/>
            <w:vAlign w:val="center"/>
          </w:tcPr>
          <w:p>
            <w:pPr>
              <w:spacing w:line="560" w:lineRule="exact"/>
              <w:ind w:firstLineChars="200" w:firstLine="560"/>
              <w:jc w:val="left"/>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4、其他固定资产</w:t>
            </w:r>
          </w:p>
        </w:tc>
        <w:tc>
          <w:tcPr>
            <w:tcW w:w="2991"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589</w:t>
            </w:r>
          </w:p>
        </w:tc>
        <w:tc>
          <w:tcPr>
            <w:tcW w:w="3973" w:type="dxa"/>
            <w:tcBorders>
              <w:left w:val="single" w:sz="6" w:space="0" w:color="000000"/>
            </w:tcBorders>
            <w:vAlign w:val="center"/>
          </w:tcPr>
          <w:p>
            <w:pPr>
              <w:jc w:val="center"/>
              <w:rPr>
                <w:rFonts w:ascii="方正仿宋简体" w:eastAsia="方正仿宋简体" w:cs="方正仿宋简体" w:hAnsi="方正仿宋简体"/>
                <w:bCs/>
                <w:sz w:val="28"/>
                <w:szCs w:val="28"/>
              </w:rPr>
            </w:pPr>
            <w:r>
              <w:rPr>
                <w:rFonts w:ascii="方正仿宋简体" w:eastAsia="方正仿宋简体" w:cs="方正仿宋简体" w:hAnsi="方正仿宋简体" w:hint="eastAsia"/>
                <w:bCs/>
                <w:sz w:val="28"/>
                <w:szCs w:val="28"/>
              </w:rPr>
              <w:t>1169.02</w:t>
            </w:r>
          </w:p>
        </w:tc>
      </w:tr>
    </w:tbl>
    <w:p>
      <w:pPr>
        <w:spacing w:line="560" w:lineRule="exact"/>
        <w:ind w:firstLineChars="200" w:firstLine="640"/>
        <w:jc w:val="left"/>
        <w:rPr>
          <w:rFonts w:ascii="方正黑体简体" w:eastAsia="方正黑体简体" w:cs="方正黑体简体" w:hAnsi="方正黑体简体"/>
          <w:sz w:val="32"/>
          <w:szCs w:val="32"/>
        </w:rPr>
      </w:pPr>
      <w:bookmarkStart w:id="10" w:name="_Toc68791552"/>
    </w:p>
    <w:p>
      <w:pPr>
        <w:spacing w:line="560" w:lineRule="exact"/>
        <w:ind w:firstLineChars="200" w:firstLine="640"/>
        <w:jc w:val="left"/>
        <w:rPr>
          <w:rFonts w:ascii="方正黑体简体" w:eastAsia="方正黑体简体" w:cs="方正黑体简体" w:hAnsi="方正黑体简体"/>
          <w:sz w:val="32"/>
          <w:szCs w:val="32"/>
        </w:rPr>
      </w:pPr>
    </w:p>
    <w:p>
      <w:pPr>
        <w:spacing w:line="560" w:lineRule="exact"/>
        <w:ind w:firstLineChars="200" w:firstLine="640"/>
        <w:jc w:val="left"/>
        <w:rPr>
          <w:rFonts w:ascii="方正黑体简体" w:eastAsia="方正黑体简体" w:cs="方正黑体简体" w:hAnsi="方正黑体简体"/>
          <w:sz w:val="32"/>
          <w:szCs w:val="32"/>
        </w:rPr>
      </w:pP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八、名词解释</w:t>
      </w:r>
      <w:bookmarkEnd w:id="10"/>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1、一般公共预算拨款收入：指财政当年拨付的资金。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6、上缴上级支出：指下级单位上缴上级的支出。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spacing w:line="560" w:lineRule="exact"/>
        <w:ind w:firstLineChars="200" w:firstLine="640"/>
        <w:jc w:val="left"/>
        <w:rPr>
          <w:rFonts w:ascii="方正黑体简体" w:eastAsia="方正黑体简体" w:cs="方正黑体简体" w:hAnsi="方正黑体简体"/>
          <w:sz w:val="32"/>
          <w:szCs w:val="32"/>
        </w:rPr>
      </w:pPr>
      <w:bookmarkStart w:id="11" w:name="_Toc68791553"/>
      <w:r>
        <w:rPr>
          <w:rFonts w:ascii="方正黑体简体" w:eastAsia="方正黑体简体" w:cs="方正黑体简体" w:hAnsi="方正黑体简体" w:hint="eastAsia"/>
          <w:sz w:val="32"/>
          <w:szCs w:val="32"/>
        </w:rPr>
        <w:t>九、其他需要说明的事项</w:t>
      </w:r>
      <w:bookmarkEnd w:id="11"/>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无其他要说明的事项。</w:t>
      </w:r>
    </w:p>
    <w:sectPr>
      <w:footerReference w:type="default" r:id="rId5"/>
      <w:pgSz w:w="16839" w:h="11907" w:orient="landscape"/>
      <w:pgMar w:top="680" w:right="1021" w:bottom="680" w:left="1021"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方正楷体_GBK">
    <w:altName w:val="宋体"/>
    <w:panose1 w:val="00000000000000000000"/>
    <w:charset w:val="86"/>
    <w:family w:val="roman"/>
    <w:pitch w:val="variable"/>
    <w:sig w:usb0="00000000" w:usb1="00000000" w:usb2="00000000" w:usb3="00000000" w:csb0="00040001" w:csb1="00000000"/>
  </w:font>
  <w:font w:name="方正仿宋_GBK">
    <w:altName w:val="宋体"/>
    <w:panose1 w:val="00000000000000000000"/>
    <w:charset w:val="86"/>
    <w:family w:val="roman"/>
    <w:pitch w:val="variable"/>
    <w:sig w:usb0="00000000" w:usb1="00000000" w:usb2="00000000" w:usb3="00000000" w:csb0="00000000" w:csb1="00000000"/>
  </w:font>
  <w:font w:name="方正小标宋_GBK">
    <w:altName w:val="微软雅黑"/>
    <w:panose1 w:val="00000000000000000000"/>
    <w:charset w:val="86"/>
    <w:family w:val="auto"/>
    <w:pitch w:val="variable"/>
    <w:sig w:usb0="00000000" w:usb1="00000000" w:usb2="00082016" w:usb3="00000000" w:csb0="00040001" w:csb1="00000000"/>
  </w:font>
  <w:font w:name="方正仿宋简体">
    <w:panose1 w:val="03000509000000000000"/>
    <w:charset w:val="86"/>
    <w:family w:val="script"/>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方正书宋_GBK">
    <w:altName w:val="微软雅黑"/>
    <w:panose1 w:val="00000000000000000000"/>
    <w:charset w:val="86"/>
    <w:family w:val="auto"/>
    <w:pitch w:val="variable"/>
    <w:sig w:usb0="00000000" w:usb1="00000000" w:usb2="00082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right" w:pos="8306"/>
        <w:tab w:val="right" w:pos="14799"/>
      </w:tabs>
    </w:pPr>
    <w:r>
      <w:rPr>
        <w:rFonts w:hint="eastAsia"/>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right" w:pos="8306"/>
        <w:tab w:val="right" w:pos="14799"/>
      </w:tabs>
    </w:pPr>
    <w:r>
      <w:rPr>
        <w:rFonts w:hint="eastAsia"/>
      </w:rP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right" w:pos="8306"/>
        <w:tab w:val="right" w:pos="14799"/>
      </w:tabs>
    </w:pPr>
    <w: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0</wp:posOffset>
              </wp:positionV>
              <wp:extent cx="191770" cy="234950"/>
              <wp:effectExtent l="0" t="0" r="0" b="0"/>
              <wp:wrapNone/>
              <wp:docPr id="4097" name="文本框 1033"/>
              <wp:cNvGraphicFramePr>
                <a:graphicFrameLocks noChangeAspect="0"/>
              </wp:cNvGraphicFramePr>
              <a:graphic>
                <a:graphicData uri="http://schemas.microsoft.com/office/word/2010/wordprocessingShape">
                  <wps:wsp>
                    <wps:cNvSpPr/>
                    <wps:spPr>
                      <a:xfrm rot="0">
                        <a:off x="0" y="0"/>
                        <a:ext cx="191770" cy="234950"/>
                      </a:xfrm>
                      <a:prstGeom prst="rect"/>
                      <a:noFill/>
                      <a:ln w="9525" cmpd="sng" cap="flat">
                        <a:noFill/>
                        <a:prstDash val="solid"/>
                        <a:miter/>
                      </a:ln>
                    </wps:spPr>
                    <wps:txbx id="1">
                      <w:txbxContent>
                        <w:p>
                          <w:pPr>
                            <w:pStyle w:val="17"/>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square" lIns="0" tIns="0" rIns="0" bIns="0" anchor="t" anchorCtr="0" upright="1">
                      <a:noAutofit/>
                    </wps:bodyPr>
                  </wps:wsp>
                </a:graphicData>
              </a:graphic>
            </wp:anchor>
          </w:drawing>
        </mc:Choice>
        <mc:Fallback>
          <w:pict>
            <v:shape type="#_x0000_t202" id="文本框 1033" o:spid="_x0000_s2" filled="f" stroked="f" style="position:absolute;margin-left:0.0pt;margin-top:0.0pt;width:15.100001pt;height:18.5pt;z-index:15;mso-position-horizontal:right;mso-position-horizontal-relative:margin;mso-position-vertical:absolute;mso-wrap-style:square;">
              <v:stroke color="#000000"/>
              <v:textbox id="848" inset="0mm,0mm,0mm,0mm" o:insetmode="custom" style="layout-flow:horizontal;v-text-anchor:top;">
                <w:txbxContent>
                  <w:p>
                    <w:pPr>
                      <w:pStyle w:val="17"/>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right="360"/>
    </w:pPr>
    <w: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0</wp:posOffset>
              </wp:positionV>
              <wp:extent cx="462280" cy="327025"/>
              <wp:effectExtent l="0" t="0" r="0" b="0"/>
              <wp:wrapNone/>
              <wp:docPr id="4098" name="文本框 1031"/>
              <wp:cNvGraphicFramePr>
                <a:graphicFrameLocks noChangeAspect="0"/>
              </wp:cNvGraphicFramePr>
              <a:graphic>
                <a:graphicData uri="http://schemas.microsoft.com/office/word/2010/wordprocessingShape">
                  <wps:wsp>
                    <wps:cNvSpPr/>
                    <wps:spPr>
                      <a:xfrm rot="0">
                        <a:off x="0" y="0"/>
                        <a:ext cx="462280" cy="327025"/>
                      </a:xfrm>
                      <a:prstGeom prst="rect"/>
                      <a:noFill/>
                      <a:ln w="9525" cmpd="sng" cap="flat">
                        <a:noFill/>
                        <a:prstDash val="solid"/>
                        <a:miter/>
                      </a:ln>
                    </wps:spPr>
                    <wps:txbx id="3">
                      <w:txbxContent>
                        <w:p>
                          <w:pPr>
                            <w:pStyle w:val="17"/>
                            <w:tabs>
                              <w:tab w:val="center" w:pos="4153"/>
                              <w:tab w:val="right" w:pos="8306"/>
                            </w:tabs>
                          </w:pPr>
                          <w:r>
                            <w:fldChar w:fldCharType="begin"/>
                          </w:r>
                          <w:r>
                            <w:instrText xml:space="preserve"> PAGE  \* MERGEFORMAT </w:instrText>
                          </w:r>
                          <w:r>
                            <w:fldChar w:fldCharType="separate"/>
                          </w:r>
                          <w:r>
                            <w:t>20</w:t>
                          </w:r>
                          <w:r>
                            <w:fldChar w:fldCharType="end"/>
                          </w:r>
                        </w:p>
                      </w:txbxContent>
                    </wps:txbx>
                    <wps:bodyPr vert="horz" wrap="square" lIns="0" tIns="0" rIns="0" bIns="0" anchor="t" anchorCtr="0" upright="1">
                      <a:noAutofit/>
                    </wps:bodyPr>
                  </wps:wsp>
                </a:graphicData>
              </a:graphic>
            </wp:anchor>
          </w:drawing>
        </mc:Choice>
        <mc:Fallback>
          <w:pict>
            <v:shape type="#_x0000_t202" id="文本框 1031" o:spid="_x0000_s4" filled="f" stroked="f" style="position:absolute;margin-left:0.0pt;margin-top:0.0pt;width:36.4pt;height:25.750002pt;z-index:13;mso-position-horizontal:right;mso-position-horizontal-relative:margin;mso-position-vertical:absolute;mso-wrap-style:square;">
              <v:stroke color="#000000"/>
              <v:textbox id="849" inset="0mm,0mm,0mm,0mm" o:insetmode="custom" style="layout-flow:horizontal;v-text-anchor:top;">
                <w:txbxContent>
                  <w:p>
                    <w:pPr>
                      <w:pStyle w:val="17"/>
                      <w:tabs>
                        <w:tab w:val="center" w:pos="4153"/>
                        <w:tab w:val="right" w:pos="8306"/>
                      </w:tabs>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66350F7"/>
    <w:multiLevelType w:val="multilevel"/>
    <w:tmpl w:val="566350F7"/>
    <w:lvl w:ilvl="0">
      <w:start w:val="4"/>
      <w:numFmt w:val="japaneseCounting"/>
      <w:lvlRestart w:val="0"/>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588946DD"/>
    <w:multiLevelType w:val="multilevel"/>
    <w:tmpl w:val="588946DD"/>
    <w:lvl w:ilvl="0">
      <w:start w:val="1"/>
      <w:numFmt w:val="japaneseCounting"/>
      <w:lvlRestart w:val="0"/>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862AA752"/>
    <w:multiLevelType w:val="singleLevel"/>
    <w:tmpl w:val="862AA752"/>
    <w:lvl w:ilvl="0">
      <w:start w:val="2"/>
      <w:numFmt w:val="chineseCounting"/>
      <w:lvlRestart w:val="0"/>
      <w:suff w:val="space"/>
      <w:lvlText w:val="第%1部分"/>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toc 3"/>
    <w:qFormat/>
    <w:basedOn w:val="0"/>
    <w:next w:val="0"/>
    <w:pPr>
      <w:ind w:leftChars="400" w:left="400"/>
    </w:pPr>
  </w:style>
  <w:style w:type="paragraph" w:styleId="16">
    <w:name w:val="Balloon Text"/>
    <w:qFormat/>
    <w:basedOn w:val="0"/>
    <w:rPr>
      <w:rFonts w:ascii="Times New Roman" w:hAnsi="Times New Roman"/>
      <w:kern w:val="0"/>
      <w:sz w:val="18"/>
      <w:szCs w:val="18"/>
    </w:rPr>
  </w:style>
  <w:style w:type="paragraph" w:styleId="17">
    <w:name w:val="footer"/>
    <w:qFormat/>
    <w:basedOn w:val="0"/>
    <w:pPr>
      <w:tabs>
        <w:tab w:val="center" w:pos="4153"/>
        <w:tab w:val="right" w:pos="8306"/>
      </w:tabs>
      <w:snapToGrid w:val="0"/>
      <w:jc w:val="left"/>
    </w:pPr>
    <w:rPr>
      <w:sz w:val="18"/>
      <w:szCs w:val="18"/>
    </w:rPr>
  </w:style>
  <w:style w:type="paragraph" w:styleId="18">
    <w:name w:val="header"/>
    <w:qFormat/>
    <w:basedOn w:val="0"/>
    <w:pPr>
      <w:pBdr>
        <w:bottom w:val="single" w:sz="6" w:space="1" w:color="auto"/>
      </w:pBdr>
      <w:tabs>
        <w:tab w:val="center" w:pos="4153"/>
        <w:tab w:val="right" w:pos="8306"/>
      </w:tabs>
      <w:snapToGrid w:val="0"/>
      <w:jc w:val="center"/>
    </w:pPr>
    <w:rPr>
      <w:sz w:val="18"/>
      <w:szCs w:val="18"/>
    </w:rPr>
  </w:style>
  <w:style w:type="paragraph" w:styleId="19">
    <w:name w:val="toc 1"/>
    <w:qFormat/>
    <w:basedOn w:val="0"/>
    <w:next w:val="0"/>
    <w:rPr>
      <w:rFonts w:ascii="Times New Roman" w:hAnsi="Times New Roman"/>
      <w:szCs w:val="24"/>
    </w:rPr>
  </w:style>
  <w:style w:type="paragraph" w:styleId="20">
    <w:name w:val="toc 4"/>
    <w:qFormat/>
    <w:basedOn w:val="0"/>
    <w:next w:val="0"/>
    <w:pPr>
      <w:ind w:leftChars="600" w:left="600"/>
    </w:pPr>
  </w:style>
  <w:style w:type="paragraph" w:styleId="21">
    <w:name w:val="footnote text"/>
    <w:qFormat/>
    <w:basedOn w:val="0"/>
    <w:pPr>
      <w:snapToGrid w:val="0"/>
      <w:jc w:val="left"/>
    </w:pPr>
    <w:rPr>
      <w:sz w:val="18"/>
      <w:szCs w:val="18"/>
    </w:rPr>
  </w:style>
  <w:style w:type="paragraph" w:styleId="22">
    <w:name w:val="toc 2"/>
    <w:qFormat/>
    <w:basedOn w:val="0"/>
    <w:next w:val="0"/>
    <w:pPr>
      <w:ind w:leftChars="200" w:left="200"/>
    </w:pPr>
  </w:style>
  <w:style w:type="character" w:styleId="23">
    <w:name w:val="Strong"/>
    <w:qFormat/>
    <w:basedOn w:val="10"/>
    <w:rPr>
      <w:b/>
      <w:bCs/>
    </w:rPr>
  </w:style>
  <w:style w:type="character" w:styleId="24">
    <w:name w:val="page number"/>
    <w:qFormat/>
    <w:basedOn w:val="10"/>
  </w:style>
  <w:style w:type="character" w:styleId="25">
    <w:name w:val="FollowedHyperlink"/>
    <w:qFormat/>
    <w:basedOn w:val="10"/>
    <w:rPr>
      <w:color w:val="800080"/>
      <w:u w:val="single"/>
    </w:rPr>
  </w:style>
  <w:style w:type="character" w:styleId="26">
    <w:name w:val="Hyperlink"/>
    <w:qFormat/>
    <w:basedOn w:val="10"/>
    <w:rPr>
      <w:color w:val="0000FF"/>
      <w:u w:val="single"/>
    </w:rPr>
  </w:style>
  <w:style w:type="character" w:styleId="27">
    <w:name w:val="footnote reference"/>
    <w:qFormat/>
    <w:rPr>
      <w:vertAlign w:val="superscript"/>
    </w:rPr>
  </w:style>
  <w:style w:type="paragraph" w:customStyle="1" w:styleId="28">
    <w:name w:val="插入文本样式-插入部门职责文件"/>
    <w:qFormat/>
    <w:basedOn w:val="0"/>
    <w:pPr>
      <w:spacing w:line="500" w:lineRule="exact"/>
      <w:ind w:firstLine="560"/>
      <w:jc w:val="left"/>
    </w:pPr>
    <w:rPr>
      <w:rFonts w:ascii="Times New Roman" w:eastAsia="方正仿宋_GBK" w:hAnsi="Times New Roman"/>
      <w:sz w:val="28"/>
    </w:rPr>
  </w:style>
  <w:style w:type="paragraph" w:customStyle="1" w:styleId="29">
    <w:name w:val="单元格样式5"/>
    <w:qFormat/>
    <w:basedOn w:val="0"/>
    <w:pPr>
      <w:jc w:val="left"/>
    </w:pPr>
    <w:rPr>
      <w:rFonts w:ascii="方正书宋_GBK" w:eastAsia="方正书宋_GBK" w:cs="方正书宋_GBK" w:hAnsi="方正书宋_GBK"/>
      <w:b/>
    </w:rPr>
  </w:style>
  <w:style w:type="paragraph" w:customStyle="1" w:styleId="30">
    <w:name w:val="单元格样式4"/>
    <w:qFormat/>
    <w:basedOn w:val="0"/>
    <w:pPr>
      <w:jc w:val="right"/>
    </w:pPr>
    <w:rPr>
      <w:rFonts w:ascii="方正书宋_GBK" w:eastAsia="方正书宋_GBK" w:cs="方正书宋_GBK" w:hAnsi="方正书宋_GBK"/>
    </w:rPr>
  </w:style>
  <w:style w:type="paragraph" w:customStyle="1" w:styleId="31">
    <w:name w:val="单元格样式1"/>
    <w:qFormat/>
    <w:basedOn w:val="0"/>
    <w:pPr>
      <w:jc w:val="center"/>
    </w:pPr>
    <w:rPr>
      <w:rFonts w:ascii="方正书宋_GBK" w:eastAsia="方正书宋_GBK" w:cs="方正书宋_GBK" w:hAnsi="方正书宋_GBK"/>
      <w:b/>
    </w:rPr>
  </w:style>
  <w:style w:type="paragraph" w:customStyle="1" w:styleId="32">
    <w:name w:val="单元格样式2"/>
    <w:qFormat/>
    <w:basedOn w:val="0"/>
    <w:pPr>
      <w:jc w:val="left"/>
    </w:pPr>
    <w:rPr>
      <w:rFonts w:ascii="方正书宋_GBK" w:eastAsia="方正书宋_GBK" w:cs="方正书宋_GBK" w:hAnsi="方正书宋_GBK"/>
    </w:rPr>
  </w:style>
  <w:style w:type="paragraph" w:customStyle="1" w:styleId="33">
    <w:name w:val="单元格样式3"/>
    <w:qFormat/>
    <w:basedOn w:val="0"/>
    <w:pPr>
      <w:jc w:val="center"/>
    </w:pPr>
    <w:rPr>
      <w:rFonts w:ascii="方正书宋_GBK" w:eastAsia="方正书宋_GBK" w:cs="方正书宋_GBK" w:hAnsi="方正书宋_GBK"/>
    </w:rPr>
  </w:style>
  <w:style w:type="paragraph" w:customStyle="1" w:styleId="34">
    <w:name w:val="p0"/>
    <w:qFormat/>
    <w:basedOn w:val="0"/>
    <w:pPr>
      <w:widowControl/>
    </w:pPr>
    <w:rPr>
      <w:rFonts w:ascii="宋体" w:cs="宋体" w:hAnsi="宋体"/>
      <w:kern w:val="0"/>
      <w:sz w:val="32"/>
      <w:szCs w:val="32"/>
    </w:rPr>
  </w:style>
  <w:style w:type="paragraph" w:customStyle="1" w:styleId="35">
    <w:name w:val="插入文本样式-插入总体目标文件"/>
    <w:qFormat/>
    <w:basedOn w:val="0"/>
    <w:pPr>
      <w:spacing w:line="500" w:lineRule="exact"/>
      <w:ind w:firstLine="560"/>
      <w:jc w:val="left"/>
    </w:pPr>
    <w:rPr>
      <w:rFonts w:ascii="Times New Roman" w:eastAsia="方正仿宋_GBK" w:hAnsi="Times New Roman"/>
      <w:sz w:val="28"/>
    </w:rPr>
  </w:style>
  <w:style w:type="paragraph" w:customStyle="1" w:styleId="36">
    <w:name w:val="插入文本样式-插入实现年度发展规划目标的保障措施文件"/>
    <w:qFormat/>
    <w:basedOn w:val="0"/>
    <w:pPr>
      <w:spacing w:line="500" w:lineRule="exact"/>
      <w:ind w:firstLine="560"/>
      <w:jc w:val="left"/>
    </w:pPr>
    <w:rPr>
      <w:rFonts w:ascii="Times New Roman" w:eastAsia="方正仿宋_GBK" w:hAnsi="Times New Roman"/>
      <w:sz w:val="28"/>
    </w:rPr>
  </w:style>
  <w:style w:type="paragraph" w:styleId="37">
    <w:name w:val="List Paragraph"/>
    <w:qFormat/>
    <w:basedOn w:val="0"/>
    <w:pPr>
      <w:ind w:firstLineChars="200" w:firstLine="200"/>
    </w:pPr>
  </w:style>
  <w:style w:type="character" w:customStyle="1" w:styleId="38">
    <w:name w:val="Header Char"/>
    <w:qFormat/>
    <w:locked/>
    <w:rPr>
      <w:rFonts w:ascii="Times New Roman" w:eastAsia="宋体" w:cs="Times New Roman" w:hAnsi="Times New Roman"/>
      <w:sz w:val="18"/>
      <w:szCs w:val="18"/>
    </w:rPr>
  </w:style>
  <w:style w:type="character" w:customStyle="1" w:styleId="39">
    <w:name w:val="Balloon Text Char"/>
    <w:qFormat/>
    <w:locked/>
    <w:rPr>
      <w:rFonts w:cs="Times New Roman"/>
      <w:sz w:val="18"/>
      <w:szCs w:val="18"/>
    </w:rPr>
  </w:style>
  <w:style w:type="character" w:customStyle="1" w:styleId="40">
    <w:name w:val="Footer Char"/>
    <w:qFormat/>
    <w:locked/>
    <w:rPr>
      <w:rFonts w:ascii="Times New Roman" w:eastAsia="宋体" w:cs="Times New Roman" w:hAnsi="Times New Roman"/>
      <w:sz w:val="18"/>
      <w:szCs w:val="18"/>
    </w:rPr>
  </w:style>
  <w:style w:type="paragraph" w:customStyle="1" w:styleId="41">
    <w:name w:val="Default"/>
    <w:qForma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42">
    <w:name w:val="单元格样式20"/>
    <w:qFormat/>
    <w:basedOn w:val="0"/>
    <w:pPr>
      <w:jc w:val="left"/>
    </w:pPr>
    <w:rPr>
      <w:rFonts w:ascii="方正小标宋_GBK" w:eastAsia="方正小标宋_GBK" w:cs="方正小标宋_GBK" w:hAnsi="方正小标宋_GBK"/>
      <w:sz w:val="24"/>
    </w:rPr>
  </w:style>
  <w:style w:type="paragraph" w:customStyle="1" w:styleId="43">
    <w:name w:val="单元格样式23"/>
    <w:qFormat/>
    <w:basedOn w:val="0"/>
    <w:pPr>
      <w:jc w:val="right"/>
    </w:pPr>
    <w:rPr>
      <w:rFonts w:ascii="方正书宋_GBK" w:eastAsia="方正书宋_GBK" w:cs="方正书宋_GBK" w:hAnsi="方正书宋_GBK"/>
      <w:sz w:val="24"/>
    </w:rPr>
  </w:style>
  <w:style w:type="paragraph" w:customStyle="1" w:styleId="44">
    <w:name w:val="单元格样式6"/>
    <w:qFormat/>
    <w:basedOn w:val="0"/>
    <w:pPr>
      <w:jc w:val="center"/>
    </w:pPr>
    <w:rPr>
      <w:rFonts w:ascii="方正书宋_GBK" w:eastAsia="方正书宋_GBK" w:cs="方正书宋_GBK" w:hAnsi="方正书宋_GBK"/>
      <w:b/>
    </w:rPr>
  </w:style>
  <w:style w:type="paragraph" w:customStyle="1" w:styleId="45">
    <w:name w:val="插入文本样式-插入预算公开部门财政拨款三公经费预算情况及增减变化原因文件"/>
    <w:qFormat/>
    <w:basedOn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5CEDB84D-62DE-4693-AAF2-0C5DED919D1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Yozo_Office27021597764231189</Application>
  <Pages>91</Pages>
  <Words>0</Words>
  <Characters>56587</Characters>
  <Lines>0</Lines>
  <Paragraphs>465</Paragraphs>
  <CharactersWithSpaces>75450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37</cp:revision>
  <cp:lastPrinted>2022-06-22T02:26:00Z</cp:lastPrinted>
  <dcterms:created xsi:type="dcterms:W3CDTF">2022-04-11T09:25:00Z</dcterms:created>
  <dcterms:modified xsi:type="dcterms:W3CDTF">2024-08-23T07:15:15Z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