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rPr>
          <w:rFonts w:ascii="黑体" w:eastAsia="黑体" w:hAnsi="黑体"/>
          <w:b/>
          <w:sz w:val="72"/>
          <w:szCs w:val="72"/>
        </w:rPr>
      </w:pPr>
      <w:r>
        <w:rPr>
          <w:rFonts w:ascii="黑体" w:eastAsia="黑体" w:hAnsi="宋体" w:hint="eastAsia"/>
          <w:color w:val="002060"/>
          <w:sz w:val="72"/>
          <w:szCs w:val="72"/>
        </w:rPr>
        <w:drawing>
          <wp:anchor distT="0" distB="0" distL="0" distR="0" simplePos="0" relativeHeight="2" behindDoc="1" locked="0" layoutInCell="1" hidden="0" allowOverlap="1">
            <wp:simplePos x="0" y="0"/>
            <wp:positionH relativeFrom="column">
              <wp:posOffset>-1000125</wp:posOffset>
            </wp:positionH>
            <wp:positionV relativeFrom="paragraph">
              <wp:posOffset>-1355089</wp:posOffset>
            </wp:positionV>
            <wp:extent cx="7576820" cy="10796906"/>
            <wp:effectExtent l="0" t="0" r="5080" b="4444"/>
            <wp:wrapNone/>
            <wp:docPr id="1143" name="图片 7"/>
            <wp:cNvGraphicFramePr>
              <a:graphicFrameLocks noChangeAspect="0"/>
            </wp:cNvGraphicFramePr>
            <a:graphic>
              <a:graphicData uri="http://schemas.openxmlformats.org/drawingml/2006/picture">
                <pic:pic>
                  <pic:nvPicPr>
                    <pic:cNvPr id="2" name="图片 7 2"/>
                    <pic:cNvPicPr/>
                  </pic:nvPicPr>
                  <pic:blipFill>
                    <a:blip r:embed="rId3"/>
                    <a:stretch>
                      <a:fillRect/>
                    </a:stretch>
                  </pic:blipFill>
                  <pic:spPr>
                    <a:xfrm rot="0">
                      <a:off x="0" y="0"/>
                      <a:ext cx="7576820" cy="10796906"/>
                    </a:xfrm>
                    <a:prstGeom prst="rect"/>
                    <a:noFill/>
                    <a:ln w="9525" cmpd="sng" cap="flat">
                      <a:noFill/>
                      <a:prstDash val="solid"/>
                      <a:miter/>
                    </a:ln>
                  </pic:spPr>
                </pic:pic>
              </a:graphicData>
            </a:graphic>
          </wp:anchor>
        </w:drawing>
      </w:r>
      <w:r>
        <w:rPr>
          <w:rFonts w:ascii="黑体" w:eastAsia="黑体" w:hAnsi="黑体" w:hint="eastAsia"/>
          <w:b/>
          <w:sz w:val="72"/>
          <w:szCs w:val="72"/>
        </w:rPr>
        <w:t xml:space="preserve"> </w:t>
      </w:r>
    </w:p>
    <w:p>
      <w:pPr>
        <w:widowControl/>
        <w:jc w:val="center"/>
        <w:rPr>
          <w:rFonts w:ascii="黑体" w:eastAsia="黑体" w:hAnsi="宋体"/>
          <w:color w:val="002060"/>
          <w:sz w:val="72"/>
          <w:szCs w:val="72"/>
        </w:rPr>
      </w:pPr>
    </w:p>
    <w:p>
      <w:pPr>
        <w:widowControl/>
        <w:jc w:val="center"/>
        <w:rPr>
          <w:rFonts w:ascii="黑体" w:eastAsia="黑体" w:hAnsi="宋体"/>
          <w:color w:val="002060"/>
          <w:sz w:val="72"/>
          <w:szCs w:val="72"/>
        </w:rPr>
      </w:pPr>
      <w:r>
        <w:rPr>
          <w:sz w:val="72"/>
        </w:rPr>
        <mc:AlternateContent>
          <mc:Choice Requires="wps">
            <w:drawing>
              <wp:anchor distT="0" distB="0" distL="114300" distR="114300" simplePos="0" relativeHeight="56" behindDoc="0" locked="0" layoutInCell="1" hidden="0" allowOverlap="1">
                <wp:simplePos x="0" y="0"/>
                <wp:positionH relativeFrom="column">
                  <wp:posOffset>-1055370</wp:posOffset>
                </wp:positionH>
                <wp:positionV relativeFrom="paragraph">
                  <wp:posOffset>549275</wp:posOffset>
                </wp:positionV>
                <wp:extent cx="7571740" cy="2111375"/>
                <wp:effectExtent l="0" t="0" r="0" b="0"/>
                <wp:wrapNone/>
                <wp:docPr id="1027" name="文本框 8"/>
                <wp:cNvGraphicFramePr>
                  <a:graphicFrameLocks noChangeAspect="0"/>
                </wp:cNvGraphicFramePr>
                <a:graphic>
                  <a:graphicData uri="http://schemas.microsoft.com/office/word/2010/wordprocessingShape">
                    <wps:wsp>
                      <wps:cNvSpPr/>
                      <wps:spPr>
                        <a:xfrm rot="0">
                          <a:off x="0" y="0"/>
                          <a:ext cx="7571740" cy="2111375"/>
                        </a:xfrm>
                        <a:prstGeom prst="rect"/>
                        <a:noFill/>
                        <a:ln cmpd="sng" cap="flat">
                          <a:noFill/>
                          <a:prstDash val="solid"/>
                          <a:round/>
                        </a:ln>
                      </wps:spPr>
                      <wps:txbx id="3">
                        <w:txbxContent>
                          <w:p>
                            <w:pPr>
                              <w:widowControl/>
                              <w:spacing w:line="1200" w:lineRule="exact"/>
                              <w:jc w:val="center"/>
                              <w:rPr>
                                <w:rFonts w:ascii="黑体" w:eastAsia="黑体" w:hAnsi="宋体"/>
                                <w:color w:val="FDEFBE"/>
                                <w:sz w:val="96"/>
                                <w:szCs w:val="96"/>
                              </w:rPr>
                            </w:pPr>
                            <w:r>
                              <w:rPr>
                                <w:rFonts w:ascii="黑体" w:eastAsia="黑体" w:hAnsi="宋体"/>
                                <w:color w:val="FDEFBE"/>
                                <w:sz w:val="96"/>
                                <w:szCs w:val="96"/>
                              </w:rPr>
                              <w:t>遵化市房屋征收办</w:t>
                            </w:r>
                          </w:p>
                          <w:p>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pPr>
                              <w:rPr>
                                <w:color w:val="FDEFBE"/>
                                <w:sz w:val="96"/>
                                <w:szCs w:val="96"/>
                              </w:rPr>
                            </w:pPr>
                          </w:p>
                        </w:txbxContent>
                      </wps:txbx>
                      <wps:bodyPr vert="horz" wrap="square" lIns="91440" tIns="45720" rIns="91440" bIns="45720" anchor="t" anchorCtr="0" upright="0">
                        <a:noAutofit/>
                      </wps:bodyPr>
                    </wps:wsp>
                  </a:graphicData>
                </a:graphic>
              </wp:anchor>
            </w:drawing>
          </mc:Choice>
          <mc:Fallback>
            <w:pict>
              <v:rect type="#_x0000_t1" id="文本框 8" o:spid="_x0000_s4" filled="f" stroked="f" strokeweight="-1.0pt" style="position:absolute;margin-left:-83.1pt;margin-top:43.25pt;width:596.2pt;height:166.25pt;z-index:56;mso-position-horizontal:absolute;mso-position-vertical:absolute;mso-wrap-style:square;">
                <v:stroke/>
                <v:textbox id="849" inset="2.54mm,1.27mm,2.54mm,1.27mm" o:insetmode="custom" style="layout-flow:horizontal;v-text-anchor:top;">
                  <w:txbxContent>
                    <w:p>
                      <w:pPr>
                        <w:widowControl/>
                        <w:spacing w:line="1200" w:lineRule="exact"/>
                        <w:jc w:val="center"/>
                        <w:rPr>
                          <w:rFonts w:ascii="黑体" w:eastAsia="黑体" w:hAnsi="宋体"/>
                          <w:color w:val="FDEFBE"/>
                          <w:sz w:val="96"/>
                          <w:szCs w:val="96"/>
                        </w:rPr>
                      </w:pPr>
                      <w:r>
                        <w:rPr>
                          <w:rFonts w:ascii="黑体" w:eastAsia="黑体" w:hAnsi="宋体"/>
                          <w:color w:val="FDEFBE"/>
                          <w:sz w:val="96"/>
                          <w:szCs w:val="96"/>
                        </w:rPr>
                        <w:t>遵化市房屋征收办</w:t>
                      </w:r>
                    </w:p>
                    <w:p>
                      <w:pPr>
                        <w:widowControl/>
                        <w:spacing w:line="1200" w:lineRule="exact"/>
                        <w:jc w:val="center"/>
                        <w:rPr>
                          <w:color w:val="FDEFBE"/>
                          <w:sz w:val="96"/>
                          <w:szCs w:val="96"/>
                        </w:rPr>
                      </w:pPr>
                      <w:r>
                        <w:rPr>
                          <w:rFonts w:ascii="黑体" w:eastAsia="黑体" w:hAnsi="宋体" w:hint="eastAsia"/>
                          <w:color w:val="FDEFBE"/>
                          <w:sz w:val="96"/>
                          <w:szCs w:val="96"/>
                        </w:rPr>
                        <w:t>2018年度部门决算</w:t>
                      </w:r>
                    </w:p>
                    <w:p>
                      <w:pPr>
                        <w:rPr>
                          <w:color w:val="FDEFBE"/>
                          <w:sz w:val="96"/>
                          <w:szCs w:val="96"/>
                        </w:rPr>
                      </w:pPr>
                    </w:p>
                  </w:txbxContent>
                </v:textbox>
              </v:rect>
            </w:pict>
          </mc:Fallback>
        </mc:AlternateContent>
      </w: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黑体" w:eastAsia="黑体" w:hAnsi="黑体"/>
          <w:b/>
          <w:sz w:val="72"/>
          <w:szCs w:val="72"/>
        </w:rPr>
      </w:pPr>
    </w:p>
    <w:p>
      <w:pPr>
        <w:widowControl/>
        <w:jc w:val="center"/>
        <w:rPr>
          <w:rFonts w:ascii="楷体" w:eastAsia="楷体" w:cs="楷体" w:hAnsi="楷体"/>
          <w:b/>
          <w:sz w:val="44"/>
          <w:szCs w:val="44"/>
        </w:rPr>
        <w:sectPr>
          <w:headerReference w:type="default" r:id="rId2"/>
          <w:pgSz w:w="11906" w:h="16838"/>
          <w:pgMar w:top="2098" w:right="1474" w:bottom="1985" w:left="1588" w:header="851" w:footer="992" w:gutter="0"/>
          <w:cols w:num="1" w:space="425"/>
          <w:docGrid w:type="lines" w:linePitch="312" w:charSpace="0"/>
        </w:sectPr>
      </w:pPr>
      <w:r>
        <w:rPr>
          <w:rFonts w:ascii="楷体" w:eastAsia="楷体" w:cs="楷体" w:hAnsi="楷体" w:hint="eastAsia"/>
          <w:b/>
          <w:sz w:val="44"/>
          <w:szCs w:val="44"/>
        </w:rPr>
        <w:t>二〇一九年七月</w:t>
      </w:r>
    </w:p>
    <w:p>
      <w:pPr>
        <w:widowControl/>
        <w:jc w:val="center"/>
        <w:rPr>
          <w:rFonts w:ascii="黑体" w:eastAsia="黑体" w:cs="黑体" w:hAnsi="黑体"/>
          <w:b/>
          <w:sz w:val="44"/>
          <w:szCs w:val="44"/>
        </w:rPr>
      </w:pPr>
      <w:r>
        <w:rPr>
          <w:rFonts w:ascii="黑体" w:eastAsia="黑体" w:cs="黑体" w:hAnsi="黑体"/>
          <w:b/>
          <w:sz w:val="44"/>
          <w:szCs w:val="44"/>
        </w:rPr>
        <w:drawing>
          <wp:inline distT="0" distB="0" distL="0" distR="0">
            <wp:extent cx="5615940" cy="7487919"/>
            <wp:effectExtent l="19050" t="0" r="3810" b="0"/>
            <wp:docPr id="1144" name="图片 0" descr="微信图片_20190815171231.jpg"/>
            <wp:cNvGraphicFramePr>
              <a:graphicFrameLocks noChangeAspect="1"/>
            </wp:cNvGraphicFramePr>
            <a:graphic>
              <a:graphicData uri="http://schemas.openxmlformats.org/drawingml/2006/picture">
                <pic:pic>
                  <pic:nvPicPr>
                    <pic:cNvPr id="6" name="图片 0 6"/>
                    <pic:cNvPicPr/>
                  </pic:nvPicPr>
                  <pic:blipFill>
                    <a:blip r:embed="rId4"/>
                    <a:stretch>
                      <a:fillRect/>
                    </a:stretch>
                  </pic:blipFill>
                  <pic:spPr>
                    <a:xfrm rot="0">
                      <a:off x="0" y="0"/>
                      <a:ext cx="5615940" cy="7487919"/>
                    </a:xfrm>
                    <a:prstGeom prst="rect"/>
                    <a:noFill/>
                    <a:ln w="9525" cmpd="sng" cap="flat">
                      <a:noFill/>
                      <a:prstDash val="solid"/>
                      <a:miter/>
                    </a:ln>
                  </pic:spPr>
                </pic:pic>
              </a:graphicData>
            </a:graphic>
          </wp:inline>
        </w:drawing>
      </w:r>
    </w:p>
    <w:p>
      <w:pPr>
        <w:widowControl/>
        <w:jc w:val="center"/>
        <w:rPr>
          <w:rFonts w:ascii="黑体" w:eastAsia="黑体" w:cs="黑体" w:hAnsi="黑体"/>
          <w:bCs/>
          <w:sz w:val="44"/>
          <w:szCs w:val="44"/>
        </w:rPr>
      </w:pPr>
    </w:p>
    <w:p>
      <w:pPr>
        <w:spacing w:beforeLines="200" w:before="624" w:after="0" w:line="1000" w:lineRule="exact"/>
        <w:jc w:val="center"/>
        <w:rPr>
          <w:rFonts w:ascii="黑体" w:eastAsia="黑体"/>
          <w:sz w:val="48"/>
          <w:szCs w:val="48"/>
        </w:rPr>
      </w:pPr>
      <w:r>
        <w:rPr>
          <w:sz w:val="48"/>
          <w:szCs w:val="28"/>
        </w:rPr>
        <mc:AlternateContent>
          <mc:Choice Requires="wps">
            <w:drawing>
              <wp:anchor distT="0" distB="0" distL="114300" distR="114300" simplePos="0" relativeHeight="58" behindDoc="0" locked="1" layoutInCell="1" hidden="0" allowOverlap="1">
                <wp:simplePos x="0" y="0"/>
                <wp:positionH relativeFrom="column">
                  <wp:posOffset>-1026160</wp:posOffset>
                </wp:positionH>
                <wp:positionV relativeFrom="page">
                  <wp:posOffset>508000</wp:posOffset>
                </wp:positionV>
                <wp:extent cx="3175635" cy="593091"/>
                <wp:effectExtent l="3175" t="0" r="2540" b="16510"/>
                <wp:wrapNone/>
                <wp:docPr id="1145" name="组合 179"/>
                <wp:cNvGraphicFramePr>
                  <a:graphicFrameLocks noChangeAspect="0"/>
                </wp:cNvGraphicFramePr>
                <a:graphic>
                  <a:graphicData uri="http://schemas.microsoft.com/office/word/2010/wordprocessingGroup">
                    <wpg:wgp>
                      <wpg:cNvPr id="7" name="组合 179 7"/>
                      <wpg:cNvGrpSpPr/>
                      <wpg:grpSpPr>
                        <a:xfrm rot="0">
                          <a:off x="0" y="0"/>
                          <a:ext cx="3175635" cy="593091"/>
                          <a:chOff x="0" y="0"/>
                          <a:chExt cx="3175635" cy="593091"/>
                        </a:xfrm>
                        <a:prstGeom prst="rect"/>
                        <a:solidFill>
                          <a:srgbClr val="FFFFFF"/>
                        </a:solidFill>
                        <a:ln w="9525" cmpd="sng" cap="flat">
                          <a:solidFill>
                            <a:srgbClr val="000000"/>
                          </a:solidFill>
                          <a:prstDash val="solid"/>
                          <a:miter/>
                        </a:ln>
                      </wpg:grpSpPr>
                      <wps:wsp>
                        <wps:cNvPr id="8" name="矩形 1 8"/>
                        <wps:cNvSpPr/>
                        <wps:spPr>
                          <a:xfrm rot="0">
                            <a:off x="0" y="0"/>
                            <a:ext cx="3175635" cy="498485"/>
                          </a:xfrm>
                          <a:prstGeom prst="rect"/>
                          <a:solidFill>
                            <a:srgbClr val="D8D8D8"/>
                          </a:solidFill>
                          <a:ln cmpd="sng" cap="flat">
                            <a:noFill/>
                            <a:prstDash val="solid"/>
                            <a:round/>
                          </a:ln>
                        </wps:spPr>
                        <wps:bodyPr vert="horz" wrap="square" lIns="91440" tIns="45720" rIns="91440" bIns="45720" anchor="t" anchorCtr="0" upright="0">
                          <a:noAutofit/>
                        </wps:bodyPr>
                      </wps:wsp>
                      <wps:wsp>
                        <wps:cNvPr id="9" name="矩形 2 9"/>
                        <wps:cNvSpPr/>
                        <wps:spPr>
                          <a:xfrm rot="0">
                            <a:off x="9661" y="116667"/>
                            <a:ext cx="3093141" cy="476424"/>
                          </a:xfrm>
                          <a:prstGeom prst="rect"/>
                          <a:solidFill>
                            <a:srgbClr val="AD002D"/>
                          </a:solidFill>
                          <a:ln w="25400" cmpd="sng" cap="flat">
                            <a:solidFill>
                              <a:srgbClr val="AF7621"/>
                            </a:solidFill>
                            <a:prstDash val="solid"/>
                            <a:round/>
                          </a:ln>
                        </wps:spPr>
                        <wps:txbx id="10">
                          <w:txbxContent>
                            <w:p>
                              <w:pPr>
                                <w:widowControl/>
                                <w:jc w:val="left"/>
                                <w:rPr>
                                  <w:rFonts w:ascii="楷体" w:eastAsia="楷体" w:cs="楷体" w:hAnsi="楷体"/>
                                  <w:b/>
                                  <w:bCs/>
                                  <w:color w:val="FDEFBE"/>
                                  <w:sz w:val="36"/>
                                  <w:szCs w:val="36"/>
                                </w:rPr>
                              </w:pPr>
                              <w:r>
                                <w:rPr>
                                  <w:rFonts w:ascii="楷体" w:eastAsia="楷体" w:cs="楷体" w:hAnsi="楷体" w:hint="eastAsia"/>
                                  <w:b/>
                                  <w:bCs/>
                                  <w:color w:val="FDEFBE"/>
                                  <w:kern w:val="0"/>
                                  <w:sz w:val="36"/>
                                  <w:szCs w:val="36"/>
                                </w:rPr>
                                <w:t>2018年度部门决算☞目 录</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79" o:spid="_x0000_s11" coordorigin="-28,800" coordsize="5001,934" style="position:absolute;margin-left:-80.8pt;margin-top:40.0pt;width:250.05002pt;height:46.700157pt;z-index:58;mso-position-horizontal:absolute;mso-position-vertical:absolute;mso-position-vertical-relative:page;">
                <v:rect type="#_x0000_t1" id="矩形 1 8" o:spid="_x0000_s12" style="position:absolute;left:-28;top:800;width:5001;height:785;" fillcolor="#D8D8D8" stroked="f" strokeweight="-1.0pt">
                  <v:stroke/>
                </v:rect>
                <v:rect type="#_x0000_t1" id="_s13" o:spid="_x0000_s13" style="position:absolute;left:-12;top:983;width:4871;height:750;mso-wrap-style:square;" fillcolor="#AD002D" stroked="t" strokeweight="2.0pt">
                  <v:textbox id="851" inset="2.54mm,1.27mm,2.54mm,1.27mm" o:insetmode="custom" style="layout-flow:horizontal;v-text-anchor:middle;">
                    <w:txbxContent>
                      <w:p>
                        <w:pPr>
                          <w:widowControl/>
                          <w:jc w:val="left"/>
                          <w:rPr>
                            <w:rFonts w:ascii="楷体" w:eastAsia="楷体" w:cs="楷体" w:hAnsi="楷体"/>
                            <w:b/>
                            <w:bCs/>
                            <w:color w:val="FDEFBE"/>
                            <w:sz w:val="36"/>
                            <w:szCs w:val="36"/>
                          </w:rPr>
                        </w:pPr>
                        <w:r>
                          <w:rPr>
                            <w:rFonts w:ascii="楷体" w:eastAsia="楷体" w:cs="楷体" w:hAnsi="楷体" w:hint="eastAsia"/>
                            <w:b/>
                            <w:bCs/>
                            <w:color w:val="FDEFBE"/>
                            <w:kern w:val="0"/>
                            <w:sz w:val="36"/>
                            <w:szCs w:val="36"/>
                          </w:rPr>
                          <w:t>2018年度部门决算☞目 录</w:t>
                        </w:r>
                      </w:p>
                      <w:p>
                        <w:pPr>
                          <w:jc w:val="center"/>
                        </w:pPr>
                      </w:p>
                    </w:txbxContent>
                  </v:textbox>
                  <v:stroke color="#AF7621"/>
                </v:rect>
                <w10:anchorLock/>
              </v:group>
            </w:pict>
          </mc:Fallback>
        </mc:AlternateContent>
      </w:r>
      <w:r>
        <w:rPr>
          <w:rFonts w:ascii="黑体" w:eastAsia="黑体" w:hint="eastAsia"/>
          <w:sz w:val="48"/>
          <w:szCs w:val="48"/>
        </w:rPr>
        <w:t>目    录</w:t>
      </w:r>
    </w:p>
    <w:p>
      <w:pPr>
        <w:widowControl/>
        <w:spacing w:line="580" w:lineRule="exact"/>
        <w:ind w:firstLineChars="200" w:firstLine="640"/>
        <w:rPr>
          <w:rFonts w:eastAsia="黑体"/>
          <w:sz w:val="32"/>
          <w:szCs w:val="32"/>
        </w:rPr>
      </w:pPr>
    </w:p>
    <w:p>
      <w:pPr>
        <w:widowControl/>
        <w:spacing w:line="580" w:lineRule="exact"/>
        <w:ind w:firstLineChars="200" w:firstLine="640"/>
        <w:rPr>
          <w:rFonts w:eastAsia="仿宋_GB2312"/>
          <w:sz w:val="24"/>
          <w:szCs w:val="32"/>
        </w:rPr>
      </w:pPr>
      <w:r>
        <w:rPr>
          <w:rFonts w:eastAsia="黑体"/>
          <w:sz w:val="32"/>
          <w:szCs w:val="32"/>
        </w:rPr>
        <w:t>第一部分部门概况</w:t>
      </w:r>
    </w:p>
    <w:p>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pPr>
        <w:widowControl/>
        <w:spacing w:line="580" w:lineRule="exact"/>
        <w:ind w:firstLineChars="200" w:firstLine="640"/>
        <w:rPr>
          <w:rFonts w:eastAsia="仿宋_GB2312"/>
          <w:sz w:val="20"/>
          <w:szCs w:val="32"/>
        </w:rPr>
      </w:pPr>
      <w:r>
        <w:rPr>
          <w:rFonts w:eastAsia="黑体"/>
          <w:sz w:val="32"/>
          <w:szCs w:val="32"/>
        </w:rPr>
        <w:t>第二部分   201</w:t>
      </w:r>
      <w:r>
        <w:rPr>
          <w:rFonts w:eastAsia="黑体" w:hint="eastAsia"/>
          <w:sz w:val="32"/>
          <w:szCs w:val="32"/>
        </w:rPr>
        <w:t>8</w:t>
      </w:r>
      <w:r>
        <w:rPr>
          <w:rFonts w:eastAsia="黑体"/>
          <w:sz w:val="32"/>
          <w:szCs w:val="32"/>
        </w:rPr>
        <w:t>年度部门决算报表</w:t>
      </w:r>
    </w:p>
    <w:p>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sz w:val="32"/>
          <w:szCs w:val="32"/>
        </w:rPr>
        <w:t>二、收入决算表</w:t>
      </w:r>
    </w:p>
    <w:p>
      <w:pPr>
        <w:widowControl/>
        <w:spacing w:line="580" w:lineRule="exact"/>
        <w:ind w:left="640" w:firstLineChars="200" w:firstLine="640"/>
        <w:rPr>
          <w:rFonts w:eastAsia="仿宋_GB2312"/>
          <w:sz w:val="32"/>
          <w:szCs w:val="32"/>
        </w:rPr>
      </w:pPr>
      <w:r>
        <w:rPr>
          <w:rFonts w:eastAsia="仿宋_GB2312"/>
          <w:sz w:val="32"/>
          <w:szCs w:val="32"/>
        </w:rPr>
        <w:t>三、支出决算表</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“三公”经费</w:t>
      </w:r>
      <w:r>
        <w:rPr>
          <w:rFonts w:eastAsia="仿宋_GB2312" w:hint="eastAsia"/>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r>
        <w:rPr>
          <w:rFonts w:eastAsia="黑体"/>
          <w:sz w:val="32"/>
          <w:szCs w:val="32"/>
        </w:rPr>
        <w:t>第三部分 房屋征收办部门201</w:t>
      </w:r>
      <w:r>
        <w:rPr>
          <w:rFonts w:eastAsia="黑体" w:hint="eastAsia"/>
          <w:sz w:val="32"/>
          <w:szCs w:val="32"/>
        </w:rPr>
        <w:t>8</w:t>
      </w:r>
      <w:r>
        <w:rPr>
          <w:rFonts w:eastAsia="黑体"/>
          <w:sz w:val="32"/>
          <w:szCs w:val="32"/>
        </w:rPr>
        <w:t>年部门决算情况说明</w:t>
      </w:r>
      <w:r>
        <w:rPr>
          <w:sz w:val="44"/>
        </w:rPr>
        <mc:AlternateContent>
          <mc:Choice Requires="wps">
            <w:drawing>
              <wp:anchor distT="0" distB="0" distL="114300" distR="114300" simplePos="0" relativeHeight="60" behindDoc="0" locked="1" layoutInCell="1" hidden="0" allowOverlap="1">
                <wp:simplePos x="0" y="0"/>
                <wp:positionH relativeFrom="column">
                  <wp:posOffset>-1026160</wp:posOffset>
                </wp:positionH>
                <wp:positionV relativeFrom="page">
                  <wp:posOffset>494665</wp:posOffset>
                </wp:positionV>
                <wp:extent cx="2829560" cy="593091"/>
                <wp:effectExtent l="3810" t="0" r="5080" b="16510"/>
                <wp:wrapNone/>
                <wp:docPr id="1146" name="组合 176"/>
                <wp:cNvGraphicFramePr>
                  <a:graphicFrameLocks noChangeAspect="0"/>
                </wp:cNvGraphicFramePr>
                <a:graphic>
                  <a:graphicData uri="http://schemas.microsoft.com/office/word/2010/wordprocessingGroup">
                    <wpg:wgp>
                      <wpg:cNvPr id="14" name="组合 176 14"/>
                      <wpg:cNvGrpSpPr/>
                      <wpg:grpSpPr>
                        <a:xfrm rot="0">
                          <a:off x="0" y="0"/>
                          <a:ext cx="2829560" cy="593091"/>
                          <a:chOff x="0" y="0"/>
                          <a:chExt cx="2829560" cy="593091"/>
                        </a:xfrm>
                        <a:prstGeom prst="rect"/>
                        <a:solidFill>
                          <a:srgbClr val="FFFFFF"/>
                        </a:solidFill>
                        <a:ln w="9525" cmpd="sng" cap="flat">
                          <a:solidFill>
                            <a:srgbClr val="000000"/>
                          </a:solidFill>
                          <a:prstDash val="solid"/>
                          <a:miter/>
                        </a:ln>
                      </wpg:grpSpPr>
                      <wps:wsp>
                        <wps:cNvPr id="15" name="矩形 3 15"/>
                        <wps:cNvSpPr/>
                        <wps:spPr>
                          <a:xfrm rot="0">
                            <a:off x="0" y="0"/>
                            <a:ext cx="2829560" cy="498485"/>
                          </a:xfrm>
                          <a:prstGeom prst="rect"/>
                          <a:solidFill>
                            <a:srgbClr val="D8D8D8"/>
                          </a:solidFill>
                          <a:ln cmpd="sng" cap="flat">
                            <a:noFill/>
                            <a:prstDash val="solid"/>
                            <a:round/>
                          </a:ln>
                        </wps:spPr>
                        <wps:bodyPr vert="horz" wrap="square" lIns="91440" tIns="45720" rIns="91440" bIns="45720" anchor="t" anchorCtr="0" upright="0">
                          <a:noAutofit/>
                        </wps:bodyPr>
                      </wps:wsp>
                      <wps:wsp>
                        <wps:cNvPr id="16" name="矩形 4 16"/>
                        <wps:cNvSpPr/>
                        <wps:spPr>
                          <a:xfrm rot="0">
                            <a:off x="8608" y="116667"/>
                            <a:ext cx="2756056" cy="476424"/>
                          </a:xfrm>
                          <a:prstGeom prst="rect"/>
                          <a:solidFill>
                            <a:srgbClr val="AD002D"/>
                          </a:solidFill>
                          <a:ln w="25400" cmpd="sng" cap="flat">
                            <a:solidFill>
                              <a:srgbClr val="AF7621"/>
                            </a:solidFill>
                            <a:prstDash val="solid"/>
                            <a:round/>
                          </a:ln>
                        </wps:spPr>
                        <wps:txbx id="17">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2018年度部门决算☞目 录</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76" o:spid="_x0000_s18" coordorigin="-28,779" coordsize="4456,934" style="position:absolute;margin-left:-80.8pt;margin-top:38.95pt;width:222.8pt;height:46.700157pt;z-index:60;mso-position-horizontal:absolute;mso-position-vertical:absolute;mso-position-vertical-relative:page;">
                <v:rect type="#_x0000_t1" id="矩形 3 15" o:spid="_x0000_s19" style="position:absolute;left:-28;top:779;width:4456;height:785;" fillcolor="#D8D8D8" stroked="f" strokeweight="-1.0pt">
                  <v:stroke/>
                </v:rect>
                <v:rect type="#_x0000_t1" id="_s20" o:spid="_x0000_s20" style="position:absolute;left:-14;top:962;width:4340;height:750;mso-wrap-style:square;" fillcolor="#AD002D" stroked="t" strokeweight="2.0pt">
                  <v:textbox id="852"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2018年度部门决算☞目 录</w:t>
                        </w:r>
                      </w:p>
                      <w:p>
                        <w:pPr>
                          <w:jc w:val="center"/>
                        </w:pPr>
                      </w:p>
                    </w:txbxContent>
                  </v:textbox>
                  <v:stroke color="#AF7621"/>
                </v:rect>
                <w10:anchorLock/>
              </v:group>
            </w:pict>
          </mc:Fallback>
        </mc:AlternateContent>
      </w:r>
    </w:p>
    <w:p>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w:t>
      </w:r>
      <w:r>
        <w:rPr>
          <w:rFonts w:eastAsia="仿宋_GB2312"/>
          <w:sz w:val="32"/>
          <w:szCs w:val="32"/>
        </w:rPr>
        <w:t>“三公”经费支出决算情况说明</w:t>
      </w:r>
    </w:p>
    <w:p>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pPr>
        <w:widowControl/>
        <w:spacing w:line="580" w:lineRule="exact"/>
        <w:ind w:firstLineChars="200" w:firstLine="640"/>
        <w:rPr>
          <w:rFonts w:eastAsia="黑体"/>
          <w:sz w:val="32"/>
          <w:szCs w:val="32"/>
        </w:rPr>
      </w:pPr>
      <w:r>
        <w:rPr>
          <w:rFonts w:eastAsia="黑体"/>
          <w:sz w:val="32"/>
          <w:szCs w:val="32"/>
        </w:rPr>
        <w:t>第四部分名词解释</w:t>
      </w: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pPr>
        <w:widowControl/>
        <w:spacing w:line="580" w:lineRule="exact"/>
        <w:ind w:firstLineChars="200" w:firstLine="640"/>
        <w:rPr>
          <w:rFonts w:eastAsia="黑体"/>
          <w:sz w:val="32"/>
          <w:szCs w:val="32"/>
        </w:rPr>
      </w:pPr>
    </w:p>
    <w:p>
      <w:r>
        <w:br w:type="page"/>
      </w:r>
    </w:p>
    <w:p>
      <w:r>
        <w:rPr>
          <w:rFonts w:ascii="宋体" w:cs="ArialUnicodeMS" w:hAnsi="宋体" w:hint="eastAsia"/>
          <w:color w:val="000000"/>
          <w:kern w:val="0"/>
        </w:rPr>
        <w:drawing>
          <wp:anchor distT="0" distB="0" distL="0" distR="0" simplePos="0" relativeHeight="4" behindDoc="1" locked="0" layoutInCell="1" hidden="0" allowOverlap="1">
            <wp:simplePos x="0" y="0"/>
            <wp:positionH relativeFrom="column">
              <wp:posOffset>-1024255</wp:posOffset>
            </wp:positionH>
            <wp:positionV relativeFrom="paragraph">
              <wp:posOffset>-1351915</wp:posOffset>
            </wp:positionV>
            <wp:extent cx="7585710" cy="10727055"/>
            <wp:effectExtent l="0" t="0" r="15240" b="17145"/>
            <wp:wrapNone/>
            <wp:docPr id="1147" name="图片 12"/>
            <wp:cNvGraphicFramePr>
              <a:graphicFrameLocks noChangeAspect="0"/>
            </wp:cNvGraphicFramePr>
            <a:graphic>
              <a:graphicData uri="http://schemas.openxmlformats.org/drawingml/2006/picture">
                <pic:pic>
                  <pic:nvPicPr>
                    <pic:cNvPr id="22" name="图片 12 22"/>
                    <pic:cNvPicPr/>
                  </pic:nvPicPr>
                  <pic:blipFill>
                    <a:blip r:embed="rId5"/>
                    <a:stretch>
                      <a:fillRect/>
                    </a:stretch>
                  </pic:blipFill>
                  <pic:spPr>
                    <a:xfrm rot="0">
                      <a:off x="0" y="0"/>
                      <a:ext cx="7585710" cy="10727055"/>
                    </a:xfrm>
                    <a:prstGeom prst="rect"/>
                    <a:noFill/>
                    <a:ln w="9525" cmpd="sng" cap="flat">
                      <a:noFill/>
                      <a:prstDash val="solid"/>
                      <a:miter/>
                    </a:ln>
                  </pic:spPr>
                </pic:pic>
              </a:graphicData>
            </a:graphic>
          </wp:anchor>
        </w:drawing>
      </w:r>
      <w:r>
        <w:rPr>
          <w:sz w:val="72"/>
        </w:rPr>
        <mc:AlternateContent>
          <mc:Choice Requires="wps">
            <w:drawing>
              <wp:anchor distT="0" distB="0" distL="114300" distR="114300" simplePos="0" relativeHeight="62" behindDoc="0" locked="0" layoutInCell="1" hidden="0" allowOverlap="1">
                <wp:simplePos x="0" y="0"/>
                <wp:positionH relativeFrom="column">
                  <wp:posOffset>-1235710</wp:posOffset>
                </wp:positionH>
                <wp:positionV relativeFrom="paragraph">
                  <wp:posOffset>3290570</wp:posOffset>
                </wp:positionV>
                <wp:extent cx="7793355" cy="1037590"/>
                <wp:effectExtent l="0" t="0" r="0" b="0"/>
                <wp:wrapNone/>
                <wp:docPr id="1035" name="文本框 118"/>
                <wp:cNvGraphicFramePr>
                  <a:graphicFrameLocks noChangeAspect="0"/>
                </wp:cNvGraphicFramePr>
                <a:graphic>
                  <a:graphicData uri="http://schemas.microsoft.com/office/word/2010/wordprocessingShape">
                    <wps:wsp>
                      <wps:cNvSpPr/>
                      <wps:spPr>
                        <a:xfrm rot="0">
                          <a:off x="0" y="0"/>
                          <a:ext cx="7793355" cy="1037590"/>
                        </a:xfrm>
                        <a:prstGeom prst="rect"/>
                        <a:noFill/>
                        <a:ln cmpd="sng" cap="flat">
                          <a:noFill/>
                          <a:prstDash val="solid"/>
                          <a:round/>
                        </a:ln>
                      </wps:spPr>
                      <wps:txbx id="23">
                        <w:txbxContent>
                          <w:p>
                            <w:pPr>
                              <w:widowControl/>
                              <w:jc w:val="center"/>
                              <w:rPr>
                                <w:color w:val="FDEFBE"/>
                                <w:sz w:val="96"/>
                                <w:szCs w:val="96"/>
                              </w:rPr>
                            </w:pPr>
                            <w:r>
                              <w:rPr>
                                <w:rFonts w:ascii="黑体" w:eastAsia="黑体" w:hAnsi="宋体" w:hint="eastAsia"/>
                                <w:color w:val="FDEFBE"/>
                                <w:sz w:val="96"/>
                                <w:szCs w:val="96"/>
                              </w:rPr>
                              <w:t>第一部分  部门概况</w:t>
                            </w:r>
                          </w:p>
                        </w:txbxContent>
                      </wps:txbx>
                      <wps:bodyPr vert="horz" wrap="square" lIns="91440" tIns="45720" rIns="91440" bIns="45720" anchor="t" anchorCtr="0" upright="0">
                        <a:noAutofit/>
                      </wps:bodyPr>
                    </wps:wsp>
                  </a:graphicData>
                </a:graphic>
              </wp:anchor>
            </w:drawing>
          </mc:Choice>
          <mc:Fallback>
            <w:pict>
              <v:rect type="#_x0000_t1" id="文本框 118" o:spid="_x0000_s24" filled="f" stroked="f" strokeweight="-1.0pt" style="position:absolute;margin-left:-97.3pt;margin-top:259.1pt;width:613.65pt;height:81.70001pt;z-index:62;mso-position-horizontal:absolute;mso-position-vertical:absolute;mso-wrap-style:square;">
                <v:stroke/>
                <v:textbox id="854" inset="2.54mm,1.27mm,2.54mm,1.27mm" o:insetmode="custom" style="layout-flow:horizontal;v-text-anchor:top;">
                  <w:txbxContent>
                    <w:p>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mc:Fallback>
        </mc:AlternateContent>
      </w:r>
    </w:p>
    <w:p/>
    <w:p/>
    <w:p/>
    <w:p/>
    <w:p/>
    <w:p/>
    <w:p/>
    <w:p/>
    <w:p/>
    <w:p/>
    <w:p/>
    <w:p/>
    <w:p/>
    <w:p/>
    <w:p/>
    <w:p>
      <w:pPr>
        <w:pStyle w:val="1"/>
        <w:spacing w:before="0" w:after="0" w:line="600" w:lineRule="exact"/>
        <w:jc w:val="left"/>
        <w:rPr>
          <w:rFonts w:ascii="黑体" w:eastAsia="黑体" w:cs="黑体" w:hAnsi="Cambria"/>
          <w:b w:val="0"/>
          <w:bCs w:val="0"/>
          <w:kern w:val="0"/>
          <w:sz w:val="32"/>
          <w:szCs w:val="32"/>
        </w:rPr>
      </w:pPr>
      <w:r>
        <w:rPr>
          <w:b w:val="0"/>
          <w:bCs w:val="0"/>
          <w:sz w:val="32"/>
          <w:szCs w:val="32"/>
        </w:rPr>
        <mc:AlternateContent>
          <mc:Choice Requires="wps">
            <w:drawing>
              <wp:anchor distT="0" distB="0" distL="114300" distR="114300" simplePos="0" relativeHeight="64" behindDoc="0" locked="1" layoutInCell="1" hidden="0" allowOverlap="1">
                <wp:simplePos x="0" y="0"/>
                <wp:positionH relativeFrom="column">
                  <wp:posOffset>-1026160</wp:posOffset>
                </wp:positionH>
                <wp:positionV relativeFrom="page">
                  <wp:posOffset>501650</wp:posOffset>
                </wp:positionV>
                <wp:extent cx="3114675" cy="593091"/>
                <wp:effectExtent l="3175" t="0" r="6350" b="16510"/>
                <wp:wrapNone/>
                <wp:docPr id="1148" name="组合 15"/>
                <wp:cNvGraphicFramePr>
                  <a:graphicFrameLocks noChangeAspect="0"/>
                </wp:cNvGraphicFramePr>
                <a:graphic>
                  <a:graphicData uri="http://schemas.microsoft.com/office/word/2010/wordprocessingGroup">
                    <wpg:wgp>
                      <wpg:cNvPr id="25" name="组合 15 25"/>
                      <wpg:cNvGrpSpPr/>
                      <wpg:grpSpPr>
                        <a:xfrm rot="0">
                          <a:off x="0" y="0"/>
                          <a:ext cx="3114675" cy="593091"/>
                          <a:chOff x="0" y="0"/>
                          <a:chExt cx="3114675" cy="593091"/>
                        </a:xfrm>
                        <a:prstGeom prst="rect"/>
                        <a:solidFill>
                          <a:srgbClr val="FFFFFF"/>
                        </a:solidFill>
                        <a:ln w="9525" cmpd="sng" cap="flat">
                          <a:solidFill>
                            <a:srgbClr val="000000"/>
                          </a:solidFill>
                          <a:prstDash val="solid"/>
                          <a:miter/>
                        </a:ln>
                      </wpg:grpSpPr>
                      <wps:wsp>
                        <wps:cNvPr id="26" name="矩形 5 26"/>
                        <wps:cNvSpPr/>
                        <wps:spPr>
                          <a:xfrm rot="0">
                            <a:off x="0" y="0"/>
                            <a:ext cx="3114675" cy="498485"/>
                          </a:xfrm>
                          <a:prstGeom prst="rect"/>
                          <a:solidFill>
                            <a:srgbClr val="D8D8D8"/>
                          </a:solidFill>
                          <a:ln cmpd="sng" cap="flat">
                            <a:noFill/>
                            <a:prstDash val="solid"/>
                            <a:round/>
                          </a:ln>
                        </wps:spPr>
                        <wps:bodyPr vert="horz" wrap="square" lIns="91440" tIns="45720" rIns="91440" bIns="45720" anchor="t" anchorCtr="0" upright="0">
                          <a:noAutofit/>
                        </wps:bodyPr>
                      </wps:wsp>
                      <wps:wsp>
                        <wps:cNvPr id="27" name="矩形 6 27"/>
                        <wps:cNvSpPr/>
                        <wps:spPr>
                          <a:xfrm rot="0">
                            <a:off x="9475" y="116667"/>
                            <a:ext cx="3033764" cy="476424"/>
                          </a:xfrm>
                          <a:prstGeom prst="rect"/>
                          <a:solidFill>
                            <a:srgbClr val="AD002D"/>
                          </a:solidFill>
                          <a:ln w="25400" cmpd="sng" cap="flat">
                            <a:solidFill>
                              <a:srgbClr val="AF7621"/>
                            </a:solidFill>
                            <a:prstDash val="solid"/>
                            <a:round/>
                          </a:ln>
                        </wps:spPr>
                        <wps:txbx id="28">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2018年度部门决算☞部门概况</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5" o:spid="_x0000_s29" coordorigin="-28,790" coordsize="4905,934" style="position:absolute;margin-left:-80.8pt;margin-top:39.5pt;width:245.25pt;height:46.700153pt;z-index:64;mso-position-horizontal:absolute;mso-position-vertical:absolute;mso-position-vertical-relative:page;">
                <v:rect type="#_x0000_t1" id="矩形 5 26" o:spid="_x0000_s30" style="position:absolute;left:-28;top:790;width:4905;height:785;" fillcolor="#D8D8D8" stroked="f" strokeweight="-1.0pt">
                  <v:stroke/>
                </v:rect>
                <v:rect type="#_x0000_t1" id="_s31" o:spid="_x0000_s31" style="position:absolute;left:-13;top:973;width:4777;height:750;mso-wrap-style:square;" fillcolor="#AD002D" stroked="t" strokeweight="2.0pt">
                  <v:textbox id="855"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2018年度部门决算☞部门概况</w:t>
                        </w:r>
                      </w:p>
                      <w:p>
                        <w:pPr>
                          <w:jc w:val="center"/>
                        </w:pPr>
                      </w:p>
                    </w:txbxContent>
                  </v:textbox>
                  <v:stroke color="#AF7621"/>
                </v:rect>
                <w10:anchorLock/>
              </v:group>
            </w:pict>
          </mc:Fallback>
        </mc:AlternateContent>
      </w:r>
      <w:r>
        <w:rPr>
          <w:rFonts w:ascii="黑体" w:eastAsia="黑体" w:cs="黑体" w:hAnsi="Cambria" w:hint="eastAsia"/>
          <w:b w:val="0"/>
          <w:bCs w:val="0"/>
          <w:kern w:val="0"/>
          <w:sz w:val="32"/>
          <w:szCs w:val="32"/>
        </w:rPr>
        <w:t>一、部门职责</w:t>
      </w:r>
    </w:p>
    <w:p>
      <w:pPr>
        <w:rPr>
          <w:rFonts w:ascii="宋体" w:cs="仿宋" w:hAnsi="宋体"/>
          <w:sz w:val="32"/>
        </w:rPr>
      </w:pPr>
      <w:r>
        <w:rPr>
          <w:rFonts w:ascii="宋体" w:cs="仿宋" w:hAnsi="宋体"/>
          <w:sz w:val="32"/>
        </w:rPr>
        <w:t>1、负责国家、省、市关于城市房屋征收的法律、法规、规章的宣传、贯彻、咨询及培训工作和相关政策的制定。</w:t>
      </w:r>
    </w:p>
    <w:p>
      <w:pPr>
        <w:rPr>
          <w:rFonts w:ascii="宋体" w:cs="仿宋" w:hAnsi="宋体"/>
          <w:sz w:val="32"/>
        </w:rPr>
      </w:pPr>
      <w:r>
        <w:rPr>
          <w:rFonts w:ascii="宋体" w:cs="仿宋" w:hAnsi="宋体"/>
          <w:sz w:val="32"/>
        </w:rPr>
        <w:t xml:space="preserve">2、负责全市旧城改建方案的审核、申报工作。    </w:t>
      </w:r>
    </w:p>
    <w:p>
      <w:pPr>
        <w:rPr>
          <w:rFonts w:ascii="宋体" w:cs="仿宋" w:hAnsi="宋体"/>
          <w:sz w:val="32"/>
        </w:rPr>
      </w:pPr>
      <w:r>
        <w:rPr>
          <w:rFonts w:ascii="宋体" w:cs="仿宋" w:hAnsi="宋体"/>
          <w:sz w:val="32"/>
        </w:rPr>
        <w:t>3、监督评估公司的聘用和评估报告的真实性、承担全市房屋征收行业的监督管理和业务指导工作。</w:t>
      </w:r>
    </w:p>
    <w:p>
      <w:pPr>
        <w:rPr>
          <w:rFonts w:ascii="宋体" w:cs="仿宋" w:hAnsi="宋体"/>
          <w:sz w:val="32"/>
        </w:rPr>
      </w:pPr>
      <w:r>
        <w:rPr>
          <w:rFonts w:ascii="宋体" w:cs="仿宋" w:hAnsi="宋体"/>
          <w:sz w:val="32"/>
        </w:rPr>
        <w:t>4、负责组织由被征收人和公众代表参加的征收补偿听证会。</w:t>
      </w:r>
    </w:p>
    <w:p>
      <w:pPr>
        <w:rPr>
          <w:rFonts w:ascii="宋体" w:cs="仿宋" w:hAnsi="宋体"/>
          <w:sz w:val="32"/>
        </w:rPr>
      </w:pPr>
      <w:r>
        <w:rPr>
          <w:rFonts w:ascii="宋体" w:cs="仿宋" w:hAnsi="宋体"/>
          <w:sz w:val="32"/>
        </w:rPr>
        <w:t>5、负责拟定房屋征收补偿方案，报市政府批准后予以公布，并与被征收人签订房屋征收与补偿协议。</w:t>
      </w:r>
    </w:p>
    <w:p>
      <w:pPr>
        <w:rPr>
          <w:rFonts w:ascii="宋体" w:cs="仿宋" w:hAnsi="宋体"/>
          <w:sz w:val="32"/>
        </w:rPr>
      </w:pPr>
      <w:r>
        <w:rPr>
          <w:rFonts w:ascii="宋体" w:cs="仿宋" w:hAnsi="宋体"/>
          <w:sz w:val="32"/>
        </w:rPr>
        <w:t xml:space="preserve"> 6、负责对拟征收项目进行社会稳定风险评估及信访维稳工作。</w:t>
      </w:r>
    </w:p>
    <w:p>
      <w:pPr>
        <w:rPr>
          <w:rFonts w:ascii="宋体" w:cs="仿宋" w:hAnsi="宋体"/>
          <w:sz w:val="32"/>
        </w:rPr>
      </w:pPr>
      <w:r>
        <w:rPr>
          <w:rFonts w:ascii="宋体" w:cs="仿宋" w:hAnsi="宋体"/>
          <w:sz w:val="32"/>
        </w:rPr>
        <w:t xml:space="preserve"> 7、负责房屋征收补偿的行政复议、应诉和申请强制执行工作。</w:t>
      </w:r>
    </w:p>
    <w:p>
      <w:pPr>
        <w:rPr>
          <w:rFonts w:ascii="宋体" w:cs="仿宋" w:hAnsi="宋体"/>
          <w:sz w:val="32"/>
        </w:rPr>
      </w:pPr>
      <w:r>
        <w:rPr>
          <w:rFonts w:ascii="宋体" w:cs="仿宋" w:hAnsi="宋体"/>
          <w:sz w:val="32"/>
        </w:rPr>
        <w:t xml:space="preserve"> 8、负责监管房屋征收补偿费用的使用。</w:t>
      </w:r>
    </w:p>
    <w:p>
      <w:pPr>
        <w:rPr>
          <w:rFonts w:ascii="宋体" w:cs="仿宋" w:hAnsi="宋体"/>
          <w:sz w:val="32"/>
        </w:rPr>
      </w:pPr>
      <w:r>
        <w:rPr>
          <w:rFonts w:ascii="宋体" w:cs="仿宋" w:hAnsi="宋体"/>
          <w:sz w:val="32"/>
        </w:rPr>
        <w:t xml:space="preserve"> 9、负责组织实施已征收房屋拆除工作。</w:t>
      </w:r>
    </w:p>
    <w:p>
      <w:pPr>
        <w:rPr>
          <w:rFonts w:ascii="宋体" w:cs="仿宋" w:hAnsi="宋体"/>
          <w:sz w:val="32"/>
        </w:rPr>
      </w:pPr>
      <w:r>
        <w:rPr>
          <w:rFonts w:ascii="宋体" w:cs="仿宋" w:hAnsi="宋体"/>
          <w:sz w:val="32"/>
        </w:rPr>
        <w:t xml:space="preserve"> 10、指导旧城改造项目的回迁安置工作。</w:t>
      </w:r>
    </w:p>
    <w:p>
      <w:pPr>
        <w:rPr>
          <w:rFonts w:ascii="宋体" w:cs="仿宋" w:hAnsi="宋体"/>
          <w:sz w:val="32"/>
        </w:rPr>
      </w:pPr>
      <w:r>
        <w:rPr>
          <w:rFonts w:ascii="宋体" w:cs="仿宋" w:hAnsi="宋体"/>
          <w:sz w:val="32"/>
        </w:rPr>
        <w:t xml:space="preserve"> 11、承办市政府交办的其它事项。</w:t>
      </w:r>
    </w:p>
    <w:p>
      <w:pPr>
        <w:pStyle w:val="1"/>
        <w:spacing w:before="0" w:after="0" w:line="600" w:lineRule="exact"/>
        <w:jc w:val="left"/>
        <w:rPr>
          <w:rFonts w:ascii="黑体" w:eastAsia="黑体" w:cs="黑体" w:hAnsi="Cambria"/>
          <w:b w:val="0"/>
          <w:bCs w:val="0"/>
          <w:kern w:val="0"/>
          <w:sz w:val="32"/>
          <w:szCs w:val="32"/>
        </w:rPr>
      </w:pPr>
      <w:r>
        <w:rPr>
          <w:rFonts w:ascii="黑体" w:eastAsia="黑体" w:cs="黑体" w:hAnsi="Cambria" w:hint="eastAsia"/>
          <w:b w:val="0"/>
          <w:bCs w:val="0"/>
          <w:kern w:val="0"/>
          <w:sz w:val="32"/>
          <w:szCs w:val="32"/>
        </w:rPr>
        <w:t>二、机构设置</w:t>
      </w:r>
    </w:p>
    <w:p>
      <w:pPr>
        <w:spacing w:after="0" w:line="560" w:lineRule="exact"/>
        <w:rPr>
          <w:rFonts w:ascii="仿宋_GB2312" w:eastAsia="仿宋_GB2312" w:cs="ArialUnicodeMS" w:hAnsi="Cambria"/>
          <w:kern w:val="0"/>
          <w:sz w:val="32"/>
          <w:szCs w:val="32"/>
        </w:rPr>
      </w:pPr>
      <w:r>
        <w:rPr>
          <w:rFonts w:ascii="仿宋_GB2312" w:eastAsia="仿宋_GB2312" w:cs="ArialUnicodeMS" w:hAnsi="Cambria" w:hint="eastAsia"/>
          <w:kern w:val="0"/>
          <w:sz w:val="32"/>
          <w:szCs w:val="32"/>
        </w:rPr>
        <w:t>从决算编报单位构成看，纳入2018 年度本部门决算汇编范围的独立核算单位（以下简称“单位”）共 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985"/>
        <w:gridCol w:w="3485"/>
        <w:gridCol w:w="2445"/>
        <w:gridCol w:w="2665"/>
      </w:tblGrid>
      <w:tr>
        <w:trPr>
          <w:trHeight w:val="811"/>
        </w:trPr>
        <w:tc>
          <w:tcPr>
            <w:tcW w:w="98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序号</w:t>
            </w:r>
          </w:p>
        </w:tc>
        <w:tc>
          <w:tcPr>
            <w:tcW w:w="348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单位名称</w:t>
            </w:r>
          </w:p>
        </w:tc>
        <w:tc>
          <w:tcPr>
            <w:tcW w:w="244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Cambria"/>
                <w:b/>
                <w:bCs/>
                <w:kern w:val="0"/>
                <w:sz w:val="28"/>
                <w:szCs w:val="28"/>
              </w:rPr>
            </w:pPr>
            <w:r>
              <w:rPr>
                <w:rFonts w:ascii="仿宋_GB2312" w:eastAsia="仿宋_GB2312" w:cs="ArialUnicodeMS" w:hAnsi="Cambria" w:hint="eastAsia"/>
                <w:b/>
                <w:bCs/>
                <w:kern w:val="0"/>
                <w:sz w:val="28"/>
                <w:szCs w:val="28"/>
              </w:rPr>
              <w:t>经费形式</w:t>
            </w:r>
          </w:p>
        </w:tc>
      </w:tr>
      <w:tr>
        <w:trPr>
          <w:trHeight w:val="596"/>
        </w:trPr>
        <w:tc>
          <w:tcPr>
            <w:tcW w:w="985" w:type="dxa"/>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1</w:t>
            </w:r>
          </w:p>
        </w:tc>
        <w:tc>
          <w:tcPr>
            <w:tcW w:w="3485" w:type="dxa"/>
            <w:tcBorders>
              <w:left w:val="single" w:sz="4" w:space="0" w:color="auto"/>
            </w:tcBorders>
          </w:tcPr>
          <w:p>
            <w:pPr>
              <w:spacing w:after="0" w:line="560" w:lineRule="exact"/>
              <w:rPr>
                <w:rFonts w:ascii="仿宋_GB2312" w:eastAsia="仿宋_GB2312" w:cs="ArialUnicodeMS" w:hAnsi="Cambria"/>
                <w:kern w:val="0"/>
                <w:sz w:val="21"/>
                <w:szCs w:val="21"/>
              </w:rPr>
            </w:pPr>
            <w:r>
              <w:rPr>
                <w:rFonts w:ascii="宋体" w:cs="宋体" w:hAnsi="宋体"/>
                <w:kern w:val="0"/>
                <w:sz w:val="21"/>
                <w:szCs w:val="21"/>
              </w:rPr>
              <w:t>遵化市人民政府房屋征收办公室</w:t>
            </w:r>
          </w:p>
        </w:tc>
        <w:tc>
          <w:tcPr>
            <w:tcW w:w="2445" w:type="dxa"/>
            <w:tcBorders>
              <w:left w:val="single" w:sz="4" w:space="0" w:color="auto"/>
            </w:tcBorders>
          </w:tcPr>
          <w:p>
            <w:pPr>
              <w:spacing w:after="0" w:line="560" w:lineRule="exact"/>
              <w:jc w:val="center"/>
              <w:rPr>
                <w:rFonts w:ascii="仿宋_GB2312" w:eastAsia="仿宋_GB2312" w:cs="ArialUnicodeMS" w:hAnsi="Cambria"/>
                <w:kern w:val="0"/>
                <w:sz w:val="21"/>
                <w:szCs w:val="21"/>
              </w:rPr>
            </w:pPr>
            <w:r>
              <w:rPr>
                <w:rFonts w:ascii="仿宋_GB2312" w:eastAsia="仿宋_GB2312" w:cs="ArialUnicodeMS" w:hAnsi="Cambria"/>
                <w:kern w:val="0"/>
                <w:sz w:val="21"/>
                <w:szCs w:val="21"/>
              </w:rPr>
              <w:t>财政补助事业单位</w:t>
            </w:r>
          </w:p>
        </w:tc>
        <w:tc>
          <w:tcPr>
            <w:tcW w:w="2665" w:type="dxa"/>
            <w:tcBorders>
              <w:left w:val="single" w:sz="4" w:space="0" w:color="auto"/>
            </w:tcBorders>
          </w:tcPr>
          <w:p>
            <w:pPr>
              <w:spacing w:after="0" w:line="560" w:lineRule="exact"/>
              <w:jc w:val="center"/>
              <w:rPr>
                <w:rFonts w:ascii="仿宋_GB2312" w:eastAsia="仿宋_GB2312" w:cs="ArialUnicodeMS" w:hAnsi="Cambria"/>
                <w:kern w:val="0"/>
                <w:sz w:val="21"/>
                <w:szCs w:val="21"/>
              </w:rPr>
            </w:pPr>
            <w:r>
              <w:rPr>
                <w:rFonts w:ascii="仿宋_GB2312" w:eastAsia="仿宋_GB2312" w:cs="ArialUnicodeMS" w:hAnsi="Cambria"/>
                <w:kern w:val="0"/>
                <w:sz w:val="21"/>
                <w:szCs w:val="21"/>
              </w:rPr>
              <w:t>财政拨款</w:t>
            </w:r>
          </w:p>
        </w:tc>
      </w:tr>
      <w:tr>
        <w:trPr>
          <w:trHeight w:val="596"/>
        </w:trPr>
        <w:tc>
          <w:tcPr>
            <w:tcW w:w="985" w:type="dxa"/>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2</w:t>
            </w:r>
          </w:p>
        </w:tc>
        <w:tc>
          <w:tcPr>
            <w:tcW w:w="3485" w:type="dxa"/>
            <w:tcBorders>
              <w:left w:val="single" w:sz="4" w:space="0" w:color="auto"/>
            </w:tcBorders>
          </w:tcPr>
          <w:p>
            <w:pPr>
              <w:spacing w:after="0" w:line="560" w:lineRule="exact"/>
              <w:rPr>
                <w:rFonts w:ascii="仿宋_GB2312" w:eastAsia="仿宋_GB2312" w:cs="ArialUnicodeMS" w:hAnsi="Cambria"/>
                <w:kern w:val="0"/>
                <w:sz w:val="28"/>
                <w:szCs w:val="28"/>
              </w:rPr>
            </w:pPr>
          </w:p>
        </w:tc>
        <w:tc>
          <w:tcPr>
            <w:tcW w:w="2445" w:type="dxa"/>
            <w:tcBorders>
              <w:left w:val="single" w:sz="4" w:space="0" w:color="auto"/>
            </w:tcBorders>
          </w:tcPr>
          <w:p>
            <w:pPr>
              <w:spacing w:after="0" w:line="560" w:lineRule="exact"/>
              <w:jc w:val="center"/>
              <w:rPr>
                <w:rFonts w:ascii="仿宋_GB2312" w:eastAsia="仿宋_GB2312" w:cs="ArialUnicodeMS" w:hAnsi="Cambria"/>
                <w:kern w:val="0"/>
                <w:sz w:val="28"/>
                <w:szCs w:val="28"/>
              </w:rPr>
            </w:pPr>
          </w:p>
        </w:tc>
        <w:tc>
          <w:tcPr>
            <w:tcW w:w="2665" w:type="dxa"/>
            <w:tcBorders>
              <w:left w:val="single" w:sz="4" w:space="0" w:color="auto"/>
            </w:tcBorders>
          </w:tcPr>
          <w:p>
            <w:pPr>
              <w:spacing w:after="0" w:line="560" w:lineRule="exact"/>
              <w:jc w:val="center"/>
              <w:rPr>
                <w:rFonts w:ascii="仿宋_GB2312" w:eastAsia="仿宋_GB2312" w:cs="ArialUnicodeMS" w:hAnsi="Cambria"/>
                <w:kern w:val="0"/>
                <w:sz w:val="28"/>
                <w:szCs w:val="28"/>
              </w:rPr>
            </w:pPr>
          </w:p>
        </w:tc>
      </w:tr>
      <w:tr>
        <w:trPr>
          <w:trHeight w:val="596"/>
        </w:trPr>
        <w:tc>
          <w:tcPr>
            <w:tcW w:w="985" w:type="dxa"/>
          </w:tcPr>
          <w:p>
            <w:pPr>
              <w:spacing w:after="0" w:line="560" w:lineRule="exact"/>
              <w:jc w:val="center"/>
              <w:rPr>
                <w:rFonts w:ascii="仿宋_GB2312" w:eastAsia="仿宋_GB2312" w:cs="ArialUnicodeMS" w:hAnsi="Cambria"/>
                <w:kern w:val="0"/>
                <w:sz w:val="28"/>
                <w:szCs w:val="28"/>
              </w:rPr>
            </w:pPr>
            <w:r>
              <w:rPr>
                <w:rFonts w:ascii="仿宋_GB2312" w:eastAsia="仿宋_GB2312" w:cs="ArialUnicodeMS" w:hAnsi="Cambria" w:hint="eastAsia"/>
                <w:kern w:val="0"/>
                <w:sz w:val="28"/>
                <w:szCs w:val="28"/>
              </w:rPr>
              <w:t>3</w:t>
            </w:r>
          </w:p>
        </w:tc>
        <w:tc>
          <w:tcPr>
            <w:tcW w:w="3485" w:type="dxa"/>
            <w:tcBorders>
              <w:left w:val="single" w:sz="4" w:space="0" w:color="auto"/>
            </w:tcBorders>
          </w:tcPr>
          <w:p>
            <w:pPr>
              <w:spacing w:after="0" w:line="560" w:lineRule="exact"/>
              <w:rPr>
                <w:rFonts w:ascii="仿宋_GB2312" w:eastAsia="仿宋_GB2312" w:cs="ArialUnicodeMS" w:hAnsi="Cambria"/>
                <w:kern w:val="0"/>
                <w:sz w:val="28"/>
                <w:szCs w:val="28"/>
              </w:rPr>
            </w:pPr>
          </w:p>
        </w:tc>
        <w:tc>
          <w:tcPr>
            <w:tcW w:w="2445" w:type="dxa"/>
            <w:tcBorders>
              <w:left w:val="single" w:sz="4" w:space="0" w:color="auto"/>
            </w:tcBorders>
          </w:tcPr>
          <w:p>
            <w:pPr>
              <w:spacing w:after="0" w:line="560" w:lineRule="exact"/>
              <w:jc w:val="center"/>
              <w:rPr>
                <w:rFonts w:ascii="仿宋_GB2312" w:eastAsia="仿宋_GB2312" w:cs="ArialUnicodeMS" w:hAnsi="Cambria"/>
                <w:kern w:val="0"/>
                <w:sz w:val="28"/>
                <w:szCs w:val="28"/>
              </w:rPr>
            </w:pPr>
          </w:p>
        </w:tc>
        <w:tc>
          <w:tcPr>
            <w:tcW w:w="2665" w:type="dxa"/>
            <w:tcBorders>
              <w:left w:val="single" w:sz="4" w:space="0" w:color="auto"/>
            </w:tcBorders>
          </w:tcPr>
          <w:p>
            <w:pPr>
              <w:spacing w:after="0" w:line="560" w:lineRule="exact"/>
              <w:jc w:val="center"/>
              <w:rPr>
                <w:rFonts w:ascii="仿宋_GB2312" w:eastAsia="仿宋_GB2312" w:cs="ArialUnicodeMS" w:hAnsi="Cambria"/>
                <w:kern w:val="0"/>
                <w:sz w:val="28"/>
                <w:szCs w:val="28"/>
              </w:rPr>
            </w:pPr>
          </w:p>
        </w:tc>
      </w:tr>
    </w:tbl>
    <w:p>
      <w:pPr>
        <w:spacing w:after="0" w:line="560" w:lineRule="exact"/>
        <w:rPr>
          <w:rFonts w:ascii="仿宋_GB2312" w:eastAsia="仿宋_GB2312" w:cs="ArialUnicodeMS" w:hAnsi="Cambria"/>
          <w:kern w:val="0"/>
          <w:sz w:val="32"/>
          <w:szCs w:val="32"/>
        </w:rPr>
      </w:pPr>
    </w:p>
    <w:p>
      <w:pPr>
        <w:widowControl/>
        <w:spacing w:line="560" w:lineRule="exact"/>
        <w:jc w:val="center"/>
        <w:rPr>
          <w:rFonts w:ascii="黑体" w:eastAsia="黑体" w:cs="MS-UIGothic,Bold" w:hAnsi="Cambria"/>
          <w:bCs/>
          <w:kern w:val="0"/>
          <w:sz w:val="52"/>
          <w:szCs w:val="52"/>
        </w:rPr>
      </w:pPr>
    </w:p>
    <w:p>
      <w:pPr>
        <w:widowControl/>
        <w:spacing w:line="560" w:lineRule="exact"/>
        <w:jc w:val="center"/>
        <w:rPr>
          <w:rFonts w:ascii="黑体" w:eastAsia="黑体" w:cs="MS-UIGothic,Bold" w:hAnsi="Cambria"/>
          <w:bCs/>
          <w:kern w:val="0"/>
          <w:sz w:val="52"/>
          <w:szCs w:val="52"/>
        </w:rPr>
      </w:pPr>
    </w:p>
    <w:p>
      <w:pPr>
        <w:widowControl/>
        <w:spacing w:line="560" w:lineRule="exact"/>
        <w:jc w:val="center"/>
        <w:rPr>
          <w:rFonts w:ascii="黑体" w:eastAsia="黑体" w:cs="MS-UIGothic,Bold" w:hAnsi="Cambria"/>
          <w:bCs/>
          <w:kern w:val="0"/>
          <w:sz w:val="52"/>
          <w:szCs w:val="52"/>
        </w:rPr>
        <w:sectPr>
          <w:pgSz w:w="11906" w:h="16838"/>
          <w:pgMar w:top="2098" w:right="1474" w:bottom="1984" w:left="1588" w:header="851" w:footer="992" w:gutter="0"/>
          <w:cols w:num="1" w:space="0"/>
          <w:docGrid w:type="lines" w:linePitch="312" w:charSpace="0"/>
        </w:sectPr>
      </w:pPr>
    </w:p>
    <w:p>
      <w:pPr>
        <w:widowControl/>
        <w:spacing w:line="560" w:lineRule="exact"/>
        <w:jc w:val="center"/>
        <w:rPr>
          <w:rFonts w:ascii="黑体" w:eastAsia="黑体" w:cs="MS-UIGothic,Bold" w:hAnsi="Cambria"/>
          <w:bCs/>
          <w:kern w:val="0"/>
          <w:sz w:val="52"/>
          <w:szCs w:val="52"/>
        </w:rPr>
      </w:pPr>
      <w:r>
        <w:rPr>
          <w:rFonts w:ascii="宋体" w:cs="ArialUnicodeMS" w:hAnsi="宋体" w:hint="eastAsia"/>
          <w:color w:val="000000"/>
          <w:kern w:val="0"/>
        </w:rPr>
        <w:drawing>
          <wp:anchor distT="0" distB="0" distL="0" distR="0" simplePos="0" relativeHeight="6" behindDoc="1" locked="0" layoutInCell="1" hidden="0" allowOverlap="1">
            <wp:simplePos x="0" y="0"/>
            <wp:positionH relativeFrom="column">
              <wp:posOffset>-1023619</wp:posOffset>
            </wp:positionH>
            <wp:positionV relativeFrom="paragraph">
              <wp:posOffset>-1327150</wp:posOffset>
            </wp:positionV>
            <wp:extent cx="7571105" cy="10680065"/>
            <wp:effectExtent l="0" t="0" r="10795" b="6985"/>
            <wp:wrapNone/>
            <wp:docPr id="1149" name="图片 16"/>
            <wp:cNvGraphicFramePr>
              <a:graphicFrameLocks noChangeAspect="0"/>
            </wp:cNvGraphicFramePr>
            <a:graphic>
              <a:graphicData uri="http://schemas.openxmlformats.org/drawingml/2006/picture">
                <pic:pic>
                  <pic:nvPicPr>
                    <pic:cNvPr id="32" name="图片 16 32"/>
                    <pic:cNvPicPr/>
                  </pic:nvPicPr>
                  <pic:blipFill>
                    <a:blip r:embed="rId6"/>
                    <a:stretch>
                      <a:fillRect/>
                    </a:stretch>
                  </pic:blipFill>
                  <pic:spPr>
                    <a:xfrm rot="0">
                      <a:off x="0" y="0"/>
                      <a:ext cx="7571105" cy="10680065"/>
                    </a:xfrm>
                    <a:prstGeom prst="rect"/>
                    <a:noFill/>
                    <a:ln w="9525" cmpd="sng" cap="flat">
                      <a:noFill/>
                      <a:prstDash val="solid"/>
                      <a:miter/>
                    </a:ln>
                  </pic:spPr>
                </pic:pic>
              </a:graphicData>
            </a:graphic>
          </wp:anchor>
        </w:drawing>
      </w:r>
    </w:p>
    <w:p>
      <w:pPr>
        <w:widowControl/>
        <w:spacing w:line="560" w:lineRule="exact"/>
        <w:jc w:val="center"/>
        <w:rPr>
          <w:rFonts w:ascii="黑体" w:eastAsia="黑体" w:cs="MS-UIGothic,Bold" w:hAnsi="Cambria"/>
          <w:bCs/>
          <w:kern w:val="0"/>
          <w:sz w:val="52"/>
          <w:szCs w:val="52"/>
        </w:rPr>
      </w:pPr>
    </w:p>
    <w:p>
      <w:pPr>
        <w:rPr>
          <w:rFonts w:ascii="宋体" w:cs="ArialUnicodeMS" w:hAnsi="宋体"/>
          <w:color w:val="000000"/>
          <w:kern w:val="0"/>
        </w:rPr>
        <w:sectPr>
          <w:pgSz w:w="11906" w:h="16838"/>
          <w:pgMar w:top="2098" w:right="1474" w:bottom="1984" w:left="1588" w:header="851" w:footer="992" w:gutter="0"/>
          <w:cols w:num="1" w:space="0"/>
          <w:docGrid w:type="lines" w:linePitch="312" w:charSpace="0"/>
        </w:sectPr>
      </w:pPr>
      <w:r>
        <w:rPr>
          <w:sz w:val="72"/>
        </w:rPr>
        <mc:AlternateContent>
          <mc:Choice Requires="wps">
            <w:drawing>
              <wp:anchor distT="0" distB="0" distL="114300" distR="114300" simplePos="0" relativeHeight="66" behindDoc="0" locked="0" layoutInCell="1" hidden="0" allowOverlap="1">
                <wp:simplePos x="0" y="0"/>
                <wp:positionH relativeFrom="column">
                  <wp:posOffset>-942340</wp:posOffset>
                </wp:positionH>
                <wp:positionV relativeFrom="paragraph">
                  <wp:posOffset>1527810</wp:posOffset>
                </wp:positionV>
                <wp:extent cx="7571740" cy="2020570"/>
                <wp:effectExtent l="0" t="0" r="0" b="0"/>
                <wp:wrapNone/>
                <wp:docPr id="1040" name="文本框 17"/>
                <wp:cNvGraphicFramePr>
                  <a:graphicFrameLocks noChangeAspect="0"/>
                </wp:cNvGraphicFramePr>
                <a:graphic>
                  <a:graphicData uri="http://schemas.microsoft.com/office/word/2010/wordprocessingShape">
                    <wps:wsp>
                      <wps:cNvSpPr/>
                      <wps:spPr>
                        <a:xfrm rot="0">
                          <a:off x="0" y="0"/>
                          <a:ext cx="7571740" cy="2020570"/>
                        </a:xfrm>
                        <a:prstGeom prst="rect"/>
                        <a:noFill/>
                        <a:ln cmpd="sng" cap="flat">
                          <a:noFill/>
                          <a:prstDash val="solid"/>
                          <a:round/>
                        </a:ln>
                      </wps:spPr>
                      <wps:txbx id="33">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wps:txbx>
                      <wps:bodyPr vert="horz" wrap="square" lIns="91440" tIns="45720" rIns="91440" bIns="45720" anchor="t" anchorCtr="0" upright="0">
                        <a:noAutofit/>
                      </wps:bodyPr>
                    </wps:wsp>
                  </a:graphicData>
                </a:graphic>
              </wp:anchor>
            </w:drawing>
          </mc:Choice>
          <mc:Fallback>
            <w:pict>
              <v:rect type="#_x0000_t1" id="文本框 17" o:spid="_x0000_s34" filled="f" stroked="f" strokeweight="-1.0pt" style="position:absolute;margin-left:-74.2pt;margin-top:120.3pt;width:596.2pt;height:159.1pt;z-index:66;mso-position-horizontal:absolute;mso-position-vertical:absolute;mso-wrap-style:square;">
                <v:stroke/>
                <v:textbox id="857" inset="2.54mm,1.27mm,2.54mm,1.27mm" o:insetmode="custom" style="layout-flow:horizontal;v-text-anchor:top;">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v:textbox>
              </v:rect>
            </w:pict>
          </mc:Fallback>
        </mc:AlternateContent>
      </w:r>
    </w:p>
    <w:tbl>
      <w:tblPr>
        <w:jc w:val="center"/>
        <w:tblW w:w="93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700"/>
        <w:gridCol w:w="567"/>
        <w:gridCol w:w="1336"/>
        <w:gridCol w:w="2700"/>
        <w:gridCol w:w="567"/>
        <w:gridCol w:w="1430"/>
      </w:tblGrid>
      <w:tr>
        <w:trPr>
          <w:trHeight w:val="567"/>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eastAsia="黑体" w:cs="黑体" w:hAnsi="宋体"/>
                <w:sz w:val="40"/>
                <w:szCs w:val="40"/>
              </w:rPr>
            </w:pPr>
            <w:r>
              <w:rPr>
                <w:sz w:val="44"/>
              </w:rPr>
              <mc:AlternateContent>
                <mc:Choice Requires="wps">
                  <w:drawing>
                    <wp:anchor distT="0" distB="0" distL="114300" distR="114300" simplePos="0" relativeHeight="68" behindDoc="0" locked="1" layoutInCell="1" hidden="0" allowOverlap="1">
                      <wp:simplePos x="0" y="0"/>
                      <wp:positionH relativeFrom="column">
                        <wp:posOffset>-892175</wp:posOffset>
                      </wp:positionH>
                      <wp:positionV relativeFrom="page">
                        <wp:posOffset>-1039494</wp:posOffset>
                      </wp:positionV>
                      <wp:extent cx="3088639" cy="523241"/>
                      <wp:effectExtent l="3175" t="0" r="13335" b="29209"/>
                      <wp:wrapNone/>
                      <wp:docPr id="1150" name="组合 10"/>
                      <wp:cNvGraphicFramePr>
                        <a:graphicFrameLocks noChangeAspect="0"/>
                      </wp:cNvGraphicFramePr>
                      <a:graphic>
                        <a:graphicData uri="http://schemas.microsoft.com/office/word/2010/wordprocessingGroup">
                          <wpg:wgp>
                            <wpg:cNvPr id="35" name="组合 10 35"/>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36" name="矩形 7 36"/>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37" name="矩形 8 37"/>
                              <wps:cNvSpPr/>
                              <wps:spPr>
                                <a:xfrm rot="0">
                                  <a:off x="9396" y="102927"/>
                                  <a:ext cx="3008406" cy="420314"/>
                                </a:xfrm>
                                <a:prstGeom prst="rect"/>
                                <a:solidFill>
                                  <a:srgbClr val="AD002D"/>
                                </a:solidFill>
                                <a:ln w="25400" cmpd="sng" cap="flat">
                                  <a:solidFill>
                                    <a:srgbClr val="AF7621"/>
                                  </a:solidFill>
                                  <a:prstDash val="solid"/>
                                  <a:round/>
                                </a:ln>
                              </wps:spPr>
                              <wps:txbx id="38">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0" o:spid="_x0000_s39" coordorigin="-29,461" coordsize="4864,824" style="position:absolute;margin-left:-70.25pt;margin-top:-81.85pt;width:243.2pt;height:41.200134pt;z-index:68;mso-position-horizontal:absolute;mso-position-vertical:absolute;mso-position-vertical-relative:page;">
                      <v:rect type="#_x0000_t1" id="矩形 7 36" o:spid="_x0000_s40" style="position:absolute;left:-29;top:461;width:4864;height:692;" fillcolor="#D8D8D8" stroked="f" strokeweight="-1.0pt">
                        <v:stroke/>
                      </v:rect>
                      <v:rect type="#_x0000_t1" id="_s41" o:spid="_x0000_s41" style="position:absolute;left:-15;top:623;width:4737;height:661;mso-wrap-style:square;" fillcolor="#AD002D" stroked="t" strokeweight="2.0pt">
                        <v:textbox id="858"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kern w:val="0"/>
                <w:sz w:val="40"/>
                <w:szCs w:val="40"/>
              </w:rPr>
              <w:t>收入支出决算总表</w:t>
            </w:r>
          </w:p>
        </w:tc>
      </w:tr>
      <w:tr>
        <w:trPr>
          <w:trHeight w:val="321"/>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cs="Arial" w:hAnsi="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cs="Arial" w:hAnsi="Arial"/>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cs="Arial" w:hAnsi="Arial"/>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cs="Arial" w:hAnsi="Arial"/>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cs="Arial" w:hAnsi="Arial"/>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cs="宋体" w:hAnsi="宋体"/>
                <w:sz w:val="20"/>
                <w:szCs w:val="20"/>
              </w:rPr>
            </w:pPr>
            <w:r>
              <w:rPr>
                <w:rFonts w:ascii="宋体" w:cs="宋体" w:hAnsi="宋体" w:hint="eastAsia"/>
                <w:kern w:val="0"/>
                <w:sz w:val="20"/>
                <w:szCs w:val="20"/>
              </w:rPr>
              <w:t>公开01表</w:t>
            </w:r>
          </w:p>
        </w:tc>
      </w:tr>
      <w:tr>
        <w:trPr>
          <w:trHeight w:val="418"/>
        </w:trPr>
        <w:tc>
          <w:tcPr>
            <w:tcW w:w="4603"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cs="宋体" w:hAnsi="宋体"/>
                <w:sz w:val="20"/>
                <w:szCs w:val="20"/>
              </w:rPr>
            </w:pPr>
            <w:r>
              <w:rPr>
                <w:rFonts w:ascii="宋体" w:cs="宋体" w:hAnsi="宋体" w:hint="eastAsia"/>
                <w:kern w:val="0"/>
                <w:sz w:val="20"/>
                <w:szCs w:val="20"/>
              </w:rPr>
              <w:t>部门：</w:t>
            </w:r>
            <w:r>
              <w:rPr>
                <w:rFonts w:ascii="宋体" w:cs="宋体" w:hAnsi="宋体"/>
                <w:kern w:val="0"/>
                <w:sz w:val="21"/>
                <w:szCs w:val="21"/>
              </w:rPr>
              <w:t>遵化市人民政府房屋征收办公室</w:t>
            </w: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cs="宋体" w:hAnsi="宋体"/>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cs="宋体" w:hAnsi="宋体"/>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cs="宋体" w:hAnsi="宋体"/>
                <w:sz w:val="20"/>
                <w:szCs w:val="20"/>
              </w:rPr>
            </w:pPr>
            <w:r>
              <w:rPr>
                <w:rFonts w:ascii="宋体" w:cs="宋体" w:hAnsi="宋体" w:hint="eastAsia"/>
                <w:kern w:val="0"/>
                <w:sz w:val="20"/>
                <w:szCs w:val="20"/>
              </w:rPr>
              <w:t>金额单位：万元</w:t>
            </w:r>
          </w:p>
        </w:tc>
      </w:tr>
      <w:tr>
        <w:trPr>
          <w:trHeight w:val="295"/>
        </w:trPr>
        <w:tc>
          <w:tcPr>
            <w:tcW w:w="46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收入</w:t>
            </w:r>
          </w:p>
        </w:tc>
        <w:tc>
          <w:tcPr>
            <w:tcW w:w="469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支出</w:t>
            </w:r>
          </w:p>
        </w:tc>
      </w:tr>
      <w:tr>
        <w:trPr>
          <w:trHeight w:val="29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行次</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金额</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行次</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hAnsi="宋体"/>
                <w:sz w:val="22"/>
                <w:szCs w:val="22"/>
              </w:rPr>
            </w:pPr>
            <w:r>
              <w:rPr>
                <w:rFonts w:ascii="宋体" w:cs="宋体" w:hAnsi="宋体" w:hint="eastAsia"/>
                <w:kern w:val="0"/>
                <w:sz w:val="22"/>
                <w:szCs w:val="22"/>
              </w:rPr>
              <w:t>金额</w:t>
            </w:r>
          </w:p>
        </w:tc>
      </w:tr>
      <w:tr>
        <w:trPr>
          <w:trHeight w:val="29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hAnsi="宋体"/>
                <w:sz w:val="20"/>
                <w:szCs w:val="20"/>
              </w:rPr>
            </w:pPr>
            <w:r>
              <w:rPr>
                <w:rFonts w:ascii="宋体" w:cs="宋体" w:hAnsi="宋体" w:hint="eastAsia"/>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rPr>
                <w:rFonts w:ascii="宋体" w:cs="宋体" w:hAnsi="宋体"/>
                <w:sz w:val="20"/>
                <w:szCs w:val="20"/>
              </w:rPr>
            </w:pP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hAnsi="宋体"/>
                <w:sz w:val="20"/>
                <w:szCs w:val="20"/>
              </w:rPr>
            </w:pPr>
            <w:r>
              <w:rPr>
                <w:rFonts w:ascii="宋体" w:cs="宋体" w:hAnsi="宋体" w:hint="eastAsia"/>
                <w:kern w:val="0"/>
                <w:sz w:val="20"/>
                <w:szCs w:val="20"/>
              </w:rPr>
              <w:t>1</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exact"/>
              <w:jc w:val="center"/>
              <w:textAlignment w:val="center"/>
              <w:rPr>
                <w:rFonts w:ascii="宋体" w:cs="宋体" w:hAnsi="宋体"/>
                <w:sz w:val="20"/>
                <w:szCs w:val="20"/>
              </w:rPr>
            </w:pPr>
            <w:r>
              <w:rPr>
                <w:rFonts w:ascii="宋体" w:cs="宋体" w:hAnsi="宋体" w:hint="eastAsia"/>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rPr>
                <w:rFonts w:ascii="宋体" w:cs="宋体" w:hAnsi="宋体"/>
                <w:sz w:val="20"/>
                <w:szCs w:val="20"/>
              </w:rPr>
            </w:pP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cs="宋体" w:hAnsi="宋体"/>
                <w:sz w:val="20"/>
                <w:szCs w:val="20"/>
              </w:rPr>
            </w:pPr>
            <w:r>
              <w:rPr>
                <w:rFonts w:ascii="宋体" w:cs="宋体" w:hAnsi="宋体" w:hint="eastAsia"/>
                <w:kern w:val="0"/>
                <w:sz w:val="20"/>
                <w:szCs w:val="20"/>
              </w:rPr>
              <w:t>2</w:t>
            </w:r>
          </w:p>
        </w:tc>
      </w:tr>
      <w:tr>
        <w:trPr>
          <w:trHeight w:val="36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一、财政拨款收入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r>
              <w:rPr>
                <w:rFonts w:ascii="宋体" w:cs="宋体" w:hAnsi="宋体"/>
                <w:sz w:val="20"/>
                <w:szCs w:val="20"/>
              </w:rPr>
              <w:t>12801.77</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二、上级补助收入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三、事业收入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四、经营收入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五、附属单位上缴收入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六、其他收入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r>
              <w:rPr>
                <w:rFonts w:ascii="宋体" w:cs="宋体" w:hAnsi="宋体" w:hint="eastAsia"/>
                <w:sz w:val="20"/>
                <w:szCs w:val="20"/>
              </w:rPr>
              <w:t>13.38</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r>
              <w:rPr>
                <w:rFonts w:ascii="宋体" w:cs="宋体" w:hAnsi="宋体" w:hint="eastAsia"/>
                <w:sz w:val="20"/>
                <w:szCs w:val="20"/>
              </w:rPr>
              <w:t>9.41</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r>
              <w:rPr>
                <w:rFonts w:ascii="宋体" w:cs="宋体" w:hAnsi="宋体"/>
                <w:sz w:val="20"/>
                <w:szCs w:val="20"/>
              </w:rPr>
              <w:t>12770.95</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39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19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r>
              <w:rPr>
                <w:rFonts w:ascii="宋体" w:cs="宋体" w:hAnsi="宋体" w:hint="eastAsia"/>
                <w:sz w:val="20"/>
                <w:szCs w:val="20"/>
              </w:rPr>
              <w:t>8.03</w:t>
            </w: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49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rPr>
                <w:rFonts w:ascii="宋体" w:cs="宋体" w:hAnsi="宋体"/>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50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18"/>
                <w:szCs w:val="18"/>
              </w:rPr>
            </w:pPr>
            <w:r>
              <w:rPr>
                <w:rFonts w:ascii="宋体" w:cs="宋体" w:hAnsi="宋体"/>
                <w:sz w:val="18"/>
                <w:szCs w:val="18"/>
              </w:rPr>
              <w:t>12801.77</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51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r>
              <w:rPr>
                <w:rFonts w:ascii="宋体" w:cs="宋体" w:hAnsi="宋体"/>
                <w:sz w:val="20"/>
                <w:szCs w:val="20"/>
              </w:rPr>
              <w:t>12801.77</w:t>
            </w:r>
          </w:p>
        </w:tc>
      </w:tr>
      <w:tr>
        <w:trPr>
          <w:trHeight w:val="385"/>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用事业基金弥补收支差额</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52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年初结转和结余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18"/>
                <w:szCs w:val="18"/>
              </w:rPr>
            </w:pP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 w:val="20"/>
                <w:szCs w:val="20"/>
              </w:rPr>
            </w:pPr>
            <w:r>
              <w:rPr>
                <w:rFonts w:ascii="宋体" w:cs="宋体" w:hAnsi="宋体" w:hint="eastAsia"/>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53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p>
        </w:tc>
      </w:tr>
      <w:tr>
        <w:trPr>
          <w:trHeight w:val="337"/>
        </w:trPr>
        <w:tc>
          <w:tcPr>
            <w:tcW w:w="27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hAnsi="宋体"/>
                <w:b/>
                <w:sz w:val="20"/>
                <w:szCs w:val="20"/>
              </w:rPr>
            </w:pPr>
            <w:r>
              <w:rPr>
                <w:rFonts w:ascii="宋体" w:cs="宋体" w:hAnsi="宋体" w:hint="eastAsia"/>
                <w:b/>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27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18"/>
                <w:szCs w:val="18"/>
              </w:rPr>
            </w:pPr>
            <w:r>
              <w:rPr>
                <w:rFonts w:ascii="宋体" w:cs="宋体" w:hAnsi="宋体"/>
                <w:sz w:val="18"/>
                <w:szCs w:val="18"/>
              </w:rPr>
              <w:t>12801.77</w:t>
            </w:r>
          </w:p>
        </w:tc>
        <w:tc>
          <w:tcPr>
            <w:tcW w:w="27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00" w:lineRule="exact"/>
              <w:jc w:val="center"/>
              <w:textAlignment w:val="center"/>
              <w:rPr>
                <w:rFonts w:ascii="宋体" w:cs="宋体" w:hAnsi="宋体"/>
                <w:b/>
                <w:sz w:val="20"/>
                <w:szCs w:val="20"/>
              </w:rPr>
            </w:pPr>
            <w:r>
              <w:rPr>
                <w:rFonts w:ascii="宋体" w:cs="宋体" w:hAnsi="宋体" w:hint="eastAsia"/>
                <w:b/>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cs="宋体" w:hAnsi="宋体"/>
                <w:sz w:val="20"/>
                <w:szCs w:val="20"/>
              </w:rPr>
            </w:pPr>
            <w:r>
              <w:rPr>
                <w:rFonts w:ascii="宋体" w:cs="宋体" w:hAnsi="宋体" w:hint="eastAsia"/>
                <w:kern w:val="0"/>
                <w:sz w:val="20"/>
                <w:szCs w:val="20"/>
              </w:rPr>
              <w:t>54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00" w:lineRule="exact"/>
              <w:jc w:val="right"/>
              <w:rPr>
                <w:rFonts w:ascii="宋体" w:cs="宋体" w:hAnsi="宋体"/>
                <w:sz w:val="20"/>
                <w:szCs w:val="20"/>
              </w:rPr>
            </w:pPr>
            <w:r>
              <w:rPr>
                <w:rFonts w:ascii="宋体" w:cs="宋体" w:hAnsi="宋体"/>
                <w:sz w:val="20"/>
                <w:szCs w:val="20"/>
              </w:rPr>
              <w:t>12801.77</w:t>
            </w:r>
          </w:p>
        </w:tc>
      </w:tr>
      <w:tr>
        <w:trPr>
          <w:trHeight w:val="417"/>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cs="宋体" w:hAnsi="宋体"/>
                <w:szCs w:val="21"/>
              </w:rPr>
            </w:pPr>
            <w:r>
              <w:rPr>
                <w:rFonts w:ascii="宋体" w:cs="宋体" w:hAnsi="宋体" w:hint="eastAsia"/>
                <w:kern w:val="0"/>
                <w:szCs w:val="21"/>
              </w:rPr>
              <w:t>注：本表反映部门本年度的总收支和年末结转结余情况。</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cent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rPr>
          <w:trHeight w:val="770"/>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hAnsi="宋体"/>
                <w:color w:val="000000"/>
                <w:sz w:val="40"/>
                <w:szCs w:val="40"/>
              </w:rPr>
            </w:pPr>
            <w:r>
              <w:rPr>
                <w:rFonts w:ascii="黑体" w:eastAsia="黑体" w:cs="黑体" w:hAnsi="宋体" w:hint="eastAsia"/>
                <w:color w:val="000000"/>
                <w:kern w:val="0"/>
                <w:sz w:val="40"/>
                <w:szCs w:val="40"/>
              </w:rPr>
              <w:t>收入决</w:t>
            </w:r>
            <w:r>
              <w:rPr>
                <w:sz w:val="44"/>
              </w:rPr>
              <mc:AlternateContent>
                <mc:Choice Requires="wps">
                  <w:drawing>
                    <wp:anchor distT="0" distB="0" distL="114300" distR="114300" simplePos="0" relativeHeight="70" behindDoc="0" locked="1" layoutInCell="1" hidden="0" allowOverlap="1">
                      <wp:simplePos x="0" y="0"/>
                      <wp:positionH relativeFrom="column">
                        <wp:posOffset>-1050925</wp:posOffset>
                      </wp:positionH>
                      <wp:positionV relativeFrom="page">
                        <wp:posOffset>-1029969</wp:posOffset>
                      </wp:positionV>
                      <wp:extent cx="3088639" cy="523241"/>
                      <wp:effectExtent l="3175" t="0" r="13335" b="29209"/>
                      <wp:wrapNone/>
                      <wp:docPr id="1151" name="组合 34"/>
                      <wp:cNvGraphicFramePr>
                        <a:graphicFrameLocks noChangeAspect="0"/>
                      </wp:cNvGraphicFramePr>
                      <a:graphic>
                        <a:graphicData uri="http://schemas.microsoft.com/office/word/2010/wordprocessingGroup">
                          <wpg:wgp>
                            <wpg:cNvPr id="42" name="组合 34 42"/>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43" name="矩形 9 43"/>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44" name="矩形 10 44"/>
                              <wps:cNvSpPr/>
                              <wps:spPr>
                                <a:xfrm rot="0">
                                  <a:off x="9396" y="102927"/>
                                  <a:ext cx="3008405" cy="420314"/>
                                </a:xfrm>
                                <a:prstGeom prst="rect"/>
                                <a:solidFill>
                                  <a:srgbClr val="AD002D"/>
                                </a:solidFill>
                                <a:ln w="25400" cmpd="sng" cap="flat">
                                  <a:solidFill>
                                    <a:srgbClr val="AF7621"/>
                                  </a:solidFill>
                                  <a:prstDash val="solid"/>
                                  <a:round/>
                                </a:ln>
                              </wps:spPr>
                              <wps:txbx id="45">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34" o:spid="_x0000_s46" coordorigin="-29,476" coordsize="4864,824" style="position:absolute;margin-left:-82.75pt;margin-top:-81.1pt;width:243.2pt;height:41.200134pt;z-index:70;mso-position-horizontal:absolute;mso-position-vertical:absolute;mso-position-vertical-relative:page;">
                      <v:rect type="#_x0000_t1" id="矩形 9 43" o:spid="_x0000_s47" style="position:absolute;left:-29;top:476;width:4864;height:692;" fillcolor="#D8D8D8" stroked="f" strokeweight="-1.0pt">
                        <v:stroke/>
                      </v:rect>
                      <v:rect type="#_x0000_t1" id="_s48" o:spid="_x0000_s48" style="position:absolute;left:-15;top:638;width:4737;height:661;mso-wrap-style:square;" fillcolor="#AD002D" stroked="t" strokeweight="2.0pt">
                        <v:textbox id="859"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算表</w:t>
            </w:r>
          </w:p>
        </w:tc>
      </w:tr>
      <w:tr>
        <w:trPr>
          <w:trHeight w:val="362"/>
        </w:trPr>
        <w:tc>
          <w:tcPr>
            <w:tcW w:w="3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公开02表</w:t>
            </w:r>
          </w:p>
        </w:tc>
      </w:tr>
      <w:tr>
        <w:trPr>
          <w:trHeight w:val="362"/>
        </w:trPr>
        <w:tc>
          <w:tcPr>
            <w:tcW w:w="3960" w:type="dxa"/>
            <w:gridSpan w:val="8"/>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r>
              <w:rPr>
                <w:rFonts w:ascii="宋体" w:cs="宋体" w:hAnsi="宋体" w:hint="eastAsia"/>
                <w:color w:val="000000"/>
                <w:kern w:val="0"/>
                <w:szCs w:val="21"/>
              </w:rPr>
              <w:t>部门：</w:t>
            </w:r>
            <w:r>
              <w:rPr>
                <w:rFonts w:ascii="宋体" w:cs="宋体" w:hAnsi="宋体"/>
                <w:kern w:val="0"/>
                <w:sz w:val="21"/>
                <w:szCs w:val="21"/>
              </w:rPr>
              <w:t>遵化市人民政府房屋征收办公室</w:t>
            </w: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325"/>
        </w:trPr>
        <w:tc>
          <w:tcPr>
            <w:tcW w:w="2352"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kern w:val="0"/>
                <w:sz w:val="20"/>
                <w:szCs w:val="20"/>
              </w:rPr>
            </w:pPr>
            <w:r>
              <w:rPr>
                <w:rFonts w:ascii="宋体" w:cs="宋体" w:hAnsi="宋体" w:hint="eastAsia"/>
                <w:color w:val="000000"/>
                <w:kern w:val="0"/>
                <w:sz w:val="20"/>
                <w:szCs w:val="20"/>
              </w:rPr>
              <w:t>其他收入</w:t>
            </w:r>
          </w:p>
        </w:tc>
      </w:tr>
      <w:tr>
        <w:trPr>
          <w:trHeight w:val="626"/>
        </w:trPr>
        <w:tc>
          <w:tcPr>
            <w:tcW w:w="103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0"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tc>
        <w:tc>
          <w:tcPr>
            <w:tcW w:w="926"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391"/>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r>
      <w:tr>
        <w:trPr>
          <w:trHeight w:val="90"/>
        </w:trPr>
        <w:tc>
          <w:tcPr>
            <w:tcW w:w="235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r>
              <w:rPr>
                <w:rFonts w:ascii="宋体" w:cs="宋体" w:hAnsi="宋体"/>
                <w:b/>
                <w:color w:val="000000"/>
                <w:sz w:val="18"/>
                <w:szCs w:val="18"/>
              </w:rPr>
              <w:t>12801.77</w:t>
            </w: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r>
              <w:rPr>
                <w:rFonts w:ascii="宋体" w:cs="宋体" w:hAnsi="宋体"/>
                <w:b/>
                <w:color w:val="000000"/>
                <w:sz w:val="18"/>
                <w:szCs w:val="18"/>
              </w:rPr>
              <w:t>12801.77</w:t>
            </w: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c>
          <w:tcPr>
            <w:tcW w:w="92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 w:val="18"/>
                <w:szCs w:val="18"/>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2080505</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机关事业单位基本养老保险缴费支出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13.38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13.38</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2101102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事业单位医疗</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9.41</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9.41</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2120101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行政运行</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80.86</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80.86</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2120102</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一般行政管理事务</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27.54</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27.54</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2120801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征地和拆迁补偿支出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1</w:t>
            </w:r>
            <w:r>
              <w:rPr>
                <w:rFonts w:ascii="宋体" w:cs="宋体" w:hAnsi="宋体" w:hint="eastAsia"/>
                <w:color w:val="000000"/>
                <w:szCs w:val="21"/>
              </w:rPr>
              <w:t>23</w:t>
            </w:r>
            <w:r>
              <w:rPr>
                <w:rFonts w:ascii="宋体" w:cs="宋体" w:hAnsi="宋体"/>
                <w:color w:val="000000"/>
                <w:szCs w:val="21"/>
              </w:rPr>
              <w:t>62.83</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1</w:t>
            </w:r>
            <w:r>
              <w:rPr>
                <w:rFonts w:ascii="宋体" w:cs="宋体" w:hAnsi="宋体" w:hint="eastAsia"/>
                <w:color w:val="000000"/>
                <w:szCs w:val="21"/>
              </w:rPr>
              <w:t>2362.83</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2120803</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城市建设支出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279.54</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279.54</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2129999</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其他城乡社区支出</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20.18</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20.18</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2210201</w:t>
            </w: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住房公积金</w:t>
            </w: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8.03</w:t>
            </w: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8.03</w:t>
            </w: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71"/>
        </w:trPr>
        <w:tc>
          <w:tcPr>
            <w:tcW w:w="103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1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920"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81"/>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Cs w:val="21"/>
              </w:rPr>
            </w:pPr>
            <w:r>
              <w:rPr>
                <w:rFonts w:ascii="宋体" w:cs="宋体" w:hAnsi="宋体" w:hint="eastAsia"/>
                <w:color w:val="000000"/>
                <w:kern w:val="0"/>
                <w:szCs w:val="21"/>
              </w:rPr>
              <w:t>注：本表反映部门本年度取得的各项收入情况。</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9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90"/>
        <w:gridCol w:w="289"/>
        <w:gridCol w:w="803"/>
        <w:gridCol w:w="1117"/>
        <w:gridCol w:w="647"/>
        <w:gridCol w:w="436"/>
        <w:gridCol w:w="682"/>
        <w:gridCol w:w="402"/>
        <w:gridCol w:w="718"/>
        <w:gridCol w:w="365"/>
        <w:gridCol w:w="753"/>
        <w:gridCol w:w="331"/>
        <w:gridCol w:w="789"/>
        <w:gridCol w:w="294"/>
        <w:gridCol w:w="1084"/>
      </w:tblGrid>
      <w:tr>
        <w:trPr>
          <w:trHeight w:val="798"/>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eastAsia="黑体" w:cs="黑体" w:hAnsi="宋体"/>
                <w:color w:val="000000"/>
                <w:sz w:val="40"/>
                <w:szCs w:val="40"/>
              </w:rPr>
            </w:pPr>
            <w:r>
              <w:rPr>
                <w:rFonts w:ascii="黑体" w:eastAsia="黑体" w:cs="黑体" w:hAnsi="宋体" w:hint="eastAsia"/>
                <w:color w:val="000000"/>
                <w:kern w:val="0"/>
                <w:sz w:val="40"/>
                <w:szCs w:val="40"/>
              </w:rPr>
              <w:t>支出决算</w:t>
            </w:r>
            <w:r>
              <w:rPr>
                <w:sz w:val="44"/>
              </w:rPr>
              <mc:AlternateContent>
                <mc:Choice Requires="wps">
                  <w:drawing>
                    <wp:anchor distT="0" distB="0" distL="114300" distR="114300" simplePos="0" relativeHeight="72" behindDoc="0" locked="1" layoutInCell="1" hidden="0" allowOverlap="1">
                      <wp:simplePos x="0" y="0"/>
                      <wp:positionH relativeFrom="column">
                        <wp:posOffset>-1027430</wp:posOffset>
                      </wp:positionH>
                      <wp:positionV relativeFrom="page">
                        <wp:posOffset>-1029969</wp:posOffset>
                      </wp:positionV>
                      <wp:extent cx="3088639" cy="523241"/>
                      <wp:effectExtent l="3175" t="0" r="13335" b="29209"/>
                      <wp:wrapNone/>
                      <wp:docPr id="1152" name="组合 38"/>
                      <wp:cNvGraphicFramePr>
                        <a:graphicFrameLocks noChangeAspect="0"/>
                      </wp:cNvGraphicFramePr>
                      <a:graphic>
                        <a:graphicData uri="http://schemas.microsoft.com/office/word/2010/wordprocessingGroup">
                          <wpg:wgp>
                            <wpg:cNvPr id="49" name="组合 38 49"/>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50" name="矩形 11 50"/>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51" name="矩形 12 51"/>
                              <wps:cNvSpPr/>
                              <wps:spPr>
                                <a:xfrm rot="0">
                                  <a:off x="9396" y="102927"/>
                                  <a:ext cx="3008406" cy="420314"/>
                                </a:xfrm>
                                <a:prstGeom prst="rect"/>
                                <a:solidFill>
                                  <a:srgbClr val="AD002D"/>
                                </a:solidFill>
                                <a:ln w="25400" cmpd="sng" cap="flat">
                                  <a:solidFill>
                                    <a:srgbClr val="AF7621"/>
                                  </a:solidFill>
                                  <a:prstDash val="solid"/>
                                  <a:round/>
                                </a:ln>
                              </wps:spPr>
                              <wps:txbx id="52">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38" o:spid="_x0000_s53" coordorigin="-30,476" coordsize="4864,824" style="position:absolute;margin-left:-80.9pt;margin-top:-81.1pt;width:243.2pt;height:41.200134pt;z-index:72;mso-position-horizontal:absolute;mso-position-vertical:absolute;mso-position-vertical-relative:page;">
                      <v:rect type="#_x0000_t1" id="矩形 11 50" o:spid="_x0000_s54" style="position:absolute;left:-30;top:476;width:4864;height:692;" fillcolor="#D8D8D8" stroked="f" strokeweight="-1.0pt">
                        <v:stroke/>
                      </v:rect>
                      <v:rect type="#_x0000_t1" id="_s55" o:spid="_x0000_s55" style="position:absolute;left:-15;top:638;width:4737;height:661;mso-wrap-style:square;" fillcolor="#AD002D" stroked="t" strokeweight="2.0pt">
                        <v:textbox id="860"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表</w:t>
            </w:r>
          </w:p>
        </w:tc>
      </w:tr>
      <w:tr>
        <w:trPr>
          <w:trHeight w:val="404"/>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公开03表</w:t>
            </w:r>
          </w:p>
        </w:tc>
      </w:tr>
      <w:tr>
        <w:trPr>
          <w:trHeight w:val="380"/>
        </w:trPr>
        <w:tc>
          <w:tcPr>
            <w:tcW w:w="4264"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r>
              <w:rPr>
                <w:rFonts w:ascii="宋体" w:cs="宋体" w:hAnsi="宋体" w:hint="eastAsia"/>
                <w:color w:val="000000"/>
                <w:kern w:val="0"/>
                <w:szCs w:val="21"/>
              </w:rPr>
              <w:t>部门：</w:t>
            </w:r>
            <w:r>
              <w:rPr>
                <w:rFonts w:ascii="宋体" w:cs="宋体" w:hAnsi="宋体"/>
                <w:kern w:val="0"/>
                <w:sz w:val="21"/>
                <w:szCs w:val="21"/>
              </w:rPr>
              <w:t>遵化市人民政府房屋征收办公室</w:t>
            </w: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837"/>
        </w:trPr>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经营支出</w:t>
            </w:r>
          </w:p>
        </w:tc>
        <w:tc>
          <w:tcPr>
            <w:tcW w:w="1084"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对附属单位补助支出</w:t>
            </w:r>
          </w:p>
        </w:tc>
      </w:tr>
      <w:tr>
        <w:trPr>
          <w:trHeight w:val="782"/>
        </w:trPr>
        <w:tc>
          <w:tcPr>
            <w:tcW w:w="138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功能分类科目编码</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tc>
        <w:tc>
          <w:tcPr>
            <w:tcW w:w="1084"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95"/>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栏次</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1</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2</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3</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4</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5</w:t>
            </w:r>
          </w:p>
        </w:tc>
        <w:tc>
          <w:tcPr>
            <w:tcW w:w="10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6</w:t>
            </w:r>
          </w:p>
        </w:tc>
      </w:tr>
      <w:tr>
        <w:trPr>
          <w:trHeight w:val="440"/>
        </w:trPr>
        <w:tc>
          <w:tcPr>
            <w:tcW w:w="24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r>
              <w:rPr>
                <w:rFonts w:ascii="宋体" w:cs="宋体" w:hAnsi="宋体" w:hint="eastAsia"/>
                <w:b/>
                <w:color w:val="000000"/>
                <w:szCs w:val="21"/>
              </w:rPr>
              <w:t>12801.77</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r>
              <w:rPr>
                <w:rFonts w:ascii="宋体" w:cs="宋体" w:hAnsi="宋体" w:hint="eastAsia"/>
                <w:b/>
                <w:color w:val="000000"/>
                <w:szCs w:val="21"/>
              </w:rPr>
              <w:t>111.68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r>
              <w:rPr>
                <w:rFonts w:ascii="宋体" w:cs="宋体" w:hAnsi="宋体" w:hint="eastAsia"/>
                <w:b/>
                <w:color w:val="000000"/>
                <w:szCs w:val="21"/>
              </w:rPr>
              <w:t>12690.10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2080505</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机关事业单位基本养老保险缴费支出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color w:val="000000"/>
                <w:szCs w:val="21"/>
              </w:rPr>
              <w:t>13</w:t>
            </w:r>
            <w:r>
              <w:rPr>
                <w:rFonts w:ascii="宋体" w:cs="宋体" w:hAnsi="宋体" w:hint="eastAsia"/>
                <w:color w:val="000000"/>
                <w:szCs w:val="21"/>
              </w:rPr>
              <w:t>.38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13.38</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2101102</w:t>
              <w:tab/>
              <w:tab/>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事业单位医疗</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9.41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9.41</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2120101</w:t>
              <w:tab/>
              <w:tab/>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行政运行</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80.86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80.86</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2120102</w:t>
              <w:tab/>
              <w:tab/>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一般行政管理事务</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27.54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27.54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2120801</w:t>
              <w:tab/>
              <w:tab/>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征地和拆迁补偿支出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12362.83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12362.83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color w:val="000000"/>
                <w:szCs w:val="21"/>
              </w:rPr>
              <w:t>2120803</w:t>
              <w:tab/>
              <w:tab/>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城市建设支出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279.54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279.54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2129999</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其他城乡社区支出</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20.18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20.18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468"/>
        </w:trPr>
        <w:tc>
          <w:tcPr>
            <w:tcW w:w="13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2210201</w:t>
            </w:r>
          </w:p>
        </w:tc>
        <w:tc>
          <w:tcPr>
            <w:tcW w:w="1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住房公积金</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8.03</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8.03</w:t>
            </w: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0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748"/>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kern w:val="0"/>
                <w:szCs w:val="21"/>
              </w:rPr>
            </w:pPr>
            <w:r>
              <w:rPr>
                <w:rFonts w:ascii="宋体" w:cs="宋体" w:hAnsi="宋体" w:hint="eastAsia"/>
                <w:color w:val="000000"/>
                <w:kern w:val="0"/>
                <w:szCs w:val="21"/>
              </w:rPr>
              <w:t>注：本表反映部门本年度各项支出情况。</w:t>
            </w:r>
          </w:p>
          <w:p>
            <w:pPr>
              <w:widowControl/>
              <w:spacing w:after="0" w:line="240" w:lineRule="atLeast"/>
              <w:jc w:val="left"/>
              <w:textAlignment w:val="center"/>
              <w:rPr>
                <w:rFonts w:ascii="宋体" w:cs="宋体" w:hAnsi="宋体"/>
                <w:color w:val="000000"/>
                <w:kern w:val="0"/>
                <w:szCs w:val="21"/>
              </w:rPr>
            </w:pPr>
          </w:p>
          <w:p>
            <w:pPr>
              <w:widowControl/>
              <w:spacing w:after="0" w:line="240" w:lineRule="atLeast"/>
              <w:jc w:val="left"/>
              <w:textAlignment w:val="center"/>
              <w:rPr>
                <w:rFonts w:ascii="宋体" w:cs="宋体" w:hAnsi="宋体"/>
                <w:color w:val="000000"/>
                <w:kern w:val="0"/>
                <w:szCs w:val="21"/>
              </w:rPr>
            </w:pPr>
          </w:p>
          <w:p>
            <w:pPr>
              <w:widowControl/>
              <w:spacing w:after="0" w:line="240" w:lineRule="atLeast"/>
              <w:jc w:val="left"/>
              <w:textAlignment w:val="center"/>
              <w:rPr>
                <w:rFonts w:ascii="宋体" w:cs="宋体" w:hAnsi="宋体"/>
                <w:color w:val="000000"/>
                <w:szCs w:val="21"/>
              </w:rPr>
            </w:pPr>
          </w:p>
        </w:tc>
      </w:tr>
    </w:tbl>
    <w:p>
      <w:pPr>
        <w:widowControl/>
        <w:spacing w:after="0" w:line="560" w:lineRule="exact"/>
        <w:ind w:firstLineChars="200" w:firstLine="560"/>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9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717"/>
        <w:gridCol w:w="745"/>
        <w:gridCol w:w="325"/>
        <w:gridCol w:w="850"/>
        <w:gridCol w:w="2124"/>
        <w:gridCol w:w="191"/>
        <w:gridCol w:w="360"/>
        <w:gridCol w:w="650"/>
        <w:gridCol w:w="226"/>
        <w:gridCol w:w="599"/>
        <w:gridCol w:w="277"/>
        <w:gridCol w:w="876"/>
      </w:tblGrid>
      <w:tr>
        <w:trPr>
          <w:trHeight w:val="152"/>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财政拨款收入支出决</w:t>
            </w:r>
            <w:r>
              <w:rPr>
                <w:sz w:val="44"/>
              </w:rPr>
              <mc:AlternateContent>
                <mc:Choice Requires="wps">
                  <w:drawing>
                    <wp:anchor distT="0" distB="0" distL="114300" distR="114300" simplePos="0" relativeHeight="74" behindDoc="0" locked="1" layoutInCell="1" hidden="0" allowOverlap="1">
                      <wp:simplePos x="0" y="0"/>
                      <wp:positionH relativeFrom="column">
                        <wp:posOffset>-1027430</wp:posOffset>
                      </wp:positionH>
                      <wp:positionV relativeFrom="page">
                        <wp:posOffset>-1029969</wp:posOffset>
                      </wp:positionV>
                      <wp:extent cx="3088639" cy="523241"/>
                      <wp:effectExtent l="3175" t="0" r="13335" b="29209"/>
                      <wp:wrapNone/>
                      <wp:docPr id="1153" name="组合 43"/>
                      <wp:cNvGraphicFramePr>
                        <a:graphicFrameLocks noChangeAspect="0"/>
                      </wp:cNvGraphicFramePr>
                      <a:graphic>
                        <a:graphicData uri="http://schemas.microsoft.com/office/word/2010/wordprocessingGroup">
                          <wpg:wgp>
                            <wpg:cNvPr id="56" name="组合 43 56"/>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57" name="矩形 13 57"/>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58" name="矩形 14 58"/>
                              <wps:cNvSpPr/>
                              <wps:spPr>
                                <a:xfrm rot="0">
                                  <a:off x="9396" y="102927"/>
                                  <a:ext cx="3008406" cy="420314"/>
                                </a:xfrm>
                                <a:prstGeom prst="rect"/>
                                <a:solidFill>
                                  <a:srgbClr val="AD002D"/>
                                </a:solidFill>
                                <a:ln w="25400" cmpd="sng" cap="flat">
                                  <a:solidFill>
                                    <a:srgbClr val="AF7621"/>
                                  </a:solidFill>
                                  <a:prstDash val="solid"/>
                                  <a:round/>
                                </a:ln>
                              </wps:spPr>
                              <wps:txbx id="59">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43" o:spid="_x0000_s60" coordorigin="-30,476" coordsize="4864,824" style="position:absolute;margin-left:-80.9pt;margin-top:-81.1pt;width:243.2pt;height:41.200134pt;z-index:74;mso-position-horizontal:absolute;mso-position-vertical:absolute;mso-position-vertical-relative:page;">
                      <v:rect type="#_x0000_t1" id="矩形 13 57" o:spid="_x0000_s61" style="position:absolute;left:-30;top:476;width:4864;height:692;" fillcolor="#D8D8D8" stroked="f" strokeweight="-1.0pt">
                        <v:stroke/>
                      </v:rect>
                      <v:rect type="#_x0000_t1" id="_s62" o:spid="_x0000_s62" style="position:absolute;left:-15;top:638;width:4737;height:661;mso-wrap-style:square;" fillcolor="#AD002D" stroked="t" strokeweight="2.0pt">
                        <v:textbox id="861"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算总表</w:t>
            </w:r>
          </w:p>
        </w:tc>
      </w:tr>
      <w:tr>
        <w:trPr>
          <w:trHeight w:val="90"/>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 w:val="20"/>
                <w:szCs w:val="20"/>
              </w:rPr>
            </w:pPr>
            <w:r>
              <w:rPr>
                <w:rFonts w:ascii="宋体" w:cs="宋体" w:hAnsi="宋体" w:hint="eastAsia"/>
                <w:color w:val="000000"/>
                <w:kern w:val="0"/>
                <w:sz w:val="20"/>
                <w:szCs w:val="20"/>
              </w:rPr>
              <w:t>公开04表</w:t>
            </w:r>
          </w:p>
        </w:tc>
      </w:tr>
      <w:tr>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20"/>
                <w:szCs w:val="20"/>
              </w:rPr>
            </w:pPr>
            <w:r>
              <w:rPr>
                <w:rFonts w:ascii="宋体" w:cs="宋体" w:hAnsi="宋体" w:hint="eastAsia"/>
                <w:color w:val="000000"/>
                <w:kern w:val="0"/>
                <w:sz w:val="20"/>
                <w:szCs w:val="20"/>
              </w:rPr>
              <w:t>部门：</w:t>
            </w:r>
            <w:r>
              <w:rPr>
                <w:rFonts w:ascii="宋体" w:cs="宋体" w:hAnsi="宋体"/>
                <w:kern w:val="0"/>
                <w:sz w:val="21"/>
                <w:szCs w:val="21"/>
              </w:rPr>
              <w:t>遵化市人民政府房屋征收办公室</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 w:val="20"/>
                <w:szCs w:val="20"/>
              </w:rPr>
            </w:pPr>
            <w:r>
              <w:rPr>
                <w:rFonts w:ascii="宋体" w:cs="宋体" w:hAnsi="宋体" w:hint="eastAsia"/>
                <w:color w:val="000000"/>
                <w:kern w:val="0"/>
                <w:sz w:val="20"/>
                <w:szCs w:val="20"/>
              </w:rPr>
              <w:t>金额单位：万元</w:t>
            </w:r>
          </w:p>
        </w:tc>
      </w:tr>
      <w:tr>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20"/>
                <w:szCs w:val="20"/>
              </w:rPr>
            </w:pPr>
            <w:r>
              <w:rPr>
                <w:rFonts w:ascii="宋体" w:cs="宋体" w:hAnsi="宋体" w:hint="eastAsia"/>
                <w:color w:val="000000"/>
                <w:kern w:val="0"/>
                <w:sz w:val="20"/>
                <w:szCs w:val="20"/>
              </w:rPr>
              <w:t>支     出</w:t>
            </w:r>
          </w:p>
        </w:tc>
      </w:tr>
      <w:tr>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行次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政府性基金预算财政拨款</w:t>
            </w: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rPr>
                <w:rFonts w:ascii="宋体" w:cs="宋体" w:hAnsi="宋体"/>
                <w:color w:val="000000"/>
                <w:sz w:val="18"/>
                <w:szCs w:val="18"/>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159.40</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12642.38</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13.38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13.38</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9.41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9.41</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12770.95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128.58</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12642.38</w:t>
            </w: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8.03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8.03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12801.77</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12801.77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159.40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12642.38</w:t>
            </w: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p>
        </w:tc>
      </w:tr>
      <w:tr>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总计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12801.77</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b/>
                <w:color w:val="000000"/>
                <w:sz w:val="18"/>
                <w:szCs w:val="18"/>
              </w:rPr>
            </w:pPr>
            <w:r>
              <w:rPr>
                <w:rFonts w:ascii="宋体" w:cs="宋体" w:hAnsi="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 w:val="18"/>
                <w:szCs w:val="18"/>
              </w:rPr>
            </w:pPr>
            <w:r>
              <w:rPr>
                <w:rFonts w:ascii="宋体" w:cs="宋体" w:hAnsi="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12801.77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159.40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 w:val="18"/>
                <w:szCs w:val="18"/>
              </w:rPr>
            </w:pPr>
            <w:r>
              <w:rPr>
                <w:rFonts w:ascii="宋体" w:cs="宋体" w:hAnsi="宋体" w:hint="eastAsia"/>
                <w:color w:val="000000"/>
                <w:sz w:val="18"/>
                <w:szCs w:val="18"/>
              </w:rPr>
              <w:t>12642.38</w:t>
            </w:r>
          </w:p>
        </w:tc>
      </w:tr>
      <w:tr>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 w:val="18"/>
                <w:szCs w:val="18"/>
              </w:rPr>
            </w:pPr>
            <w:r>
              <w:rPr>
                <w:rFonts w:ascii="宋体" w:cs="宋体" w:hAnsi="宋体" w:hint="eastAsia"/>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8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17"/>
        <w:gridCol w:w="319"/>
        <w:gridCol w:w="357"/>
        <w:gridCol w:w="2109"/>
        <w:gridCol w:w="745"/>
        <w:gridCol w:w="1174"/>
        <w:gridCol w:w="718"/>
        <w:gridCol w:w="1201"/>
        <w:gridCol w:w="1920"/>
      </w:tblGrid>
      <w:tr>
        <w:trPr>
          <w:trHeight w:val="600"/>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w:t>
            </w:r>
            <w:r>
              <w:rPr>
                <w:sz w:val="44"/>
              </w:rPr>
              <mc:AlternateContent>
                <mc:Choice Requires="wps">
                  <w:drawing>
                    <wp:anchor distT="0" distB="0" distL="114300" distR="114300" simplePos="0" relativeHeight="76" behindDoc="0" locked="1" layoutInCell="1" hidden="0" allowOverlap="1">
                      <wp:simplePos x="0" y="0"/>
                      <wp:positionH relativeFrom="column">
                        <wp:posOffset>-1027430</wp:posOffset>
                      </wp:positionH>
                      <wp:positionV relativeFrom="page">
                        <wp:posOffset>-1029969</wp:posOffset>
                      </wp:positionV>
                      <wp:extent cx="3088639" cy="523241"/>
                      <wp:effectExtent l="3175" t="0" r="13335" b="29209"/>
                      <wp:wrapNone/>
                      <wp:docPr id="1154" name="组合 46"/>
                      <wp:cNvGraphicFramePr>
                        <a:graphicFrameLocks noChangeAspect="0"/>
                      </wp:cNvGraphicFramePr>
                      <a:graphic>
                        <a:graphicData uri="http://schemas.microsoft.com/office/word/2010/wordprocessingGroup">
                          <wpg:wgp>
                            <wpg:cNvPr id="63" name="组合 46 63"/>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64" name="矩形 15 64"/>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65" name="矩形 16 65"/>
                              <wps:cNvSpPr/>
                              <wps:spPr>
                                <a:xfrm rot="0">
                                  <a:off x="9396" y="102927"/>
                                  <a:ext cx="3008406" cy="420314"/>
                                </a:xfrm>
                                <a:prstGeom prst="rect"/>
                                <a:solidFill>
                                  <a:srgbClr val="AD002D"/>
                                </a:solidFill>
                                <a:ln w="25400" cmpd="sng" cap="flat">
                                  <a:solidFill>
                                    <a:srgbClr val="AF7621"/>
                                  </a:solidFill>
                                  <a:prstDash val="solid"/>
                                  <a:round/>
                                </a:ln>
                              </wps:spPr>
                              <wps:txbx id="66">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46" o:spid="_x0000_s67" coordorigin="-30,476" coordsize="4864,824" style="position:absolute;margin-left:-80.9pt;margin-top:-81.1pt;width:243.2pt;height:41.200134pt;z-index:76;mso-position-horizontal:absolute;mso-position-vertical:absolute;mso-position-vertical-relative:page;">
                      <v:rect type="#_x0000_t1" id="矩形 15 64" o:spid="_x0000_s68" style="position:absolute;left:-30;top:476;width:4864;height:692;" fillcolor="#D8D8D8" stroked="f" strokeweight="-1.0pt">
                        <v:stroke/>
                      </v:rect>
                      <v:rect type="#_x0000_t1" id="_s69" o:spid="_x0000_s69" style="position:absolute;left:-15;top:638;width:4737;height:661;mso-wrap-style:square;" fillcolor="#AD002D" stroked="t" strokeweight="2.0pt">
                        <v:textbox id="862"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款支出决算表</w:t>
            </w:r>
          </w:p>
        </w:tc>
      </w:tr>
      <w:tr>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公开05表</w:t>
            </w:r>
          </w:p>
        </w:tc>
      </w:tr>
      <w:tr>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Cs w:val="21"/>
              </w:rPr>
            </w:pPr>
            <w:r>
              <w:rPr>
                <w:rFonts w:ascii="宋体" w:cs="宋体" w:hAnsi="宋体" w:hint="eastAsia"/>
                <w:color w:val="000000"/>
                <w:kern w:val="0"/>
                <w:szCs w:val="21"/>
              </w:rPr>
              <w:t>部门：</w:t>
            </w:r>
            <w:r>
              <w:rPr>
                <w:rFonts w:ascii="宋体" w:cs="宋体" w:hAnsi="宋体"/>
                <w:kern w:val="0"/>
                <w:sz w:val="21"/>
                <w:szCs w:val="21"/>
              </w:rPr>
              <w:t>遵化市人民政府房屋征收办公室</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cs="Arial" w:hAnsi="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351"/>
        </w:trPr>
        <w:tc>
          <w:tcPr>
            <w:tcW w:w="31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本年支出</w:t>
            </w:r>
          </w:p>
        </w:tc>
      </w:tr>
      <w:tr>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项目支出</w:t>
            </w:r>
          </w:p>
        </w:tc>
      </w:tr>
      <w:tr>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1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栏次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1</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2</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3</w:t>
            </w:r>
          </w:p>
        </w:tc>
      </w:tr>
      <w:tr>
        <w:trPr>
          <w:trHeight w:val="368"/>
        </w:trPr>
        <w:tc>
          <w:tcPr>
            <w:tcW w:w="310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r>
              <w:rPr>
                <w:rFonts w:ascii="宋体" w:cs="宋体" w:hAnsi="宋体" w:hint="eastAsia"/>
                <w:b/>
                <w:color w:val="000000"/>
                <w:szCs w:val="21"/>
              </w:rPr>
              <w:t>159.40</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r>
              <w:rPr>
                <w:rFonts w:ascii="宋体" w:cs="宋体" w:hAnsi="宋体" w:hint="eastAsia"/>
                <w:b/>
                <w:color w:val="000000"/>
                <w:szCs w:val="21"/>
              </w:rPr>
              <w:t>111.68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b/>
                <w:color w:val="000000"/>
                <w:szCs w:val="21"/>
              </w:rPr>
            </w:pPr>
            <w:r>
              <w:rPr>
                <w:rFonts w:ascii="宋体" w:cs="宋体" w:hAnsi="宋体" w:hint="eastAsia"/>
                <w:b/>
                <w:color w:val="000000"/>
                <w:szCs w:val="21"/>
              </w:rPr>
              <w:t>47.72</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2080505</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机关事业单位基本养老保险缴费支出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13.38</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2101102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事业单位医疗</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9.41</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2120101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行政运行</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80.86</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2120102</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一般行政管理事务</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27.54</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2129999</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其他城乡社区支出</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20.18</w:t>
            </w: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2210201</w:t>
            </w: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r>
              <w:rPr>
                <w:rFonts w:ascii="宋体" w:cs="宋体" w:hAnsi="宋体" w:hint="eastAsia"/>
                <w:color w:val="000000"/>
                <w:szCs w:val="21"/>
              </w:rPr>
              <w:t xml:space="preserve">  住房公积金</w:t>
            </w: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r>
              <w:rPr>
                <w:rFonts w:ascii="宋体" w:cs="宋体" w:hAnsi="宋体" w:hint="eastAsia"/>
                <w:color w:val="000000"/>
                <w:szCs w:val="21"/>
              </w:rPr>
              <w:t>8.03</w:t>
            </w: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2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lef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1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c>
          <w:tcPr>
            <w:tcW w:w="19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tLeast"/>
              <w:jc w:val="right"/>
              <w:rPr>
                <w:rFonts w:ascii="宋体" w:cs="宋体" w:hAnsi="宋体"/>
                <w:color w:val="000000"/>
                <w:szCs w:val="21"/>
              </w:rPr>
            </w:pPr>
          </w:p>
        </w:tc>
      </w:tr>
      <w:tr>
        <w:trPr>
          <w:trHeight w:val="368"/>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cs="宋体" w:hAnsi="宋体"/>
                <w:color w:val="000000"/>
                <w:szCs w:val="21"/>
              </w:rPr>
            </w:pPr>
            <w:r>
              <w:rPr>
                <w:rFonts w:ascii="宋体" w:cs="宋体" w:hAnsi="宋体" w:hint="eastAsia"/>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center"/>
        <w:tblW w:w="91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59"/>
        <w:gridCol w:w="1598"/>
        <w:gridCol w:w="840"/>
        <w:gridCol w:w="477"/>
        <w:gridCol w:w="1763"/>
        <w:gridCol w:w="740"/>
        <w:gridCol w:w="560"/>
        <w:gridCol w:w="1788"/>
        <w:gridCol w:w="857"/>
      </w:tblGrid>
      <w:tr>
        <w:trPr>
          <w:trHeight w:val="526"/>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一般公共预算财政拨款基本支出决算表</w:t>
            </w:r>
          </w:p>
        </w:tc>
      </w:tr>
      <w:tr>
        <w:trPr>
          <w:trHeight w:val="269"/>
        </w:trPr>
        <w:tc>
          <w:tcPr>
            <w:tcW w:w="55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59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762"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cs="宋体" w:hAnsi="宋体"/>
                <w:color w:val="000000"/>
                <w:sz w:val="22"/>
                <w:szCs w:val="22"/>
              </w:rPr>
            </w:pPr>
            <w:r>
              <w:rPr>
                <w:rFonts w:ascii="宋体" w:cs="宋体" w:hAnsi="宋体" w:hint="eastAsia"/>
                <w:color w:val="000000"/>
                <w:kern w:val="0"/>
                <w:sz w:val="22"/>
                <w:szCs w:val="22"/>
              </w:rPr>
              <w:t>公开06表</w:t>
            </w:r>
          </w:p>
        </w:tc>
      </w:tr>
      <w:tr>
        <w:trPr>
          <w:trHeight w:val="269"/>
        </w:trPr>
        <w:tc>
          <w:tcPr>
            <w:tcW w:w="5236"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cs="宋体" w:hAnsi="宋体"/>
                <w:color w:val="000000"/>
                <w:sz w:val="22"/>
                <w:szCs w:val="22"/>
              </w:rPr>
            </w:pPr>
            <w:r>
              <w:rPr>
                <w:rFonts w:ascii="宋体" w:cs="宋体" w:hAnsi="宋体" w:hint="eastAsia"/>
                <w:color w:val="000000"/>
                <w:kern w:val="0"/>
                <w:sz w:val="22"/>
                <w:szCs w:val="22"/>
              </w:rPr>
              <w:t>部门：</w:t>
            </w:r>
            <w:r>
              <w:rPr>
                <w:rFonts w:ascii="宋体" w:cs="宋体" w:hAnsi="宋体"/>
                <w:kern w:val="0"/>
                <w:sz w:val="21"/>
                <w:szCs w:val="21"/>
              </w:rPr>
              <w:t>遵化市人民政府房屋征收办公室</w:t>
            </w:r>
            <w:r>
              <w:rPr>
                <w:sz w:val="44"/>
              </w:rPr>
              <mc:AlternateContent>
                <mc:Choice Requires="wps">
                  <w:drawing>
                    <wp:anchor distT="0" distB="0" distL="114300" distR="114300" simplePos="0" relativeHeight="78" behindDoc="0" locked="1" layoutInCell="1" hidden="0" allowOverlap="1">
                      <wp:simplePos x="0" y="0"/>
                      <wp:positionH relativeFrom="column">
                        <wp:posOffset>-930275</wp:posOffset>
                      </wp:positionH>
                      <wp:positionV relativeFrom="page">
                        <wp:posOffset>-1643379</wp:posOffset>
                      </wp:positionV>
                      <wp:extent cx="3088639" cy="523241"/>
                      <wp:effectExtent l="3175" t="0" r="13335" b="29209"/>
                      <wp:wrapNone/>
                      <wp:docPr id="1155" name="组合 49"/>
                      <wp:cNvGraphicFramePr>
                        <a:graphicFrameLocks noChangeAspect="0"/>
                      </wp:cNvGraphicFramePr>
                      <a:graphic>
                        <a:graphicData uri="http://schemas.microsoft.com/office/word/2010/wordprocessingGroup">
                          <wpg:wgp>
                            <wpg:cNvPr id="70" name="组合 49 70"/>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71" name="矩形 17 71"/>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72" name="矩形 18 72"/>
                              <wps:cNvSpPr/>
                              <wps:spPr>
                                <a:xfrm rot="0">
                                  <a:off x="9396" y="102927"/>
                                  <a:ext cx="3008406" cy="420314"/>
                                </a:xfrm>
                                <a:prstGeom prst="rect"/>
                                <a:solidFill>
                                  <a:srgbClr val="AD002D"/>
                                </a:solidFill>
                                <a:ln w="25400" cmpd="sng" cap="flat">
                                  <a:solidFill>
                                    <a:srgbClr val="AF7621"/>
                                  </a:solidFill>
                                  <a:prstDash val="solid"/>
                                  <a:round/>
                                </a:ln>
                              </wps:spPr>
                              <wps:txbx id="73">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49" o:spid="_x0000_s74" coordorigin="-30,438" coordsize="4864,824" style="position:absolute;margin-left:-73.25pt;margin-top:-129.4pt;width:243.2pt;height:41.200138pt;z-index:78;mso-position-horizontal:absolute;mso-position-vertical:absolute;mso-position-vertical-relative:page;">
                      <v:rect type="#_x0000_t1" id="矩形 17 71" o:spid="_x0000_s75" style="position:absolute;left:-30;top:438;width:4864;height:692;" fillcolor="#D8D8D8" stroked="f" strokeweight="-1.0pt">
                        <v:stroke/>
                      </v:rect>
                      <v:rect type="#_x0000_t1" id="_s76" o:spid="_x0000_s76" style="position:absolute;left:-16;top:600;width:4737;height:661;mso-wrap-style:square;" fillcolor="#AD002D" stroked="t" strokeweight="2.0pt">
                        <v:textbox id="863"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cs="宋体" w:hAnsi="宋体"/>
                <w:color w:val="000000"/>
                <w:sz w:val="22"/>
                <w:szCs w:val="22"/>
              </w:rPr>
            </w:pPr>
            <w:r>
              <w:rPr>
                <w:rFonts w:ascii="宋体" w:cs="宋体" w:hAnsi="宋体" w:hint="eastAsia"/>
                <w:color w:val="000000"/>
                <w:kern w:val="0"/>
                <w:sz w:val="22"/>
                <w:szCs w:val="22"/>
              </w:rPr>
              <w:t>金额单位：万元</w:t>
            </w:r>
          </w:p>
        </w:tc>
      </w:tr>
      <w:tr>
        <w:trPr>
          <w:trHeight w:val="277"/>
        </w:trPr>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人员经费</w:t>
            </w:r>
          </w:p>
        </w:tc>
        <w:tc>
          <w:tcPr>
            <w:tcW w:w="6183"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公用经费</w:t>
            </w:r>
          </w:p>
        </w:tc>
      </w:tr>
      <w:tr>
        <w:trPr>
          <w:trHeight w:val="312"/>
        </w:trPr>
        <w:tc>
          <w:tcPr>
            <w:tcW w:w="55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科目编码</w:t>
            </w:r>
          </w:p>
        </w:tc>
        <w:tc>
          <w:tcPr>
            <w:tcW w:w="159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73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决算数</w:t>
            </w:r>
          </w:p>
        </w:tc>
        <w:tc>
          <w:tcPr>
            <w:tcW w:w="5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决算数</w:t>
            </w:r>
          </w:p>
        </w:tc>
      </w:tr>
      <w:tr>
        <w:trPr>
          <w:trHeight w:val="312"/>
        </w:trPr>
        <w:tc>
          <w:tcPr>
            <w:tcW w:w="55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9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105.77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5.12</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35.50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办公费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0.31</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印刷费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咨询费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手续费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35.64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水费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13.38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邮电费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0.44</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9.41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取暖费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0.81</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物业管理费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0.51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差旅费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0.20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8.03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因公出国（境）费用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30114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维修（护）费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30199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3.30</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租赁费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0.79</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会议费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30301</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培训费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30302</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公务接待费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30303</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专用材料费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30304</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0.73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被装购置费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30305</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专用燃料费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30306</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劳务费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30307</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委托业务费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30308</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工会经费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0.80</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0"/>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30309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福利费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0.77</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30310</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公务用车运行维护费</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1.81</w:t>
            </w: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30399</w:t>
            </w: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0.06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其他交通费用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238"/>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税金及附加费用</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425"/>
        </w:trPr>
        <w:tc>
          <w:tcPr>
            <w:tcW w:w="5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5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其他商品和服务支出</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p>
        </w:tc>
        <w:tc>
          <w:tcPr>
            <w:tcW w:w="5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after="0" w:line="240" w:lineRule="auto"/>
              <w:jc w:val="left"/>
              <w:rPr>
                <w:rFonts w:ascii="宋体" w:cs="宋体" w:hAnsi="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20"/>
                <w:szCs w:val="20"/>
              </w:rPr>
            </w:pPr>
          </w:p>
        </w:tc>
      </w:tr>
      <w:tr>
        <w:trPr>
          <w:trHeight w:val="317"/>
        </w:trPr>
        <w:tc>
          <w:tcPr>
            <w:tcW w:w="2157"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cs="宋体" w:hAnsi="宋体"/>
                <w:color w:val="000000"/>
                <w:sz w:val="16"/>
                <w:szCs w:val="16"/>
              </w:rPr>
            </w:pPr>
            <w:r>
              <w:rPr>
                <w:rFonts w:ascii="宋体" w:cs="宋体" w:hAnsi="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106.55</w:t>
            </w:r>
          </w:p>
        </w:tc>
        <w:tc>
          <w:tcPr>
            <w:tcW w:w="5326"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cs="宋体" w:hAnsi="宋体"/>
                <w:color w:val="000000"/>
                <w:sz w:val="16"/>
                <w:szCs w:val="16"/>
              </w:rPr>
            </w:pPr>
            <w:r>
              <w:rPr>
                <w:rFonts w:ascii="宋体" w:cs="宋体" w:hAnsi="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after="0" w:line="240" w:lineRule="auto"/>
              <w:jc w:val="right"/>
              <w:rPr>
                <w:rFonts w:ascii="宋体" w:cs="宋体" w:hAnsi="宋体"/>
                <w:color w:val="000000"/>
                <w:sz w:val="16"/>
                <w:szCs w:val="16"/>
              </w:rPr>
            </w:pPr>
            <w:r>
              <w:rPr>
                <w:rFonts w:ascii="宋体" w:cs="宋体" w:hAnsi="宋体" w:hint="eastAsia"/>
                <w:color w:val="000000"/>
                <w:sz w:val="16"/>
                <w:szCs w:val="16"/>
              </w:rPr>
              <w:t>5.12</w:t>
            </w:r>
          </w:p>
        </w:tc>
      </w:tr>
      <w:tr>
        <w:trPr>
          <w:trHeight w:val="277"/>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cs="宋体" w:hAnsi="宋体"/>
                <w:color w:val="000000"/>
                <w:sz w:val="20"/>
                <w:szCs w:val="20"/>
              </w:rPr>
            </w:pPr>
            <w:r>
              <w:rPr>
                <w:rFonts w:ascii="宋体" w:cs="宋体" w:hAnsi="宋体" w:hint="eastAsia"/>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cent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158"/>
        <w:gridCol w:w="1527"/>
        <w:gridCol w:w="1528"/>
        <w:gridCol w:w="1530"/>
        <w:gridCol w:w="1530"/>
        <w:gridCol w:w="1527"/>
      </w:tblGrid>
      <w:tr>
        <w:trPr>
          <w:trHeight w:val="584"/>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一般公共预算财政拨款“</w:t>
            </w:r>
            <w:r>
              <w:rPr>
                <w:sz w:val="44"/>
              </w:rPr>
              <mc:AlternateContent>
                <mc:Choice Requires="wps">
                  <w:drawing>
                    <wp:anchor distT="0" distB="0" distL="114300" distR="114300" simplePos="0" relativeHeight="80" behindDoc="0" locked="1" layoutInCell="1" hidden="0" allowOverlap="1">
                      <wp:simplePos x="0" y="0"/>
                      <wp:positionH relativeFrom="column">
                        <wp:posOffset>-1050925</wp:posOffset>
                      </wp:positionH>
                      <wp:positionV relativeFrom="page">
                        <wp:posOffset>-1029969</wp:posOffset>
                      </wp:positionV>
                      <wp:extent cx="3088639" cy="523241"/>
                      <wp:effectExtent l="3175" t="0" r="13335" b="29209"/>
                      <wp:wrapNone/>
                      <wp:docPr id="1156" name="组合 52"/>
                      <wp:cNvGraphicFramePr>
                        <a:graphicFrameLocks noChangeAspect="0"/>
                      </wp:cNvGraphicFramePr>
                      <a:graphic>
                        <a:graphicData uri="http://schemas.microsoft.com/office/word/2010/wordprocessingGroup">
                          <wpg:wgp>
                            <wpg:cNvPr id="77" name="组合 52 77"/>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78" name="矩形 19 78"/>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79" name="矩形 20 79"/>
                              <wps:cNvSpPr/>
                              <wps:spPr>
                                <a:xfrm rot="0">
                                  <a:off x="9396" y="102927"/>
                                  <a:ext cx="3008405" cy="420314"/>
                                </a:xfrm>
                                <a:prstGeom prst="rect"/>
                                <a:solidFill>
                                  <a:srgbClr val="AD002D"/>
                                </a:solidFill>
                                <a:ln w="25400" cmpd="sng" cap="flat">
                                  <a:solidFill>
                                    <a:srgbClr val="AF7621"/>
                                  </a:solidFill>
                                  <a:prstDash val="solid"/>
                                  <a:round/>
                                </a:ln>
                              </wps:spPr>
                              <wps:txbx id="80">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52" o:spid="_x0000_s81" coordorigin="-29,476" coordsize="4864,824" style="position:absolute;margin-left:-82.75pt;margin-top:-81.1pt;width:243.2pt;height:41.200134pt;z-index:80;mso-position-horizontal:absolute;mso-position-vertical:absolute;mso-position-vertical-relative:page;">
                      <v:rect type="#_x0000_t1" id="矩形 19 78" o:spid="_x0000_s82" style="position:absolute;left:-29;top:476;width:4864;height:692;" fillcolor="#D8D8D8" stroked="f" strokeweight="-1.0pt">
                        <v:stroke/>
                      </v:rect>
                      <v:rect type="#_x0000_t1" id="_s83" o:spid="_x0000_s83" style="position:absolute;left:-15;top:638;width:4737;height:661;mso-wrap-style:square;" fillcolor="#AD002D" stroked="t" strokeweight="2.0pt">
                        <v:textbox id="864"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三公”经费支出决算表</w:t>
            </w:r>
          </w:p>
        </w:tc>
      </w:tr>
      <w:tr>
        <w:trPr>
          <w:trHeight w:val="347"/>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hAnsi="宋体"/>
                <w:color w:val="000000"/>
                <w:sz w:val="20"/>
                <w:szCs w:val="20"/>
              </w:rPr>
            </w:pPr>
            <w:r>
              <w:rPr>
                <w:rFonts w:ascii="宋体" w:cs="宋体" w:hAnsi="宋体" w:hint="eastAsia"/>
                <w:color w:val="000000"/>
                <w:kern w:val="0"/>
                <w:sz w:val="20"/>
                <w:szCs w:val="20"/>
              </w:rPr>
              <w:t>公开07表</w:t>
            </w:r>
          </w:p>
        </w:tc>
      </w:tr>
      <w:tr>
        <w:trPr>
          <w:trHeight w:val="347"/>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hAnsi="宋体"/>
                <w:color w:val="000000"/>
                <w:sz w:val="20"/>
                <w:szCs w:val="20"/>
              </w:rPr>
            </w:pPr>
            <w:r>
              <w:rPr>
                <w:rFonts w:ascii="宋体" w:cs="宋体" w:hAnsi="宋体" w:hint="eastAsia"/>
                <w:color w:val="000000"/>
                <w:kern w:val="0"/>
                <w:sz w:val="20"/>
                <w:szCs w:val="20"/>
              </w:rPr>
              <w:t>部门：</w:t>
            </w:r>
            <w:r>
              <w:rPr>
                <w:rFonts w:ascii="宋体" w:cs="宋体" w:hAnsi="宋体"/>
                <w:kern w:val="0"/>
                <w:sz w:val="21"/>
                <w:szCs w:val="21"/>
              </w:rPr>
              <w:t>遵化市人民政府房屋征收办公室</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hAnsi="宋体"/>
                <w:color w:val="000000"/>
                <w:sz w:val="20"/>
                <w:szCs w:val="20"/>
              </w:rPr>
            </w:pPr>
            <w:r>
              <w:rPr>
                <w:rFonts w:ascii="宋体" w:cs="宋体" w:hAnsi="宋体" w:hint="eastAsia"/>
                <w:color w:val="000000"/>
                <w:kern w:val="0"/>
                <w:sz w:val="20"/>
                <w:szCs w:val="20"/>
              </w:rPr>
              <w:t>金额单位：万元</w:t>
            </w:r>
          </w:p>
        </w:tc>
      </w:tr>
      <w:tr>
        <w:trPr>
          <w:trHeight w:val="482"/>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预算数</w:t>
            </w:r>
          </w:p>
        </w:tc>
      </w:tr>
      <w:tr>
        <w:trPr>
          <w:trHeight w:val="43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公务接待费</w:t>
            </w:r>
          </w:p>
        </w:tc>
      </w:tr>
      <w:tr>
        <w:trPr>
          <w:trHeight w:val="686"/>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6</w:t>
            </w: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r>
              <w:rPr>
                <w:rFonts w:ascii="宋体" w:cs="宋体" w:hAnsi="宋体" w:hint="eastAsia"/>
                <w:color w:val="000000"/>
                <w:szCs w:val="21"/>
              </w:rPr>
              <w:t>2.05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r>
              <w:rPr>
                <w:rFonts w:ascii="宋体" w:cs="宋体" w:hAnsi="宋体" w:hint="eastAsia"/>
                <w:color w:val="000000"/>
                <w:szCs w:val="21"/>
              </w:rPr>
              <w:t>2.05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r>
              <w:rPr>
                <w:rFonts w:ascii="宋体" w:cs="宋体" w:hAnsi="宋体" w:hint="eastAsia"/>
                <w:color w:val="000000"/>
                <w:szCs w:val="21"/>
              </w:rPr>
              <w:t>2.05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498"/>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决算数</w:t>
            </w:r>
          </w:p>
        </w:tc>
      </w:tr>
      <w:tr>
        <w:trPr>
          <w:trHeight w:val="435"/>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公务接待费</w:t>
            </w:r>
          </w:p>
        </w:tc>
      </w:tr>
      <w:tr>
        <w:trPr>
          <w:trHeight w:val="672"/>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12</w:t>
            </w:r>
          </w:p>
        </w:tc>
      </w:tr>
      <w:tr>
        <w:trPr>
          <w:trHeight w:val="435"/>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r>
              <w:rPr>
                <w:rFonts w:ascii="宋体" w:cs="宋体" w:hAnsi="宋体" w:hint="eastAsia"/>
                <w:color w:val="000000"/>
                <w:szCs w:val="21"/>
              </w:rPr>
              <w:t>2.05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r>
              <w:rPr>
                <w:rFonts w:ascii="宋体" w:cs="宋体" w:hAnsi="宋体" w:hint="eastAsia"/>
                <w:color w:val="000000"/>
                <w:szCs w:val="21"/>
              </w:rPr>
              <w:t>2.05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r>
              <w:rPr>
                <w:rFonts w:ascii="宋体" w:cs="宋体" w:hAnsi="宋体" w:hint="eastAsia"/>
                <w:color w:val="000000"/>
                <w:szCs w:val="21"/>
              </w:rPr>
              <w:t>2.05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782"/>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cs="宋体" w:hAnsi="宋体"/>
                <w:color w:val="000000"/>
                <w:szCs w:val="21"/>
              </w:rPr>
            </w:pPr>
            <w:r>
              <w:rPr>
                <w:rFonts w:ascii="宋体" w:cs="宋体" w:hAnsi="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8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296"/>
        <w:gridCol w:w="191"/>
        <w:gridCol w:w="479"/>
        <w:gridCol w:w="669"/>
        <w:gridCol w:w="376"/>
        <w:gridCol w:w="1166"/>
        <w:gridCol w:w="840"/>
        <w:gridCol w:w="1191"/>
        <w:gridCol w:w="1192"/>
        <w:gridCol w:w="1192"/>
        <w:gridCol w:w="1268"/>
      </w:tblGrid>
      <w:tr>
        <w:trPr>
          <w:trHeight w:val="707"/>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eastAsia="黑体" w:cs="黑体" w:hAnsi="宋体"/>
                <w:color w:val="000000"/>
                <w:sz w:val="36"/>
                <w:szCs w:val="36"/>
              </w:rPr>
            </w:pPr>
            <w:r>
              <w:rPr>
                <w:rFonts w:ascii="黑体" w:eastAsia="黑体" w:cs="黑体" w:hAnsi="宋体" w:hint="eastAsia"/>
                <w:color w:val="000000"/>
                <w:kern w:val="0"/>
                <w:sz w:val="36"/>
                <w:szCs w:val="36"/>
              </w:rPr>
              <w:t>政府性基金预算财政拨款</w:t>
            </w:r>
            <w:r>
              <w:rPr>
                <w:sz w:val="44"/>
              </w:rPr>
              <mc:AlternateContent>
                <mc:Choice Requires="wps">
                  <w:drawing>
                    <wp:anchor distT="0" distB="0" distL="114300" distR="114300" simplePos="0" relativeHeight="82" behindDoc="0" locked="1" layoutInCell="1" hidden="0" allowOverlap="1">
                      <wp:simplePos x="0" y="0"/>
                      <wp:positionH relativeFrom="column">
                        <wp:posOffset>-1027430</wp:posOffset>
                      </wp:positionH>
                      <wp:positionV relativeFrom="page">
                        <wp:posOffset>-1029969</wp:posOffset>
                      </wp:positionV>
                      <wp:extent cx="3088639" cy="523241"/>
                      <wp:effectExtent l="3175" t="0" r="13335" b="29209"/>
                      <wp:wrapNone/>
                      <wp:docPr id="1157" name="组合 55"/>
                      <wp:cNvGraphicFramePr>
                        <a:graphicFrameLocks noChangeAspect="0"/>
                      </wp:cNvGraphicFramePr>
                      <a:graphic>
                        <a:graphicData uri="http://schemas.microsoft.com/office/word/2010/wordprocessingGroup">
                          <wpg:wgp>
                            <wpg:cNvPr id="84" name="组合 55 84"/>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85" name="矩形 21 85"/>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86" name="矩形 22 86"/>
                              <wps:cNvSpPr/>
                              <wps:spPr>
                                <a:xfrm rot="0">
                                  <a:off x="9396" y="102927"/>
                                  <a:ext cx="3008406" cy="420314"/>
                                </a:xfrm>
                                <a:prstGeom prst="rect"/>
                                <a:solidFill>
                                  <a:srgbClr val="AD002D"/>
                                </a:solidFill>
                                <a:ln w="25400" cmpd="sng" cap="flat">
                                  <a:solidFill>
                                    <a:srgbClr val="AF7621"/>
                                  </a:solidFill>
                                  <a:prstDash val="solid"/>
                                  <a:round/>
                                </a:ln>
                              </wps:spPr>
                              <wps:txbx id="87">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55" o:spid="_x0000_s88" coordorigin="-30,476" coordsize="4864,824" style="position:absolute;margin-left:-80.9pt;margin-top:-81.1pt;width:243.2pt;height:41.200134pt;z-index:82;mso-position-horizontal:absolute;mso-position-vertical:absolute;mso-position-vertical-relative:page;">
                      <v:rect type="#_x0000_t1" id="矩形 21 85" o:spid="_x0000_s89" style="position:absolute;left:-30;top:476;width:4864;height:692;" fillcolor="#D8D8D8" stroked="f" strokeweight="-1.0pt">
                        <v:stroke/>
                      </v:rect>
                      <v:rect type="#_x0000_t1" id="_s90" o:spid="_x0000_s90" style="position:absolute;left:-15;top:638;width:4737;height:661;mso-wrap-style:square;" fillcolor="#AD002D" stroked="t" strokeweight="2.0pt">
                        <v:textbox id="865"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36"/>
                <w:szCs w:val="36"/>
              </w:rPr>
              <w:t>收入支出决算表</w:t>
            </w:r>
          </w:p>
        </w:tc>
      </w:tr>
      <w:tr>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cs="宋体" w:hAnsi="宋体"/>
                <w:color w:val="000000"/>
                <w:szCs w:val="21"/>
              </w:rPr>
            </w:pPr>
            <w:r>
              <w:rPr>
                <w:rFonts w:ascii="宋体" w:cs="宋体" w:hAnsi="宋体" w:hint="eastAsia"/>
                <w:color w:val="000000"/>
                <w:kern w:val="0"/>
                <w:szCs w:val="21"/>
              </w:rPr>
              <w:t>公开08表</w:t>
            </w:r>
          </w:p>
        </w:tc>
      </w:tr>
      <w:tr>
        <w:trPr>
          <w:trHeight w:val="411"/>
        </w:trPr>
        <w:tc>
          <w:tcPr>
            <w:tcW w:w="4017"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r>
              <w:rPr>
                <w:rFonts w:ascii="宋体" w:cs="宋体" w:hAnsi="宋体" w:hint="eastAsia"/>
                <w:color w:val="000000"/>
                <w:kern w:val="0"/>
                <w:szCs w:val="21"/>
              </w:rPr>
              <w:t>部门：</w:t>
            </w:r>
            <w:r>
              <w:rPr>
                <w:rFonts w:ascii="宋体" w:cs="宋体" w:hAnsi="宋体"/>
                <w:kern w:val="0"/>
                <w:sz w:val="21"/>
                <w:szCs w:val="21"/>
              </w:rPr>
              <w:t>遵化市人民政府房屋征收办公室</w:t>
            </w: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cs="Arial" w:hAnsi="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324"/>
        </w:trPr>
        <w:tc>
          <w:tcPr>
            <w:tcW w:w="20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年末结转和结余</w:t>
            </w:r>
          </w:p>
        </w:tc>
      </w:tr>
      <w:tr>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栏次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2</w:t>
            </w: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6</w:t>
            </w:r>
          </w:p>
        </w:tc>
      </w:tr>
      <w:tr>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b/>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b/>
                <w:color w:val="000000"/>
                <w:szCs w:val="21"/>
              </w:rPr>
            </w:pPr>
            <w:r>
              <w:rPr>
                <w:rFonts w:ascii="宋体" w:cs="宋体" w:hAnsi="宋体" w:hint="eastAsia"/>
                <w:b/>
                <w:color w:val="000000"/>
                <w:szCs w:val="21"/>
              </w:rPr>
              <w:t>12642.38</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b/>
                <w:color w:val="000000"/>
                <w:szCs w:val="21"/>
              </w:rPr>
            </w:pPr>
            <w:r>
              <w:rPr>
                <w:rFonts w:ascii="宋体" w:cs="宋体" w:hAnsi="宋体" w:hint="eastAsia"/>
                <w:b/>
                <w:color w:val="000000"/>
                <w:szCs w:val="21"/>
              </w:rPr>
              <w:t>12642.38</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b/>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r>
              <w:rPr>
                <w:rFonts w:ascii="宋体" w:cs="宋体" w:hAnsi="宋体" w:hint="eastAsia"/>
                <w:color w:val="000000"/>
                <w:szCs w:val="21"/>
              </w:rPr>
              <w:t>2120801</w:t>
            </w: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r>
              <w:rPr>
                <w:rFonts w:ascii="宋体" w:cs="宋体" w:hAnsi="宋体" w:hint="eastAsia"/>
                <w:color w:val="000000"/>
                <w:szCs w:val="21"/>
              </w:rPr>
              <w:t xml:space="preserve">  征地和拆迁补偿支出</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r>
              <w:rPr>
                <w:rFonts w:ascii="宋体" w:cs="宋体" w:hAnsi="宋体" w:hint="eastAsia"/>
                <w:color w:val="000000"/>
                <w:szCs w:val="21"/>
              </w:rPr>
              <w:t>12362.83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r>
              <w:rPr>
                <w:rFonts w:ascii="宋体" w:cs="宋体" w:hAnsi="宋体" w:hint="eastAsia"/>
                <w:color w:val="000000"/>
                <w:szCs w:val="21"/>
              </w:rPr>
              <w:t>12362.83</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r>
              <w:rPr>
                <w:rFonts w:ascii="宋体" w:cs="宋体" w:hAnsi="宋体" w:hint="eastAsia"/>
                <w:color w:val="000000"/>
                <w:szCs w:val="21"/>
              </w:rPr>
              <w:t>2120803</w:t>
            </w: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r>
              <w:rPr>
                <w:rFonts w:ascii="宋体" w:cs="宋体" w:hAnsi="宋体" w:hint="eastAsia"/>
                <w:color w:val="000000"/>
                <w:szCs w:val="21"/>
              </w:rPr>
              <w:t xml:space="preserve">  城市建设支出</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r>
              <w:rPr>
                <w:rFonts w:ascii="宋体" w:cs="宋体" w:hAnsi="宋体" w:hint="eastAsia"/>
                <w:color w:val="000000"/>
                <w:szCs w:val="21"/>
              </w:rPr>
              <w:t>279.54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r>
              <w:rPr>
                <w:rFonts w:ascii="宋体" w:cs="宋体" w:hAnsi="宋体" w:hint="eastAsia"/>
                <w:color w:val="000000"/>
                <w:szCs w:val="21"/>
              </w:rPr>
              <w:t>279.54</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cs="宋体" w:hAnsi="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cs="宋体" w:hAnsi="宋体"/>
                <w:color w:val="000000"/>
                <w:szCs w:val="21"/>
              </w:rPr>
            </w:pPr>
          </w:p>
        </w:tc>
      </w:tr>
      <w:tr>
        <w:trPr>
          <w:trHeight w:val="324"/>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cs="宋体" w:hAnsi="宋体"/>
                <w:color w:val="000000"/>
                <w:szCs w:val="21"/>
              </w:rPr>
            </w:pPr>
            <w:r>
              <w:rPr>
                <w:rFonts w:ascii="宋体" w:cs="宋体" w:hAnsi="宋体" w:hint="eastAsia"/>
                <w:color w:val="000000"/>
                <w:kern w:val="0"/>
                <w:szCs w:val="21"/>
              </w:rPr>
              <w:t xml:space="preserve">注：本表反映部门本年度政府性基金预算财政拨款收入、支出及结转和结余情况。         </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442"/>
        <w:gridCol w:w="208"/>
        <w:gridCol w:w="504"/>
        <w:gridCol w:w="274"/>
        <w:gridCol w:w="894"/>
        <w:gridCol w:w="783"/>
        <w:gridCol w:w="252"/>
        <w:gridCol w:w="1646"/>
        <w:gridCol w:w="359"/>
        <w:gridCol w:w="1539"/>
        <w:gridCol w:w="1899"/>
      </w:tblGrid>
      <w:tr>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国有资本经营预算财政拨</w:t>
            </w:r>
            <w:r>
              <w:rPr>
                <w:sz w:val="44"/>
              </w:rPr>
              <mc:AlternateContent>
                <mc:Choice Requires="wps">
                  <w:drawing>
                    <wp:anchor distT="0" distB="0" distL="114300" distR="114300" simplePos="0" relativeHeight="84" behindDoc="0" locked="1" layoutInCell="1" hidden="0" allowOverlap="1">
                      <wp:simplePos x="0" y="0"/>
                      <wp:positionH relativeFrom="column">
                        <wp:posOffset>-1027430</wp:posOffset>
                      </wp:positionH>
                      <wp:positionV relativeFrom="page">
                        <wp:posOffset>-1029969</wp:posOffset>
                      </wp:positionV>
                      <wp:extent cx="3088639" cy="523241"/>
                      <wp:effectExtent l="3175" t="0" r="13335" b="29209"/>
                      <wp:wrapNone/>
                      <wp:docPr id="1158" name="组合 58"/>
                      <wp:cNvGraphicFramePr>
                        <a:graphicFrameLocks noChangeAspect="0"/>
                      </wp:cNvGraphicFramePr>
                      <a:graphic>
                        <a:graphicData uri="http://schemas.microsoft.com/office/word/2010/wordprocessingGroup">
                          <wpg:wgp>
                            <wpg:cNvPr id="91" name="组合 58 91"/>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92" name="矩形 23 92"/>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93" name="矩形 24 93"/>
                              <wps:cNvSpPr/>
                              <wps:spPr>
                                <a:xfrm rot="0">
                                  <a:off x="9396" y="102927"/>
                                  <a:ext cx="3008406" cy="420314"/>
                                </a:xfrm>
                                <a:prstGeom prst="rect"/>
                                <a:solidFill>
                                  <a:srgbClr val="AD002D"/>
                                </a:solidFill>
                                <a:ln w="25400" cmpd="sng" cap="flat">
                                  <a:solidFill>
                                    <a:srgbClr val="AF7621"/>
                                  </a:solidFill>
                                  <a:prstDash val="solid"/>
                                  <a:round/>
                                </a:ln>
                              </wps:spPr>
                              <wps:txbx id="94">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58" o:spid="_x0000_s95" coordorigin="-30,476" coordsize="4864,824" style="position:absolute;margin-left:-80.9pt;margin-top:-81.1pt;width:243.2pt;height:41.200134pt;z-index:84;mso-position-horizontal:absolute;mso-position-vertical:absolute;mso-position-vertical-relative:page;">
                      <v:rect type="#_x0000_t1" id="矩形 23 92" o:spid="_x0000_s96" style="position:absolute;left:-30;top:476;width:4864;height:692;" fillcolor="#D8D8D8" stroked="f" strokeweight="-1.0pt">
                        <v:stroke/>
                      </v:rect>
                      <v:rect type="#_x0000_t1" id="_s97" o:spid="_x0000_s97" style="position:absolute;left:-15;top:638;width:4737;height:661;mso-wrap-style:square;" fillcolor="#AD002D" stroked="t" strokeweight="2.0pt">
                        <v:textbox id="866"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款支出决算表</w:t>
            </w:r>
          </w:p>
        </w:tc>
      </w:tr>
      <w:tr>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cs="宋体" w:hAnsi="宋体"/>
                <w:color w:val="000000"/>
                <w:sz w:val="22"/>
                <w:szCs w:val="22"/>
              </w:rPr>
            </w:pPr>
            <w:r>
              <w:rPr>
                <w:rFonts w:ascii="宋体" w:cs="宋体" w:hAnsi="宋体" w:hint="eastAsia"/>
                <w:color w:val="000000"/>
                <w:kern w:val="0"/>
                <w:sz w:val="22"/>
                <w:szCs w:val="22"/>
              </w:rPr>
              <w:t>公开09表</w:t>
            </w:r>
          </w:p>
        </w:tc>
      </w:tr>
      <w:tr>
        <w:trPr>
          <w:trHeight w:val="335"/>
        </w:trPr>
        <w:tc>
          <w:tcPr>
            <w:tcW w:w="5362"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cs="Arial" w:hAnsi="Arial"/>
                <w:color w:val="000000"/>
                <w:sz w:val="22"/>
                <w:szCs w:val="22"/>
              </w:rPr>
            </w:pPr>
            <w:r>
              <w:rPr>
                <w:rFonts w:ascii="宋体" w:cs="宋体" w:hAnsi="宋体" w:hint="eastAsia"/>
                <w:color w:val="000000"/>
                <w:kern w:val="0"/>
                <w:sz w:val="22"/>
                <w:szCs w:val="22"/>
              </w:rPr>
              <w:t>编制单位：</w:t>
            </w:r>
            <w:r>
              <w:rPr>
                <w:rFonts w:ascii="宋体" w:cs="宋体" w:hAnsi="宋体"/>
                <w:kern w:val="0"/>
                <w:sz w:val="21"/>
                <w:szCs w:val="21"/>
              </w:rPr>
              <w:t>遵化市人民政府房屋征收办公室</w:t>
            </w: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cs="宋体" w:hAnsi="宋体"/>
                <w:color w:val="000000"/>
                <w:sz w:val="22"/>
                <w:szCs w:val="22"/>
              </w:rPr>
            </w:pPr>
            <w:r>
              <w:rPr>
                <w:rFonts w:ascii="宋体" w:cs="宋体" w:hAnsi="宋体" w:hint="eastAsia"/>
                <w:color w:val="000000"/>
                <w:kern w:val="0"/>
                <w:sz w:val="22"/>
                <w:szCs w:val="22"/>
              </w:rPr>
              <w:t>金额单位：万元</w:t>
            </w:r>
          </w:p>
        </w:tc>
      </w:tr>
      <w:tr>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本年支出</w:t>
            </w:r>
          </w:p>
        </w:tc>
      </w:tr>
      <w:tr>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项目支出</w:t>
            </w:r>
          </w:p>
        </w:tc>
      </w:tr>
      <w:tr>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3</w:t>
            </w:r>
          </w:p>
        </w:tc>
      </w:tr>
      <w:tr>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cs="宋体" w:hAnsi="宋体"/>
                <w:color w:val="000000"/>
                <w:sz w:val="22"/>
                <w:szCs w:val="22"/>
              </w:rPr>
            </w:pPr>
            <w:r>
              <w:rPr>
                <w:rFonts w:ascii="宋体" w:cs="宋体" w:hAnsi="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r>
      <w:tr>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lef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after="0" w:line="240" w:lineRule="auto"/>
              <w:jc w:val="right"/>
              <w:rPr>
                <w:rFonts w:ascii="宋体" w:cs="宋体" w:hAnsi="宋体"/>
                <w:color w:val="000000"/>
                <w:sz w:val="22"/>
                <w:szCs w:val="22"/>
              </w:rPr>
            </w:pPr>
          </w:p>
        </w:tc>
      </w:tr>
      <w:tr>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cs="宋体" w:hAnsi="宋体"/>
                <w:color w:val="000000"/>
                <w:sz w:val="22"/>
                <w:szCs w:val="22"/>
              </w:rPr>
            </w:pPr>
            <w:r>
              <w:rPr>
                <w:rFonts w:ascii="宋体" w:cs="宋体" w:hAnsi="宋体" w:hint="eastAsia"/>
                <w:color w:val="000000"/>
                <w:kern w:val="0"/>
                <w:sz w:val="22"/>
                <w:szCs w:val="22"/>
              </w:rPr>
              <w:t>注：</w:t>
            </w:r>
            <w:r>
              <w:rPr>
                <w:rFonts w:ascii="宋体" w:cs="宋体" w:hAnsi="宋体" w:hint="eastAsia"/>
                <w:color w:val="000000"/>
                <w:kern w:val="0"/>
                <w:szCs w:val="21"/>
              </w:rPr>
              <w:t>本部门</w:t>
            </w:r>
            <w:r>
              <w:rPr>
                <w:rFonts w:ascii="宋体" w:cs="宋体" w:hAnsi="宋体"/>
                <w:color w:val="000000"/>
                <w:kern w:val="0"/>
                <w:szCs w:val="21"/>
              </w:rPr>
              <w:t>本年度无相关</w:t>
            </w:r>
            <w:r>
              <w:rPr>
                <w:rFonts w:ascii="宋体" w:cs="宋体" w:hAnsi="宋体" w:hint="eastAsia"/>
                <w:color w:val="000000"/>
                <w:kern w:val="0"/>
                <w:szCs w:val="21"/>
              </w:rPr>
              <w:t>支出</w:t>
            </w:r>
            <w:r>
              <w:rPr>
                <w:rFonts w:ascii="宋体" w:cs="宋体" w:hAnsi="宋体"/>
                <w:color w:val="000000"/>
                <w:kern w:val="0"/>
                <w:szCs w:val="21"/>
              </w:rPr>
              <w:t>，空表列示</w:t>
            </w:r>
            <w:r>
              <w:rPr>
                <w:rFonts w:ascii="宋体" w:cs="宋体" w:hAnsi="宋体" w:hint="eastAsia"/>
                <w:color w:val="000000"/>
                <w:kern w:val="0"/>
                <w:sz w:val="22"/>
                <w:szCs w:val="22"/>
              </w:rPr>
              <w:t>。</w:t>
            </w:r>
          </w:p>
        </w:tc>
      </w:tr>
    </w:tbl>
    <w:p>
      <w:pPr>
        <w:widowControl/>
        <w:spacing w:after="0" w:line="560" w:lineRule="exact"/>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p>
    <w:tbl>
      <w:tblPr>
        <w:jc w:val="left"/>
        <w:tblInd w:w="0" w:type="dxa"/>
        <w:tblW w:w="89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901"/>
        <w:gridCol w:w="1203"/>
        <w:gridCol w:w="790"/>
        <w:gridCol w:w="362"/>
        <w:gridCol w:w="911"/>
        <w:gridCol w:w="241"/>
        <w:gridCol w:w="1032"/>
        <w:gridCol w:w="120"/>
        <w:gridCol w:w="1154"/>
        <w:gridCol w:w="1226"/>
      </w:tblGrid>
      <w:tr>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eastAsia="黑体" w:cs="黑体" w:hAnsi="宋体"/>
                <w:color w:val="000000"/>
                <w:sz w:val="40"/>
                <w:szCs w:val="40"/>
              </w:rPr>
            </w:pPr>
            <w:r>
              <w:rPr>
                <w:rFonts w:ascii="黑体" w:eastAsia="黑体" w:cs="黑体" w:hAnsi="宋体" w:hint="eastAsia"/>
                <w:color w:val="000000"/>
                <w:kern w:val="0"/>
                <w:sz w:val="40"/>
                <w:szCs w:val="40"/>
              </w:rPr>
              <w:t>政府采购</w:t>
            </w:r>
            <w:r>
              <w:rPr>
                <w:sz w:val="44"/>
              </w:rPr>
              <mc:AlternateContent>
                <mc:Choice Requires="wps">
                  <w:drawing>
                    <wp:anchor distT="0" distB="0" distL="114300" distR="114300" simplePos="0" relativeHeight="86" behindDoc="0" locked="1" layoutInCell="1" hidden="0" allowOverlap="1">
                      <wp:simplePos x="0" y="0"/>
                      <wp:positionH relativeFrom="column">
                        <wp:posOffset>-1027430</wp:posOffset>
                      </wp:positionH>
                      <wp:positionV relativeFrom="page">
                        <wp:posOffset>-1029969</wp:posOffset>
                      </wp:positionV>
                      <wp:extent cx="3088639" cy="523241"/>
                      <wp:effectExtent l="3175" t="0" r="13335" b="29209"/>
                      <wp:wrapNone/>
                      <wp:docPr id="1159" name="组合 61"/>
                      <wp:cNvGraphicFramePr>
                        <a:graphicFrameLocks noChangeAspect="0"/>
                      </wp:cNvGraphicFramePr>
                      <a:graphic>
                        <a:graphicData uri="http://schemas.microsoft.com/office/word/2010/wordprocessingGroup">
                          <wpg:wgp>
                            <wpg:cNvPr id="98" name="组合 61 98"/>
                            <wpg:cNvGrpSpPr/>
                            <wpg:grpSpPr>
                              <a:xfrm rot="0">
                                <a:off x="0" y="0"/>
                                <a:ext cx="3088639" cy="523241"/>
                                <a:chOff x="0" y="0"/>
                                <a:chExt cx="3088639" cy="523241"/>
                              </a:xfrm>
                              <a:prstGeom prst="rect"/>
                              <a:solidFill>
                                <a:srgbClr val="FFFFFF"/>
                              </a:solidFill>
                              <a:ln w="9525" cmpd="sng" cap="flat">
                                <a:solidFill>
                                  <a:srgbClr val="000000"/>
                                </a:solidFill>
                                <a:prstDash val="solid"/>
                                <a:miter/>
                              </a:ln>
                            </wpg:grpSpPr>
                            <wps:wsp>
                              <wps:cNvPr id="99" name="矩形 25 99"/>
                              <wps:cNvSpPr/>
                              <wps:spPr>
                                <a:xfrm rot="0">
                                  <a:off x="0" y="0"/>
                                  <a:ext cx="3088639" cy="439777"/>
                                </a:xfrm>
                                <a:prstGeom prst="rect"/>
                                <a:solidFill>
                                  <a:srgbClr val="D8D8D8"/>
                                </a:solidFill>
                                <a:ln cmpd="sng" cap="flat">
                                  <a:noFill/>
                                  <a:prstDash val="solid"/>
                                  <a:round/>
                                </a:ln>
                              </wps:spPr>
                              <wps:bodyPr vert="horz" wrap="square" lIns="91440" tIns="45720" rIns="91440" bIns="45720" anchor="t" anchorCtr="0" upright="0">
                                <a:noAutofit/>
                              </wps:bodyPr>
                            </wps:wsp>
                            <wps:wsp>
                              <wps:cNvPr id="100" name="矩形 26 100"/>
                              <wps:cNvSpPr/>
                              <wps:spPr>
                                <a:xfrm rot="0">
                                  <a:off x="9396" y="102927"/>
                                  <a:ext cx="3008406" cy="420314"/>
                                </a:xfrm>
                                <a:prstGeom prst="rect"/>
                                <a:solidFill>
                                  <a:srgbClr val="AD002D"/>
                                </a:solidFill>
                                <a:ln w="25400" cmpd="sng" cap="flat">
                                  <a:solidFill>
                                    <a:srgbClr val="AF7621"/>
                                  </a:solidFill>
                                  <a:prstDash val="solid"/>
                                  <a:round/>
                                </a:ln>
                              </wps:spPr>
                              <wps:txbx id="101">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61" o:spid="_x0000_s102" coordorigin="-30,476" coordsize="4864,824" style="position:absolute;margin-left:-80.9pt;margin-top:-81.1pt;width:243.2pt;height:41.200134pt;z-index:86;mso-position-horizontal:absolute;mso-position-vertical:absolute;mso-position-vertical-relative:page;">
                      <v:rect type="#_x0000_t1" id="矩形 25 99" o:spid="_x0000_s103" style="position:absolute;left:-30;top:476;width:4864;height:692;" fillcolor="#D8D8D8" stroked="f" strokeweight="-1.0pt">
                        <v:stroke/>
                      </v:rect>
                      <v:rect type="#_x0000_t1" id="_s104" o:spid="_x0000_s104" style="position:absolute;left:-15;top:638;width:4737;height:661;mso-wrap-style:square;" fillcolor="#AD002D" stroked="t" strokeweight="2.0pt">
                        <v:textbox id="867"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2018年度部门决算☞决算报表</w:t>
                              </w:r>
                            </w:p>
                            <w:p>
                              <w:pPr>
                                <w:jc w:val="center"/>
                              </w:pPr>
                            </w:p>
                          </w:txbxContent>
                        </v:textbox>
                        <v:stroke color="#AF7621"/>
                      </v:rect>
                      <w10:anchorLock/>
                    </v:group>
                  </w:pict>
                </mc:Fallback>
              </mc:AlternateContent>
            </w:r>
            <w:r>
              <w:rPr>
                <w:rFonts w:ascii="黑体" w:eastAsia="黑体" w:cs="黑体" w:hAnsi="宋体" w:hint="eastAsia"/>
                <w:color w:val="000000"/>
                <w:kern w:val="0"/>
                <w:sz w:val="40"/>
                <w:szCs w:val="40"/>
              </w:rPr>
              <w:t>情况表</w:t>
            </w:r>
          </w:p>
        </w:tc>
      </w:tr>
      <w:tr>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cs="Arial" w:hAnsi="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hAnsi="宋体"/>
                <w:color w:val="000000"/>
                <w:szCs w:val="21"/>
              </w:rPr>
            </w:pPr>
            <w:r>
              <w:rPr>
                <w:rFonts w:ascii="宋体" w:cs="宋体" w:hAnsi="宋体" w:hint="eastAsia"/>
                <w:color w:val="000000"/>
                <w:kern w:val="0"/>
                <w:szCs w:val="21"/>
              </w:rPr>
              <w:t>公开10表</w:t>
            </w:r>
          </w:p>
        </w:tc>
      </w:tr>
      <w:tr>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hAnsi="宋体"/>
                <w:color w:val="000000"/>
                <w:szCs w:val="21"/>
              </w:rPr>
            </w:pPr>
            <w:r>
              <w:rPr>
                <w:rFonts w:ascii="宋体" w:cs="宋体" w:hAnsi="宋体" w:hint="eastAsia"/>
                <w:color w:val="000000"/>
                <w:kern w:val="0"/>
                <w:szCs w:val="21"/>
              </w:rPr>
              <w:t>编制单位：</w:t>
            </w:r>
            <w:r>
              <w:rPr>
                <w:rFonts w:ascii="宋体" w:cs="宋体" w:hAnsi="宋体"/>
                <w:kern w:val="0"/>
                <w:sz w:val="21"/>
                <w:szCs w:val="21"/>
              </w:rPr>
              <w:t>遵化市人民政府房屋征收办公室</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cs="宋体" w:hAnsi="宋体"/>
                <w:color w:val="000000"/>
                <w:szCs w:val="21"/>
              </w:rPr>
            </w:pPr>
            <w:r>
              <w:rPr>
                <w:rFonts w:ascii="宋体" w:cs="宋体" w:hAnsi="宋体" w:hint="eastAsia"/>
                <w:color w:val="000000"/>
                <w:kern w:val="0"/>
                <w:szCs w:val="21"/>
              </w:rPr>
              <w:t>金额单位：万元</w:t>
            </w:r>
          </w:p>
        </w:tc>
      </w:tr>
      <w:tr>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采购计划金额</w:t>
            </w:r>
          </w:p>
        </w:tc>
      </w:tr>
      <w:tr>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非财政性资金</w:t>
            </w:r>
          </w:p>
        </w:tc>
      </w:tr>
      <w:tr>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6</w:t>
            </w: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实际采购金额</w:t>
            </w:r>
          </w:p>
        </w:tc>
      </w:tr>
      <w:tr>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非财政性资金</w:t>
            </w:r>
          </w:p>
        </w:tc>
      </w:tr>
      <w:tr>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r>
      <w:tr>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6</w:t>
            </w: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cs="宋体" w:hAnsi="宋体"/>
                <w:color w:val="000000"/>
                <w:szCs w:val="21"/>
              </w:rPr>
            </w:pPr>
            <w:r>
              <w:rPr>
                <w:rFonts w:ascii="宋体" w:cs="宋体" w:hAnsi="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cs="宋体" w:hAnsi="宋体"/>
                <w:color w:val="000000"/>
                <w:szCs w:val="21"/>
              </w:rPr>
            </w:pPr>
          </w:p>
        </w:tc>
      </w:tr>
      <w:tr>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cs="宋体" w:hAnsi="宋体"/>
                <w:color w:val="000000"/>
                <w:szCs w:val="21"/>
              </w:rPr>
            </w:pPr>
            <w:r>
              <w:rPr>
                <w:rFonts w:ascii="宋体" w:cs="宋体" w:hAnsi="宋体" w:hint="eastAsia"/>
                <w:color w:val="000000"/>
                <w:kern w:val="0"/>
                <w:szCs w:val="21"/>
              </w:rPr>
              <w:t>注：本部门</w:t>
            </w:r>
            <w:r>
              <w:rPr>
                <w:rFonts w:ascii="宋体" w:cs="宋体" w:hAnsi="宋体"/>
                <w:color w:val="000000"/>
                <w:kern w:val="0"/>
                <w:szCs w:val="21"/>
              </w:rPr>
              <w:t>本年度无相关</w:t>
            </w:r>
            <w:r>
              <w:rPr>
                <w:rFonts w:ascii="宋体" w:cs="宋体" w:hAnsi="宋体" w:hint="eastAsia"/>
                <w:color w:val="000000"/>
                <w:kern w:val="0"/>
                <w:szCs w:val="21"/>
              </w:rPr>
              <w:t>支出</w:t>
            </w:r>
            <w:r>
              <w:rPr>
                <w:rFonts w:ascii="宋体" w:cs="宋体" w:hAnsi="宋体"/>
                <w:color w:val="000000"/>
                <w:kern w:val="0"/>
                <w:szCs w:val="21"/>
              </w:rPr>
              <w:t>，空表列示</w:t>
            </w:r>
            <w:r>
              <w:rPr>
                <w:rFonts w:ascii="宋体" w:cs="宋体" w:hAnsi="宋体" w:hint="eastAsia"/>
                <w:color w:val="000000"/>
                <w:kern w:val="0"/>
                <w:szCs w:val="21"/>
              </w:rPr>
              <w:t xml:space="preserve">。     </w:t>
            </w:r>
          </w:p>
        </w:tc>
      </w:tr>
    </w:tbl>
    <w:p>
      <w:pPr>
        <w:widowControl/>
        <w:spacing w:after="0" w:line="560" w:lineRule="exact"/>
        <w:jc w:val="left"/>
        <w:rPr>
          <w:rFonts w:ascii="仿宋_GB2312" w:eastAsia="仿宋_GB2312" w:hAnsi="宋体"/>
          <w:b/>
          <w:sz w:val="28"/>
          <w:szCs w:val="28"/>
          <w:highlight w:val="yellow"/>
        </w:rPr>
      </w:pPr>
    </w:p>
    <w:p/>
    <w:p/>
    <w:p/>
    <w:p/>
    <w:p>
      <w:pPr>
        <w:tabs>
          <w:tab w:val="left" w:pos="1086"/>
        </w:tabs>
        <w:jc w:val="left"/>
        <w:rPr>
          <w:rFonts w:ascii="仿宋_GB2312" w:eastAsia="仿宋_GB2312" w:hAnsi="宋体"/>
          <w:b/>
          <w:sz w:val="28"/>
          <w:szCs w:val="28"/>
          <w:highlight w:val="yellow"/>
        </w:rPr>
        <w:sectPr>
          <w:pgSz w:w="11906" w:h="16838"/>
          <w:pgMar w:top="2098" w:right="1474" w:bottom="1984" w:left="1588" w:header="851" w:footer="992" w:gutter="0"/>
          <w:cols w:num="1" w:space="0"/>
          <w:docGrid w:type="lines" w:linePitch="312" w:charSpace="0"/>
        </w:sectPr>
      </w:pPr>
      <w:r>
        <w:rPr>
          <w:rFonts w:hint="eastAsia"/>
        </w:rPr>
        <w:tab/>
      </w:r>
    </w:p>
    <w:p>
      <w:pPr>
        <w:rPr>
          <w:rFonts w:ascii="宋体" w:cs="ArialUnicodeMS" w:hAnsi="宋体"/>
          <w:color w:val="000000"/>
          <w:kern w:val="0"/>
        </w:rPr>
        <w:sectPr>
          <w:pgSz w:w="11906" w:h="16838"/>
          <w:pgMar w:top="2098" w:right="1474" w:bottom="1984" w:left="1588" w:header="851" w:footer="992" w:gutter="0"/>
          <w:cols w:num="1" w:space="0"/>
          <w:docGrid w:type="lines" w:linePitch="312" w:charSpace="0"/>
        </w:sectPr>
      </w:pPr>
      <w:r>
        <w:rPr>
          <w:rFonts w:ascii="宋体" w:cs="ArialUnicodeMS" w:hAnsi="宋体" w:hint="eastAsia"/>
          <w:color w:val="000000"/>
          <w:kern w:val="0"/>
        </w:rPr>
        <w:drawing>
          <wp:anchor distT="0" distB="0" distL="0" distR="0" simplePos="0" relativeHeight="8" behindDoc="1" locked="0" layoutInCell="1" hidden="0" allowOverlap="1">
            <wp:simplePos x="0" y="0"/>
            <wp:positionH relativeFrom="column">
              <wp:posOffset>-1009015</wp:posOffset>
            </wp:positionH>
            <wp:positionV relativeFrom="paragraph">
              <wp:posOffset>-1337945</wp:posOffset>
            </wp:positionV>
            <wp:extent cx="7550150" cy="10680065"/>
            <wp:effectExtent l="0" t="0" r="12700" b="6985"/>
            <wp:wrapNone/>
            <wp:docPr id="1160" name="图片 4"/>
            <wp:cNvGraphicFramePr>
              <a:graphicFrameLocks noChangeAspect="0"/>
            </wp:cNvGraphicFramePr>
            <a:graphic>
              <a:graphicData uri="http://schemas.openxmlformats.org/drawingml/2006/picture">
                <pic:pic>
                  <pic:nvPicPr>
                    <pic:cNvPr id="105" name="图片 4 105"/>
                    <pic:cNvPicPr/>
                  </pic:nvPicPr>
                  <pic:blipFill>
                    <a:blip r:embed="rId7"/>
                    <a:stretch>
                      <a:fillRect/>
                    </a:stretch>
                  </pic:blipFill>
                  <pic:spPr>
                    <a:xfrm rot="0">
                      <a:off x="0" y="0"/>
                      <a:ext cx="7550150" cy="10680065"/>
                    </a:xfrm>
                    <a:prstGeom prst="rect"/>
                    <a:noFill/>
                    <a:ln w="9525" cmpd="sng" cap="flat">
                      <a:noFill/>
                      <a:prstDash val="solid"/>
                      <a:miter/>
                    </a:ln>
                  </pic:spPr>
                </pic:pic>
              </a:graphicData>
            </a:graphic>
          </wp:anchor>
        </w:drawing>
      </w:r>
      <w:r>
        <w:rPr>
          <w:sz w:val="72"/>
        </w:rPr>
        <mc:AlternateContent>
          <mc:Choice Requires="wps">
            <w:drawing>
              <wp:anchor distT="0" distB="0" distL="114300" distR="114300" simplePos="0" relativeHeight="88" behindDoc="0" locked="0" layoutInCell="1" hidden="0" allowOverlap="1">
                <wp:simplePos x="0" y="0"/>
                <wp:positionH relativeFrom="column">
                  <wp:posOffset>-999490</wp:posOffset>
                </wp:positionH>
                <wp:positionV relativeFrom="paragraph">
                  <wp:posOffset>2956560</wp:posOffset>
                </wp:positionV>
                <wp:extent cx="7571740" cy="2020570"/>
                <wp:effectExtent l="0" t="0" r="0" b="0"/>
                <wp:wrapNone/>
                <wp:docPr id="1072" name="文本框 5"/>
                <wp:cNvGraphicFramePr>
                  <a:graphicFrameLocks noChangeAspect="0"/>
                </wp:cNvGraphicFramePr>
                <a:graphic>
                  <a:graphicData uri="http://schemas.microsoft.com/office/word/2010/wordprocessingShape">
                    <wps:wsp>
                      <wps:cNvSpPr/>
                      <wps:spPr>
                        <a:xfrm rot="0">
                          <a:off x="0" y="0"/>
                          <a:ext cx="7571740" cy="2020570"/>
                        </a:xfrm>
                        <a:prstGeom prst="rect"/>
                        <a:noFill/>
                        <a:ln cmpd="sng" cap="flat">
                          <a:noFill/>
                          <a:prstDash val="solid"/>
                          <a:round/>
                        </a:ln>
                      </wps:spPr>
                      <wps:txbx id="106">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wps:txbx>
                      <wps:bodyPr vert="horz" wrap="square" lIns="91440" tIns="45720" rIns="91440" bIns="45720" anchor="t" anchorCtr="0" upright="0">
                        <a:noAutofit/>
                      </wps:bodyPr>
                    </wps:wsp>
                  </a:graphicData>
                </a:graphic>
              </wp:anchor>
            </w:drawing>
          </mc:Choice>
          <mc:Fallback>
            <w:pict>
              <v:rect type="#_x0000_t1" id="文本框 5" o:spid="_x0000_s107" filled="f" stroked="f" strokeweight="-1.0pt" style="position:absolute;margin-left:-78.7pt;margin-top:232.80002pt;width:596.2pt;height:159.10002pt;z-index:88;mso-position-horizontal:absolute;mso-position-vertical:absolute;mso-wrap-style:square;">
                <v:stroke/>
                <v:textbox id="869" inset="2.54mm,1.27mm,2.54mm,1.27mm" o:insetmode="custom" style="layout-flow:horizontal;v-text-anchor:top;">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mc:Fallback>
        </mc:AlternateContent>
      </w:r>
    </w:p>
    <w:p>
      <w:pPr>
        <w:spacing w:after="0" w:line="580" w:lineRule="exact"/>
        <w:rPr>
          <w:rFonts w:ascii="宋体" w:cs="黑体" w:hAnsi="宋体"/>
          <w:b/>
          <w:color w:val="FF0000"/>
          <w:kern w:val="0"/>
          <w:sz w:val="44"/>
          <w:szCs w:val="44"/>
        </w:rPr>
      </w:pPr>
      <w:r>
        <w:rPr>
          <w:sz w:val="44"/>
        </w:rPr>
        <mc:AlternateContent>
          <mc:Choice Requires="wps">
            <w:drawing>
              <wp:anchor distT="0" distB="0" distL="114300" distR="114300" simplePos="0" relativeHeight="90" behindDoc="0" locked="1" layoutInCell="1" hidden="0" allowOverlap="1">
                <wp:simplePos x="0" y="0"/>
                <wp:positionH relativeFrom="page">
                  <wp:posOffset>-6985</wp:posOffset>
                </wp:positionH>
                <wp:positionV relativeFrom="page">
                  <wp:posOffset>372109</wp:posOffset>
                </wp:positionV>
                <wp:extent cx="3833495" cy="558166"/>
                <wp:effectExtent l="1270" t="0" r="13335" b="13335"/>
                <wp:wrapNone/>
                <wp:docPr id="1161" name="组合 170"/>
                <wp:cNvGraphicFramePr>
                  <a:graphicFrameLocks noChangeAspect="0"/>
                </wp:cNvGraphicFramePr>
                <a:graphic>
                  <a:graphicData uri="http://schemas.microsoft.com/office/word/2010/wordprocessingGroup">
                    <wpg:wgp>
                      <wpg:cNvPr id="108" name="组合 170 108"/>
                      <wpg:cNvGrpSpPr/>
                      <wpg:grpSpPr>
                        <a:xfrm rot="0">
                          <a:off x="0" y="0"/>
                          <a:ext cx="3833495" cy="558166"/>
                          <a:chOff x="0" y="0"/>
                          <a:chExt cx="3833495" cy="558166"/>
                        </a:xfrm>
                        <a:prstGeom prst="rect"/>
                        <a:solidFill>
                          <a:srgbClr val="FFFFFF"/>
                        </a:solidFill>
                        <a:ln w="9525" cmpd="sng" cap="flat">
                          <a:solidFill>
                            <a:srgbClr val="000000"/>
                          </a:solidFill>
                          <a:prstDash val="solid"/>
                          <a:miter/>
                        </a:ln>
                      </wpg:grpSpPr>
                      <wps:wsp>
                        <wps:cNvPr id="109" name="矩形 27 109"/>
                        <wps:cNvSpPr/>
                        <wps:spPr>
                          <a:xfrm rot="0">
                            <a:off x="0" y="0"/>
                            <a:ext cx="38334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10" name="矩形 28 110"/>
                        <wps:cNvSpPr/>
                        <wps:spPr>
                          <a:xfrm rot="0">
                            <a:off x="11662" y="109797"/>
                            <a:ext cx="3733912" cy="448369"/>
                          </a:xfrm>
                          <a:prstGeom prst="rect"/>
                          <a:solidFill>
                            <a:srgbClr val="AD002D"/>
                          </a:solidFill>
                          <a:ln w="25400" cmpd="sng" cap="flat">
                            <a:solidFill>
                              <a:srgbClr val="AF7621"/>
                            </a:solidFill>
                            <a:prstDash val="solid"/>
                            <a:round/>
                          </a:ln>
                        </wps:spPr>
                        <wps:txbx id="111">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70" o:spid="_x0000_s112" coordorigin="-11,586" coordsize="6037,879" style="position:absolute;margin-left:-0.55pt;margin-top:29.3pt;width:301.85pt;height:43.950146pt;z-index:90;mso-position-horizontal:absolute;mso-position-horizontal-relative:page;mso-position-vertical:absolute;mso-position-vertical-relative:page;">
                <v:rect type="#_x0000_t1" id="矩形 27 109" o:spid="_x0000_s113" style="position:absolute;left:-11;top:586;width:6037;height:738;" fillcolor="#D8D8D8" stroked="f" strokeweight="-1.0pt">
                  <v:stroke/>
                </v:rect>
                <v:rect type="#_x0000_t1" id="_s114" o:spid="_x0000_s114" style="position:absolute;left:7;top:758;width:5880;height:706;mso-wrap-style:square;" fillcolor="#AD002D" stroked="t" strokeweight="2.0pt">
                  <v:textbox id="870"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Ansi="Cambria" w:hint="eastAsia"/>
          <w:b w:val="0"/>
          <w:bCs w:val="0"/>
          <w:kern w:val="0"/>
        </w:rPr>
        <w:t>支出</w:t>
      </w:r>
      <w:r>
        <w:rPr>
          <w:rFonts w:ascii="黑体" w:eastAsia="黑体" w:hint="eastAsia"/>
          <w:b w:val="0"/>
          <w:bCs w:val="0"/>
        </w:rPr>
        <w:t>决算总体情况说明</w:t>
      </w:r>
    </w:p>
    <w:p>
      <w:pPr>
        <w:autoSpaceDE w:val="0"/>
        <w:autoSpaceDN w:val="0"/>
        <w:adjustRightInd w:val="0"/>
        <w:jc w:val="left"/>
        <w:rPr>
          <w:rFonts w:ascii="仿宋" w:eastAsia="仿宋" w:cs="宋体" w:hAnsi="仿宋"/>
          <w:kern w:val="0"/>
          <w:sz w:val="32"/>
          <w:szCs w:val="32"/>
          <w:lang w:val="zh-CN"/>
        </w:rPr>
      </w:pPr>
      <w:r>
        <w:rPr>
          <w:rFonts w:ascii="仿宋_GB2312" w:eastAsia="仿宋_GB2312" w:cs="DengXian-Regular" w:hint="eastAsia"/>
          <w:sz w:val="32"/>
          <w:szCs w:val="32"/>
        </w:rPr>
        <w:t>本部门2018年度收支总计（含结转和结余）</w:t>
      </w:r>
      <w:r>
        <w:rPr>
          <w:rFonts w:ascii="仿宋" w:eastAsia="仿宋" w:hAnsi="仿宋" w:hint="eastAsia"/>
          <w:sz w:val="32"/>
          <w:szCs w:val="32"/>
        </w:rPr>
        <w:t>12801.77</w:t>
      </w:r>
      <w:r>
        <w:rPr>
          <w:rFonts w:ascii="仿宋_GB2312" w:eastAsia="仿宋_GB2312" w:cs="DengXian-Regular" w:hint="eastAsia"/>
          <w:sz w:val="32"/>
          <w:szCs w:val="32"/>
        </w:rPr>
        <w:t>万元。与2017年度决算相比，收支各减少</w:t>
      </w:r>
      <w:r>
        <w:rPr>
          <w:rFonts w:ascii="仿宋" w:eastAsia="仿宋" w:hAnsi="仿宋" w:hint="eastAsia"/>
          <w:sz w:val="32"/>
          <w:szCs w:val="32"/>
        </w:rPr>
        <w:t>2900.43</w:t>
      </w:r>
      <w:r>
        <w:rPr>
          <w:rFonts w:ascii="仿宋_GB2312" w:eastAsia="仿宋_GB2312" w:cs="DengXian-Regular" w:hint="eastAsia"/>
          <w:sz w:val="32"/>
          <w:szCs w:val="32"/>
        </w:rPr>
        <w:t>万元，下降23%，主要原因是房</w:t>
      </w:r>
      <w:r>
        <w:rPr>
          <w:rFonts w:ascii="宋体" w:eastAsia="宋体" w:cs="宋体" w:hAnsi="宋体" w:hint="eastAsia"/>
          <w:kern w:val="0"/>
          <w:sz w:val="32"/>
          <w:szCs w:val="32"/>
          <w:lang w:val="zh-CN"/>
        </w:rPr>
        <w:t>屋</w:t>
      </w:r>
      <w:r>
        <w:rPr>
          <w:rFonts w:ascii="宋体" w:cs="宋体" w:hAnsi="宋体" w:hint="eastAsia"/>
          <w:sz w:val="32"/>
          <w:szCs w:val="32"/>
        </w:rPr>
        <w:t>征收项目减少，金额相对减少</w:t>
      </w:r>
      <w:r>
        <w:rPr>
          <w:rFonts w:ascii="仿宋_GB2312" w:eastAsia="仿宋_GB2312" w:cs="DengXian-Regular" w:hint="eastAsia"/>
          <w:sz w:val="32"/>
          <w:szCs w:val="32"/>
        </w:rPr>
        <w:t>。</w:t>
      </w:r>
    </w:p>
    <w:p>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w:t>
      </w:r>
      <w:r>
        <w:rPr>
          <w:rFonts w:ascii="仿宋" w:eastAsia="仿宋" w:hAnsi="仿宋" w:hint="eastAsia"/>
          <w:sz w:val="32"/>
          <w:szCs w:val="32"/>
        </w:rPr>
        <w:t>12801.77</w:t>
      </w:r>
      <w:r>
        <w:rPr>
          <w:rFonts w:ascii="仿宋_GB2312" w:eastAsia="仿宋_GB2312" w:cs="DengXian-Regular" w:hint="eastAsia"/>
          <w:sz w:val="32"/>
          <w:szCs w:val="32"/>
        </w:rPr>
        <w:t>万元，其中：财政拨款收入</w:t>
      </w:r>
      <w:r>
        <w:rPr>
          <w:rFonts w:ascii="仿宋" w:eastAsia="仿宋" w:hAnsi="仿宋" w:hint="eastAsia"/>
          <w:sz w:val="32"/>
          <w:szCs w:val="32"/>
        </w:rPr>
        <w:t>12801.77</w:t>
      </w:r>
      <w:r>
        <w:rPr>
          <w:rFonts w:ascii="仿宋_GB2312" w:eastAsia="仿宋_GB2312" w:cs="DengXian-Regular" w:hint="eastAsia"/>
          <w:sz w:val="32"/>
          <w:szCs w:val="32"/>
        </w:rPr>
        <w:t>万元，占100%；事业收入0万元，占0%；经营收入0万元，占0%；其他收入0万元，占0%。</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ind w:firstLineChars="200" w:firstLine="640"/>
        <w:rPr>
          <w:rFonts w:ascii="仿宋" w:eastAsia="仿宋" w:hAnsi="仿宋"/>
          <w:sz w:val="32"/>
          <w:szCs w:val="32"/>
        </w:rPr>
      </w:pPr>
      <w:r>
        <w:rPr>
          <w:rFonts w:ascii="仿宋_GB2312" w:eastAsia="仿宋_GB2312" w:cs="DengXian-Regular" w:hint="eastAsia"/>
          <w:sz w:val="32"/>
          <w:szCs w:val="32"/>
        </w:rPr>
        <w:t>本单位2018年度本年支出合计</w:t>
      </w:r>
      <w:r>
        <w:rPr>
          <w:rFonts w:ascii="仿宋" w:eastAsia="仿宋" w:hAnsi="仿宋" w:hint="eastAsia"/>
          <w:sz w:val="32"/>
          <w:szCs w:val="32"/>
        </w:rPr>
        <w:t>12801.77</w:t>
      </w:r>
      <w:r>
        <w:rPr>
          <w:rFonts w:ascii="仿宋_GB2312" w:eastAsia="仿宋_GB2312" w:cs="DengXian-Regular" w:hint="eastAsia"/>
          <w:sz w:val="32"/>
          <w:szCs w:val="32"/>
        </w:rPr>
        <w:t>万元，其中：基本支出</w:t>
      </w:r>
      <w:r>
        <w:rPr>
          <w:rFonts w:ascii="仿宋" w:eastAsia="仿宋" w:hAnsi="仿宋" w:hint="eastAsia"/>
          <w:sz w:val="32"/>
          <w:szCs w:val="32"/>
        </w:rPr>
        <w:t>111.68</w:t>
      </w:r>
      <w:r>
        <w:rPr>
          <w:rFonts w:ascii="仿宋_GB2312" w:eastAsia="仿宋_GB2312" w:cs="DengXian-Regular" w:hint="eastAsia"/>
          <w:sz w:val="32"/>
          <w:szCs w:val="32"/>
        </w:rPr>
        <w:t>万元，占</w:t>
      </w:r>
      <w:r>
        <w:rPr>
          <w:rFonts w:ascii="仿宋" w:eastAsia="仿宋" w:hAnsi="仿宋" w:hint="eastAsia"/>
          <w:sz w:val="32"/>
          <w:szCs w:val="32"/>
        </w:rPr>
        <w:t>0.9</w:t>
      </w:r>
      <w:r>
        <w:rPr>
          <w:rFonts w:ascii="仿宋_GB2312" w:eastAsia="仿宋_GB2312" w:cs="DengXian-Regular" w:hint="eastAsia"/>
          <w:sz w:val="32"/>
          <w:szCs w:val="32"/>
        </w:rPr>
        <w:t>%；项目支出</w:t>
      </w:r>
      <w:r>
        <w:rPr>
          <w:rFonts w:ascii="仿宋" w:eastAsia="仿宋" w:hAnsi="仿宋" w:hint="eastAsia"/>
          <w:sz w:val="32"/>
          <w:szCs w:val="32"/>
        </w:rPr>
        <w:t>12690.10</w:t>
      </w:r>
      <w:r>
        <w:rPr>
          <w:rFonts w:ascii="仿宋_GB2312" w:eastAsia="仿宋_GB2312" w:cs="DengXian-Regular" w:hint="eastAsia"/>
          <w:sz w:val="32"/>
          <w:szCs w:val="32"/>
        </w:rPr>
        <w:t>万元，占</w:t>
      </w:r>
      <w:r>
        <w:rPr>
          <w:rFonts w:ascii="仿宋" w:eastAsia="仿宋" w:hAnsi="仿宋" w:hint="eastAsia"/>
          <w:sz w:val="32"/>
          <w:szCs w:val="32"/>
        </w:rPr>
        <w:t>99.1</w:t>
      </w:r>
      <w:r>
        <w:rPr>
          <w:rFonts w:ascii="仿宋_GB2312" w:eastAsia="仿宋_GB2312" w:cs="DengXian-Regular" w:hint="eastAsia"/>
          <w:sz w:val="32"/>
          <w:szCs w:val="32"/>
        </w:rPr>
        <w:t>%；经营支出0万元，占0%。</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Ansi="Cambria" w:hint="eastAsia"/>
          <w:b w:val="0"/>
          <w:bCs w:val="0"/>
          <w:kern w:val="0"/>
        </w:rPr>
        <w:t>财政</w:t>
      </w:r>
      <w:r>
        <w:rPr>
          <w:rFonts w:ascii="黑体" w:eastAsia="黑体" w:hint="eastAsia"/>
          <w:b w:val="0"/>
          <w:bCs w:val="0"/>
        </w:rPr>
        <w:t>拨款收入支出决算总体情况说明</w:t>
      </w:r>
    </w:p>
    <w:p>
      <w:pPr>
        <w:spacing w:after="0" w:line="580" w:lineRule="exact"/>
        <w:ind w:firstLineChars="200" w:firstLine="640"/>
        <w:rPr>
          <w:rFonts w:ascii="楷体" w:eastAsia="楷体" w:cs="DengXian-Bold" w:hAnsi="楷体"/>
          <w:b/>
          <w:bCs/>
          <w:sz w:val="32"/>
          <w:szCs w:val="32"/>
        </w:rPr>
      </w:pPr>
      <w:r>
        <w:rPr>
          <w:rFonts w:ascii="楷体" w:eastAsia="楷体" w:cs="DengXian-Bold" w:hAnsi="楷体" w:hint="eastAsia"/>
          <w:b/>
          <w:bCs/>
          <w:sz w:val="32"/>
          <w:szCs w:val="32"/>
        </w:rPr>
        <w:t>（一）财政拨款收支与2017年度决算对比情况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w:t>
      </w:r>
      <w:r>
        <w:rPr>
          <w:rFonts w:ascii="仿宋" w:eastAsia="仿宋" w:hAnsi="仿宋" w:hint="eastAsia"/>
          <w:sz w:val="32"/>
          <w:szCs w:val="32"/>
        </w:rPr>
        <w:t>12801.77</w:t>
      </w:r>
      <w:r>
        <w:rPr>
          <w:rFonts w:ascii="仿宋_GB2312" w:eastAsia="仿宋_GB2312" w:cs="DengXian-Regular" w:hint="eastAsia"/>
          <w:sz w:val="32"/>
          <w:szCs w:val="32"/>
        </w:rPr>
        <w:t>万元,比2017年度减少</w:t>
      </w:r>
      <w:r>
        <w:rPr>
          <w:rFonts w:ascii="仿宋" w:eastAsia="仿宋" w:hAnsi="仿宋" w:hint="eastAsia"/>
          <w:sz w:val="32"/>
          <w:szCs w:val="32"/>
        </w:rPr>
        <w:t>2900.43</w:t>
      </w:r>
      <w:r>
        <w:rPr>
          <w:rFonts w:ascii="仿宋_GB2312" w:eastAsia="仿宋_GB2312" w:cs="DengXian-Regular" w:hint="eastAsia"/>
          <w:sz w:val="32"/>
          <w:szCs w:val="32"/>
        </w:rPr>
        <w:t>万元，降低23%，主要是房</w:t>
      </w:r>
      <w:r>
        <w:rPr>
          <w:rFonts w:ascii="宋体" w:eastAsia="宋体" w:cs="宋体" w:hAnsi="宋体" w:hint="eastAsia"/>
          <w:kern w:val="0"/>
          <w:sz w:val="32"/>
          <w:szCs w:val="32"/>
          <w:lang w:val="zh-CN"/>
        </w:rPr>
        <w:t>屋</w:t>
      </w:r>
      <w:r>
        <w:rPr>
          <w:rFonts w:ascii="宋体" w:cs="宋体" w:hAnsi="宋体" w:hint="eastAsia"/>
          <w:sz w:val="32"/>
          <w:szCs w:val="32"/>
        </w:rPr>
        <w:t>征收项目减少，金额相对减少</w:t>
      </w:r>
      <w:r>
        <w:rPr>
          <w:rFonts w:ascii="仿宋_GB2312" w:eastAsia="仿宋_GB2312" w:cs="DengXian-Regular" w:hint="eastAsia"/>
          <w:sz w:val="32"/>
          <w:szCs w:val="32"/>
        </w:rPr>
        <w:t>；本年支出</w:t>
      </w:r>
      <w:r>
        <w:rPr>
          <w:rFonts w:ascii="仿宋" w:eastAsia="仿宋" w:hAnsi="仿宋" w:hint="eastAsia"/>
          <w:sz w:val="32"/>
          <w:szCs w:val="32"/>
        </w:rPr>
        <w:t>12801.77</w:t>
      </w:r>
      <w:r>
        <w:rPr>
          <w:rFonts w:ascii="仿宋_GB2312" w:eastAsia="仿宋_GB2312" w:cs="DengXian-Regular" w:hint="eastAsia"/>
          <w:sz w:val="32"/>
          <w:szCs w:val="32"/>
        </w:rPr>
        <w:t>万元，减少</w:t>
      </w:r>
      <w:r>
        <w:rPr>
          <w:rFonts w:ascii="仿宋" w:eastAsia="仿宋" w:hAnsi="仿宋" w:hint="eastAsia"/>
          <w:sz w:val="32"/>
          <w:szCs w:val="32"/>
        </w:rPr>
        <w:t>2900.43</w:t>
      </w:r>
      <w:r>
        <w:rPr>
          <w:rFonts w:ascii="仿宋_GB2312" w:eastAsia="仿宋_GB2312" w:cs="DengXian-Regular" w:hint="eastAsia"/>
          <w:sz w:val="32"/>
          <w:szCs w:val="32"/>
        </w:rPr>
        <w:t>万元，降低23%，主要是房</w:t>
      </w:r>
      <w:r>
        <w:rPr>
          <w:rFonts w:ascii="宋体" w:eastAsia="宋体" w:cs="宋体" w:hAnsi="宋体" w:hint="eastAsia"/>
          <w:kern w:val="0"/>
          <w:sz w:val="32"/>
          <w:szCs w:val="32"/>
          <w:lang w:val="zh-CN"/>
        </w:rPr>
        <w:t>屋</w:t>
      </w:r>
      <w:r>
        <w:rPr>
          <w:rFonts w:ascii="宋体" w:cs="宋体" w:hAnsi="宋体" w:hint="eastAsia"/>
          <w:sz w:val="32"/>
          <w:szCs w:val="32"/>
        </w:rPr>
        <w:t>征收项目减少，金额相对减少</w:t>
      </w:r>
      <w:r>
        <w:rPr>
          <w:rFonts w:ascii="仿宋_GB2312" w:eastAsia="仿宋_GB2312" w:cs="DengXian-Regular" w:hint="eastAsia"/>
          <w:sz w:val="32"/>
          <w:szCs w:val="32"/>
        </w:rPr>
        <w:t>。</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w:t>
      </w:r>
      <w:r>
        <w:rPr>
          <w:rFonts w:ascii="宋体" w:cs="宋体" w:hAnsi="宋体" w:hint="eastAsia"/>
          <w:sz w:val="32"/>
          <w:szCs w:val="32"/>
        </w:rPr>
        <w:t>159.40</w:t>
      </w:r>
      <w:r>
        <w:rPr>
          <w:rFonts w:ascii="仿宋_GB2312" w:eastAsia="仿宋_GB2312" w:cs="DengXian-Regular" w:hint="eastAsia"/>
          <w:sz w:val="32"/>
          <w:szCs w:val="32"/>
        </w:rPr>
        <w:t>万元，比上年减少</w:t>
      </w:r>
      <w:r>
        <w:rPr>
          <w:rFonts w:ascii="宋体" w:cs="宋体" w:hAnsi="宋体" w:hint="eastAsia"/>
          <w:sz w:val="32"/>
          <w:szCs w:val="32"/>
        </w:rPr>
        <w:t>328.33</w:t>
      </w:r>
      <w:r>
        <w:rPr>
          <w:rFonts w:ascii="仿宋_GB2312" w:eastAsia="仿宋_GB2312" w:cs="DengXian-Regular" w:hint="eastAsia"/>
          <w:sz w:val="32"/>
          <w:szCs w:val="32"/>
        </w:rPr>
        <w:t>万元；主要是房</w:t>
      </w:r>
      <w:r>
        <w:rPr>
          <w:rFonts w:ascii="宋体" w:eastAsia="宋体" w:cs="宋体" w:hAnsi="宋体" w:hint="eastAsia"/>
          <w:kern w:val="0"/>
          <w:sz w:val="32"/>
          <w:szCs w:val="32"/>
          <w:lang w:val="zh-CN"/>
        </w:rPr>
        <w:t>屋</w:t>
      </w:r>
      <w:r>
        <w:rPr>
          <w:rFonts w:ascii="宋体" w:cs="宋体" w:hAnsi="宋体" w:hint="eastAsia"/>
          <w:sz w:val="32"/>
          <w:szCs w:val="32"/>
        </w:rPr>
        <w:t>征收项目减少，金额相对减少</w:t>
      </w:r>
      <w:r>
        <w:rPr>
          <w:rFonts w:ascii="仿宋_GB2312" w:eastAsia="仿宋_GB2312" w:cs="DengXian-Regular" w:hint="eastAsia"/>
          <w:sz w:val="32"/>
          <w:szCs w:val="32"/>
        </w:rPr>
        <w:t>；本年支出</w:t>
      </w:r>
      <w:r>
        <w:rPr>
          <w:rFonts w:ascii="宋体" w:cs="宋体" w:hAnsi="宋体" w:hint="eastAsia"/>
          <w:sz w:val="32"/>
          <w:szCs w:val="32"/>
        </w:rPr>
        <w:t>159.40</w:t>
      </w:r>
      <w:r>
        <w:rPr>
          <w:rFonts w:ascii="仿宋_GB2312" w:eastAsia="仿宋_GB2312" w:cs="DengXian-Regular" w:hint="eastAsia"/>
          <w:sz w:val="32"/>
          <w:szCs w:val="32"/>
        </w:rPr>
        <w:t>万元，比上年减少</w:t>
      </w:r>
      <w:r>
        <w:rPr>
          <w:rFonts w:ascii="宋体" w:cs="宋体" w:hAnsi="宋体" w:hint="eastAsia"/>
          <w:sz w:val="32"/>
          <w:szCs w:val="32"/>
        </w:rPr>
        <w:t>328.33</w:t>
      </w:r>
      <w:r>
        <w:rPr>
          <w:rFonts w:ascii="仿宋_GB2312" w:eastAsia="仿宋_GB2312" w:cs="DengXian-Regular" w:hint="eastAsia"/>
          <w:sz w:val="32"/>
          <w:szCs w:val="32"/>
        </w:rPr>
        <w:t>万元，降低206%，主要是房</w:t>
      </w:r>
      <w:r>
        <w:rPr>
          <w:rFonts w:ascii="宋体" w:eastAsia="宋体" w:cs="宋体" w:hAnsi="宋体" w:hint="eastAsia"/>
          <w:kern w:val="0"/>
          <w:sz w:val="32"/>
          <w:szCs w:val="32"/>
          <w:lang w:val="zh-CN"/>
        </w:rPr>
        <w:t>屋</w:t>
      </w:r>
      <w:r>
        <w:rPr>
          <w:rFonts w:ascii="宋体" w:cs="宋体" w:hAnsi="宋体" w:hint="eastAsia"/>
          <w:sz w:val="32"/>
          <w:szCs w:val="32"/>
        </w:rPr>
        <w:t>征收项目减少，金额相对减少</w:t>
      </w:r>
      <w:r>
        <w:rPr>
          <w:rFonts w:ascii="仿宋_GB2312" w:eastAsia="仿宋_GB2312" w:cs="DengXian-Regular" w:hint="eastAsia"/>
          <w:sz w:val="32"/>
          <w:szCs w:val="32"/>
        </w:rPr>
        <w:t>。政府性基金预算财政拨款本年收入</w:t>
      </w:r>
      <w:r>
        <w:rPr>
          <w:rFonts w:ascii="宋体" w:cs="宋体" w:hAnsi="宋体" w:hint="eastAsia"/>
          <w:sz w:val="32"/>
          <w:szCs w:val="32"/>
        </w:rPr>
        <w:t>12642.38</w:t>
      </w:r>
      <w:r>
        <w:rPr>
          <w:rFonts w:ascii="仿宋_GB2312" w:eastAsia="仿宋_GB2312" w:cs="DengXian-Regular" w:hint="eastAsia"/>
          <w:sz w:val="32"/>
          <w:szCs w:val="32"/>
        </w:rPr>
        <w:t>万元，比上年减少</w:t>
      </w:r>
      <w:r>
        <w:rPr>
          <w:rFonts w:ascii="宋体" w:cs="宋体" w:hAnsi="宋体" w:hint="eastAsia"/>
          <w:sz w:val="32"/>
          <w:szCs w:val="32"/>
        </w:rPr>
        <w:t>2572.09</w:t>
      </w:r>
      <w:r>
        <w:rPr>
          <w:rFonts w:ascii="仿宋_GB2312" w:eastAsia="仿宋_GB2312" w:cs="DengXian-Regular" w:hint="eastAsia"/>
          <w:sz w:val="32"/>
          <w:szCs w:val="32"/>
        </w:rPr>
        <w:t>万元，降低20%，主要原因是房</w:t>
      </w:r>
      <w:r>
        <w:rPr>
          <w:rFonts w:ascii="宋体" w:eastAsia="宋体" w:cs="宋体" w:hAnsi="宋体" w:hint="eastAsia"/>
          <w:kern w:val="0"/>
          <w:sz w:val="32"/>
          <w:szCs w:val="32"/>
          <w:lang w:val="zh-CN"/>
        </w:rPr>
        <w:t>屋</w:t>
      </w:r>
      <w:r>
        <w:rPr>
          <w:rFonts w:ascii="宋体" w:cs="宋体" w:hAnsi="宋体" w:hint="eastAsia"/>
          <w:sz w:val="32"/>
          <w:szCs w:val="32"/>
        </w:rPr>
        <w:t>征收项目减少，金额相对减少</w:t>
      </w:r>
      <w:r>
        <w:rPr>
          <w:rFonts w:ascii="仿宋_GB2312" w:eastAsia="仿宋_GB2312" w:cs="DengXian-Regular" w:hint="eastAsia"/>
          <w:sz w:val="32"/>
          <w:szCs w:val="32"/>
        </w:rPr>
        <w:t>；本年支出</w:t>
      </w:r>
      <w:r>
        <w:rPr>
          <w:rFonts w:ascii="宋体" w:cs="宋体" w:hAnsi="宋体" w:hint="eastAsia"/>
          <w:sz w:val="32"/>
          <w:szCs w:val="32"/>
        </w:rPr>
        <w:t>12642.38</w:t>
      </w:r>
      <w:r>
        <w:rPr>
          <w:rFonts w:ascii="仿宋_GB2312" w:eastAsia="仿宋_GB2312" w:cs="DengXian-Regular" w:hint="eastAsia"/>
          <w:sz w:val="32"/>
          <w:szCs w:val="32"/>
        </w:rPr>
        <w:t>万元，比上年减少</w:t>
      </w:r>
      <w:r>
        <w:rPr>
          <w:rFonts w:ascii="宋体" w:cs="宋体" w:hAnsi="宋体" w:hint="eastAsia"/>
          <w:sz w:val="32"/>
          <w:szCs w:val="32"/>
        </w:rPr>
        <w:t>2572.09</w:t>
      </w:r>
      <w:r>
        <w:rPr>
          <w:rFonts w:ascii="仿宋_GB2312" w:eastAsia="仿宋_GB2312" w:cs="DengXian-Regular" w:hint="eastAsia"/>
          <w:sz w:val="32"/>
          <w:szCs w:val="32"/>
        </w:rPr>
        <w:t>万元，降低20%，主要是房</w:t>
      </w:r>
      <w:r>
        <w:rPr>
          <w:rFonts w:ascii="宋体" w:eastAsia="宋体" w:cs="宋体" w:hAnsi="宋体" w:hint="eastAsia"/>
          <w:kern w:val="0"/>
          <w:sz w:val="32"/>
          <w:szCs w:val="32"/>
          <w:lang w:val="zh-CN"/>
        </w:rPr>
        <w:t>屋</w:t>
      </w:r>
      <w:r>
        <w:rPr>
          <w:rFonts w:ascii="宋体" w:cs="宋体" w:hAnsi="宋体" w:hint="eastAsia"/>
          <w:sz w:val="32"/>
          <w:szCs w:val="32"/>
        </w:rPr>
        <w:t>征收项目减少，金额相对减少</w:t>
      </w:r>
      <w:r>
        <w:rPr>
          <w:rFonts w:ascii="仿宋_GB2312" w:eastAsia="仿宋_GB2312" w:cs="DengXian-Regular" w:hint="eastAsia"/>
          <w:sz w:val="32"/>
          <w:szCs w:val="32"/>
        </w:rPr>
        <w:t>。</w:t>
      </w:r>
    </w:p>
    <w:p>
      <w:pPr>
        <w:spacing w:after="0" w:line="580" w:lineRule="exact"/>
        <w:ind w:firstLineChars="200" w:firstLine="640"/>
        <w:rPr>
          <w:rFonts w:ascii="楷体" w:eastAsia="楷体" w:cs="DengXian-Bold" w:hAnsi="楷体"/>
          <w:b/>
          <w:bCs/>
          <w:sz w:val="32"/>
          <w:szCs w:val="32"/>
        </w:rPr>
      </w:pPr>
      <w:r>
        <w:rPr>
          <w:rFonts w:ascii="楷体" w:eastAsia="楷体" w:cs="DengXian-Bold" w:hAnsi="楷体"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本单位2018年度财政拨款本年收入</w:t>
      </w:r>
      <w:r>
        <w:rPr>
          <w:rFonts w:ascii="仿宋" w:eastAsia="仿宋" w:hAnsi="仿宋" w:hint="eastAsia"/>
          <w:sz w:val="32"/>
          <w:szCs w:val="32"/>
        </w:rPr>
        <w:t>12801.77</w:t>
      </w:r>
      <w:r>
        <w:rPr>
          <w:rFonts w:ascii="仿宋_GB2312" w:eastAsia="仿宋_GB2312" w:cs="DengXian-Regular" w:hint="eastAsia"/>
          <w:sz w:val="32"/>
          <w:szCs w:val="32"/>
        </w:rPr>
        <w:t>万元，完成年初预算的</w:t>
      </w:r>
      <w:r>
        <w:rPr>
          <w:rFonts w:ascii="宋体" w:cs="宋体" w:hAnsi="宋体" w:hint="eastAsia"/>
          <w:sz w:val="32"/>
          <w:szCs w:val="32"/>
        </w:rPr>
        <w:t>9847</w:t>
      </w:r>
      <w:r>
        <w:rPr>
          <w:rFonts w:ascii="仿宋_GB2312" w:eastAsia="仿宋_GB2312" w:cs="DengXian-Regular" w:hint="eastAsia"/>
          <w:sz w:val="32"/>
          <w:szCs w:val="32"/>
        </w:rPr>
        <w:t>%,比年初预算增加</w:t>
      </w:r>
      <w:r>
        <w:rPr>
          <w:rFonts w:ascii="宋体" w:cs="宋体" w:hAnsi="宋体" w:hint="eastAsia"/>
          <w:sz w:val="32"/>
          <w:szCs w:val="32"/>
        </w:rPr>
        <w:t>12671.77</w:t>
      </w:r>
      <w:r>
        <w:rPr>
          <w:rFonts w:ascii="仿宋_GB2312" w:eastAsia="仿宋_GB2312" w:cs="DengXian-Regular" w:hint="eastAsia"/>
          <w:sz w:val="32"/>
          <w:szCs w:val="32"/>
        </w:rPr>
        <w:t>万元，决算数大于预算数主要原因是房</w:t>
      </w:r>
      <w:r>
        <w:rPr>
          <w:rFonts w:ascii="宋体" w:eastAsia="宋体" w:cs="宋体" w:hAnsi="宋体" w:hint="eastAsia"/>
          <w:kern w:val="0"/>
          <w:sz w:val="32"/>
          <w:szCs w:val="32"/>
          <w:lang w:val="zh-CN"/>
        </w:rPr>
        <w:t>屋</w:t>
      </w:r>
      <w:r>
        <w:rPr>
          <w:rFonts w:ascii="宋体" w:cs="宋体" w:hAnsi="宋体" w:hint="eastAsia"/>
          <w:sz w:val="32"/>
          <w:szCs w:val="32"/>
        </w:rPr>
        <w:t>征收项目增加，金额相对增加</w:t>
      </w:r>
      <w:r>
        <w:rPr>
          <w:rFonts w:ascii="仿宋_GB2312" w:eastAsia="仿宋_GB2312" w:cs="DengXian-Regular" w:hint="eastAsia"/>
          <w:sz w:val="32"/>
          <w:szCs w:val="32"/>
        </w:rPr>
        <w:t>；本年支出</w:t>
      </w:r>
      <w:r>
        <w:rPr>
          <w:rFonts w:ascii="仿宋" w:eastAsia="仿宋" w:hAnsi="仿宋" w:hint="eastAsia"/>
          <w:sz w:val="32"/>
          <w:szCs w:val="32"/>
        </w:rPr>
        <w:t>12801.77</w:t>
      </w:r>
      <w:r>
        <w:rPr>
          <w:rFonts w:ascii="仿宋_GB2312" w:eastAsia="仿宋_GB2312" w:cs="DengXian-Regular" w:hint="eastAsia"/>
          <w:sz w:val="32"/>
          <w:szCs w:val="32"/>
        </w:rPr>
        <w:t>万元，完成年初预算的</w:t>
      </w:r>
      <w:r>
        <w:rPr>
          <w:rFonts w:ascii="宋体" w:cs="宋体" w:hAnsi="宋体" w:hint="eastAsia"/>
          <w:sz w:val="32"/>
          <w:szCs w:val="32"/>
        </w:rPr>
        <w:t>9847</w:t>
      </w:r>
      <w:r>
        <w:rPr>
          <w:rFonts w:ascii="仿宋_GB2312" w:eastAsia="仿宋_GB2312" w:cs="DengXian-Regular" w:hint="eastAsia"/>
          <w:sz w:val="32"/>
          <w:szCs w:val="32"/>
        </w:rPr>
        <w:t>%,比年初预算增加</w:t>
      </w:r>
      <w:r>
        <w:rPr>
          <w:rFonts w:ascii="宋体" w:cs="宋体" w:hAnsi="宋体" w:hint="eastAsia"/>
          <w:sz w:val="32"/>
          <w:szCs w:val="32"/>
        </w:rPr>
        <w:t>12671.77</w:t>
      </w:r>
      <w:r>
        <w:rPr>
          <w:rFonts w:ascii="仿宋_GB2312" w:eastAsia="仿宋_GB2312" w:cs="DengXian-Regular" w:hint="eastAsia"/>
          <w:sz w:val="32"/>
          <w:szCs w:val="32"/>
        </w:rPr>
        <w:t>万元，决算数大于预算数主要原因是房</w:t>
      </w:r>
      <w:r>
        <w:rPr>
          <w:rFonts w:ascii="宋体" w:eastAsia="宋体" w:cs="宋体" w:hAnsi="宋体" w:hint="eastAsia"/>
          <w:kern w:val="0"/>
          <w:sz w:val="32"/>
          <w:szCs w:val="32"/>
          <w:lang w:val="zh-CN"/>
        </w:rPr>
        <w:t>屋</w:t>
      </w:r>
      <w:r>
        <w:rPr>
          <w:rFonts w:ascii="宋体" w:cs="宋体" w:hAnsi="宋体" w:hint="eastAsia"/>
          <w:sz w:val="32"/>
          <w:szCs w:val="32"/>
        </w:rPr>
        <w:t>征收项目增加，金额相对增加</w:t>
      </w:r>
      <w:r>
        <w:rPr>
          <w:rFonts w:ascii="仿宋_GB2312" w:eastAsia="仿宋_GB2312" w:cs="DengXian-Regular" w:hint="eastAsia"/>
          <w:sz w:val="32"/>
          <w:szCs w:val="32"/>
        </w:rPr>
        <w:t>。</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Pr>
          <w:rFonts w:ascii="宋体" w:cs="宋体" w:hAnsi="宋体" w:hint="eastAsia"/>
          <w:sz w:val="32"/>
          <w:szCs w:val="32"/>
        </w:rPr>
        <w:t>123</w:t>
      </w:r>
      <w:r>
        <w:rPr>
          <w:rFonts w:ascii="仿宋_GB2312" w:eastAsia="仿宋_GB2312" w:cs="DengXian-Regular" w:hint="eastAsia"/>
          <w:sz w:val="32"/>
          <w:szCs w:val="32"/>
        </w:rPr>
        <w:t>%，比年初预算增加</w:t>
      </w:r>
      <w:r>
        <w:rPr>
          <w:rFonts w:ascii="宋体" w:cs="宋体" w:hAnsi="宋体" w:hint="eastAsia"/>
          <w:sz w:val="32"/>
          <w:szCs w:val="32"/>
        </w:rPr>
        <w:t>29.4</w:t>
      </w:r>
      <w:r>
        <w:rPr>
          <w:rFonts w:ascii="仿宋_GB2312" w:eastAsia="仿宋_GB2312" w:cs="DengXian-Regular" w:hint="eastAsia"/>
          <w:sz w:val="32"/>
          <w:szCs w:val="32"/>
        </w:rPr>
        <w:t>万元，主要是房</w:t>
      </w:r>
      <w:r>
        <w:rPr>
          <w:rFonts w:ascii="宋体" w:eastAsia="宋体" w:cs="宋体" w:hAnsi="宋体" w:hint="eastAsia"/>
          <w:kern w:val="0"/>
          <w:sz w:val="32"/>
          <w:szCs w:val="32"/>
          <w:lang w:val="zh-CN"/>
        </w:rPr>
        <w:t>屋</w:t>
      </w:r>
      <w:r>
        <w:rPr>
          <w:rFonts w:ascii="宋体" w:cs="宋体" w:hAnsi="宋体" w:hint="eastAsia"/>
          <w:sz w:val="32"/>
          <w:szCs w:val="32"/>
        </w:rPr>
        <w:t>征收项目增加，金额相对增加</w:t>
      </w:r>
      <w:r>
        <w:rPr>
          <w:rFonts w:ascii="仿宋_GB2312" w:eastAsia="仿宋_GB2312" w:cs="DengXian-Regular" w:hint="eastAsia"/>
          <w:sz w:val="32"/>
          <w:szCs w:val="32"/>
        </w:rPr>
        <w:t>；支出完成年初预算</w:t>
      </w:r>
      <w:r>
        <w:rPr>
          <w:rFonts w:ascii="宋体" w:cs="宋体" w:hAnsi="宋体" w:hint="eastAsia"/>
          <w:sz w:val="32"/>
          <w:szCs w:val="32"/>
        </w:rPr>
        <w:t>123</w:t>
      </w:r>
      <w:r>
        <w:rPr>
          <w:rFonts w:ascii="仿宋_GB2312" w:eastAsia="仿宋_GB2312" w:cs="DengXian-Regular" w:hint="eastAsia"/>
          <w:sz w:val="32"/>
          <w:szCs w:val="32"/>
        </w:rPr>
        <w:t>%，比年初预算增加</w:t>
      </w:r>
      <w:r>
        <w:rPr>
          <w:rFonts w:ascii="宋体" w:cs="宋体" w:hAnsi="宋体" w:hint="eastAsia"/>
          <w:sz w:val="32"/>
          <w:szCs w:val="32"/>
        </w:rPr>
        <w:t>29.4</w:t>
      </w:r>
      <w:r>
        <w:rPr>
          <w:rFonts w:ascii="仿宋_GB2312" w:eastAsia="仿宋_GB2312" w:cs="DengXian-Regular" w:hint="eastAsia"/>
          <w:sz w:val="32"/>
          <w:szCs w:val="32"/>
        </w:rPr>
        <w:t>万元，主要是房</w:t>
      </w:r>
      <w:r>
        <w:rPr>
          <w:rFonts w:ascii="宋体" w:eastAsia="宋体" w:cs="宋体" w:hAnsi="宋体" w:hint="eastAsia"/>
          <w:kern w:val="0"/>
          <w:sz w:val="32"/>
          <w:szCs w:val="32"/>
          <w:lang w:val="zh-CN"/>
        </w:rPr>
        <w:t>屋</w:t>
      </w:r>
      <w:r>
        <w:rPr>
          <w:rFonts w:ascii="宋体" w:cs="宋体" w:hAnsi="宋体" w:hint="eastAsia"/>
          <w:sz w:val="32"/>
          <w:szCs w:val="32"/>
        </w:rPr>
        <w:t>征收项目增加，金额相对增加</w:t>
      </w:r>
      <w:r>
        <w:rPr>
          <w:rFonts w:ascii="仿宋_GB2312" w:eastAsia="仿宋_GB2312" w:cs="DengXian-Regular" w:hint="eastAsia"/>
          <w:sz w:val="32"/>
          <w:szCs w:val="32"/>
        </w:rPr>
        <w:t>。政府性基金预算财政拨款本年收入完成年初预算12642%，比年初预算增加</w:t>
      </w:r>
      <w:r>
        <w:rPr>
          <w:rFonts w:ascii="宋体" w:cs="宋体" w:hAnsi="宋体" w:hint="eastAsia"/>
          <w:sz w:val="32"/>
          <w:szCs w:val="32"/>
        </w:rPr>
        <w:t>12642.38</w:t>
      </w:r>
      <w:r>
        <w:rPr>
          <w:rFonts w:ascii="仿宋_GB2312" w:eastAsia="仿宋_GB2312" w:cs="DengXian-Regular" w:hint="eastAsia"/>
          <w:sz w:val="32"/>
          <w:szCs w:val="32"/>
        </w:rPr>
        <w:t>万元，主要是房</w:t>
      </w:r>
      <w:r>
        <w:rPr>
          <w:rFonts w:ascii="宋体" w:eastAsia="宋体" w:cs="宋体" w:hAnsi="宋体" w:hint="eastAsia"/>
          <w:kern w:val="0"/>
          <w:sz w:val="32"/>
          <w:szCs w:val="32"/>
          <w:lang w:val="zh-CN"/>
        </w:rPr>
        <w:t>屋</w:t>
      </w:r>
      <w:r>
        <w:rPr>
          <w:rFonts w:ascii="宋体" w:cs="宋体" w:hAnsi="宋体" w:hint="eastAsia"/>
          <w:sz w:val="32"/>
          <w:szCs w:val="32"/>
        </w:rPr>
        <w:t>征收项目增加，金额相对增加</w:t>
      </w:r>
      <w:r>
        <w:rPr>
          <w:rFonts w:ascii="仿宋_GB2312" w:eastAsia="仿宋_GB2312" w:cs="DengXian-Regular" w:hint="eastAsia"/>
          <w:sz w:val="32"/>
          <w:szCs w:val="32"/>
        </w:rPr>
        <w:t>；支出完成年初预算12642%，比年初预算增加</w:t>
      </w:r>
      <w:r>
        <w:rPr>
          <w:rFonts w:ascii="宋体" w:cs="宋体" w:hAnsi="宋体" w:hint="eastAsia"/>
          <w:sz w:val="32"/>
          <w:szCs w:val="32"/>
        </w:rPr>
        <w:t>12642.38</w:t>
      </w:r>
      <w:r>
        <w:rPr>
          <w:rFonts w:ascii="仿宋_GB2312" w:eastAsia="仿宋_GB2312" w:cs="DengXian-Regular" w:hint="eastAsia"/>
          <w:sz w:val="32"/>
          <w:szCs w:val="32"/>
        </w:rPr>
        <w:t>万元，主要是房</w:t>
      </w:r>
      <w:r>
        <w:rPr>
          <w:rFonts w:ascii="宋体" w:eastAsia="宋体" w:cs="宋体" w:hAnsi="宋体" w:hint="eastAsia"/>
          <w:kern w:val="0"/>
          <w:sz w:val="32"/>
          <w:szCs w:val="32"/>
          <w:lang w:val="zh-CN"/>
        </w:rPr>
        <w:t>屋</w:t>
      </w:r>
      <w:r>
        <w:rPr>
          <w:rFonts w:ascii="宋体" w:cs="宋体" w:hAnsi="宋体" w:hint="eastAsia"/>
          <w:sz w:val="32"/>
          <w:szCs w:val="32"/>
        </w:rPr>
        <w:t>征收项目增加，金额相对增加</w:t>
      </w:r>
      <w:r>
        <w:rPr>
          <w:rFonts w:ascii="仿宋_GB2312" w:eastAsia="仿宋_GB2312" w:cs="DengXian-Regular" w:hint="eastAsia"/>
          <w:sz w:val="32"/>
          <w:szCs w:val="32"/>
        </w:rPr>
        <w:t>。</w:t>
      </w:r>
    </w:p>
    <w:p>
      <w:pPr>
        <w:numPr>
          <w:ilvl w:val="0"/>
          <w:numId w:val="1"/>
        </w:numPr>
        <w:adjustRightInd w:val="0"/>
        <w:snapToGrid w:val="0"/>
        <w:spacing w:after="0" w:line="580" w:lineRule="exact"/>
        <w:ind w:leftChars="200" w:left="420"/>
        <w:rPr>
          <w:rFonts w:ascii="楷体" w:eastAsia="楷体" w:cs="DengXian-Bold" w:hAnsi="楷体"/>
          <w:b/>
          <w:bCs/>
          <w:sz w:val="32"/>
          <w:szCs w:val="32"/>
        </w:rPr>
      </w:pPr>
      <w:r>
        <w:rPr>
          <w:rFonts w:ascii="楷体" w:eastAsia="楷体" w:cs="DengXian-Bold" w:hAnsi="楷体" w:hint="eastAsia"/>
          <w:b/>
          <w:bCs/>
          <w:sz w:val="32"/>
          <w:szCs w:val="32"/>
        </w:rPr>
        <w:t>财政拨款支出决算结构情况。</w:t>
      </w:r>
    </w:p>
    <w:p>
      <w:pPr>
        <w:autoSpaceDE w:val="0"/>
        <w:autoSpaceDN w:val="0"/>
        <w:adjustRightInd w:val="0"/>
        <w:jc w:val="left"/>
        <w:rPr>
          <w:rFonts w:ascii="仿宋" w:eastAsia="仿宋" w:cs="宋体" w:hAnsi="仿宋"/>
          <w:kern w:val="0"/>
          <w:sz w:val="32"/>
          <w:szCs w:val="32"/>
          <w:lang w:val="zh-CN"/>
        </w:rPr>
      </w:pPr>
      <w:r>
        <w:rPr>
          <w:rFonts w:ascii="仿宋_GB2312" w:eastAsia="仿宋_GB2312" w:cs="DengXian-Regular" w:hint="eastAsia"/>
          <w:sz w:val="32"/>
          <w:szCs w:val="32"/>
        </w:rPr>
        <w:t>2018 年度财政拨款支出</w:t>
      </w:r>
      <w:r>
        <w:rPr>
          <w:rFonts w:ascii="仿宋" w:eastAsia="仿宋" w:hAnsi="仿宋" w:hint="eastAsia"/>
          <w:sz w:val="32"/>
          <w:szCs w:val="32"/>
        </w:rPr>
        <w:t>12801.77</w:t>
      </w:r>
      <w:r>
        <w:rPr>
          <w:rFonts w:ascii="仿宋_GB2312" w:eastAsia="仿宋_GB2312" w:cs="DengXian-Regular" w:hint="eastAsia"/>
          <w:sz w:val="32"/>
          <w:szCs w:val="32"/>
        </w:rPr>
        <w:t>万元，主要用于以下方面社会保障和就业（类）支出</w:t>
      </w:r>
      <w:r>
        <w:rPr>
          <w:rFonts w:ascii="宋体" w:cs="宋体" w:hAnsi="宋体" w:hint="eastAsia"/>
          <w:sz w:val="32"/>
          <w:szCs w:val="32"/>
        </w:rPr>
        <w:t>13.38</w:t>
      </w:r>
      <w:r>
        <w:rPr>
          <w:rFonts w:ascii="仿宋_GB2312" w:eastAsia="仿宋_GB2312" w:cs="DengXian-Regular" w:hint="eastAsia"/>
          <w:sz w:val="32"/>
          <w:szCs w:val="32"/>
        </w:rPr>
        <w:t>万元，占</w:t>
      </w:r>
      <w:r>
        <w:rPr>
          <w:rFonts w:ascii="宋体" w:cs="宋体" w:hAnsi="宋体" w:hint="eastAsia"/>
          <w:sz w:val="32"/>
          <w:szCs w:val="32"/>
        </w:rPr>
        <w:t>0.11</w:t>
      </w:r>
      <w:r>
        <w:rPr>
          <w:rFonts w:ascii="仿宋_GB2312" w:eastAsia="仿宋_GB2312" w:cs="DengXian-Regular" w:hint="eastAsia"/>
          <w:sz w:val="32"/>
          <w:szCs w:val="32"/>
        </w:rPr>
        <w:t>%；医疗</w:t>
      </w:r>
      <w:r>
        <w:rPr>
          <w:rFonts w:ascii="宋体" w:cs="宋体" w:hAnsi="宋体" w:hint="eastAsia"/>
          <w:sz w:val="32"/>
          <w:szCs w:val="32"/>
        </w:rPr>
        <w:t>卫生与计划生育支出9.41万元，</w:t>
      </w:r>
      <w:r>
        <w:rPr>
          <w:rFonts w:ascii="仿宋_GB2312" w:eastAsia="仿宋_GB2312" w:cs="DengXian-Regular" w:hint="eastAsia"/>
          <w:sz w:val="32"/>
          <w:szCs w:val="32"/>
        </w:rPr>
        <w:t>占</w:t>
      </w:r>
      <w:r>
        <w:rPr>
          <w:rFonts w:ascii="宋体" w:cs="宋体" w:hAnsi="宋体" w:hint="eastAsia"/>
          <w:sz w:val="32"/>
          <w:szCs w:val="32"/>
        </w:rPr>
        <w:t>0.07</w:t>
      </w:r>
      <w:r>
        <w:rPr>
          <w:rFonts w:ascii="仿宋_GB2312" w:eastAsia="仿宋_GB2312" w:cs="DengXian-Regular" w:hint="eastAsia"/>
          <w:sz w:val="32"/>
          <w:szCs w:val="32"/>
        </w:rPr>
        <w:t>%；</w:t>
      </w:r>
      <w:r>
        <w:rPr>
          <w:rFonts w:ascii="宋体" w:cs="宋体" w:hAnsi="宋体" w:hint="eastAsia"/>
          <w:sz w:val="32"/>
          <w:szCs w:val="32"/>
        </w:rPr>
        <w:t>城乡社区支出12770.95</w:t>
      </w:r>
      <w:r>
        <w:rPr>
          <w:rFonts w:ascii="仿宋_GB2312" w:eastAsia="仿宋_GB2312" w:cs="DengXian-Regular" w:hint="eastAsia"/>
          <w:sz w:val="32"/>
          <w:szCs w:val="32"/>
        </w:rPr>
        <w:t>万元，占</w:t>
      </w:r>
      <w:r>
        <w:rPr>
          <w:rFonts w:ascii="宋体" w:cs="宋体" w:hAnsi="宋体" w:hint="eastAsia"/>
          <w:sz w:val="32"/>
          <w:szCs w:val="32"/>
        </w:rPr>
        <w:t>99.76</w:t>
      </w:r>
      <w:r>
        <w:rPr>
          <w:rFonts w:ascii="仿宋_GB2312" w:eastAsia="仿宋_GB2312" w:cs="DengXian-Regular" w:hint="eastAsia"/>
          <w:sz w:val="32"/>
          <w:szCs w:val="32"/>
        </w:rPr>
        <w:t>%；住房保障（类）支出</w:t>
      </w:r>
      <w:r>
        <w:rPr>
          <w:rFonts w:ascii="宋体" w:cs="宋体" w:hAnsi="宋体" w:hint="eastAsia"/>
          <w:sz w:val="32"/>
          <w:szCs w:val="32"/>
        </w:rPr>
        <w:t>8.03</w:t>
      </w:r>
      <w:r>
        <w:rPr>
          <w:rFonts w:ascii="仿宋_GB2312" w:eastAsia="仿宋_GB2312" w:cs="DengXian-Regular" w:hint="eastAsia"/>
          <w:sz w:val="32"/>
          <w:szCs w:val="32"/>
        </w:rPr>
        <w:t xml:space="preserve">万元，占 </w:t>
      </w:r>
      <w:r>
        <w:rPr>
          <w:rFonts w:ascii="宋体" w:cs="宋体" w:hAnsi="宋体" w:hint="eastAsia"/>
          <w:sz w:val="32"/>
          <w:szCs w:val="32"/>
        </w:rPr>
        <w:t>0.06</w:t>
      </w:r>
      <w:r>
        <w:rPr>
          <w:rFonts w:ascii="仿宋_GB2312" w:eastAsia="仿宋_GB2312" w:cs="DengXian-Regular" w:hint="eastAsia"/>
          <w:sz w:val="32"/>
          <w:szCs w:val="32"/>
        </w:rPr>
        <w:t>%。</w:t>
      </w:r>
    </w:p>
    <w:p>
      <w:pPr>
        <w:adjustRightInd w:val="0"/>
        <w:snapToGrid w:val="0"/>
        <w:spacing w:after="0" w:line="580" w:lineRule="exact"/>
        <w:ind w:leftChars="200" w:left="420"/>
        <w:rPr>
          <w:rFonts w:ascii="楷体" w:eastAsia="楷体" w:cs="DengXian-Bold" w:hAnsi="楷体"/>
          <w:b/>
          <w:bCs/>
          <w:sz w:val="32"/>
          <w:szCs w:val="32"/>
        </w:rPr>
      </w:pPr>
      <w:r>
        <w:rPr>
          <w:rFonts w:ascii="楷体" w:eastAsia="楷体" w:hAnsi="楷体"/>
          <w:sz w:val="44"/>
        </w:rPr>
        <mc:AlternateContent>
          <mc:Choice Requires="wps">
            <w:drawing>
              <wp:anchor distT="0" distB="0" distL="114300" distR="114300" simplePos="0" relativeHeight="92" behindDoc="0" locked="1" layoutInCell="1" hidden="0" allowOverlap="1">
                <wp:simplePos x="0" y="0"/>
                <wp:positionH relativeFrom="page">
                  <wp:posOffset>-6985</wp:posOffset>
                </wp:positionH>
                <wp:positionV relativeFrom="page">
                  <wp:posOffset>372109</wp:posOffset>
                </wp:positionV>
                <wp:extent cx="3833495" cy="558166"/>
                <wp:effectExtent l="1270" t="0" r="13335" b="13335"/>
                <wp:wrapNone/>
                <wp:docPr id="1162" name="组合 79"/>
                <wp:cNvGraphicFramePr>
                  <a:graphicFrameLocks noChangeAspect="0"/>
                </wp:cNvGraphicFramePr>
                <a:graphic>
                  <a:graphicData uri="http://schemas.microsoft.com/office/word/2010/wordprocessingGroup">
                    <wpg:wgp>
                      <wpg:cNvPr id="115" name="组合 79 115"/>
                      <wpg:cNvGrpSpPr/>
                      <wpg:grpSpPr>
                        <a:xfrm rot="0">
                          <a:off x="0" y="0"/>
                          <a:ext cx="3833495" cy="558166"/>
                          <a:chOff x="0" y="0"/>
                          <a:chExt cx="3833495" cy="558166"/>
                        </a:xfrm>
                        <a:prstGeom prst="rect"/>
                        <a:solidFill>
                          <a:srgbClr val="FFFFFF"/>
                        </a:solidFill>
                        <a:ln w="9525" cmpd="sng" cap="flat">
                          <a:solidFill>
                            <a:srgbClr val="000000"/>
                          </a:solidFill>
                          <a:prstDash val="solid"/>
                          <a:miter/>
                        </a:ln>
                      </wpg:grpSpPr>
                      <wps:wsp>
                        <wps:cNvPr id="116" name="矩形 1049 116"/>
                        <wps:cNvSpPr/>
                        <wps:spPr>
                          <a:xfrm rot="0">
                            <a:off x="0" y="0"/>
                            <a:ext cx="38334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17" name="矩形 1051 117"/>
                        <wps:cNvSpPr/>
                        <wps:spPr>
                          <a:xfrm rot="0">
                            <a:off x="11662" y="109797"/>
                            <a:ext cx="3733912" cy="448369"/>
                          </a:xfrm>
                          <a:prstGeom prst="rect"/>
                          <a:solidFill>
                            <a:srgbClr val="AD002D"/>
                          </a:solidFill>
                          <a:ln w="25400" cmpd="sng" cap="flat">
                            <a:solidFill>
                              <a:srgbClr val="AF7621"/>
                            </a:solidFill>
                            <a:prstDash val="solid"/>
                            <a:round/>
                          </a:ln>
                        </wps:spPr>
                        <wps:txbx id="118">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79" o:spid="_x0000_s119" coordorigin="-11,586" coordsize="6037,879" style="position:absolute;margin-left:-0.55pt;margin-top:29.3pt;width:301.85pt;height:43.950146pt;z-index:92;mso-position-horizontal:absolute;mso-position-horizontal-relative:page;mso-position-vertical:absolute;mso-position-vertical-relative:page;">
                <v:rect type="#_x0000_t1" id="矩形 1049 116" o:spid="_x0000_s120" style="position:absolute;left:-11;top:586;width:6037;height:738;" fillcolor="#D8D8D8" stroked="f" strokeweight="-1.0pt">
                  <v:stroke/>
                </v:rect>
                <v:rect type="#_x0000_t1" id="_s121" o:spid="_x0000_s121" style="position:absolute;left:7;top:758;width:5880;height:706;mso-wrap-style:square;" fillcolor="#AD002D" stroked="t" strokeweight="2.0pt">
                  <v:textbox id="871"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楷体" w:eastAsia="楷体" w:cs="DengXian-Bold" w:hAnsi="楷体" w:hint="eastAsia"/>
          <w:b/>
          <w:bCs/>
          <w:sz w:val="32"/>
          <w:szCs w:val="32"/>
        </w:rPr>
        <w:t>（四）一般公共预算基本支出决算情况说明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年度财政拨款基本支出</w:t>
      </w:r>
      <w:r>
        <w:rPr>
          <w:rFonts w:ascii="仿宋" w:eastAsia="仿宋" w:hAnsi="仿宋" w:hint="eastAsia"/>
          <w:sz w:val="32"/>
          <w:szCs w:val="32"/>
        </w:rPr>
        <w:t>111.68</w:t>
      </w:r>
      <w:r>
        <w:rPr>
          <w:rFonts w:ascii="仿宋_GB2312" w:eastAsia="仿宋_GB2312" w:cs="DengXian-Regular" w:hint="eastAsia"/>
          <w:sz w:val="32"/>
          <w:szCs w:val="32"/>
        </w:rPr>
        <w:t xml:space="preserve">万元，其中：人员经费 </w:t>
      </w:r>
      <w:r>
        <w:rPr>
          <w:rFonts w:ascii="仿宋" w:eastAsia="仿宋" w:hAnsi="仿宋" w:hint="eastAsia"/>
          <w:sz w:val="32"/>
          <w:szCs w:val="32"/>
        </w:rPr>
        <w:t>106.55</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5</w:t>
      </w:r>
      <w:r>
        <w:rPr>
          <w:rFonts w:ascii="仿宋" w:eastAsia="仿宋" w:hAnsi="仿宋" w:hint="eastAsia"/>
          <w:sz w:val="32"/>
          <w:szCs w:val="32"/>
        </w:rPr>
        <w:t>.</w:t>
      </w:r>
      <w:r>
        <w:rPr>
          <w:rFonts w:ascii="仿宋_GB2312" w:eastAsia="仿宋_GB2312" w:cs="DengXian-Regular" w:hint="eastAsia"/>
          <w:sz w:val="32"/>
          <w:szCs w:val="32"/>
        </w:rPr>
        <w:t>12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本部门2018年度“三公”经费支出共计</w:t>
      </w:r>
      <w:r>
        <w:rPr>
          <w:rFonts w:ascii="宋体" w:cs="宋体" w:hAnsi="宋体" w:hint="eastAsia"/>
          <w:sz w:val="32"/>
          <w:szCs w:val="32"/>
        </w:rPr>
        <w:t>2.05</w:t>
      </w:r>
      <w:r>
        <w:rPr>
          <w:rFonts w:ascii="仿宋_GB2312" w:eastAsia="仿宋_GB2312" w:cs="DengXian-Regular" w:hint="eastAsia"/>
          <w:sz w:val="32"/>
          <w:szCs w:val="32"/>
        </w:rPr>
        <w:t>万元，</w:t>
      </w:r>
      <w:r>
        <w:rPr>
          <w:rFonts w:ascii="仿宋_GB2312" w:eastAsia="仿宋_GB2312" w:cs="DengXian-Regular" w:hint="eastAsia"/>
          <w:b/>
          <w:bCs/>
          <w:sz w:val="32"/>
          <w:szCs w:val="32"/>
        </w:rPr>
        <w:t>较年初预算增加0万元，增长0%</w:t>
      </w:r>
      <w:r>
        <w:rPr>
          <w:rFonts w:ascii="仿宋_GB2312" w:eastAsia="仿宋_GB2312" w:cs="DengXian-Regular" w:hint="eastAsia"/>
          <w:sz w:val="32"/>
          <w:szCs w:val="32"/>
        </w:rPr>
        <w:t>。较2017年度决算无增减变化。具体情况如下：</w:t>
      </w:r>
    </w:p>
    <w:p>
      <w:pPr>
        <w:adjustRightInd w:val="0"/>
        <w:snapToGrid w:val="0"/>
        <w:spacing w:after="0" w:line="580" w:lineRule="exact"/>
        <w:ind w:firstLineChars="200" w:firstLine="640"/>
        <w:rPr>
          <w:rFonts w:ascii="仿宋_GB2312" w:eastAsia="仿宋_GB2312" w:cs="DengXian-Regular"/>
          <w:sz w:val="32"/>
          <w:szCs w:val="32"/>
        </w:rPr>
      </w:pPr>
      <w:r>
        <w:rPr>
          <w:rFonts w:ascii="楷体" w:eastAsia="楷体" w:cs="DengXian-Bold" w:hAnsi="楷体" w:hint="eastAsia"/>
          <w:b/>
          <w:bCs/>
          <w:sz w:val="32"/>
          <w:szCs w:val="32"/>
        </w:rPr>
        <w:t>（</w:t>
      </w:r>
      <w:r>
        <w:rPr>
          <w:rFonts w:ascii="楷体" w:eastAsia="楷体" w:cs="DengXian-Bold" w:hAnsi="楷体"/>
          <w:b/>
          <w:bCs/>
          <w:sz w:val="32"/>
          <w:szCs w:val="32"/>
        </w:rPr>
        <mc:AlternateContent>
          <mc:Choice Requires="wps">
            <w:drawing>
              <wp:anchor distT="0" distB="0" distL="114300" distR="114300" simplePos="0" relativeHeight="94" behindDoc="0" locked="1" layoutInCell="1" hidden="0" allowOverlap="1">
                <wp:simplePos x="0" y="0"/>
                <wp:positionH relativeFrom="page">
                  <wp:posOffset>-6985</wp:posOffset>
                </wp:positionH>
                <wp:positionV relativeFrom="page">
                  <wp:posOffset>372109</wp:posOffset>
                </wp:positionV>
                <wp:extent cx="3833495" cy="558166"/>
                <wp:effectExtent l="1270" t="0" r="13335" b="13335"/>
                <wp:wrapNone/>
                <wp:docPr id="1163" name="组合 82"/>
                <wp:cNvGraphicFramePr>
                  <a:graphicFrameLocks noChangeAspect="0"/>
                </wp:cNvGraphicFramePr>
                <a:graphic>
                  <a:graphicData uri="http://schemas.microsoft.com/office/word/2010/wordprocessingGroup">
                    <wpg:wgp>
                      <wpg:cNvPr id="122" name="组合 82 122"/>
                      <wpg:cNvGrpSpPr/>
                      <wpg:grpSpPr>
                        <a:xfrm rot="0">
                          <a:off x="0" y="0"/>
                          <a:ext cx="3833495" cy="558166"/>
                          <a:chOff x="0" y="0"/>
                          <a:chExt cx="3833495" cy="558166"/>
                        </a:xfrm>
                        <a:prstGeom prst="rect"/>
                        <a:solidFill>
                          <a:srgbClr val="FFFFFF"/>
                        </a:solidFill>
                        <a:ln w="9525" cmpd="sng" cap="flat">
                          <a:solidFill>
                            <a:srgbClr val="000000"/>
                          </a:solidFill>
                          <a:prstDash val="solid"/>
                          <a:miter/>
                        </a:ln>
                      </wpg:grpSpPr>
                      <wps:wsp>
                        <wps:cNvPr id="123" name="矩形 1052 123"/>
                        <wps:cNvSpPr/>
                        <wps:spPr>
                          <a:xfrm rot="0">
                            <a:off x="0" y="0"/>
                            <a:ext cx="38334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24" name="矩形 1054 124"/>
                        <wps:cNvSpPr/>
                        <wps:spPr>
                          <a:xfrm rot="0">
                            <a:off x="11662" y="109797"/>
                            <a:ext cx="3733912" cy="448369"/>
                          </a:xfrm>
                          <a:prstGeom prst="rect"/>
                          <a:solidFill>
                            <a:srgbClr val="AD002D"/>
                          </a:solidFill>
                          <a:ln w="25400" cmpd="sng" cap="flat">
                            <a:solidFill>
                              <a:srgbClr val="AF7621"/>
                            </a:solidFill>
                            <a:prstDash val="solid"/>
                            <a:round/>
                          </a:ln>
                        </wps:spPr>
                        <wps:txbx id="125">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82" o:spid="_x0000_s126" coordorigin="-11,586" coordsize="6037,879" style="position:absolute;margin-left:-0.55pt;margin-top:29.3pt;width:301.85pt;height:43.950146pt;z-index:94;mso-position-horizontal:absolute;mso-position-horizontal-relative:page;mso-position-vertical:absolute;mso-position-vertical-relative:page;">
                <v:rect type="#_x0000_t1" id="矩形 1052 123" o:spid="_x0000_s127" style="position:absolute;left:-11;top:586;width:6037;height:738;" fillcolor="#D8D8D8" stroked="f" strokeweight="-1.0pt">
                  <v:stroke/>
                </v:rect>
                <v:rect type="#_x0000_t1" id="_s128" o:spid="_x0000_s128" style="position:absolute;left:7;top:758;width:5880;height:706;mso-wrap-style:square;" fillcolor="#AD002D" stroked="t" strokeweight="2.0pt">
                  <v:textbox id="872"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楷体" w:eastAsia="楷体" w:cs="DengXian-Bold" w:hAnsi="楷体" w:hint="eastAsia"/>
          <w:b/>
          <w:bCs/>
          <w:sz w:val="32"/>
          <w:szCs w:val="32"/>
        </w:rPr>
        <w:t>一）因公出国（境）费支出</w:t>
      </w:r>
      <w:r>
        <w:rPr>
          <w:rFonts w:ascii="楷体" w:eastAsia="楷体" w:cs="宋体" w:hAnsi="楷体" w:hint="eastAsia"/>
          <w:b/>
          <w:bCs/>
          <w:sz w:val="32"/>
          <w:szCs w:val="32"/>
        </w:rPr>
        <w:t>0</w:t>
      </w:r>
      <w:r>
        <w:rPr>
          <w:rFonts w:ascii="楷体" w:eastAsia="楷体" w:cs="DengXian-Bold" w:hAnsi="楷体" w:hint="eastAsia"/>
          <w:b/>
          <w:bCs/>
          <w:sz w:val="32"/>
          <w:szCs w:val="32"/>
        </w:rPr>
        <w:t>万元。</w:t>
      </w:r>
      <w:r>
        <w:rPr>
          <w:rFonts w:ascii="仿宋_GB2312" w:eastAsia="仿宋_GB2312" w:cs="DengXian-Regular" w:hint="eastAsia"/>
          <w:sz w:val="32"/>
          <w:szCs w:val="32"/>
        </w:rPr>
        <w:t>本部门2018年度参加其他单位组织的因公出国（境）团组0个、共0人/无本单位组织的出国（境）团组，未发生因公出国（境）费支出</w:t>
      </w:r>
      <w:r>
        <w:rPr>
          <w:rFonts w:ascii="仿宋_GB2312" w:eastAsia="仿宋_GB2312" w:cs="DengXian-Regular" w:hint="eastAsia"/>
          <w:sz w:val="32"/>
          <w:szCs w:val="32"/>
          <w:lang w:eastAsia="zh-CN"/>
        </w:rPr>
        <w:t>，</w:t>
      </w:r>
      <w:r>
        <w:rPr>
          <w:rFonts w:ascii="仿宋_GB2312" w:eastAsia="仿宋_GB2312" w:cs="DengXian-Regular" w:hint="eastAsia"/>
          <w:sz w:val="32"/>
          <w:szCs w:val="32"/>
        </w:rPr>
        <w:t>较2017年度决算无增减变化。</w:t>
      </w:r>
    </w:p>
    <w:p>
      <w:pPr>
        <w:adjustRightInd w:val="0"/>
        <w:snapToGrid w:val="0"/>
        <w:spacing w:after="0" w:line="580" w:lineRule="exact"/>
        <w:ind w:firstLineChars="200" w:firstLine="640"/>
        <w:rPr>
          <w:rFonts w:ascii="仿宋_GB2312" w:eastAsia="仿宋_GB2312" w:cs="DengXian-Regular"/>
          <w:sz w:val="32"/>
          <w:szCs w:val="32"/>
        </w:rPr>
      </w:pPr>
      <w:r>
        <w:rPr>
          <w:rFonts w:ascii="楷体" w:eastAsia="楷体" w:cs="DengXian-Bold" w:hAnsi="楷体" w:hint="eastAsia"/>
          <w:b/>
          <w:bCs/>
          <w:sz w:val="32"/>
          <w:szCs w:val="32"/>
        </w:rPr>
        <w:t>（二）公务用车购置及运行维护费支出</w:t>
      </w:r>
      <w:r>
        <w:rPr>
          <w:rFonts w:ascii="楷体" w:eastAsia="楷体" w:cs="宋体" w:hAnsi="楷体" w:hint="eastAsia"/>
          <w:sz w:val="32"/>
          <w:szCs w:val="32"/>
        </w:rPr>
        <w:t>2.05</w:t>
      </w:r>
      <w:r>
        <w:rPr>
          <w:rFonts w:ascii="楷体" w:eastAsia="楷体" w:cs="DengXian-Bold" w:hAnsi="楷体" w:hint="eastAsia"/>
          <w:b/>
          <w:bCs/>
          <w:sz w:val="32"/>
          <w:szCs w:val="32"/>
        </w:rPr>
        <w:t>万元</w:t>
      </w:r>
      <w:r>
        <w:rPr>
          <w:rFonts w:ascii="楷体_GB2312" w:eastAsia="楷体_GB2312" w:cs="DengXian-Bold" w:hint="eastAsia"/>
          <w:b/>
          <w:bCs/>
          <w:sz w:val="32"/>
          <w:szCs w:val="32"/>
        </w:rPr>
        <w:t>。</w:t>
      </w:r>
      <w:r>
        <w:rPr>
          <w:rFonts w:ascii="仿宋_GB2312" w:eastAsia="仿宋_GB2312" w:cs="DengXian-Regular" w:hint="eastAsia"/>
          <w:sz w:val="32"/>
          <w:szCs w:val="32"/>
        </w:rPr>
        <w:t xml:space="preserve">本部门2018年度公务用车购置及运行维护费较年初预算减少0万元，降低0%, </w:t>
      </w:r>
      <w:r>
        <w:rPr>
          <w:rFonts w:ascii="宋体" w:cs="宋体" w:hint="eastAsia"/>
          <w:kern w:val="0"/>
          <w:sz w:val="32"/>
          <w:szCs w:val="32"/>
          <w:lang w:val="zh-CN"/>
        </w:rPr>
        <w:t>较年初预算无增减变化，</w:t>
      </w:r>
      <w:r>
        <w:rPr>
          <w:rFonts w:ascii="仿宋_GB2312" w:eastAsia="仿宋_GB2312" w:cs="DengXian-Regular" w:hint="eastAsia"/>
          <w:sz w:val="32"/>
          <w:szCs w:val="32"/>
        </w:rPr>
        <w:t>较2017年度决算无增减变化</w:t>
      </w:r>
      <w:r>
        <w:rPr>
          <w:rFonts w:ascii="宋体" w:cs="宋体" w:hint="eastAsia"/>
          <w:kern w:val="0"/>
          <w:sz w:val="32"/>
          <w:szCs w:val="32"/>
          <w:lang w:val="zh-CN"/>
        </w:rPr>
        <w:t>。</w:t>
      </w:r>
    </w:p>
    <w:p>
      <w:pPr>
        <w:adjustRightInd w:val="0"/>
        <w:snapToGrid w:val="0"/>
        <w:spacing w:after="0" w:line="580" w:lineRule="exact"/>
        <w:ind w:firstLineChars="200" w:firstLine="640"/>
        <w:rPr>
          <w:rFonts w:ascii="仿宋_GB2312" w:eastAsia="仿宋_GB2312" w:cs="DengXian-Bold"/>
          <w:b/>
          <w:bCs/>
          <w:sz w:val="32"/>
          <w:szCs w:val="32"/>
        </w:rPr>
      </w:pPr>
      <w:r>
        <w:rPr>
          <w:rFonts w:ascii="仿宋_GB2312" w:eastAsia="仿宋_GB2312" w:cs="DengXian-Bold" w:hint="eastAsia"/>
          <w:b/>
          <w:bCs/>
          <w:sz w:val="32"/>
          <w:szCs w:val="32"/>
        </w:rPr>
        <w:t>其中：</w:t>
      </w:r>
    </w:p>
    <w:p>
      <w:pPr>
        <w:adjustRightInd w:val="0"/>
        <w:snapToGrid w:val="0"/>
        <w:spacing w:after="0" w:line="580" w:lineRule="exact"/>
        <w:ind w:firstLineChars="200" w:firstLine="640"/>
        <w:rPr>
          <w:rFonts w:ascii="仿宋_GB2312" w:eastAsia="仿宋_GB2312" w:cs="DengXian-Regular" w:hint="eastAsia"/>
          <w:sz w:val="32"/>
          <w:szCs w:val="32"/>
          <w:lang w:eastAsia="zh-CN"/>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本部门2018年度公务用车购置量0辆，发生“公务用车购置”经费支出0万元。未发生公务用车购置费</w:t>
      </w:r>
      <w:r>
        <w:rPr>
          <w:rFonts w:ascii="仿宋_GB2312" w:eastAsia="仿宋_GB2312" w:cs="DengXian-Regular" w:hint="eastAsia"/>
          <w:sz w:val="32"/>
          <w:szCs w:val="32"/>
          <w:lang w:eastAsia="zh-CN"/>
        </w:rPr>
        <w:t>，</w:t>
      </w:r>
      <w:r>
        <w:rPr>
          <w:rFonts w:ascii="仿宋_GB2312" w:eastAsia="仿宋_GB2312" w:cs="DengXian-Regular" w:hint="eastAsia"/>
          <w:sz w:val="32"/>
          <w:szCs w:val="32"/>
        </w:rPr>
        <w:t>较2017年度决算无增减变化。</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本部门2018年度单位公务用车保有量1辆。公车运行维护费支出较年初预算增加0万元，增长0%；较2017年度决算无增减变化。</w:t>
      </w:r>
    </w:p>
    <w:p>
      <w:pPr>
        <w:adjustRightInd w:val="0"/>
        <w:snapToGrid w:val="0"/>
        <w:spacing w:after="0" w:line="580" w:lineRule="exact"/>
        <w:ind w:firstLineChars="200" w:firstLine="640"/>
        <w:rPr>
          <w:rFonts w:ascii="仿宋_GB2312" w:eastAsia="仿宋_GB2312" w:cs="DengXian-Regular"/>
          <w:sz w:val="32"/>
          <w:szCs w:val="32"/>
        </w:rPr>
      </w:pPr>
      <w:r>
        <w:rPr>
          <w:rFonts w:ascii="楷体" w:eastAsia="楷体" w:cs="DengXian-Bold" w:hAnsi="楷体" w:hint="eastAsia"/>
          <w:b/>
          <w:bCs/>
          <w:sz w:val="32"/>
          <w:szCs w:val="32"/>
        </w:rPr>
        <w:t>（三）公务接待费支出</w:t>
      </w:r>
      <w:r>
        <w:rPr>
          <w:rFonts w:ascii="楷体" w:eastAsia="楷体" w:cs="宋体" w:hAnsi="楷体" w:hint="eastAsia"/>
          <w:b/>
          <w:bCs/>
          <w:sz w:val="32"/>
          <w:szCs w:val="32"/>
        </w:rPr>
        <w:t>0</w:t>
      </w:r>
      <w:r>
        <w:rPr>
          <w:rFonts w:ascii="楷体" w:eastAsia="楷体" w:cs="DengXian-Bold" w:hAnsi="楷体" w:hint="eastAsia"/>
          <w:b/>
          <w:bCs/>
          <w:sz w:val="32"/>
          <w:szCs w:val="32"/>
        </w:rPr>
        <w:t>万元。</w:t>
      </w:r>
      <w:r>
        <w:rPr>
          <w:sz w:val="44"/>
        </w:rPr>
        <mc:AlternateContent>
          <mc:Choice Requires="wps">
            <w:drawing>
              <wp:anchor distT="0" distB="0" distL="114300" distR="114300" simplePos="0" relativeHeight="96" behindDoc="0" locked="1" layoutInCell="1" hidden="0" allowOverlap="1">
                <wp:simplePos x="0" y="0"/>
                <wp:positionH relativeFrom="page">
                  <wp:posOffset>-6985</wp:posOffset>
                </wp:positionH>
                <wp:positionV relativeFrom="page">
                  <wp:posOffset>372109</wp:posOffset>
                </wp:positionV>
                <wp:extent cx="3833495" cy="558166"/>
                <wp:effectExtent l="1270" t="0" r="13335" b="13335"/>
                <wp:wrapNone/>
                <wp:docPr id="1164" name="组合 85"/>
                <wp:cNvGraphicFramePr>
                  <a:graphicFrameLocks noChangeAspect="0"/>
                </wp:cNvGraphicFramePr>
                <a:graphic>
                  <a:graphicData uri="http://schemas.microsoft.com/office/word/2010/wordprocessingGroup">
                    <wpg:wgp>
                      <wpg:cNvPr id="129" name="组合 85 129"/>
                      <wpg:cNvGrpSpPr/>
                      <wpg:grpSpPr>
                        <a:xfrm rot="0">
                          <a:off x="0" y="0"/>
                          <a:ext cx="3833495" cy="558166"/>
                          <a:chOff x="0" y="0"/>
                          <a:chExt cx="3833495" cy="558166"/>
                        </a:xfrm>
                        <a:prstGeom prst="rect"/>
                        <a:solidFill>
                          <a:srgbClr val="FFFFFF"/>
                        </a:solidFill>
                        <a:ln w="9525" cmpd="sng" cap="flat">
                          <a:solidFill>
                            <a:srgbClr val="000000"/>
                          </a:solidFill>
                          <a:prstDash val="solid"/>
                          <a:miter/>
                        </a:ln>
                      </wpg:grpSpPr>
                      <wps:wsp>
                        <wps:cNvPr id="130" name="矩形 1055 130"/>
                        <wps:cNvSpPr/>
                        <wps:spPr>
                          <a:xfrm rot="0">
                            <a:off x="0" y="0"/>
                            <a:ext cx="38334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31" name="矩形 1057 131"/>
                        <wps:cNvSpPr/>
                        <wps:spPr>
                          <a:xfrm rot="0">
                            <a:off x="11662" y="109797"/>
                            <a:ext cx="3733912" cy="448369"/>
                          </a:xfrm>
                          <a:prstGeom prst="rect"/>
                          <a:solidFill>
                            <a:srgbClr val="AD002D"/>
                          </a:solidFill>
                          <a:ln w="25400" cmpd="sng" cap="flat">
                            <a:solidFill>
                              <a:srgbClr val="AF7621"/>
                            </a:solidFill>
                            <a:prstDash val="solid"/>
                            <a:round/>
                          </a:ln>
                        </wps:spPr>
                        <wps:txbx id="132">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85" o:spid="_x0000_s133" coordorigin="-11,586" coordsize="6037,879" style="position:absolute;margin-left:-0.55pt;margin-top:29.3pt;width:301.85pt;height:43.950146pt;z-index:96;mso-position-horizontal:absolute;mso-position-horizontal-relative:page;mso-position-vertical:absolute;mso-position-vertical-relative:page;">
                <v:rect type="#_x0000_t1" id="矩形 1055 130" o:spid="_x0000_s134" style="position:absolute;left:-11;top:586;width:6037;height:738;" fillcolor="#D8D8D8" stroked="f" strokeweight="-1.0pt">
                  <v:stroke/>
                </v:rect>
                <v:rect type="#_x0000_t1" id="_s135" o:spid="_x0000_s135" style="position:absolute;left:7;top:758;width:5880;height:706;mso-wrap-style:square;" fillcolor="#AD002D" stroked="t" strokeweight="2.0pt">
                  <v:textbox id="873"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仿宋_GB2312" w:eastAsia="仿宋_GB2312" w:cs="DengXian-Regular" w:hint="eastAsia"/>
          <w:sz w:val="32"/>
          <w:szCs w:val="32"/>
        </w:rPr>
        <w:t>本部门2018年度公务接待共0批次、0人次。较2017年度决算无增减变化。</w:t>
      </w:r>
    </w:p>
    <w:p>
      <w:pPr>
        <w:adjustRightInd w:val="0"/>
        <w:snapToGrid w:val="0"/>
        <w:spacing w:after="0" w:line="580" w:lineRule="exact"/>
        <w:ind w:firstLineChars="200" w:firstLine="640"/>
        <w:rPr>
          <w:rFonts w:ascii="仿宋_GB2312" w:eastAsia="仿宋_GB2312" w:cs="DengXian-Regular"/>
          <w:sz w:val="32"/>
          <w:szCs w:val="32"/>
        </w:rPr>
      </w:pPr>
    </w:p>
    <w:p>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pPr>
        <w:adjustRightInd w:val="0"/>
        <w:snapToGrid w:val="0"/>
        <w:spacing w:after="0" w:line="580" w:lineRule="exact"/>
        <w:ind w:firstLineChars="200" w:firstLine="640"/>
        <w:rPr>
          <w:rFonts w:ascii="楷体" w:eastAsia="楷体" w:cs="DengXian-Regular" w:hAnsi="楷体"/>
          <w:b/>
          <w:sz w:val="32"/>
          <w:szCs w:val="32"/>
        </w:rPr>
      </w:pPr>
      <w:r>
        <w:rPr>
          <w:rFonts w:ascii="楷体" w:eastAsia="楷体" w:cs="DengXian-Regular" w:hAnsi="楷体" w:hint="eastAsia"/>
          <w:b/>
          <w:sz w:val="32"/>
          <w:szCs w:val="32"/>
        </w:rPr>
        <w:t>（一）绩效管理工作开展情况</w:t>
      </w:r>
    </w:p>
    <w:p>
      <w:pPr>
        <w:adjustRightInd w:val="0"/>
        <w:snapToGrid w:val="0"/>
        <w:spacing w:after="0" w:line="580" w:lineRule="exact"/>
        <w:ind w:firstLineChars="200" w:firstLine="640"/>
        <w:rPr>
          <w:rFonts w:ascii="宋体" w:eastAsia="宋体" w:cs="DengXian-Regular" w:hAnsi="宋体"/>
          <w:sz w:val="32"/>
          <w:szCs w:val="32"/>
        </w:rPr>
      </w:pPr>
      <w:r>
        <w:rPr>
          <w:rFonts w:ascii="宋体" w:eastAsia="宋体" w:hAnsi="宋体" w:hint="eastAsia"/>
          <w:sz w:val="32"/>
          <w:szCs w:val="32"/>
        </w:rPr>
        <w:t>201</w:t>
      </w:r>
      <w:r>
        <w:rPr>
          <w:rFonts w:ascii="宋体" w:eastAsia="宋体" w:hAnsi="宋体"/>
          <w:sz w:val="32"/>
          <w:szCs w:val="32"/>
        </w:rPr>
        <w:t>8</w:t>
      </w:r>
      <w:r>
        <w:rPr>
          <w:rFonts w:ascii="宋体" w:eastAsia="宋体" w:cs="微软雅黑" w:hAnsi="宋体" w:hint="eastAsia"/>
          <w:sz w:val="32"/>
          <w:szCs w:val="32"/>
        </w:rPr>
        <w:t>年，我单位严格按照预算绩效目标开展工作，预算项目共</w:t>
      </w:r>
      <w:r>
        <w:rPr>
          <w:rFonts w:ascii="宋体" w:eastAsia="宋体" w:hAnsi="宋体" w:hint="eastAsia"/>
          <w:sz w:val="32"/>
          <w:szCs w:val="32"/>
        </w:rPr>
        <w:t>5</w:t>
      </w:r>
      <w:r>
        <w:rPr>
          <w:rFonts w:ascii="宋体" w:eastAsia="宋体" w:cs="微软雅黑" w:hAnsi="宋体" w:hint="eastAsia"/>
          <w:sz w:val="32"/>
          <w:szCs w:val="32"/>
        </w:rPr>
        <w:t>个，金额</w:t>
      </w:r>
      <w:r>
        <w:rPr>
          <w:rFonts w:ascii="宋体" w:eastAsia="宋体" w:hAnsi="宋体" w:hint="eastAsia"/>
          <w:sz w:val="32"/>
          <w:szCs w:val="32"/>
        </w:rPr>
        <w:t>12690.09</w:t>
      </w:r>
      <w:r>
        <w:rPr>
          <w:rFonts w:ascii="宋体" w:eastAsia="宋体" w:cs="微软雅黑" w:hAnsi="宋体" w:hint="eastAsia"/>
          <w:sz w:val="32"/>
          <w:szCs w:val="32"/>
        </w:rPr>
        <w:t>万元，</w:t>
      </w:r>
      <w:r>
        <w:rPr>
          <w:rFonts w:ascii="宋体" w:eastAsia="宋体" w:cs="微软雅黑" w:hAnsi="宋体"/>
          <w:sz w:val="32"/>
          <w:szCs w:val="32"/>
        </w:rPr>
        <w:t>截至</w:t>
      </w:r>
      <w:bookmarkStart w:id="0" w:name="_GoBack"/>
      <w:bookmarkEnd w:id="0"/>
      <w:r>
        <w:rPr>
          <w:rFonts w:ascii="宋体" w:eastAsia="宋体" w:cs="微软雅黑" w:hAnsi="宋体" w:hint="eastAsia"/>
          <w:sz w:val="32"/>
          <w:szCs w:val="32"/>
        </w:rPr>
        <w:t>2018年底</w:t>
      </w:r>
      <w:r>
        <w:rPr>
          <w:rFonts w:ascii="宋体" w:eastAsia="宋体" w:cs="微软雅黑" w:hAnsi="宋体"/>
          <w:sz w:val="32"/>
          <w:szCs w:val="32"/>
        </w:rPr>
        <w:t>资金基本都已安排到</w:t>
      </w:r>
      <w:r>
        <w:rPr>
          <w:rFonts w:ascii="宋体" w:eastAsia="宋体" w:hAnsi="宋体"/>
        </w:rPr>
        <mc:AlternateContent>
          <mc:Choice Requires="wps">
            <w:drawing>
              <wp:anchor distT="0" distB="0" distL="114300" distR="114300" simplePos="0" relativeHeight="108" behindDoc="0" locked="1" layoutInCell="1" hidden="0" allowOverlap="1">
                <wp:simplePos x="0" y="0"/>
                <wp:positionH relativeFrom="page">
                  <wp:posOffset>-6985</wp:posOffset>
                </wp:positionH>
                <wp:positionV relativeFrom="page">
                  <wp:posOffset>10159</wp:posOffset>
                </wp:positionV>
                <wp:extent cx="3832860" cy="558166"/>
                <wp:effectExtent l="1270" t="0" r="13970" b="13335"/>
                <wp:wrapNone/>
                <wp:docPr id="1165" name="组合 85"/>
                <wp:cNvGraphicFramePr>
                  <a:graphicFrameLocks noChangeAspect="0"/>
                </wp:cNvGraphicFramePr>
                <a:graphic>
                  <a:graphicData uri="http://schemas.microsoft.com/office/word/2010/wordprocessingGroup">
                    <wpg:wgp>
                      <wpg:cNvPr id="136" name="组合 85 136"/>
                      <wpg:cNvGrpSpPr/>
                      <wpg:grpSpPr>
                        <a:xfrm rot="0">
                          <a:off x="0" y="0"/>
                          <a:ext cx="3832860" cy="558166"/>
                          <a:chOff x="0" y="0"/>
                          <a:chExt cx="3832860" cy="558166"/>
                        </a:xfrm>
                        <a:prstGeom prst="rect"/>
                        <a:solidFill>
                          <a:srgbClr val="FFFFFF"/>
                        </a:solidFill>
                        <a:ln w="9525" cmpd="sng" cap="flat">
                          <a:solidFill>
                            <a:srgbClr val="000000"/>
                          </a:solidFill>
                          <a:prstDash val="solid"/>
                          <a:miter/>
                        </a:ln>
                      </wpg:grpSpPr>
                      <wps:wsp>
                        <wps:cNvPr id="137" name="矩形 1142 137"/>
                        <wps:cNvSpPr/>
                        <wps:spPr>
                          <a:xfrm rot="0">
                            <a:off x="0" y="0"/>
                            <a:ext cx="3832860"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38" name="矩形 1033 138"/>
                        <wps:cNvSpPr/>
                        <wps:spPr>
                          <a:xfrm rot="0">
                            <a:off x="11660" y="109797"/>
                            <a:ext cx="3733293" cy="448369"/>
                          </a:xfrm>
                          <a:prstGeom prst="rect"/>
                          <a:solidFill>
                            <a:srgbClr val="AD002D"/>
                          </a:solidFill>
                          <a:ln w="25400" cmpd="sng" cap="flat">
                            <a:solidFill>
                              <a:srgbClr val="AF7621"/>
                            </a:solidFill>
                            <a:prstDash val="solid"/>
                            <a:round/>
                          </a:ln>
                        </wps:spPr>
                        <wps:txbx id="139">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85" o:spid="_x0000_s140" coordorigin="-11,15" coordsize="6036,879" style="position:absolute;margin-left:-0.55pt;margin-top:0.79999995pt;width:301.8pt;height:43.950138pt;z-index:108;mso-position-horizontal:absolute;mso-position-horizontal-relative:page;mso-position-vertical:absolute;mso-position-vertical-relative:page;">
                <v:rect type="#_x0000_t1" id="矩形 1142 137" o:spid="_x0000_s141" style="position:absolute;left:-11;top:15;width:6036;height:738;" fillcolor="#D8D8D8" stroked="f" strokeweight="-1.0pt">
                  <v:stroke/>
                </v:rect>
                <v:rect type="#_x0000_t1" id="_s142" o:spid="_x0000_s142" style="position:absolute;left:7;top:188;width:5879;height:706;mso-wrap-style:square;" fillcolor="#AD002D" stroked="t" strokeweight="2.0pt">
                  <v:textbox id="874"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宋体" w:eastAsia="宋体" w:cs="微软雅黑" w:hAnsi="宋体"/>
          <w:sz w:val="32"/>
          <w:szCs w:val="32"/>
        </w:rPr>
        <w:t>位</w:t>
      </w:r>
      <w:r>
        <w:rPr>
          <w:rFonts w:ascii="宋体" w:eastAsia="宋体" w:cs="微软雅黑" w:hAnsi="宋体" w:hint="eastAsia"/>
          <w:sz w:val="32"/>
          <w:szCs w:val="32"/>
        </w:rPr>
        <w:t>，各</w:t>
      </w:r>
      <w:r>
        <w:rPr>
          <w:rFonts w:ascii="宋体" w:eastAsia="宋体" w:cs="微软雅黑" w:hAnsi="宋体"/>
          <w:sz w:val="32"/>
          <w:szCs w:val="32"/>
        </w:rPr>
        <w:t>项目都已圆满完成</w:t>
      </w:r>
      <w:r>
        <w:rPr>
          <w:rFonts w:ascii="宋体" w:eastAsia="宋体" w:cs="微软雅黑" w:hAnsi="宋体" w:hint="eastAsia"/>
          <w:sz w:val="32"/>
          <w:szCs w:val="32"/>
        </w:rPr>
        <w:t>。</w:t>
      </w:r>
    </w:p>
    <w:p>
      <w:pPr>
        <w:adjustRightInd w:val="0"/>
        <w:snapToGrid w:val="0"/>
        <w:spacing w:after="0" w:line="580" w:lineRule="exact"/>
        <w:ind w:firstLineChars="200" w:firstLine="640"/>
        <w:rPr>
          <w:rFonts w:ascii="楷体" w:eastAsia="楷体" w:cs="DengXian-Regular" w:hAnsi="楷体"/>
          <w:b/>
          <w:sz w:val="32"/>
          <w:szCs w:val="32"/>
        </w:rPr>
      </w:pPr>
      <w:r>
        <w:rPr>
          <w:rFonts w:ascii="楷体" w:eastAsia="楷体" w:cs="DengXian-Regular" w:hAnsi="楷体" w:hint="eastAsia"/>
          <w:b/>
          <w:sz w:val="32"/>
          <w:szCs w:val="32"/>
        </w:rPr>
        <w:t>（二）预算项目绩效评价开展情况</w:t>
      </w:r>
    </w:p>
    <w:p>
      <w:pPr>
        <w:adjustRightInd w:val="0"/>
        <w:snapToGrid w:val="0"/>
        <w:spacing w:after="0" w:line="580" w:lineRule="exact"/>
        <w:ind w:firstLineChars="200" w:firstLine="640"/>
        <w:rPr>
          <w:rFonts w:ascii="宋体" w:eastAsia="宋体" w:cs="DengXian-Regular" w:hAnsi="宋体"/>
          <w:sz w:val="32"/>
          <w:szCs w:val="32"/>
        </w:rPr>
      </w:pPr>
      <w:r>
        <w:rPr>
          <w:rFonts w:ascii="宋体" w:eastAsia="宋体" w:hAnsi="宋体"/>
          <w:sz w:val="32"/>
          <w:szCs w:val="32"/>
        </w:rPr>
        <w:t>2018</w:t>
      </w:r>
      <w:r>
        <w:rPr>
          <w:rFonts w:ascii="宋体" w:eastAsia="宋体" w:cs="微软雅黑" w:hAnsi="宋体" w:hint="eastAsia"/>
          <w:sz w:val="32"/>
          <w:szCs w:val="32"/>
        </w:rPr>
        <w:t>年实际支出</w:t>
      </w:r>
      <w:r>
        <w:rPr>
          <w:rFonts w:ascii="宋体" w:eastAsia="宋体" w:hAnsi="宋体" w:hint="eastAsia"/>
          <w:sz w:val="32"/>
          <w:szCs w:val="32"/>
        </w:rPr>
        <w:t>12690.10</w:t>
      </w:r>
      <w:r>
        <w:rPr>
          <w:rFonts w:ascii="宋体" w:eastAsia="宋体" w:cs="微软雅黑" w:hAnsi="宋体" w:hint="eastAsia"/>
          <w:sz w:val="32"/>
          <w:szCs w:val="32"/>
        </w:rPr>
        <w:t>万元。其中：商品和服务支出，支出</w:t>
      </w:r>
      <w:r>
        <w:rPr>
          <w:rFonts w:ascii="宋体" w:eastAsia="宋体" w:hAnsi="宋体" w:hint="eastAsia"/>
          <w:sz w:val="32"/>
          <w:szCs w:val="32"/>
        </w:rPr>
        <w:t>47.72</w:t>
      </w:r>
      <w:r>
        <w:rPr>
          <w:rFonts w:ascii="宋体" w:eastAsia="宋体" w:cs="微软雅黑" w:hAnsi="宋体" w:hint="eastAsia"/>
          <w:sz w:val="32"/>
          <w:szCs w:val="32"/>
        </w:rPr>
        <w:t>万元，保证了正常办公及分房工作；出征地和拆迁补偿，支出</w:t>
      </w:r>
      <w:r>
        <w:rPr>
          <w:rFonts w:ascii="宋体" w:eastAsia="宋体" w:hAnsi="宋体" w:hint="eastAsia"/>
          <w:sz w:val="32"/>
          <w:szCs w:val="32"/>
        </w:rPr>
        <w:t>12362.83</w:t>
      </w:r>
      <w:r>
        <w:rPr>
          <w:rFonts w:ascii="宋体" w:eastAsia="宋体" w:cs="微软雅黑" w:hAnsi="宋体" w:hint="eastAsia"/>
          <w:sz w:val="32"/>
          <w:szCs w:val="32"/>
        </w:rPr>
        <w:t>万元，完成拆迁任务；城市建设，支出</w:t>
      </w:r>
      <w:r>
        <w:rPr>
          <w:rFonts w:ascii="宋体" w:eastAsia="宋体" w:hAnsi="宋体" w:hint="eastAsia"/>
          <w:sz w:val="32"/>
          <w:szCs w:val="32"/>
        </w:rPr>
        <w:t>279.54</w:t>
      </w:r>
      <w:r>
        <w:rPr>
          <w:rFonts w:ascii="宋体" w:eastAsia="宋体" w:cs="微软雅黑" w:hAnsi="宋体" w:hint="eastAsia"/>
          <w:sz w:val="32"/>
          <w:szCs w:val="32"/>
        </w:rPr>
        <w:t>万元，促进城市建设的发展。</w:t>
      </w:r>
    </w:p>
    <w:p>
      <w:pPr>
        <w:adjustRightInd w:val="0"/>
        <w:snapToGrid w:val="0"/>
        <w:spacing w:after="0" w:line="580" w:lineRule="exact"/>
        <w:ind w:firstLineChars="200" w:firstLine="640"/>
        <w:rPr>
          <w:rFonts w:ascii="楷体" w:eastAsia="楷体" w:cs="DengXian-Regular" w:hAnsi="楷体"/>
          <w:b/>
          <w:sz w:val="32"/>
          <w:szCs w:val="32"/>
        </w:rPr>
      </w:pPr>
      <w:r>
        <w:rPr>
          <w:rFonts w:ascii="楷体" w:eastAsia="楷体" w:cs="DengXian-Regular" w:hAnsi="楷体" w:hint="eastAsia"/>
          <w:b/>
          <w:sz w:val="32"/>
          <w:szCs w:val="32"/>
        </w:rPr>
        <w:t>（三）预算项目绩效自评选例</w:t>
      </w:r>
    </w:p>
    <w:p>
      <w:pPr>
        <w:ind w:firstLineChars="200" w:firstLine="640"/>
        <w:rPr>
          <w:rFonts w:ascii="宋体" w:eastAsia="宋体" w:hAnsi="宋体"/>
          <w:sz w:val="32"/>
          <w:szCs w:val="32"/>
        </w:rPr>
      </w:pPr>
      <w:r>
        <w:rPr>
          <w:rFonts w:ascii="宋体" w:eastAsia="宋体" w:hAnsi="宋体"/>
          <w:sz w:val="32"/>
          <w:szCs w:val="32"/>
        </w:rPr>
        <w:t>房屋征收办公经费项目</w:t>
      </w:r>
    </w:p>
    <w:p>
      <w:pPr>
        <w:ind w:firstLineChars="200" w:firstLine="640"/>
        <w:rPr>
          <w:rFonts w:ascii="宋体" w:eastAsia="宋体" w:hAnsi="宋体"/>
          <w:sz w:val="32"/>
          <w:szCs w:val="32"/>
        </w:rPr>
      </w:pPr>
      <w:r>
        <w:rPr>
          <w:rFonts w:ascii="宋体" w:eastAsia="宋体" w:cs="微软雅黑" w:hAnsi="宋体" w:hint="eastAsia"/>
          <w:sz w:val="32"/>
          <w:szCs w:val="32"/>
        </w:rPr>
        <w:t>（</w:t>
      </w:r>
      <w:r>
        <w:rPr>
          <w:rFonts w:ascii="宋体" w:eastAsia="宋体" w:cs="微软雅黑" w:hAnsi="宋体" w:hint="eastAsia"/>
          <w:kern w:val="0"/>
          <w:sz w:val="32"/>
          <w:szCs w:val="32"/>
        </w:rPr>
        <w:t>一）项目</w:t>
      </w:r>
      <w:r>
        <w:rPr>
          <w:rFonts w:ascii="宋体" w:eastAsia="宋体" w:cs="___WRD_EMBED_SUB_43" w:hAnsi="宋体" w:hint="eastAsia"/>
          <w:kern w:val="0"/>
          <w:sz w:val="32"/>
          <w:szCs w:val="32"/>
        </w:rPr>
        <w:t>基本</w:t>
      </w:r>
      <w:r>
        <w:rPr>
          <w:rFonts w:ascii="宋体" w:eastAsia="宋体" w:cs="微软雅黑" w:hAnsi="宋体" w:hint="eastAsia"/>
          <w:kern w:val="0"/>
          <w:sz w:val="32"/>
          <w:szCs w:val="32"/>
        </w:rPr>
        <w:t>情况</w:t>
      </w:r>
    </w:p>
    <w:p>
      <w:pPr>
        <w:spacing w:line="560" w:lineRule="exact"/>
        <w:ind w:firstLine="640"/>
        <w:rPr>
          <w:rFonts w:ascii="宋体" w:eastAsia="宋体" w:cs="仿宋" w:hAnsi="宋体"/>
          <w:sz w:val="32"/>
          <w:szCs w:val="32"/>
        </w:rPr>
      </w:pPr>
      <w:r>
        <w:rPr>
          <w:rFonts w:ascii="宋体" w:eastAsia="宋体" w:cs="仿宋" w:hAnsi="宋体"/>
          <w:sz w:val="32"/>
          <w:szCs w:val="32"/>
        </w:rPr>
        <w:t>根据遵机编字（2015）10号文件，我单位</w:t>
      </w:r>
      <w:r>
        <w:rPr>
          <w:rFonts w:ascii="宋体" w:eastAsia="宋体" w:hAnsi="宋体" w:hint="eastAsia"/>
          <w:sz w:val="32"/>
          <w:szCs w:val="32"/>
        </w:rPr>
        <w:t>主要工作内容：</w:t>
      </w:r>
      <w:r>
        <w:rPr>
          <w:rFonts w:ascii="宋体" w:eastAsia="宋体" w:cs="仿宋" w:hAnsi="宋体"/>
          <w:sz w:val="32"/>
          <w:szCs w:val="32"/>
        </w:rPr>
        <w:t>房屋征收补偿的行政复议、应诉和申请强制执行工作、监管房屋征收补偿费用的使用</w:t>
      </w:r>
      <w:r>
        <w:rPr>
          <w:rFonts w:ascii="宋体" w:eastAsia="宋体" w:cs="仿宋" w:hAnsi="宋体" w:hint="eastAsia"/>
          <w:sz w:val="32"/>
          <w:szCs w:val="32"/>
        </w:rPr>
        <w:t>、补偿协议的签订及</w:t>
      </w:r>
      <w:r>
        <w:rPr>
          <w:rFonts w:ascii="宋体" w:eastAsia="宋体" w:cs="仿宋" w:hAnsi="宋体"/>
          <w:sz w:val="32"/>
          <w:szCs w:val="32"/>
        </w:rPr>
        <w:t>组织实施已征收房屋拆除工作。</w:t>
      </w:r>
    </w:p>
    <w:p>
      <w:pPr>
        <w:rPr>
          <w:rFonts w:ascii="宋体" w:eastAsia="宋体" w:hAnsi="宋体"/>
          <w:sz w:val="32"/>
          <w:szCs w:val="32"/>
        </w:rPr>
      </w:pPr>
      <w:r>
        <w:rPr>
          <w:rFonts w:ascii="宋体" w:eastAsia="宋体" w:hAnsi="宋体" w:hint="eastAsia"/>
          <w:sz w:val="32"/>
          <w:szCs w:val="32"/>
        </w:rPr>
        <w:t xml:space="preserve">主要目标：加快房屋征收工作进度，促进城市化进程。 </w:t>
      </w:r>
    </w:p>
    <w:p>
      <w:pPr>
        <w:spacing w:line="560" w:lineRule="exact"/>
        <w:ind w:firstLineChars="196" w:firstLine="627"/>
        <w:rPr>
          <w:rFonts w:ascii="宋体" w:eastAsia="宋体" w:cs="方正仿宋_GBK" w:hAnsi="宋体"/>
          <w:kern w:val="0"/>
          <w:sz w:val="32"/>
          <w:szCs w:val="32"/>
        </w:rPr>
      </w:pPr>
      <w:r>
        <w:rPr>
          <w:rFonts w:ascii="宋体" w:eastAsia="宋体" w:cs="微软雅黑" w:hAnsi="宋体" w:hint="eastAsia"/>
          <w:kern w:val="0"/>
          <w:sz w:val="32"/>
          <w:szCs w:val="32"/>
        </w:rPr>
        <w:t>（二）资金来源及资金管理：</w:t>
      </w:r>
    </w:p>
    <w:p>
      <w:pPr>
        <w:spacing w:line="520" w:lineRule="exact"/>
        <w:ind w:firstLineChars="200" w:firstLine="640"/>
        <w:rPr>
          <w:rFonts w:ascii="宋体" w:eastAsia="宋体" w:hAnsi="宋体"/>
          <w:sz w:val="32"/>
          <w:szCs w:val="32"/>
        </w:rPr>
      </w:pPr>
      <w:r>
        <w:rPr>
          <w:rFonts w:ascii="宋体" w:eastAsia="宋体" w:hAnsi="宋体" w:hint="eastAsia"/>
          <w:sz w:val="32"/>
          <w:szCs w:val="32"/>
        </w:rPr>
        <w:t>2018年度，我单位房屋征收项目工作经费申请总预算额为18万元。全部用于我单位房屋征收印制协议、工作人员入户、签订协议以及日常征收工作开展所需。</w:t>
      </w:r>
    </w:p>
    <w:p>
      <w:pPr>
        <w:spacing w:line="520" w:lineRule="exact"/>
        <w:ind w:firstLineChars="147" w:firstLine="470"/>
        <w:rPr>
          <w:rFonts w:ascii="宋体" w:eastAsia="宋体" w:hAnsi="宋体"/>
          <w:sz w:val="32"/>
          <w:szCs w:val="32"/>
        </w:rPr>
      </w:pPr>
      <w:r>
        <w:rPr>
          <w:rFonts w:ascii="宋体" w:eastAsia="宋体" w:hAnsi="宋体" w:hint="eastAsia"/>
          <w:sz w:val="32"/>
          <w:szCs w:val="32"/>
        </w:rPr>
        <w:t>（三）管理绩效自评情况</w:t>
      </w:r>
    </w:p>
    <w:p>
      <w:pPr>
        <w:spacing w:line="520" w:lineRule="exact"/>
        <w:ind w:firstLineChars="200" w:firstLine="640"/>
        <w:rPr>
          <w:rFonts w:ascii="宋体" w:hAnsi="宋体"/>
          <w:sz w:val="32"/>
          <w:szCs w:val="32"/>
        </w:rPr>
      </w:pPr>
      <w:r>
        <w:rPr>
          <w:rFonts w:ascii="宋体" w:hAnsi="宋体" w:hint="eastAsia"/>
          <w:sz w:val="32"/>
          <w:szCs w:val="32"/>
        </w:rPr>
        <w:t>该项目目标明确，全部用于房屋征收，符合</w:t>
      </w:r>
      <w:r>
        <w:rPr>
          <w:rFonts w:ascii="宋体" w:cs="仿宋" w:hAnsi="宋体"/>
          <w:sz w:val="32"/>
          <w:szCs w:val="32"/>
        </w:rPr>
        <w:t>遵机编字（2015）10号</w:t>
      </w:r>
      <w:r>
        <w:rPr>
          <w:rFonts w:ascii="宋体" w:hAnsi="宋体" w:hint="eastAsia"/>
          <w:sz w:val="32"/>
          <w:szCs w:val="32"/>
        </w:rPr>
        <w:t>文件要求，2018年度我办财政预算资金18万元，实际拨付17.54万元，项目认定，资金申报、批复程序符合相关管理办法，项目实施手续健全，资金到位占实际资金需求的97.4%。项目不存在虚列（套取）总控情况，项目资金支出合理合规，无截留、挤占、超标准发放现象，项目实施单位财务制度健全，会计核算规范；该项目组织机构健全，成立专门的领导小组，且分工明确；为确保项目的顺利实施制定了《遵化市人民政府房屋征收办公室房屋征收项目工作经费实施方案》，并严格按照方案执行本项目。</w:t>
      </w:r>
    </w:p>
    <w:p>
      <w:pPr>
        <w:adjustRightInd w:val="0"/>
        <w:snapToGrid w:val="0"/>
        <w:spacing w:after="0" w:line="580" w:lineRule="exact"/>
        <w:ind w:firstLineChars="200" w:firstLine="720"/>
        <w:rPr>
          <w:rFonts w:ascii="黑体" w:eastAsia="黑体"/>
          <w:b/>
          <w:bCs/>
          <w:sz w:val="36"/>
          <w:szCs w:val="36"/>
        </w:rPr>
      </w:pPr>
      <w:r>
        <w:rPr>
          <w:rFonts w:ascii="黑体" w:eastAsia="黑体" w:hint="eastAsia"/>
          <w:sz w:val="36"/>
          <w:szCs w:val="36"/>
        </w:rPr>
        <w:t>七、其他重要事项的说明</w:t>
      </w:r>
    </w:p>
    <w:p>
      <w:pPr>
        <w:pStyle w:val="3"/>
        <w:spacing w:before="0" w:after="0" w:line="580" w:lineRule="exact"/>
        <w:ind w:firstLineChars="200" w:firstLine="640"/>
        <w:rPr>
          <w:rFonts w:ascii="楷体" w:eastAsia="楷体" w:cs="DengXian-Bold" w:hAnsi="楷体"/>
        </w:rPr>
      </w:pPr>
      <w:r>
        <w:rPr>
          <w:rFonts w:ascii="楷体" w:eastAsia="楷体" w:cs="DengXian-Bold" w:hAnsi="楷体" w:hint="eastAsia"/>
        </w:rPr>
        <w:t>（一）机关运行经费情况</w:t>
      </w:r>
    </w:p>
    <w:p>
      <w:pPr>
        <w:ind w:firstLineChars="200" w:firstLine="640"/>
        <w:rPr>
          <w:rFonts w:ascii="仿宋_GB2312" w:eastAsia="仿宋_GB2312" w:cs="DengXian-Regular"/>
          <w:sz w:val="32"/>
          <w:szCs w:val="32"/>
        </w:rPr>
      </w:pPr>
      <w:r>
        <w:rPr>
          <w:rFonts w:ascii="仿宋_GB2312" w:eastAsia="仿宋_GB2312" w:cs="DengXian-Regular" w:hint="eastAsia"/>
          <w:sz w:val="32"/>
          <w:szCs w:val="32"/>
        </w:rPr>
        <w:t>本单位2018年度机关运行经费支出</w:t>
      </w:r>
      <w:r>
        <w:rPr>
          <w:rFonts w:ascii="宋体" w:hAnsi="宋体" w:hint="eastAsia"/>
          <w:sz w:val="32"/>
          <w:szCs w:val="32"/>
        </w:rPr>
        <w:t>5.12</w:t>
      </w:r>
      <w:r>
        <w:rPr>
          <w:rFonts w:ascii="仿宋_GB2312" w:eastAsia="仿宋_GB2312" w:cs="DengXian-Regular" w:hint="eastAsia"/>
          <w:sz w:val="32"/>
          <w:szCs w:val="32"/>
        </w:rPr>
        <w:t>万元，较</w:t>
      </w:r>
      <w:r>
        <w:rPr>
          <w:rFonts w:ascii="仿宋_GB2312" w:eastAsia="仿宋_GB2312" w:cs="DengXian-Regular" w:hint="eastAsia"/>
          <w:sz w:val="32"/>
          <w:szCs w:val="32"/>
          <w:lang w:eastAsia="zh-CN"/>
        </w:rPr>
        <w:t>年初预算减少</w:t>
      </w:r>
      <w:r>
        <w:rPr>
          <w:rFonts w:ascii="仿宋_GB2312" w:eastAsia="仿宋_GB2312" w:cs="DengXian-Regular" w:hint="eastAsia"/>
          <w:sz w:val="32"/>
          <w:szCs w:val="32"/>
          <w:lang w:val="en-US" w:eastAsia="zh-CN"/>
        </w:rPr>
        <w:t>0.84万元，主要原因是房屋征收项目减少，经费减少。较</w:t>
      </w:r>
      <w:r>
        <w:rPr>
          <w:rFonts w:ascii="仿宋_GB2312" w:eastAsia="仿宋_GB2312" w:cs="DengXian-Regular" w:hint="eastAsia"/>
          <w:sz w:val="32"/>
          <w:szCs w:val="32"/>
        </w:rPr>
        <w:t>2017年度决算</w:t>
      </w:r>
      <w:r>
        <w:rPr>
          <w:rFonts w:ascii="仿宋_GB2312" w:eastAsia="仿宋_GB2312" w:cs="DengXian-Regular" w:hint="eastAsia"/>
          <w:sz w:val="32"/>
          <w:szCs w:val="32"/>
          <w:lang w:eastAsia="zh-CN"/>
        </w:rPr>
        <w:t>增加</w:t>
      </w:r>
      <w:r>
        <w:rPr>
          <w:rFonts w:ascii="仿宋_GB2312" w:eastAsia="仿宋_GB2312" w:cs="DengXian-Regular" w:hint="eastAsia"/>
          <w:sz w:val="32"/>
          <w:szCs w:val="32"/>
          <w:lang w:val="en-US" w:eastAsia="zh-CN"/>
        </w:rPr>
        <w:t>0.69万元，主要原因是：</w:t>
      </w:r>
      <w:r>
        <w:rPr>
          <w:rFonts w:ascii="仿宋" w:eastAsia="仿宋" w:cs="仿宋" w:hAnsi="仿宋" w:hint="eastAsia"/>
          <w:sz w:val="32"/>
          <w:szCs w:val="32"/>
          <w:lang w:eastAsia="zh-CN"/>
        </w:rPr>
        <w:t>工资增加，工会福利费相应增加</w:t>
      </w:r>
      <w:r>
        <w:rPr>
          <w:rFonts w:ascii="仿宋" w:eastAsia="仿宋" w:cs="仿宋" w:hAnsi="仿宋" w:hint="eastAsia"/>
          <w:color w:val="000000"/>
          <w:sz w:val="32"/>
          <w:szCs w:val="32"/>
        </w:rPr>
        <w:t>。</w:t>
      </w:r>
    </w:p>
    <w:p>
      <w:pPr>
        <w:adjustRightInd w:val="0"/>
        <w:snapToGrid w:val="0"/>
        <w:spacing w:after="0" w:line="580" w:lineRule="exact"/>
        <w:ind w:firstLineChars="200" w:firstLine="640"/>
        <w:rPr>
          <w:rFonts w:ascii="楷体" w:eastAsia="楷体" w:cs="DengXian-Bold" w:hAnsi="楷体"/>
          <w:b/>
          <w:sz w:val="32"/>
          <w:szCs w:val="32"/>
        </w:rPr>
      </w:pPr>
      <w:r>
        <w:rPr>
          <w:rFonts w:ascii="楷体" w:eastAsia="楷体" w:cs="DengXian-Bold" w:hAnsi="楷体" w:hint="eastAsia"/>
          <w:b/>
          <w:sz w:val="32"/>
          <w:szCs w:val="32"/>
        </w:rPr>
        <w:t>（二）政府采购情况</w:t>
      </w:r>
    </w:p>
    <w:p>
      <w:pPr>
        <w:snapToGrid w:val="0"/>
        <w:spacing w:line="580" w:lineRule="exact"/>
        <w:ind w:firstLineChars="200" w:firstLine="640"/>
        <w:jc w:val="left"/>
        <w:rPr>
          <w:rFonts w:ascii="宋体" w:cs="DengXian-Regular" w:hAnsi="宋体"/>
          <w:sz w:val="32"/>
          <w:szCs w:val="32"/>
        </w:rPr>
      </w:pPr>
      <w:r>
        <w:rPr>
          <w:rFonts w:ascii="宋体" w:cs="DengXian-Regular" w:hAnsi="宋体" w:hint="eastAsia"/>
          <w:sz w:val="32"/>
          <w:szCs w:val="32"/>
        </w:rPr>
        <w:t>本部门2018年度政府采购支出总额</w:t>
      </w:r>
      <w:r>
        <w:rPr>
          <w:rFonts w:ascii="宋体" w:cs="DengXian-Regular" w:hAnsi="宋体"/>
          <w:sz w:val="32"/>
          <w:szCs w:val="32"/>
        </w:rPr>
        <w:t>0</w:t>
      </w:r>
      <w:r>
        <w:rPr>
          <w:rFonts w:ascii="宋体" w:cs="DengXian-Regular" w:hAnsi="宋体" w:hint="eastAsia"/>
          <w:sz w:val="32"/>
          <w:szCs w:val="32"/>
        </w:rPr>
        <w:t>万元。</w:t>
      </w:r>
      <w:r>
        <w:rPr>
          <w:rFonts w:ascii="仿宋_GB2312" w:eastAsia="仿宋_GB2312" w:cs="仿宋_GB2312" w:hAnsi="仿宋_GB2312" w:hint="eastAsia"/>
          <w:color w:val="000000"/>
          <w:kern w:val="0"/>
          <w:sz w:val="32"/>
          <w:szCs w:val="32"/>
        </w:rPr>
        <w:t>其中授予小微企业合同金额</w:t>
      </w:r>
      <w:r>
        <w:rPr>
          <w:rFonts w:ascii="仿宋_GB2312" w:eastAsia="仿宋_GB2312" w:cs="仿宋_GB2312" w:hAnsi="仿宋_GB2312" w:hint="eastAsia"/>
          <w:color w:val="000000"/>
          <w:kern w:val="0"/>
          <w:sz w:val="32"/>
          <w:szCs w:val="32"/>
          <w:lang w:val="en-US" w:eastAsia="zh-CN"/>
        </w:rPr>
        <w:t>0万元</w:t>
      </w:r>
      <w:r>
        <w:rPr>
          <w:rFonts w:ascii="仿宋_GB2312" w:eastAsia="仿宋_GB2312" w:cs="DengXian-Regular" w:hAnsi="Times New Roman" w:hint="eastAsia"/>
          <w:sz w:val="32"/>
          <w:szCs w:val="32"/>
        </w:rPr>
        <w:t>。</w:t>
      </w:r>
      <w:r>
        <w:rPr>
          <w:rFonts w:ascii="仿宋_GB2312" w:eastAsia="仿宋_GB2312" w:cs="DengXian-Regular" w:hint="eastAsia"/>
          <w:sz w:val="32"/>
          <w:szCs w:val="32"/>
        </w:rPr>
        <w:t>较2017年度决算无增减变化。</w:t>
      </w:r>
    </w:p>
    <w:p>
      <w:pPr>
        <w:pStyle w:val="3"/>
        <w:spacing w:before="0" w:after="0" w:line="580" w:lineRule="exact"/>
        <w:ind w:firstLineChars="200" w:firstLine="640"/>
        <w:rPr>
          <w:rFonts w:ascii="楷体" w:eastAsia="楷体" w:cs="DengXian-Bold" w:hAnsi="楷体"/>
        </w:rPr>
      </w:pPr>
      <w:r>
        <w:rPr>
          <w:rFonts w:ascii="楷体" w:eastAsia="楷体" w:cs="DengXian-Bold" w:hAnsi="楷体"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1辆。其中，副部（省）级及以上领导用车0辆，主要领导干部用车0辆，机要通信用车0辆，应急保障用车0辆，执法执勤用车0辆，一般公务用车1辆，特种专业技术用车0辆，离退休干部用车0辆，其他用车0辆。</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单位价值</w:t>
      </w:r>
      <w:r>
        <w:rPr>
          <w:rFonts w:ascii="仿宋_GB2312" w:eastAsia="仿宋_GB2312" w:cs="TimesNewRomanPSMT" w:hAnsi="TimesNewRomanPSMT" w:hint="eastAsia"/>
          <w:sz w:val="32"/>
          <w:szCs w:val="32"/>
        </w:rPr>
        <w:t>50</w:t>
      </w:r>
      <w:r>
        <w:rPr>
          <w:rFonts w:ascii="仿宋_GB2312" w:eastAsia="仿宋_GB2312" w:cs="DengXian-Regular" w:hint="eastAsia"/>
          <w:sz w:val="32"/>
          <w:szCs w:val="32"/>
        </w:rPr>
        <w:t>万元以上通用设备0台（套），比上年增加0套，单位价值</w:t>
      </w:r>
      <w:r>
        <w:rPr>
          <w:rFonts w:ascii="仿宋_GB2312" w:eastAsia="仿宋_GB2312" w:cs="TimesNewRomanPSMT" w:hAnsi="TimesNewRomanPSMT" w:hint="eastAsia"/>
          <w:sz w:val="32"/>
          <w:szCs w:val="32"/>
        </w:rPr>
        <w:t>100</w:t>
      </w:r>
      <w:r>
        <w:rPr>
          <w:rFonts w:ascii="仿宋_GB2312" w:eastAsia="仿宋_GB2312" w:cs="DengXian-Regular" w:hint="eastAsia"/>
          <w:sz w:val="32"/>
          <w:szCs w:val="32"/>
        </w:rPr>
        <w:t>万元以上专用设备0台（套）比上年增加0套。较2017年度决算无增减变化。</w:t>
      </w:r>
    </w:p>
    <w:p>
      <w:pPr>
        <w:pStyle w:val="3"/>
        <w:spacing w:before="0" w:after="0" w:line="580" w:lineRule="exact"/>
        <w:ind w:firstLineChars="200" w:firstLine="640"/>
        <w:rPr>
          <w:rFonts w:ascii="楷体" w:eastAsia="楷体" w:cs="DengXian-Bold" w:hAnsi="楷体"/>
        </w:rPr>
      </w:pPr>
      <w:r>
        <w:rPr>
          <w:rFonts w:ascii="楷体" w:eastAsia="楷体" w:cs="DengXian-Bold" w:hAnsi="楷体"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w:t>
      </w:r>
      <w:r>
        <w:rPr>
          <w:rFonts w:ascii="宋体" w:cs="宋体" w:hAnsi="宋体" w:hint="eastAsia"/>
          <w:color w:val="000000"/>
          <w:kern w:val="0"/>
          <w:sz w:val="32"/>
          <w:szCs w:val="32"/>
        </w:rPr>
        <w:t>国有资本经营预算财政拨款</w:t>
      </w:r>
      <w:r>
        <w:rPr>
          <w:rFonts w:ascii="仿宋_GB2312" w:eastAsia="仿宋_GB2312" w:cs="DengXian-Regular" w:hint="eastAsia"/>
          <w:sz w:val="32"/>
          <w:szCs w:val="32"/>
        </w:rPr>
        <w:t>无收支及结转结余情况，故</w:t>
      </w:r>
      <w:r>
        <w:rPr>
          <w:rFonts w:ascii="宋体" w:cs="宋体" w:hAnsi="宋体" w:hint="eastAsia"/>
          <w:color w:val="000000"/>
          <w:kern w:val="0"/>
          <w:sz w:val="32"/>
          <w:szCs w:val="32"/>
        </w:rPr>
        <w:t>国有资本经营预算财政拨款支出</w:t>
      </w:r>
      <w:r>
        <w:rPr>
          <w:rFonts w:ascii="仿宋_GB2312" w:eastAsia="仿宋_GB2312" w:cs="DengXian-Regular" w:hint="eastAsia"/>
          <w:sz w:val="32"/>
          <w:szCs w:val="32"/>
        </w:rPr>
        <w:t>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w:t>
      </w:r>
      <w:r>
        <w:rPr>
          <w:sz w:val="44"/>
        </w:rPr>
        <mc:AlternateContent>
          <mc:Choice Requires="wps">
            <w:drawing>
              <wp:anchor distT="0" distB="0" distL="114300" distR="114300" simplePos="0" relativeHeight="98" behindDoc="0" locked="1" layoutInCell="1" hidden="0" allowOverlap="1">
                <wp:simplePos x="0" y="0"/>
                <wp:positionH relativeFrom="page">
                  <wp:posOffset>-6985</wp:posOffset>
                </wp:positionH>
                <wp:positionV relativeFrom="page">
                  <wp:posOffset>372109</wp:posOffset>
                </wp:positionV>
                <wp:extent cx="3833495" cy="558166"/>
                <wp:effectExtent l="1270" t="0" r="13335" b="13335"/>
                <wp:wrapNone/>
                <wp:docPr id="1166" name="组合 91"/>
                <wp:cNvGraphicFramePr>
                  <a:graphicFrameLocks noChangeAspect="0"/>
                </wp:cNvGraphicFramePr>
                <a:graphic>
                  <a:graphicData uri="http://schemas.microsoft.com/office/word/2010/wordprocessingGroup">
                    <wpg:wgp>
                      <wpg:cNvPr id="143" name="组合 91 143"/>
                      <wpg:cNvGrpSpPr/>
                      <wpg:grpSpPr>
                        <a:xfrm rot="0">
                          <a:off x="0" y="0"/>
                          <a:ext cx="3833495" cy="558166"/>
                          <a:chOff x="0" y="0"/>
                          <a:chExt cx="3833495" cy="558166"/>
                        </a:xfrm>
                        <a:prstGeom prst="rect"/>
                        <a:solidFill>
                          <a:srgbClr val="FFFFFF"/>
                        </a:solidFill>
                        <a:ln w="9525" cmpd="sng" cap="flat">
                          <a:solidFill>
                            <a:srgbClr val="000000"/>
                          </a:solidFill>
                          <a:prstDash val="solid"/>
                          <a:miter/>
                        </a:ln>
                      </wpg:grpSpPr>
                      <wps:wsp>
                        <wps:cNvPr id="144" name="矩形 1061 144"/>
                        <wps:cNvSpPr/>
                        <wps:spPr>
                          <a:xfrm rot="0">
                            <a:off x="0" y="0"/>
                            <a:ext cx="38334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45" name="矩形 1063 145"/>
                        <wps:cNvSpPr/>
                        <wps:spPr>
                          <a:xfrm rot="0">
                            <a:off x="11662" y="109797"/>
                            <a:ext cx="3733912" cy="448369"/>
                          </a:xfrm>
                          <a:prstGeom prst="rect"/>
                          <a:solidFill>
                            <a:srgbClr val="AD002D"/>
                          </a:solidFill>
                          <a:ln w="25400" cmpd="sng" cap="flat">
                            <a:solidFill>
                              <a:srgbClr val="AF7621"/>
                            </a:solidFill>
                            <a:prstDash val="solid"/>
                            <a:round/>
                          </a:ln>
                        </wps:spPr>
                        <wps:txbx id="146">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91" o:spid="_x0000_s147" coordorigin="-11,586" coordsize="6037,879" style="position:absolute;margin-left:-0.55pt;margin-top:29.3pt;width:301.85pt;height:43.950146pt;z-index:98;mso-position-horizontal:absolute;mso-position-horizontal-relative:page;mso-position-vertical:absolute;mso-position-vertical-relative:page;">
                <v:rect type="#_x0000_t1" id="矩形 1061 144" o:spid="_x0000_s148" style="position:absolute;left:-11;top:586;width:6037;height:738;" fillcolor="#D8D8D8" stroked="f" strokeweight="-1.0pt">
                  <v:stroke/>
                </v:rect>
                <v:rect type="#_x0000_t1" id="_s149" o:spid="_x0000_s149" style="position:absolute;left:7;top:758;width:5880;height:706;mso-wrap-style:square;" fillcolor="#AD002D" stroked="t" strokeweight="2.0pt">
                  <v:textbox id="875"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2018年度部门决算☞部门决算情况说明</w:t>
                        </w:r>
                      </w:p>
                      <w:p>
                        <w:pPr>
                          <w:jc w:val="center"/>
                        </w:pPr>
                      </w:p>
                    </w:txbxContent>
                  </v:textbox>
                  <v:stroke color="#AF7621"/>
                </v:rect>
                <w10:anchorLock/>
              </v:group>
            </w:pict>
          </mc:Fallback>
        </mc:AlternateContent>
      </w:r>
      <w:r>
        <w:rPr>
          <w:rFonts w:ascii="仿宋_GB2312" w:eastAsia="仿宋_GB2312" w:cs="DengXian-Regular" w:hint="eastAsia"/>
          <w:sz w:val="32"/>
          <w:szCs w:val="32"/>
        </w:rPr>
        <w:t>果，个别数据合计项与分项之和存在小数点后差额，特此说明。</w:t>
      </w:r>
    </w:p>
    <w:p>
      <w:pPr>
        <w:widowControl/>
        <w:spacing w:after="0" w:line="580" w:lineRule="exact"/>
        <w:ind w:firstLineChars="200" w:firstLine="880"/>
        <w:jc w:val="left"/>
        <w:rPr>
          <w:rFonts w:ascii="宋体" w:cs="MS-UIGothic,Bold" w:hAnsi="宋体"/>
          <w:b/>
          <w:bCs/>
          <w:kern w:val="0"/>
          <w:sz w:val="44"/>
          <w:szCs w:val="44"/>
        </w:rPr>
        <w:sectPr>
          <w:pgSz w:w="11906" w:h="16838"/>
          <w:pgMar w:top="2098" w:right="1474" w:bottom="1984" w:left="1588" w:header="851" w:footer="992" w:gutter="0"/>
          <w:cols w:num="1" w:space="0"/>
          <w:docGrid w:type="lines" w:linePitch="312" w:charSpace="0"/>
        </w:sectPr>
      </w:pPr>
    </w:p>
    <w:p>
      <w:pPr>
        <w:rPr>
          <w:rFonts w:ascii="宋体" w:cs="ArialUnicodeMS" w:hAnsi="宋体"/>
          <w:color w:val="000000"/>
          <w:kern w:val="0"/>
        </w:rPr>
        <w:sectPr>
          <w:pgSz w:w="11906" w:h="16838"/>
          <w:pgMar w:top="2098" w:right="1474" w:bottom="1984" w:left="1588" w:header="851" w:footer="992" w:gutter="0"/>
          <w:cols w:num="1" w:space="0"/>
          <w:docGrid w:type="lines" w:linePitch="312" w:charSpace="0"/>
        </w:sectPr>
      </w:pPr>
      <w:r>
        <w:rPr>
          <w:rFonts w:ascii="宋体" w:cs="ArialUnicodeMS" w:hAnsi="宋体" w:hint="eastAsia"/>
          <w:color w:val="000000"/>
          <w:kern w:val="0"/>
        </w:rPr>
        <w:drawing>
          <wp:anchor distT="0" distB="0" distL="0" distR="0" simplePos="0" relativeHeight="10" behindDoc="1" locked="0" layoutInCell="1" hidden="0" allowOverlap="1">
            <wp:simplePos x="0" y="0"/>
            <wp:positionH relativeFrom="column">
              <wp:posOffset>-1009015</wp:posOffset>
            </wp:positionH>
            <wp:positionV relativeFrom="paragraph">
              <wp:posOffset>-1337945</wp:posOffset>
            </wp:positionV>
            <wp:extent cx="7550150" cy="10680065"/>
            <wp:effectExtent l="0" t="0" r="12700" b="6985"/>
            <wp:wrapNone/>
            <wp:docPr id="1167" name="图片 21"/>
            <wp:cNvGraphicFramePr>
              <a:graphicFrameLocks noChangeAspect="0"/>
            </wp:cNvGraphicFramePr>
            <a:graphic>
              <a:graphicData uri="http://schemas.openxmlformats.org/drawingml/2006/picture">
                <pic:pic>
                  <pic:nvPicPr>
                    <pic:cNvPr id="150" name="图片 21 150"/>
                    <pic:cNvPicPr/>
                  </pic:nvPicPr>
                  <pic:blipFill>
                    <a:blip r:embed="rId8"/>
                    <a:stretch>
                      <a:fillRect/>
                    </a:stretch>
                  </pic:blipFill>
                  <pic:spPr>
                    <a:xfrm rot="0">
                      <a:off x="0" y="0"/>
                      <a:ext cx="7550150" cy="10680065"/>
                    </a:xfrm>
                    <a:prstGeom prst="rect"/>
                    <a:noFill/>
                    <a:ln w="9525" cmpd="sng" cap="flat">
                      <a:noFill/>
                      <a:prstDash val="solid"/>
                      <a:miter/>
                    </a:ln>
                  </pic:spPr>
                </pic:pic>
              </a:graphicData>
            </a:graphic>
          </wp:anchor>
        </w:drawing>
      </w:r>
      <w:r>
        <w:rPr>
          <w:sz w:val="72"/>
        </w:rPr>
        <mc:AlternateContent>
          <mc:Choice Requires="wps">
            <w:drawing>
              <wp:anchor distT="0" distB="0" distL="114300" distR="114300" simplePos="0" relativeHeight="100" behindDoc="0" locked="0" layoutInCell="1" hidden="0" allowOverlap="1">
                <wp:simplePos x="0" y="0"/>
                <wp:positionH relativeFrom="column">
                  <wp:posOffset>-999490</wp:posOffset>
                </wp:positionH>
                <wp:positionV relativeFrom="paragraph">
                  <wp:posOffset>2956560</wp:posOffset>
                </wp:positionV>
                <wp:extent cx="7571740" cy="2020570"/>
                <wp:effectExtent l="0" t="0" r="0" b="0"/>
                <wp:wrapNone/>
                <wp:docPr id="1116" name="文本框 22"/>
                <wp:cNvGraphicFramePr>
                  <a:graphicFrameLocks noChangeAspect="0"/>
                </wp:cNvGraphicFramePr>
                <a:graphic>
                  <a:graphicData uri="http://schemas.microsoft.com/office/word/2010/wordprocessingShape">
                    <wps:wsp>
                      <wps:cNvSpPr/>
                      <wps:spPr>
                        <a:xfrm rot="0">
                          <a:off x="0" y="0"/>
                          <a:ext cx="7571740" cy="2020570"/>
                        </a:xfrm>
                        <a:prstGeom prst="rect"/>
                        <a:noFill/>
                        <a:ln cmpd="sng" cap="flat">
                          <a:noFill/>
                          <a:prstDash val="solid"/>
                          <a:round/>
                        </a:ln>
                      </wps:spPr>
                      <wps:txbx id="151">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wps:txbx>
                      <wps:bodyPr vert="horz" wrap="square" lIns="91440" tIns="45720" rIns="91440" bIns="45720" anchor="t" anchorCtr="0" upright="0">
                        <a:noAutofit/>
                      </wps:bodyPr>
                    </wps:wsp>
                  </a:graphicData>
                </a:graphic>
              </wp:anchor>
            </w:drawing>
          </mc:Choice>
          <mc:Fallback>
            <w:pict>
              <v:rect type="#_x0000_t1" id="文本框 22" o:spid="_x0000_s152" filled="f" stroked="f" strokeweight="-1.0pt" style="position:absolute;margin-left:-78.7pt;margin-top:232.80002pt;width:596.2pt;height:159.10002pt;z-index:100;mso-position-horizontal:absolute;mso-position-vertical:absolute;mso-wrap-style:square;">
                <v:stroke/>
                <v:textbox id="877" inset="2.54mm,1.27mm,2.54mm,1.27mm" o:insetmode="custom" style="layout-flow:horizontal;v-text-anchor:top;">
                  <w:txbxContent>
                    <w:p>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mc:Fallback>
        </mc:AlternateConten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w:t>
      </w:r>
      <w:r>
        <w:rPr>
          <w:rFonts w:ascii="宋体" w:cs="宋体" w:hAnsi="宋体" w:hint="eastAsia"/>
          <w:b/>
          <w:bCs/>
          <w:color w:val="000000"/>
          <w:kern w:val="0"/>
          <w:sz w:val="32"/>
          <w:szCs w:val="32"/>
        </w:rPr>
        <w:t>末</w:t>
      </w:r>
      <w:r>
        <w:rPr>
          <w:rFonts w:ascii="仿宋_GB2312" w:eastAsia="仿宋_GB2312" w:hAnsi="宋体" w:hint="eastAsia"/>
          <w:b/>
          <w:bCs/>
          <w:color w:val="000000"/>
          <w:kern w:val="0"/>
          <w:sz w:val="32"/>
          <w:szCs w:val="32"/>
        </w:rPr>
        <w:t>结转和结</w:t>
      </w:r>
      <w:r>
        <w:rPr>
          <w:rFonts w:ascii="仿宋_GB2312" w:eastAsia="仿宋_GB2312" w:hAnsi="宋体"/>
          <w:b/>
          <w:bCs/>
          <w:color w:val="000000"/>
          <w:kern w:val="0"/>
          <w:sz w:val="32"/>
          <w:szCs w:val="32"/>
        </w:rPr>
        <mc:AlternateContent>
          <mc:Choice Requires="wps">
            <w:drawing>
              <wp:anchor distT="0" distB="0" distL="114300" distR="114300" simplePos="0" relativeHeight="102" behindDoc="0" locked="1" layoutInCell="1" hidden="0" allowOverlap="1">
                <wp:simplePos x="0" y="0"/>
                <wp:positionH relativeFrom="column">
                  <wp:posOffset>-1029335</wp:posOffset>
                </wp:positionH>
                <wp:positionV relativeFrom="page">
                  <wp:posOffset>503555</wp:posOffset>
                </wp:positionV>
                <wp:extent cx="3363595" cy="558166"/>
                <wp:effectExtent l="2540" t="0" r="5715" b="13335"/>
                <wp:wrapNone/>
                <wp:docPr id="1168" name="组合 149"/>
                <wp:cNvGraphicFramePr>
                  <a:graphicFrameLocks noChangeAspect="0"/>
                </wp:cNvGraphicFramePr>
                <a:graphic>
                  <a:graphicData uri="http://schemas.microsoft.com/office/word/2010/wordprocessingGroup">
                    <wpg:wgp>
                      <wpg:cNvPr id="153" name="组合 149 153"/>
                      <wpg:cNvGrpSpPr/>
                      <wpg:grpSpPr>
                        <a:xfrm rot="0">
                          <a:off x="0" y="0"/>
                          <a:ext cx="3363595" cy="558166"/>
                          <a:chOff x="0" y="0"/>
                          <a:chExt cx="3363595" cy="558166"/>
                        </a:xfrm>
                        <a:prstGeom prst="rect"/>
                        <a:solidFill>
                          <a:srgbClr val="FFFFFF"/>
                        </a:solidFill>
                        <a:ln w="9525" cmpd="sng" cap="flat">
                          <a:solidFill>
                            <a:srgbClr val="000000"/>
                          </a:solidFill>
                          <a:prstDash val="solid"/>
                          <a:miter/>
                        </a:ln>
                      </wpg:grpSpPr>
                      <wps:wsp>
                        <wps:cNvPr id="154" name="矩形 1064 154"/>
                        <wps:cNvSpPr/>
                        <wps:spPr>
                          <a:xfrm rot="0">
                            <a:off x="0" y="0"/>
                            <a:ext cx="33635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55" name="矩形 1066 155"/>
                        <wps:cNvSpPr/>
                        <wps:spPr>
                          <a:xfrm rot="0">
                            <a:off x="10233" y="109797"/>
                            <a:ext cx="3276219" cy="448369"/>
                          </a:xfrm>
                          <a:prstGeom prst="rect"/>
                          <a:solidFill>
                            <a:srgbClr val="AD002D"/>
                          </a:solidFill>
                          <a:ln w="25400" cmpd="sng" cap="flat">
                            <a:solidFill>
                              <a:srgbClr val="AF7621"/>
                            </a:solidFill>
                            <a:prstDash val="solid"/>
                            <a:round/>
                          </a:ln>
                        </wps:spPr>
                        <wps:txbx id="156">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149" o:spid="_x0000_s157" coordorigin="-33,793" coordsize="5297,879" style="position:absolute;margin-left:-81.05pt;margin-top:39.65pt;width:264.85pt;height:43.950146pt;z-index:102;mso-position-horizontal:absolute;mso-position-vertical:absolute;mso-position-vertical-relative:page;">
                <v:rect type="#_x0000_t1" id="矩形 1064 154" o:spid="_x0000_s158" style="position:absolute;left:-33;top:793;width:5297;height:738;" fillcolor="#D8D8D8" stroked="f" strokeweight="-1.0pt">
                  <v:stroke/>
                </v:rect>
                <v:rect type="#_x0000_t1" id="_s159" o:spid="_x0000_s159" style="position:absolute;left:-16;top:965;width:5159;height:706;mso-wrap-style:square;" fillcolor="#AD002D" stroked="t" strokeweight="2.0pt">
                  <v:textbox id="878"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2018年度部门决算☞名词解释</w:t>
                        </w:r>
                      </w:p>
                      <w:p>
                        <w:pPr>
                          <w:jc w:val="center"/>
                        </w:pPr>
                      </w:p>
                    </w:txbxContent>
                  </v:textbox>
                  <v:stroke color="#AF7621"/>
                </v:rect>
                <w10:anchorLock/>
              </v:group>
            </w:pict>
          </mc:Fallback>
        </mc:AlternateConten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eastAsia="仿宋_GB2312" w:hAnsi="宋体"/>
          <w:b/>
          <w:bCs/>
          <w:color w:val="000000"/>
          <w:kern w:val="0"/>
          <w:sz w:val="32"/>
          <w:szCs w:val="32"/>
        </w:rPr>
        <mc:AlternateContent>
          <mc:Choice Requires="wps">
            <w:drawing>
              <wp:anchor distT="0" distB="0" distL="114300" distR="114300" simplePos="0" relativeHeight="104" behindDoc="0" locked="1" layoutInCell="1" hidden="0" allowOverlap="1">
                <wp:simplePos x="0" y="0"/>
                <wp:positionH relativeFrom="column">
                  <wp:posOffset>-1029335</wp:posOffset>
                </wp:positionH>
                <wp:positionV relativeFrom="page">
                  <wp:posOffset>503555</wp:posOffset>
                </wp:positionV>
                <wp:extent cx="3363595" cy="558166"/>
                <wp:effectExtent l="2540" t="0" r="5715" b="13335"/>
                <wp:wrapNone/>
                <wp:docPr id="1169" name="组合 94"/>
                <wp:cNvGraphicFramePr>
                  <a:graphicFrameLocks noChangeAspect="0"/>
                </wp:cNvGraphicFramePr>
                <a:graphic>
                  <a:graphicData uri="http://schemas.microsoft.com/office/word/2010/wordprocessingGroup">
                    <wpg:wgp>
                      <wpg:cNvPr id="160" name="组合 94 160"/>
                      <wpg:cNvGrpSpPr/>
                      <wpg:grpSpPr>
                        <a:xfrm rot="0">
                          <a:off x="0" y="0"/>
                          <a:ext cx="3363595" cy="558166"/>
                          <a:chOff x="0" y="0"/>
                          <a:chExt cx="3363595" cy="558166"/>
                        </a:xfrm>
                        <a:prstGeom prst="rect"/>
                        <a:solidFill>
                          <a:srgbClr val="FFFFFF"/>
                        </a:solidFill>
                        <a:ln w="9525" cmpd="sng" cap="flat">
                          <a:solidFill>
                            <a:srgbClr val="000000"/>
                          </a:solidFill>
                          <a:prstDash val="solid"/>
                          <a:miter/>
                        </a:ln>
                      </wpg:grpSpPr>
                      <wps:wsp>
                        <wps:cNvPr id="161" name="矩形 1067 161"/>
                        <wps:cNvSpPr/>
                        <wps:spPr>
                          <a:xfrm rot="0">
                            <a:off x="0" y="0"/>
                            <a:ext cx="33635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62" name="矩形 1069 162"/>
                        <wps:cNvSpPr/>
                        <wps:spPr>
                          <a:xfrm rot="0">
                            <a:off x="10233" y="109797"/>
                            <a:ext cx="3276219" cy="448369"/>
                          </a:xfrm>
                          <a:prstGeom prst="rect"/>
                          <a:solidFill>
                            <a:srgbClr val="AD002D"/>
                          </a:solidFill>
                          <a:ln w="25400" cmpd="sng" cap="flat">
                            <a:solidFill>
                              <a:srgbClr val="AF7621"/>
                            </a:solidFill>
                            <a:prstDash val="solid"/>
                            <a:round/>
                          </a:ln>
                        </wps:spPr>
                        <wps:txbx id="163">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94" o:spid="_x0000_s164" coordorigin="-33,793" coordsize="5297,879" style="position:absolute;margin-left:-81.05pt;margin-top:39.65pt;width:264.85pt;height:43.950146pt;z-index:104;mso-position-horizontal:absolute;mso-position-vertical:absolute;mso-position-vertical-relative:page;">
                <v:rect type="#_x0000_t1" id="矩形 1067 161" o:spid="_x0000_s165" style="position:absolute;left:-33;top:793;width:5297;height:738;" fillcolor="#D8D8D8" stroked="f" strokeweight="-1.0pt">
                  <v:stroke/>
                </v:rect>
                <v:rect type="#_x0000_t1" id="_s166" o:spid="_x0000_s166" style="position:absolute;left:-16;top:965;width:5159;height:706;mso-wrap-style:square;" fillcolor="#AD002D" stroked="t" strokeweight="2.0pt">
                  <v:textbox id="879"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2018年度部门决算☞名词解释</w:t>
                        </w:r>
                      </w:p>
                      <w:p>
                        <w:pPr>
                          <w:jc w:val="center"/>
                        </w:pPr>
                      </w:p>
                    </w:txbxContent>
                  </v:textbox>
                  <v:stroke color="#AF7621"/>
                </v:rect>
                <w10:anchorLock/>
              </v:group>
            </w:pict>
          </mc:Fallback>
        </mc:AlternateContent>
      </w:r>
      <w:r>
        <w:rPr>
          <w:rFonts w:ascii="仿宋_GB2312" w:eastAsia="仿宋_GB2312" w:hAnsi="宋体" w:hint="eastAsia"/>
          <w:color w:val="000000"/>
          <w:kern w:val="0"/>
          <w:sz w:val="32"/>
          <w:szCs w:val="32"/>
        </w:rPr>
        <w:t>待费反映单位按规定开支的各类公务接待（含外宾接待）支出。</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Pr>
          <w:rFonts w:ascii="仿宋_GB2312" w:eastAsia="仿宋_GB2312" w:hAnsi="宋体"/>
          <w:b/>
          <w:bCs/>
          <w:color w:val="000000"/>
          <w:kern w:val="0"/>
          <w:sz w:val="32"/>
          <w:szCs w:val="32"/>
        </w:rPr>
        <mc:AlternateContent>
          <mc:Choice Requires="wps">
            <w:drawing>
              <wp:anchor distT="0" distB="0" distL="114300" distR="114300" simplePos="0" relativeHeight="106" behindDoc="0" locked="1" layoutInCell="1" hidden="0" allowOverlap="1">
                <wp:simplePos x="0" y="0"/>
                <wp:positionH relativeFrom="column">
                  <wp:posOffset>-1029335</wp:posOffset>
                </wp:positionH>
                <wp:positionV relativeFrom="page">
                  <wp:posOffset>503555</wp:posOffset>
                </wp:positionV>
                <wp:extent cx="3363595" cy="558166"/>
                <wp:effectExtent l="2540" t="0" r="5715" b="13335"/>
                <wp:wrapNone/>
                <wp:docPr id="1170" name="组合 97"/>
                <wp:cNvGraphicFramePr>
                  <a:graphicFrameLocks noChangeAspect="0"/>
                </wp:cNvGraphicFramePr>
                <a:graphic>
                  <a:graphicData uri="http://schemas.microsoft.com/office/word/2010/wordprocessingGroup">
                    <wpg:wgp>
                      <wpg:cNvPr id="167" name="组合 97 167"/>
                      <wpg:cNvGrpSpPr/>
                      <wpg:grpSpPr>
                        <a:xfrm rot="0">
                          <a:off x="0" y="0"/>
                          <a:ext cx="3363595" cy="558166"/>
                          <a:chOff x="0" y="0"/>
                          <a:chExt cx="3363595" cy="558166"/>
                        </a:xfrm>
                        <a:prstGeom prst="rect"/>
                        <a:solidFill>
                          <a:srgbClr val="FFFFFF"/>
                        </a:solidFill>
                        <a:ln w="9525" cmpd="sng" cap="flat">
                          <a:solidFill>
                            <a:srgbClr val="000000"/>
                          </a:solidFill>
                          <a:prstDash val="solid"/>
                          <a:miter/>
                        </a:ln>
                      </wpg:grpSpPr>
                      <wps:wsp>
                        <wps:cNvPr id="168" name="矩形 1070 168"/>
                        <wps:cNvSpPr/>
                        <wps:spPr>
                          <a:xfrm rot="0">
                            <a:off x="0" y="0"/>
                            <a:ext cx="3363595" cy="469131"/>
                          </a:xfrm>
                          <a:prstGeom prst="rect"/>
                          <a:solidFill>
                            <a:srgbClr val="D8D8D8"/>
                          </a:solidFill>
                          <a:ln cmpd="sng" cap="flat">
                            <a:noFill/>
                            <a:prstDash val="solid"/>
                            <a:round/>
                          </a:ln>
                        </wps:spPr>
                        <wps:bodyPr vert="horz" wrap="square" lIns="91440" tIns="45720" rIns="91440" bIns="45720" anchor="t" anchorCtr="0" upright="0">
                          <a:noAutofit/>
                        </wps:bodyPr>
                      </wps:wsp>
                      <wps:wsp>
                        <wps:cNvPr id="169" name="矩形 1074 169"/>
                        <wps:cNvSpPr/>
                        <wps:spPr>
                          <a:xfrm rot="0">
                            <a:off x="10233" y="109797"/>
                            <a:ext cx="3276219" cy="448369"/>
                          </a:xfrm>
                          <a:prstGeom prst="rect"/>
                          <a:solidFill>
                            <a:srgbClr val="AD002D"/>
                          </a:solidFill>
                          <a:ln w="25400" cmpd="sng" cap="flat">
                            <a:solidFill>
                              <a:srgbClr val="AF7621"/>
                            </a:solidFill>
                            <a:prstDash val="solid"/>
                            <a:round/>
                          </a:ln>
                        </wps:spPr>
                        <wps:txbx id="170">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2018年度部门决算☞名词解释</w:t>
                              </w:r>
                            </w:p>
                            <w:p>
                              <w:pPr>
                                <w:jc w:val="center"/>
                              </w:pPr>
                            </w:p>
                          </w:txbxContent>
                        </wps:txbx>
                        <wps:bodyPr vert="horz" wrap="square" lIns="91440" tIns="45720" rIns="91440" bIns="45720" anchor="ctr" anchorCtr="0" upright="0">
                          <a:noAutofit/>
                        </wps:bodyPr>
                      </wps:wsp>
                      <wps:bodyPr vert="horz" wrap="square" lIns="91440" tIns="45720" rIns="91440" bIns="45720" anchor="t" anchorCtr="0" upright="1">
                        <a:noAutofit/>
                      </wps:bodyPr>
                    </wpg:wgp>
                  </a:graphicData>
                </a:graphic>
              </wp:anchor>
            </w:drawing>
          </mc:Choice>
          <mc:Fallback>
            <w:pict>
              <v:group type="#_x0000_t1" id="组合 97" o:spid="_x0000_s171" coordorigin="-33,793" coordsize="5297,879" style="position:absolute;margin-left:-81.05pt;margin-top:39.65pt;width:264.85pt;height:43.950146pt;z-index:106;mso-position-horizontal:absolute;mso-position-vertical:absolute;mso-position-vertical-relative:page;">
                <v:rect type="#_x0000_t1" id="矩形 1070 168" o:spid="_x0000_s172" style="position:absolute;left:-33;top:793;width:5297;height:738;" fillcolor="#D8D8D8" stroked="f" strokeweight="-1.0pt">
                  <v:stroke/>
                </v:rect>
                <v:rect type="#_x0000_t1" id="_s173" o:spid="_x0000_s173" style="position:absolute;left:-16;top:965;width:5159;height:706;mso-wrap-style:square;" fillcolor="#AD002D" stroked="t" strokeweight="2.0pt">
                  <v:textbox id="880" inset="2.54mm,1.27mm,2.54mm,1.27mm" o:insetmode="custom" style="layout-flow:horizontal;v-text-anchor:middle;">
                    <w:txbxContent>
                      <w:p>
                        <w:pPr>
                          <w:widowControl/>
                          <w:jc w:val="left"/>
                          <w:rPr>
                            <w:rFonts w:ascii="楷体" w:eastAsia="楷体" w:cs="楷体" w:hAnsi="楷体"/>
                            <w:b/>
                            <w:bCs/>
                            <w:color w:val="FDEFBE"/>
                            <w:sz w:val="32"/>
                            <w:szCs w:val="32"/>
                          </w:rPr>
                        </w:pPr>
                        <w:r>
                          <w:rPr>
                            <w:rFonts w:ascii="楷体" w:eastAsia="楷体" w:cs="楷体" w:hAnsi="楷体" w:hint="eastAsia"/>
                            <w:b/>
                            <w:bCs/>
                            <w:color w:val="FDEFBE"/>
                            <w:kern w:val="0"/>
                            <w:sz w:val="32"/>
                            <w:szCs w:val="32"/>
                          </w:rPr>
                          <w:t>2018年度部门决算☞名词解释</w:t>
                        </w:r>
                      </w:p>
                      <w:p>
                        <w:pPr>
                          <w:jc w:val="center"/>
                        </w:pPr>
                      </w:p>
                    </w:txbxContent>
                  </v:textbox>
                  <v:stroke color="#AF7621"/>
                </v:rect>
                <w10:anchorLock/>
              </v:group>
            </w:pict>
          </mc:Fallback>
        </mc:AlternateConten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pPr>
        <w:widowControl/>
        <w:spacing w:after="0" w:line="560" w:lineRule="exact"/>
        <w:ind w:firstLineChars="200" w:firstLine="640"/>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hAnsi="Cambria"/>
          <w:kern w:val="0"/>
          <w:sz w:val="32"/>
          <w:szCs w:val="32"/>
        </w:rPr>
        <w:sectPr>
          <w:pgSz w:w="11906" w:h="16838"/>
          <w:pgMar w:top="2098" w:right="1474" w:bottom="1985" w:left="1588" w:header="851" w:footer="992" w:gutter="0"/>
          <w:cols w:num="1" w:space="425"/>
          <w:docGrid w:type="lines" w:linePitch="312" w:charSpace="0"/>
        </w:sectPr>
      </w:pPr>
      <w:r>
        <w:rPr>
          <w:rFonts w:ascii="仿宋_GB2312" w:eastAsia="仿宋_GB2312" w:hAnsi="宋体" w:hint="eastAsia"/>
          <w:b/>
          <w:bCs/>
          <w:color w:val="000000"/>
          <w:kern w:val="0"/>
          <w:sz w:val="32"/>
          <w:szCs w:val="32"/>
        </w:rPr>
        <w:t>（十七）经费形</w:t>
      </w:r>
      <w:r>
        <w:rPr>
          <w:rFonts w:ascii="宋体" w:cs="宋体" w:hAnsi="宋体" w:hint="eastAsia"/>
          <w:b/>
          <w:bCs/>
          <w:color w:val="000000"/>
          <w:kern w:val="0"/>
          <w:sz w:val="32"/>
          <w:szCs w:val="32"/>
        </w:rPr>
        <w:t>式：</w:t>
      </w:r>
      <w:r>
        <w:rPr>
          <w:rFonts w:ascii="仿宋_GB2312" w:eastAsia="仿宋_GB2312" w:hAnsi="宋体" w:hint="eastAsia"/>
          <w:color w:val="000000"/>
          <w:kern w:val="0"/>
          <w:sz w:val="32"/>
          <w:szCs w:val="32"/>
        </w:rPr>
        <w:t>按照经费来源，</w:t>
      </w:r>
      <w:r>
        <w:rPr>
          <w:rFonts w:ascii="仿宋_GB2312" w:eastAsia="仿宋_GB2312" w:cs="ArialUnicodeMS" w:hAnsi="Cambria" w:hint="eastAsia"/>
          <w:kern w:val="0"/>
          <w:sz w:val="32"/>
          <w:szCs w:val="32"/>
        </w:rPr>
        <w:t>可分为财政拨款、财政性资金基本保证、财政性资金定额或定项补助、财政性资金零补助四类。</w:t>
      </w:r>
    </w:p>
    <w:p>
      <w:pPr>
        <w:widowControl/>
        <w:spacing w:after="0" w:line="240" w:lineRule="auto"/>
        <w:ind w:firstLineChars="200" w:firstLine="640"/>
        <w:rPr>
          <w:rFonts w:ascii="仿宋_GB2312" w:eastAsia="仿宋_GB2312" w:cs="ArialUnicodeMS" w:hAnsi="Cambria"/>
          <w:kern w:val="0"/>
          <w:sz w:val="32"/>
          <w:szCs w:val="32"/>
        </w:rPr>
      </w:pPr>
    </w:p>
    <w:sectPr>
      <w:pgSz w:w="11906" w:h="16838"/>
      <w:pgMar w:top="2098" w:right="1474" w:bottom="1985" w:left="1588"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00000" w:csb1="00000000"/>
  </w:font>
  <w:font w:name="ArialUnicodeMS">
    <w:altName w:val="Malgun Gothic"/>
    <w:panose1 w:val="00000000000000000000"/>
    <w:charset w:val="81"/>
    <w:family w:val="auto"/>
    <w:pitch w:val="variable"/>
    <w:sig w:usb0="00000000" w:usb1="00000000" w:usb2="00000010" w:usb3="00000000" w:csb0="00080001" w:csb1="00000000"/>
  </w:font>
  <w:font w:name="Cambria">
    <w:panose1 w:val="02040503050406030204"/>
    <w:charset w:val="00"/>
    <w:family w:val="roman"/>
    <w:pitch w:val="variable"/>
    <w:sig w:usb0="E00002FF" w:usb1="400004FF" w:usb2="00000000" w:usb3="00000000" w:csb0="2000019F" w:csb1="00000000"/>
  </w:font>
  <w:font w:name="仿宋">
    <w:panose1 w:val="02010609060101010101"/>
    <w:charset w:val="86"/>
    <w:family w:val="auto"/>
    <w:pitch w:val="variable"/>
    <w:sig w:usb0="800002BF" w:usb1="38CF7CFA" w:usb2="00000016" w:usb3="00000000" w:csb0="00040001"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1"/>
    <w:family w:val="swiss"/>
    <w:pitch w:val="variable"/>
    <w:sig w:usb0="E0002AFF" w:usb1="C0007843" w:usb2="00000009" w:usb3="00000000" w:csb0="400001FF" w:csb1="FFFF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楷体_GB2312">
    <w:altName w:val="楷体"/>
    <w:panose1 w:val="02010609030101010101"/>
    <w:charset w:val="86"/>
    <w:family w:val="modern"/>
    <w:pitch w:val="variable"/>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___WRD_EMBED_SUB_43">
    <w:altName w:val="宋体"/>
    <w:panose1 w:val="00000000000000000000"/>
    <w:charset w:val="86"/>
    <w:family w:val="modern"/>
    <w:pitch w:val="variable"/>
    <w:sig w:usb0="00000000" w:usb1="00000000" w:usb2="00000000" w:usb3="00000000" w:csb0="00040000" w:csb1="00000000"/>
  </w:font>
  <w:font w:name="方正仿宋_GBK">
    <w:altName w:val="微软雅黑"/>
    <w:panose1 w:val="00000000000000000000"/>
    <w:charset w:val="86"/>
    <w:family w:val="auto"/>
    <w:pitch w:val="variable"/>
    <w:sig w:usb0="00000000" w:usb1="00000000"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TimesNewRomanPSMT">
    <w:altName w:val="Arial"/>
    <w:panose1 w:val="00000000000000000000"/>
    <w:charset w:val="00"/>
    <w:family w:val="swiss"/>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2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1F96B03"/>
    <w:multiLevelType w:val="singleLevel"/>
    <w:tmpl w:val="31F96B03"/>
    <w:lvl w:ilvl="0">
      <w:start w:val="3"/>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libri" w:cs="宋体" w:hAnsi="Calibri"/>
      <w:b/>
      <w:bCs/>
      <w:sz w:val="32"/>
      <w:szCs w:val="32"/>
    </w:rPr>
  </w:style>
  <w:style w:type="character" w:customStyle="1" w:styleId="2Char">
    <w:name w:val="heading 2 Char"/>
    <w:basedOn w:val="10"/>
    <w:link w:val="2"/>
    <w:rPr>
      <w:rFonts w:ascii="Calibri" w:eastAsia="宋体" w:cs="宋体"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spacing w:before="280" w:after="290" w:line="377" w:lineRule="auto"/>
      <w:outlineLvl w:val="3"/>
    </w:pPr>
    <w:rPr>
      <w:rFonts w:ascii="Calibri" w:cs="宋体" w:hAnsi="Calibri"/>
      <w:b/>
      <w:bCs/>
      <w:sz w:val="28"/>
      <w:szCs w:val="28"/>
    </w:rPr>
  </w:style>
  <w:style w:type="character" w:customStyle="1" w:styleId="4Char">
    <w:name w:val="heading 4 Char"/>
    <w:basedOn w:val="10"/>
    <w:link w:val="4"/>
    <w:rPr>
      <w:rFonts w:ascii="Calibri" w:eastAsia="宋体" w:cs="宋体" w:hAnsi="Calibri"/>
      <w:b/>
      <w:bCs/>
      <w:kern w:val="2"/>
      <w:sz w:val="28"/>
      <w:szCs w:val="28"/>
      <w:lang w:val="en-US" w:eastAsia="zh-CN" w:bidi="ar-SA"/>
    </w:rPr>
  </w:style>
  <w:style w:type="character" w:default="1" w:styleId="10">
    <w:name w:val="Default Paragraph Font"/>
    <w:qFormat/>
  </w:style>
  <w:style w:type="paragraph" w:styleId="15">
    <w:name w:val="Date"/>
    <w:qFormat/>
    <w:basedOn w:val="0"/>
    <w:next w:val="0"/>
    <w:pPr>
      <w:ind w:leftChars="2500" w:left="2500"/>
    </w:pPr>
  </w:style>
  <w:style w:type="paragraph" w:styleId="16">
    <w:name w:val="Balloon Text"/>
    <w:qFormat/>
    <w:basedOn w:val="0"/>
    <w:rPr>
      <w:sz w:val="18"/>
      <w:szCs w:val="18"/>
    </w:rPr>
  </w:style>
  <w:style w:type="paragraph" w:styleId="17">
    <w:name w:val="footer"/>
    <w:qFormat/>
    <w:basedOn w:val="0"/>
    <w:pPr>
      <w:tabs>
        <w:tab w:val="center" w:pos="4153"/>
        <w:tab w:val="right" w:pos="8306"/>
      </w:tabs>
      <w:snapToGrid w:val="0"/>
      <w:jc w:val="left"/>
    </w:pPr>
    <w:rPr>
      <w:rFonts w:ascii="Cambria" w:eastAsia="黑体" w:cs="宋体" w:hAnsi="Cambria"/>
      <w:sz w:val="18"/>
      <w:szCs w:val="18"/>
    </w:rPr>
  </w:style>
  <w:style w:type="paragraph" w:styleId="18">
    <w:name w:val="header"/>
    <w:qFormat/>
    <w:basedOn w:val="0"/>
    <w:pPr>
      <w:pBdr>
        <w:bottom w:val="single" w:sz="6" w:space="1" w:color="auto"/>
      </w:pBdr>
      <w:tabs>
        <w:tab w:val="center" w:pos="4153"/>
        <w:tab w:val="right" w:pos="8306"/>
      </w:tabs>
      <w:snapToGrid w:val="0"/>
      <w:jc w:val="center"/>
    </w:pPr>
    <w:rPr>
      <w:rFonts w:ascii="Cambria" w:eastAsia="黑体" w:cs="宋体" w:hAnsi="Cambria"/>
      <w:sz w:val="18"/>
      <w:szCs w:val="18"/>
    </w:rPr>
  </w:style>
  <w:style w:type="paragraph" w:styleId="19">
    <w:name w:val="Subtitle"/>
    <w:qFormat/>
    <w:basedOn w:val="0"/>
    <w:next w:val="0"/>
    <w:pPr>
      <w:widowControl/>
      <w:spacing w:after="200" w:line="276" w:lineRule="auto"/>
      <w:jc w:val="left"/>
    </w:pPr>
    <w:rPr>
      <w:rFonts w:ascii="Calibri" w:cs="宋体" w:hAnsi="Calibri"/>
      <w:i/>
      <w:iCs/>
      <w:color w:val="F0A22E"/>
      <w:spacing w:val="15"/>
      <w:kern w:val="0"/>
      <w:sz w:val="24"/>
    </w:rPr>
  </w:style>
  <w:style w:type="paragraph" w:styleId="20">
    <w:name w:val="Title"/>
    <w:qFormat/>
    <w:basedOn w:val="0"/>
    <w:next w:val="0"/>
    <w:pPr>
      <w:widowControl/>
      <w:pBdr>
        <w:bottom w:val="single" w:sz="8" w:space="4" w:color="F0A22E"/>
      </w:pBdr>
      <w:spacing w:after="300"/>
      <w:contextualSpacing/>
      <w:jc w:val="left"/>
    </w:pPr>
    <w:rPr>
      <w:rFonts w:ascii="Calibri" w:cs="宋体" w:hAnsi="Calibri"/>
      <w:color w:val="3B2C24"/>
      <w:spacing w:val="5"/>
      <w:kern w:val="28"/>
      <w:sz w:val="52"/>
      <w:szCs w:val="52"/>
    </w:rPr>
  </w:style>
  <w:style w:type="paragraph" w:styleId="21">
    <w:name w:val="No Spacing"/>
    <w:qFormat/>
    <w:pPr>
      <w:spacing w:after="160" w:line="480" w:lineRule="auto"/>
    </w:pPr>
    <w:rPr>
      <w:rFonts w:ascii="Cambria" w:eastAsia="黑体" w:cs="宋体" w:hAnsi="Cambria"/>
      <w:sz w:val="22"/>
      <w:szCs w:val="22"/>
      <w:lang w:val="en-US" w:eastAsia="zh-CN" w:bidi="ar-SA"/>
    </w:rPr>
  </w:style>
  <w:style w:type="character" w:customStyle="1" w:styleId="22">
    <w:name w:val="Style1"/>
    <w:qFormat/>
    <w:basedOn w:val="10"/>
    <w:rPr>
      <w:rFonts w:ascii="Cambria" w:eastAsia="黑体" w:cs="宋体" w:hAnsi="黑体"/>
      <w:sz w:val="22"/>
      <w:szCs w:val="22"/>
      <w:lang w:eastAsia="zh-CN"/>
    </w:rPr>
  </w:style>
  <w:style w:type="character" w:customStyle="1" w:styleId="23">
    <w:name w:val="Style2"/>
    <w:qFormat/>
    <w:basedOn w:val="10"/>
    <w:rPr>
      <w:rFonts w:ascii="Cambria" w:eastAsia="黑体" w:cs="宋体" w:hAnsi="黑体"/>
      <w:sz w:val="22"/>
      <w:szCs w:val="22"/>
      <w:lang w:eastAsia="zh-CN"/>
    </w:rPr>
  </w:style>
  <w:style w:type="character" w:customStyle="1" w:styleId="24">
    <w:name w:val="Style3"/>
    <w:qFormat/>
    <w:basedOn w:val="10"/>
    <w:rPr>
      <w:rFonts w:ascii="Cambria" w:eastAsia="黑体" w:cs="宋体" w:hAnsi="黑体"/>
      <w:szCs w:val="22"/>
      <w:lang w:eastAsia="zh-CN"/>
    </w:rPr>
  </w:style>
  <w:style w:type="character" w:customStyle="1" w:styleId="25">
    <w:name w:val="Style4"/>
    <w:qFormat/>
    <w:basedOn w:val="10"/>
    <w:rPr>
      <w:rFonts w:ascii="Cambria" w:eastAsia="黑体" w:cs="宋体" w:hAnsi="黑体"/>
      <w:szCs w:val="22"/>
      <w:lang w:eastAsia="zh-CN"/>
    </w:rPr>
  </w:style>
  <w:style w:type="character" w:customStyle="1" w:styleId="26">
    <w:name w:val="Style5"/>
    <w:qFormat/>
    <w:basedOn w:val="10"/>
    <w:rPr>
      <w:rFonts w:ascii="Cambria" w:eastAsia="黑体" w:cs="宋体" w:hAnsi="黑体"/>
      <w:sz w:val="22"/>
      <w:szCs w:val="22"/>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1.jpeg"/><Relationship Id="rId4" Type="http://schemas.openxmlformats.org/officeDocument/2006/relationships/image" Target="media/5.jpeg"/><Relationship Id="rId5" Type="http://schemas.openxmlformats.org/officeDocument/2006/relationships/image" Target="media/21.jpeg"/><Relationship Id="rId6" Type="http://schemas.openxmlformats.org/officeDocument/2006/relationships/image" Target="media/21.jpeg"/><Relationship Id="rId7" Type="http://schemas.openxmlformats.org/officeDocument/2006/relationships/image" Target="media/21.jpeg"/><Relationship Id="rId8" Type="http://schemas.openxmlformats.org/officeDocument/2006/relationships/image" Target="media/21.jpeg"/><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customXml" Target="../customXml/item1.xml"/><Relationship Id="rId13"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CBAC397-BF0C-4DAC-A4BD-D7C0607D4E1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31</Pages>
  <Words>0</Words>
  <Characters>8497</Characters>
  <Lines>0</Lines>
  <Paragraphs>181</Paragraphs>
  <CharactersWithSpaces>11330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Administrator</cp:lastModifiedBy>
  <cp:revision>9</cp:revision>
  <cp:lastPrinted>2019-08-14T06:51:00Z</cp:lastPrinted>
  <dcterms:created xsi:type="dcterms:W3CDTF">2019-08-20T08:07:00Z</dcterms:created>
  <dcterms:modified xsi:type="dcterms:W3CDTF">2024-08-23T07:39:41Z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2052-11.1.0.10356</vt:lpwstr>
  </property>
  <property fmtid="{D5CDD505-2E9C-101B-9397-08002B2CF9AE}" pid="3" name="ICV">
    <vt:lpwstr>E0D68B990CE94415AF0DA222CC22A32A</vt:lpwstr>
  </property>
</Properties>
</file>